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120"/>
        <w:jc w:val="right"/>
        <w:rPr/>
      </w:pPr>
      <w:r>
        <w:rPr/>
      </w:r>
    </w:p>
    <w:p>
      <w:pPr>
        <w:pStyle w:val="TextBody"/>
        <w:bidi w:val="0"/>
        <w:spacing w:lineRule="auto" w:line="288" w:before="0" w:after="120"/>
        <w:jc w:val="center"/>
        <w:rPr>
          <w:rFonts w:ascii="Arial;sans-serif" w:hAnsi="Arial;sans-serif"/>
          <w:b/>
          <w:color w:val="000000"/>
          <w:sz w:val="32"/>
        </w:rPr>
      </w:pPr>
      <w:r>
        <w:rPr>
          <w:rFonts w:ascii="Arial;sans-serif" w:hAnsi="Arial;sans-serif"/>
          <w:b/>
          <w:color w:val="000000"/>
          <w:sz w:val="32"/>
        </w:rPr>
        <w:t>UNITED STATES SECURITIES AND EXCHANGE COMMISSION</w:t>
      </w:r>
    </w:p>
    <w:p>
      <w:pPr>
        <w:pStyle w:val="TextBody"/>
        <w:bidi w:val="0"/>
        <w:spacing w:lineRule="auto" w:line="288" w:before="180" w:after="180"/>
        <w:jc w:val="center"/>
        <w:rPr>
          <w:rFonts w:ascii="Arial;sans-serif" w:hAnsi="Arial;sans-serif"/>
          <w:b/>
          <w:color w:val="000000"/>
          <w:sz w:val="28"/>
        </w:rPr>
      </w:pPr>
      <w:r>
        <w:rPr>
          <w:rFonts w:ascii="Arial;sans-serif" w:hAnsi="Arial;sans-serif"/>
          <w:b/>
          <w:color w:val="000000"/>
          <w:sz w:val="28"/>
        </w:rPr>
        <w:t>Washington, D.C. 20549</w:t>
      </w:r>
    </w:p>
    <w:p>
      <w:pPr>
        <w:pStyle w:val="TextBody"/>
        <w:bidi w:val="0"/>
        <w:spacing w:lineRule="auto" w:line="288" w:before="180" w:after="180"/>
        <w:jc w:val="center"/>
        <w:rPr>
          <w:rFonts w:ascii="Arial;sans-serif" w:hAnsi="Arial;sans-serif"/>
          <w:b/>
          <w:color w:val="000000"/>
          <w:sz w:val="32"/>
        </w:rPr>
      </w:pPr>
      <w:r>
        <w:rPr>
          <w:rFonts w:ascii="Arial;sans-serif" w:hAnsi="Arial;sans-serif"/>
          <w:b/>
          <w:color w:val="000000"/>
          <w:sz w:val="32"/>
        </w:rPr>
        <w:t xml:space="preserve">FORM 8-K </w:t>
      </w:r>
    </w:p>
    <w:p>
      <w:pPr>
        <w:pStyle w:val="TextBody"/>
        <w:bidi w:val="0"/>
        <w:spacing w:lineRule="auto" w:line="288" w:before="180" w:after="180"/>
        <w:jc w:val="center"/>
        <w:rPr>
          <w:rFonts w:ascii="Arial;sans-serif" w:hAnsi="Arial;sans-serif"/>
          <w:b/>
          <w:color w:val="000000"/>
          <w:sz w:val="32"/>
        </w:rPr>
      </w:pPr>
      <w:r>
        <w:rPr>
          <w:rFonts w:ascii="Arial;sans-serif" w:hAnsi="Arial;sans-serif"/>
          <w:b/>
          <w:color w:val="000000"/>
          <w:sz w:val="32"/>
        </w:rPr>
        <w:t>CURRENT REPORT</w:t>
      </w:r>
    </w:p>
    <w:p>
      <w:pPr>
        <w:pStyle w:val="TextBody"/>
        <w:bidi w:val="0"/>
        <w:spacing w:lineRule="auto" w:line="288" w:before="180" w:after="180"/>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Date of Report (Date of earliest event reported): July 30, 2026</w:t>
      </w:r>
    </w:p>
    <w:p>
      <w:pPr>
        <w:pStyle w:val="TextBody"/>
        <w:bidi w:val="0"/>
        <w:spacing w:lineRule="auto" w:line="288" w:before="180" w:after="120"/>
        <w:jc w:val="center"/>
        <w:rPr>
          <w:rFonts w:ascii="Arial;sans-serif" w:hAnsi="Arial;sans-serif"/>
          <w:b/>
          <w:color w:val="000000"/>
          <w:sz w:val="48"/>
        </w:rPr>
      </w:pPr>
      <w:r>
        <w:rPr>
          <w:rFonts w:ascii="Arial;sans-serif" w:hAnsi="Arial;sans-serif"/>
          <w:b/>
          <w:color w:val="000000"/>
          <w:sz w:val="48"/>
        </w:rPr>
        <w:t xml:space="preserve">LPL Financial Holdings Inc.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9238" w:type="dxa"/>
        <w:jc w:val="center"/>
        <w:tblInd w:w="0" w:type="dxa"/>
        <w:tblLayout w:type="fixed"/>
        <w:tblCellMar>
          <w:top w:w="28" w:type="dxa"/>
          <w:left w:w="28" w:type="dxa"/>
          <w:bottom w:w="28" w:type="dxa"/>
          <w:right w:w="28" w:type="dxa"/>
        </w:tblCellMar>
      </w:tblPr>
      <w:tblGrid>
        <w:gridCol w:w="1377"/>
        <w:gridCol w:w="1210"/>
        <w:gridCol w:w="1222"/>
        <w:gridCol w:w="401"/>
        <w:gridCol w:w="401"/>
        <w:gridCol w:w="401"/>
        <w:gridCol w:w="401"/>
        <w:gridCol w:w="401"/>
        <w:gridCol w:w="409"/>
        <w:gridCol w:w="880"/>
        <w:gridCol w:w="880"/>
        <w:gridCol w:w="1255"/>
      </w:tblGrid>
      <w:tr>
        <w:trPr/>
        <w:tc>
          <w:tcPr>
            <w:tcW w:w="137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241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001-34963</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20-3717839</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 jurisdiction of incorporation)</w:t>
            </w:r>
          </w:p>
        </w:tc>
        <w:tc>
          <w:tcPr>
            <w:tcW w:w="241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(Commission File Number)</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(IRS Employer Identification No.)</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Arial;sans-serif" w:hAnsi="Arial;sans-serif"/>
                <w:b/>
                <w:color w:val="000000"/>
                <w:sz w:val="20"/>
              </w:rPr>
            </w:pPr>
            <w:r>
              <w:rPr>
                <w:rFonts w:ascii="Arial;sans-serif" w:hAnsi="Arial;sans-serif"/>
                <w:b/>
                <w:color w:val="000000"/>
                <w:sz w:val="20"/>
              </w:rPr>
              <w:t>4707 Executive Drive,</w:t>
            </w:r>
          </w:p>
        </w:tc>
        <w:tc>
          <w:tcPr>
            <w:tcW w:w="1203"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Arial;sans-serif" w:hAnsi="Arial;sans-serif"/>
                <w:b/>
                <w:color w:val="000000"/>
                <w:sz w:val="20"/>
              </w:rPr>
            </w:pPr>
            <w:r>
              <w:rPr>
                <w:rFonts w:ascii="Arial;sans-serif" w:hAnsi="Arial;sans-serif"/>
                <w:b/>
                <w:color w:val="000000"/>
                <w:sz w:val="20"/>
              </w:rPr>
              <w:t>San Diego,</w:t>
            </w:r>
          </w:p>
        </w:tc>
        <w:tc>
          <w:tcPr>
            <w:tcW w:w="1211"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Arial;sans-serif" w:hAnsi="Arial;sans-serif"/>
                <w:b/>
                <w:color w:val="000000"/>
                <w:sz w:val="20"/>
              </w:rPr>
            </w:pPr>
            <w:r>
              <w:rPr>
                <w:rFonts w:ascii="Arial;sans-serif" w:hAnsi="Arial;sans-serif"/>
                <w:b/>
                <w:color w:val="000000"/>
                <w:sz w:val="20"/>
              </w:rPr>
              <w:t>California</w:t>
            </w:r>
          </w:p>
        </w:tc>
        <w:tc>
          <w:tcPr>
            <w:tcW w:w="3015"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Arial;sans-serif" w:hAnsi="Arial;sans-serif"/>
                <w:b/>
                <w:color w:val="000000"/>
                <w:sz w:val="20"/>
              </w:rPr>
            </w:pPr>
            <w:r>
              <w:rPr>
                <w:rFonts w:ascii="Arial;sans-serif" w:hAnsi="Arial;sans-serif"/>
                <w:b/>
                <w:color w:val="000000"/>
                <w:sz w:val="20"/>
              </w:rPr>
              <w:t>92121</w:t>
            </w:r>
          </w:p>
        </w:tc>
      </w:tr>
      <w:tr>
        <w:trPr/>
        <w:tc>
          <w:tcPr>
            <w:tcW w:w="6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(Zip Code)</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Registrant's telephone number, including area code: </w:t>
      </w:r>
    </w:p>
    <w:tbl>
      <w:tblPr>
        <w:tblW w:w="1499" w:type="dxa"/>
        <w:jc w:val="center"/>
        <w:tblInd w:w="0" w:type="dxa"/>
        <w:tblLayout w:type="fixed"/>
        <w:tblCellMar>
          <w:top w:w="28" w:type="dxa"/>
          <w:left w:w="28" w:type="dxa"/>
          <w:bottom w:w="28" w:type="dxa"/>
          <w:right w:w="28" w:type="dxa"/>
        </w:tblCellMar>
      </w:tblPr>
      <w:tblGrid>
        <w:gridCol w:w="200"/>
        <w:gridCol w:w="177"/>
        <w:gridCol w:w="178"/>
        <w:gridCol w:w="276"/>
        <w:gridCol w:w="276"/>
        <w:gridCol w:w="39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(800)</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877-7210</w:t>
            </w:r>
          </w:p>
        </w:tc>
      </w:tr>
    </w:tbl>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N/A</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(Former name or former address, if changed since last report.)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registrants under any of the following provisions: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w:t>
      </w:r>
      <w:r>
        <w:rPr>
          <w:color w:val="231F20"/>
        </w:rPr>
        <w:t xml:space="preserve"> </w:t>
      </w:r>
      <w:r>
        <w:rPr>
          <w:rFonts w:ascii="Arial;sans-serif" w:hAnsi="Arial;sans-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Arial;sans-serif" w:hAnsi="Arial;sans-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0"/>
        <w:jc w:val="left"/>
        <w:rPr/>
      </w:pPr>
      <w:r>
        <w:rPr>
          <w:color w:val="000000"/>
        </w:rPr>
        <w:t>☐</w:t>
      </w:r>
      <w:r>
        <w:rPr>
          <w:color w:val="231F20"/>
        </w:rPr>
        <w:t xml:space="preserve"> </w:t>
      </w:r>
      <w:r>
        <w:rPr>
          <w:rFonts w:ascii="Arial;sans-serif" w:hAnsi="Arial;sans-serif"/>
          <w:b w:val="false"/>
          <w:color w:val="231F20"/>
          <w:sz w:val="20"/>
        </w:rPr>
        <w:t>Pre-commencement communications pursuant to Rule 13e-4(c) under the Exchange Act (17 CFR 240.13e-4(c))</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657" w:type="dxa"/>
        <w:jc w:val="left"/>
        <w:tblInd w:w="0" w:type="dxa"/>
        <w:tblLayout w:type="fixed"/>
        <w:tblCellMar>
          <w:top w:w="28" w:type="dxa"/>
          <w:left w:w="28" w:type="dxa"/>
          <w:bottom w:w="28" w:type="dxa"/>
          <w:right w:w="28" w:type="dxa"/>
        </w:tblCellMar>
      </w:tblPr>
      <w:tblGrid>
        <w:gridCol w:w="1433"/>
        <w:gridCol w:w="1256"/>
        <w:gridCol w:w="1270"/>
        <w:gridCol w:w="564"/>
        <w:gridCol w:w="564"/>
        <w:gridCol w:w="566"/>
        <w:gridCol w:w="1170"/>
        <w:gridCol w:w="1170"/>
        <w:gridCol w:w="1664"/>
      </w:tblGrid>
      <w:tr>
        <w:trPr/>
        <w:tc>
          <w:tcPr>
            <w:tcW w:w="1433"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Trading Symbol(s)</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Name of each exchange on which registered</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 - par value $0.001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LPLA</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Global Select Market</w:t>
            </w:r>
          </w:p>
        </w:tc>
      </w:tr>
    </w:tbl>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 xml:space="preserve">Emerging growth company ☐ </w:t>
      </w:r>
    </w:p>
    <w:p>
      <w:pPr>
        <w:pStyle w:val="TextBody"/>
        <w:bidi w:val="0"/>
        <w:spacing w:before="60" w:after="283"/>
        <w:jc w:val="left"/>
        <w:rPr/>
      </w:pPr>
      <w:r>
        <w:rPr/>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120" w:after="283"/>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472" w:type="dxa"/>
        <w:jc w:val="left"/>
        <w:tblInd w:w="0" w:type="dxa"/>
        <w:tblLayout w:type="fixed"/>
        <w:tblCellMar>
          <w:top w:w="28" w:type="dxa"/>
          <w:left w:w="28" w:type="dxa"/>
          <w:bottom w:w="28" w:type="dxa"/>
          <w:right w:w="28" w:type="dxa"/>
        </w:tblCellMar>
      </w:tblPr>
      <w:tblGrid>
        <w:gridCol w:w="348"/>
        <w:gridCol w:w="306"/>
        <w:gridCol w:w="307"/>
        <w:gridCol w:w="701"/>
        <w:gridCol w:w="701"/>
        <w:gridCol w:w="701"/>
        <w:gridCol w:w="701"/>
        <w:gridCol w:w="701"/>
        <w:gridCol w:w="1006"/>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Item 2.02</w:t>
            </w:r>
          </w:p>
        </w:tc>
        <w:tc>
          <w:tcPr>
            <w:tcW w:w="45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Results of Operations and Financial Condition.</w:t>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July 30, 2026, LPL Financial Holdings Inc. (collectively with its subsidiaries, the “Company”) issued a press release announcing its financial results for the three months ended June 30, 2026. A copy of the press release is furnished with this Form 8-K and attached hereto as Exhibit 99.1.</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Exhibit 99.1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 </w:t>
      </w:r>
    </w:p>
    <w:tbl>
      <w:tblPr>
        <w:tblW w:w="10205" w:type="dxa"/>
        <w:jc w:val="left"/>
        <w:tblInd w:w="0" w:type="dxa"/>
        <w:tblLayout w:type="fixed"/>
        <w:tblCellMar>
          <w:top w:w="28" w:type="dxa"/>
          <w:left w:w="28" w:type="dxa"/>
          <w:bottom w:w="28" w:type="dxa"/>
          <w:right w:w="28" w:type="dxa"/>
        </w:tblCellMar>
      </w:tblPr>
      <w:tblGrid>
        <w:gridCol w:w="348"/>
        <w:gridCol w:w="306"/>
        <w:gridCol w:w="307"/>
        <w:gridCol w:w="496"/>
        <w:gridCol w:w="496"/>
        <w:gridCol w:w="496"/>
        <w:gridCol w:w="2267"/>
        <w:gridCol w:w="2250"/>
        <w:gridCol w:w="3239"/>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3239"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Item 9.01</w:t>
            </w:r>
          </w:p>
        </w:tc>
        <w:tc>
          <w:tcPr>
            <w:tcW w:w="92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Financial Statements and Exhibits.</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w:t>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Exhibits</w:t>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7756" w:type="dxa"/>
            <w:gridSpan w:val="3"/>
            <w:tcBorders/>
            <w:vAlign w:val="center"/>
          </w:tcPr>
          <w:p>
            <w:pPr>
              <w:pStyle w:val="TableContents"/>
              <w:bidi w:val="0"/>
              <w:spacing w:before="0" w:after="283"/>
              <w:jc w:val="left"/>
              <w:rPr>
                <w:sz w:val="4"/>
                <w:szCs w:val="4"/>
              </w:rPr>
            </w:pPr>
            <w:r>
              <w:rPr>
                <w:sz w:val="4"/>
                <w:szCs w:val="4"/>
              </w:rPr>
            </w:r>
          </w:p>
        </w:tc>
      </w:tr>
      <w:tr>
        <w:trPr/>
        <w:tc>
          <w:tcPr>
            <w:tcW w:w="6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99.1 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lineRule="auto" w:line="240" w:before="0" w:after="160"/>
              <w:jc w:val="left"/>
              <w:rPr/>
            </w:pPr>
            <w:hyperlink w:anchor="a2026q2earningsrelease.htm">
              <w:r>
                <w:rPr>
                  <w:rStyle w:val="InternetLink"/>
                  <w:rFonts w:ascii="Arial;sans-serif" w:hAnsi="Arial;sans-serif"/>
                  <w:b w:val="false"/>
                  <w:color w:val="000080"/>
                  <w:sz w:val="20"/>
                  <w:u w:val="single"/>
                </w:rPr>
                <w:t xml:space="preserve">Press Release dated </w:t>
              </w:r>
            </w:hyperlink>
            <w:hyperlink w:anchor="a2026q2earningsrelease.htm">
              <w:r>
                <w:rPr>
                  <w:rStyle w:val="InternetLink"/>
                  <w:rFonts w:ascii="Arial;sans-serif" w:hAnsi="Arial;sans-serif"/>
                  <w:b w:val="false"/>
                  <w:color w:val="000080"/>
                  <w:sz w:val="20"/>
                  <w:u w:val="single"/>
                </w:rPr>
                <w:t>July</w:t>
              </w:r>
            </w:hyperlink>
            <w:hyperlink w:anchor="a2026q2earningsrelease.htm">
              <w:r>
                <w:rPr>
                  <w:rStyle w:val="InternetLink"/>
                  <w:rFonts w:ascii="Arial;sans-serif" w:hAnsi="Arial;sans-serif"/>
                  <w:b w:val="false"/>
                  <w:color w:val="000080"/>
                  <w:sz w:val="20"/>
                  <w:u w:val="single"/>
                </w:rPr>
                <w:t xml:space="preserve"> 30, 2026 ("LPL Financial Announces </w:t>
              </w:r>
            </w:hyperlink>
            <w:hyperlink w:anchor="a2026q2earningsrelease.htm">
              <w:r>
                <w:rPr>
                  <w:rStyle w:val="InternetLink"/>
                  <w:rFonts w:ascii="Arial;sans-serif" w:hAnsi="Arial;sans-serif"/>
                  <w:b w:val="false"/>
                  <w:color w:val="000080"/>
                  <w:sz w:val="20"/>
                  <w:u w:val="single"/>
                </w:rPr>
                <w:t>Second</w:t>
              </w:r>
            </w:hyperlink>
            <w:hyperlink w:anchor="a2026q2earningsrelease.htm">
              <w:r>
                <w:rPr>
                  <w:rStyle w:val="InternetLink"/>
                  <w:rFonts w:ascii="Arial;sans-serif" w:hAnsi="Arial;sans-serif"/>
                  <w:b w:val="false"/>
                  <w:color w:val="000080"/>
                  <w:sz w:val="20"/>
                  <w:u w:val="single"/>
                </w:rPr>
                <w:t xml:space="preserve"> Quarter 2026 Results")</w:t>
              </w:r>
            </w:hyperlink>
          </w:p>
        </w:tc>
      </w:tr>
      <w:tr>
        <w:trPr/>
        <w:tc>
          <w:tcPr>
            <w:tcW w:w="6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775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775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775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775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77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20" w:after="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tbl>
      <w:tblPr>
        <w:tblW w:w="5688" w:type="dxa"/>
        <w:jc w:val="center"/>
        <w:tblInd w:w="0" w:type="dxa"/>
        <w:tblLayout w:type="fixed"/>
        <w:tblCellMar>
          <w:top w:w="28" w:type="dxa"/>
          <w:left w:w="28" w:type="dxa"/>
          <w:bottom w:w="28" w:type="dxa"/>
          <w:right w:w="28" w:type="dxa"/>
        </w:tblCellMar>
      </w:tblPr>
      <w:tblGrid>
        <w:gridCol w:w="632"/>
        <w:gridCol w:w="554"/>
        <w:gridCol w:w="554"/>
        <w:gridCol w:w="1253"/>
        <w:gridCol w:w="1253"/>
        <w:gridCol w:w="1288"/>
        <w:gridCol w:w="154"/>
      </w:tblGrid>
      <w:tr>
        <w:trPr/>
        <w:tc>
          <w:tcPr>
            <w:tcW w:w="63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LPL FINANCIAL HOLDINGS INC.</w:t>
            </w:r>
          </w:p>
        </w:tc>
        <w:tc>
          <w:tcPr>
            <w:tcW w:w="154" w:type="dxa"/>
            <w:tcBorders/>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Matthew Audette</w:t>
            </w:r>
          </w:p>
        </w:tc>
        <w:tc>
          <w:tcPr>
            <w:tcW w:w="154" w:type="dxa"/>
            <w:tcBorders/>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Matthew Audette</w:t>
            </w:r>
          </w:p>
        </w:tc>
        <w:tc>
          <w:tcPr>
            <w:tcW w:w="154" w:type="dxa"/>
            <w:tcBorders/>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President and Chief Financial Officer</w:t>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Dated: July 30, 2026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54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203" w:type="dxa"/>
        <w:jc w:val="center"/>
        <w:tblInd w:w="0" w:type="dxa"/>
        <w:tblLayout w:type="fixed"/>
        <w:tblCellMar>
          <w:top w:w="28" w:type="dxa"/>
          <w:left w:w="28" w:type="dxa"/>
          <w:bottom w:w="28" w:type="dxa"/>
          <w:right w:w="28" w:type="dxa"/>
        </w:tblCellMar>
      </w:tblPr>
      <w:tblGrid>
        <w:gridCol w:w="538"/>
        <w:gridCol w:w="473"/>
        <w:gridCol w:w="473"/>
        <w:gridCol w:w="473"/>
        <w:gridCol w:w="473"/>
        <w:gridCol w:w="477"/>
        <w:gridCol w:w="965"/>
        <w:gridCol w:w="965"/>
        <w:gridCol w:w="1366"/>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2907" w:type="dxa"/>
            <w:gridSpan w:val="6"/>
            <w:tcBorders/>
            <w:tcMar>
              <w:top w:w="0" w:type="dxa"/>
              <w:left w:w="0" w:type="dxa"/>
              <w:bottom w:w="0" w:type="dxa"/>
              <w:right w:w="0" w:type="dxa"/>
            </w:tcMar>
            <w:vAlign w:val="center"/>
          </w:tcPr>
          <w:p>
            <w:pPr>
              <w:pStyle w:val="TableContents"/>
              <w:bidi w:val="0"/>
              <w:spacing w:lineRule="auto" w:line="288" w:before="40" w:after="40"/>
              <w:jc w:val="left"/>
              <w:rPr>
                <w:rFonts w:ascii="Tenorite;sans-serif" w:hAnsi="Tenorite;sans-serif"/>
                <w:b w:val="false"/>
                <w:color w:val="BE5500"/>
                <w:sz w:val="24"/>
              </w:rPr>
            </w:pPr>
            <w:r>
              <w:rPr>
                <w:rFonts w:ascii="Tenorite;sans-serif" w:hAnsi="Tenorite;sans-serif"/>
                <w:b w:val="false"/>
                <w:color w:val="BE5500"/>
                <w:sz w:val="24"/>
              </w:rPr>
              <w:t>For Immediate Release</w:t>
            </w:r>
          </w:p>
        </w:tc>
        <w:tc>
          <w:tcPr>
            <w:tcW w:w="32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009775" cy="2476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09775" cy="247650"/>
                          </a:xfrm>
                          <a:prstGeom prst="rect">
                            <a:avLst/>
                          </a:prstGeom>
                        </pic:spPr>
                      </pic:pic>
                    </a:graphicData>
                  </a:graphic>
                </wp:inline>
              </w:drawing>
            </w:r>
          </w:p>
        </w:tc>
      </w:tr>
      <w:tr>
        <w:trPr/>
        <w:tc>
          <w:tcPr>
            <w:tcW w:w="2907" w:type="dxa"/>
            <w:gridSpan w:val="6"/>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60"/>
        <w:jc w:val="left"/>
        <w:rPr>
          <w:rFonts w:ascii="Georgia;serif" w:hAnsi="Georgia;serif"/>
          <w:b w:val="false"/>
          <w:color w:val="081D4D"/>
          <w:sz w:val="32"/>
        </w:rPr>
      </w:pPr>
      <w:r>
        <w:rPr>
          <w:rFonts w:ascii="Georgia;serif" w:hAnsi="Georgia;serif"/>
          <w:b w:val="false"/>
          <w:color w:val="081D4D"/>
          <w:sz w:val="32"/>
        </w:rPr>
        <w:t>LPL Financial Announces Second Quarter 2026 Results</w:t>
      </w:r>
    </w:p>
    <w:p>
      <w:pPr>
        <w:pStyle w:val="TextBody"/>
        <w:bidi w:val="0"/>
        <w:spacing w:before="0" w:after="0"/>
        <w:jc w:val="left"/>
        <w:rPr/>
      </w:pPr>
      <w:r>
        <w:rPr/>
      </w:r>
    </w:p>
    <w:p>
      <w:pPr>
        <w:pStyle w:val="TextBody"/>
        <w:bidi w:val="0"/>
        <w:spacing w:lineRule="auto" w:line="288" w:before="20" w:after="20"/>
        <w:jc w:val="left"/>
        <w:rPr>
          <w:rFonts w:ascii="Tenorite;sans-serif" w:hAnsi="Tenorite;sans-serif"/>
          <w:b/>
          <w:color w:val="000000"/>
          <w:sz w:val="20"/>
          <w:u w:val="single"/>
        </w:rPr>
      </w:pPr>
      <w:r>
        <w:rPr>
          <w:rFonts w:ascii="Tenorite;sans-serif" w:hAnsi="Tenorite;sans-serif"/>
          <w:b/>
          <w:color w:val="000000"/>
          <w:sz w:val="20"/>
          <w:u w:val="single"/>
        </w:rPr>
        <w:t>Key Financial Results</w:t>
      </w:r>
    </w:p>
    <w:p>
      <w:pPr>
        <w:pStyle w:val="TextBody"/>
        <w:bidi w:val="0"/>
        <w:spacing w:lineRule="auto" w:line="288" w:before="60" w:after="20"/>
        <w:ind w:left="0" w:right="0" w:hanging="360"/>
        <w:jc w:val="left"/>
        <w:rPr/>
      </w:pPr>
      <w:r>
        <w:rPr>
          <w:color w:val="000000"/>
        </w:rPr>
        <w:t>•</w:t>
      </w:r>
      <w:r>
        <w:rPr>
          <w:rFonts w:ascii="Tenorite;sans-serif" w:hAnsi="Tenorite;sans-serif"/>
          <w:b/>
          <w:color w:val="000000"/>
          <w:sz w:val="20"/>
        </w:rPr>
        <w:t xml:space="preserve">Net income was $379 million, translating to diluted earnings per share ("EPS") of $4.74, up 39% from a year ago </w:t>
      </w:r>
    </w:p>
    <w:p>
      <w:pPr>
        <w:pStyle w:val="TextBody"/>
        <w:bidi w:val="0"/>
        <w:spacing w:lineRule="auto" w:line="288" w:before="60" w:after="20"/>
        <w:ind w:left="0" w:right="0" w:hanging="360"/>
        <w:jc w:val="left"/>
        <w:rPr/>
      </w:pPr>
      <w:r>
        <w:rPr>
          <w:color w:val="000000"/>
        </w:rPr>
        <w:t>•</w:t>
      </w:r>
      <w:r>
        <w:rPr>
          <w:rFonts w:ascii="Tenorite;sans-serif" w:hAnsi="Tenorite;sans-serif"/>
          <w:b/>
          <w:color w:val="000000"/>
          <w:sz w:val="20"/>
        </w:rPr>
        <w:t>Adjusted EPS* increased 29% year-over-year to $5.84</w:t>
      </w:r>
    </w:p>
    <w:p>
      <w:pPr>
        <w:pStyle w:val="TextBody"/>
        <w:bidi w:val="0"/>
        <w:spacing w:lineRule="auto" w:line="268" w:before="60" w:after="20"/>
        <w:ind w:left="0" w:right="0" w:hanging="360"/>
        <w:jc w:val="left"/>
        <w:rPr/>
      </w:pPr>
      <w:r>
        <w:rPr>
          <w:color w:val="000000"/>
        </w:rPr>
        <w:t>◦</w:t>
      </w:r>
      <w:r>
        <w:rPr>
          <w:rFonts w:ascii="Tenorite;sans-serif" w:hAnsi="Tenorite;sans-serif"/>
          <w:b w:val="false"/>
          <w:color w:val="000000"/>
          <w:sz w:val="20"/>
        </w:rPr>
        <w:t>Gross profit* increased 24% year-over-year to $1,618 million</w:t>
      </w:r>
    </w:p>
    <w:p>
      <w:pPr>
        <w:pStyle w:val="TextBody"/>
        <w:bidi w:val="0"/>
        <w:spacing w:lineRule="auto" w:line="268" w:before="60" w:after="20"/>
        <w:ind w:left="0" w:right="0" w:hanging="360"/>
        <w:jc w:val="left"/>
        <w:rPr/>
      </w:pPr>
      <w:r>
        <w:rPr>
          <w:color w:val="000000"/>
        </w:rPr>
        <w:t>◦</w:t>
      </w:r>
      <w:r>
        <w:rPr>
          <w:rFonts w:ascii="Tenorite;sans-serif" w:hAnsi="Tenorite;sans-serif"/>
          <w:b w:val="false"/>
          <w:color w:val="000000"/>
          <w:sz w:val="20"/>
        </w:rPr>
        <w:t>Core G&amp;A* increased 22% year-over-year to $519 million</w:t>
      </w:r>
    </w:p>
    <w:p>
      <w:pPr>
        <w:pStyle w:val="TextBody"/>
        <w:bidi w:val="0"/>
        <w:spacing w:lineRule="auto" w:line="268" w:before="60" w:after="20"/>
        <w:ind w:left="0" w:right="0" w:hanging="360"/>
        <w:jc w:val="left"/>
        <w:rPr/>
      </w:pPr>
      <w:r>
        <w:rPr>
          <w:color w:val="000000"/>
        </w:rPr>
        <w:t>◦</w:t>
      </w:r>
      <w:r>
        <w:rPr>
          <w:rFonts w:ascii="Tenorite;sans-serif" w:hAnsi="Tenorite;sans-serif"/>
          <w:b w:val="false"/>
          <w:color w:val="000000"/>
          <w:sz w:val="20"/>
        </w:rPr>
        <w:t>Adjusted pre-tax income* increased 30% year-over-year to $635 million</w:t>
      </w:r>
    </w:p>
    <w:p>
      <w:pPr>
        <w:pStyle w:val="TextBody"/>
        <w:bidi w:val="0"/>
        <w:spacing w:before="20" w:after="20"/>
        <w:jc w:val="left"/>
        <w:rPr/>
      </w:pPr>
      <w:r>
        <w:rPr/>
      </w:r>
    </w:p>
    <w:p>
      <w:pPr>
        <w:pStyle w:val="TextBody"/>
        <w:bidi w:val="0"/>
        <w:spacing w:lineRule="auto" w:line="268" w:before="20" w:after="20"/>
        <w:jc w:val="left"/>
        <w:rPr>
          <w:rFonts w:ascii="Tenorite;sans-serif" w:hAnsi="Tenorite;sans-serif"/>
          <w:b/>
          <w:color w:val="000000"/>
          <w:sz w:val="20"/>
          <w:u w:val="single"/>
        </w:rPr>
      </w:pPr>
      <w:r>
        <w:rPr>
          <w:rFonts w:ascii="Tenorite;sans-serif" w:hAnsi="Tenorite;sans-serif"/>
          <w:b/>
          <w:color w:val="000000"/>
          <w:sz w:val="20"/>
          <w:u w:val="single"/>
        </w:rPr>
        <w:t>Key Business Results</w:t>
      </w:r>
    </w:p>
    <w:p>
      <w:pPr>
        <w:pStyle w:val="TextBody"/>
        <w:bidi w:val="0"/>
        <w:spacing w:lineRule="auto" w:line="288" w:before="60" w:after="20"/>
        <w:ind w:left="0" w:right="0" w:hanging="360"/>
        <w:jc w:val="left"/>
        <w:rPr/>
      </w:pPr>
      <w:r>
        <w:rPr>
          <w:color w:val="000000"/>
        </w:rPr>
        <w:t>•</w:t>
      </w:r>
      <w:r>
        <w:rPr>
          <w:rFonts w:ascii="Tenorite;sans-serif" w:hAnsi="Tenorite;sans-serif"/>
          <w:b/>
          <w:color w:val="000000"/>
          <w:sz w:val="20"/>
        </w:rPr>
        <w:t>Total client assets increased 34% year-over-year to $2.6 trillion</w:t>
      </w:r>
    </w:p>
    <w:p>
      <w:pPr>
        <w:pStyle w:val="TextBody"/>
        <w:bidi w:val="0"/>
        <w:spacing w:lineRule="auto" w:line="288" w:before="20" w:after="20"/>
        <w:ind w:left="0" w:right="0" w:hanging="360"/>
        <w:jc w:val="left"/>
        <w:rPr/>
      </w:pPr>
      <w:r>
        <w:rPr>
          <w:color w:val="000000"/>
        </w:rPr>
        <w:t>◦</w:t>
      </w:r>
      <w:r>
        <w:rPr>
          <w:rFonts w:ascii="Tenorite;sans-serif" w:hAnsi="Tenorite;sans-serif"/>
          <w:b w:val="false"/>
          <w:color w:val="000000"/>
          <w:sz w:val="20"/>
        </w:rPr>
        <w:t>Advisory assets increased 46% year-over-year to $1.5 trillion</w:t>
      </w:r>
    </w:p>
    <w:p>
      <w:pPr>
        <w:pStyle w:val="TextBody"/>
        <w:bidi w:val="0"/>
        <w:spacing w:lineRule="auto" w:line="288" w:before="20" w:after="20"/>
        <w:ind w:left="0" w:right="0" w:hanging="360"/>
        <w:jc w:val="left"/>
        <w:rPr/>
      </w:pPr>
      <w:r>
        <w:rPr>
          <w:color w:val="000000"/>
        </w:rPr>
        <w:t>◦</w:t>
      </w:r>
      <w:r>
        <w:rPr>
          <w:rFonts w:ascii="Tenorite;sans-serif" w:hAnsi="Tenorite;sans-serif"/>
          <w:b w:val="false"/>
          <w:color w:val="000000"/>
          <w:sz w:val="20"/>
        </w:rPr>
        <w:t>Advisory assets as a percentage of total client assets increased to 60.4%, up from 55.3% a year ago</w:t>
      </w:r>
    </w:p>
    <w:p>
      <w:pPr>
        <w:pStyle w:val="TextBody"/>
        <w:bidi w:val="0"/>
        <w:spacing w:lineRule="auto" w:line="288" w:before="60" w:after="20"/>
        <w:ind w:left="0" w:right="0" w:hanging="360"/>
        <w:jc w:val="left"/>
        <w:rPr/>
      </w:pPr>
      <w:r>
        <w:rPr>
          <w:color w:val="000000"/>
        </w:rPr>
        <w:t>•</w:t>
      </w:r>
      <w:r>
        <w:rPr>
          <w:rFonts w:ascii="Tenorite;sans-serif" w:hAnsi="Tenorite;sans-serif"/>
          <w:b/>
          <w:color w:val="000000"/>
          <w:sz w:val="20"/>
        </w:rPr>
        <w:t>Total organic net new assets were $23 billion, representing 4% annualized growth</w:t>
      </w:r>
    </w:p>
    <w:p>
      <w:pPr>
        <w:pStyle w:val="TextBody"/>
        <w:bidi w:val="0"/>
        <w:spacing w:lineRule="auto" w:line="288" w:before="60" w:after="20"/>
        <w:ind w:left="0" w:right="0" w:hanging="360"/>
        <w:jc w:val="left"/>
        <w:rPr/>
      </w:pPr>
      <w:r>
        <w:rPr>
          <w:color w:val="000000"/>
        </w:rPr>
        <w:t>•</w:t>
      </w:r>
      <w:r>
        <w:rPr>
          <w:rFonts w:ascii="Tenorite;sans-serif" w:hAnsi="Tenorite;sans-serif"/>
          <w:b/>
          <w:color w:val="000000"/>
          <w:sz w:val="20"/>
        </w:rPr>
        <w:t>Recruited assets</w:t>
      </w:r>
      <w:r>
        <w:rPr>
          <w:rFonts w:ascii="Tenorite;sans-serif" w:hAnsi="Tenorite;sans-serif"/>
          <w:b/>
          <w:color w:val="000000"/>
          <w:sz w:val="13"/>
        </w:rPr>
        <w:t>(1)</w:t>
      </w:r>
      <w:r>
        <w:rPr>
          <w:color w:val="000000"/>
        </w:rPr>
        <w:t xml:space="preserve"> </w:t>
      </w:r>
      <w:r>
        <w:rPr>
          <w:rFonts w:ascii="Tenorite;sans-serif" w:hAnsi="Tenorite;sans-serif"/>
          <w:b/>
          <w:color w:val="000000"/>
          <w:sz w:val="20"/>
        </w:rPr>
        <w:t>were $25 billion, up 35% from a year ago</w:t>
      </w:r>
    </w:p>
    <w:p>
      <w:pPr>
        <w:pStyle w:val="TextBody"/>
        <w:bidi w:val="0"/>
        <w:spacing w:lineRule="auto" w:line="288" w:before="60" w:after="20"/>
        <w:ind w:left="0" w:right="0" w:hanging="360"/>
        <w:jc w:val="left"/>
        <w:rPr/>
      </w:pPr>
      <w:r>
        <w:rPr>
          <w:color w:val="000000"/>
        </w:rPr>
        <w:t>◦</w:t>
      </w:r>
      <w:r>
        <w:rPr>
          <w:rFonts w:ascii="Tenorite;sans-serif" w:hAnsi="Tenorite;sans-serif"/>
          <w:b w:val="false"/>
          <w:color w:val="000000"/>
          <w:sz w:val="20"/>
        </w:rPr>
        <w:t>Recruited assets over the trailing twelve months were $89 billion</w:t>
      </w:r>
    </w:p>
    <w:p>
      <w:pPr>
        <w:pStyle w:val="TextBody"/>
        <w:bidi w:val="0"/>
        <w:spacing w:lineRule="auto" w:line="268" w:before="60" w:after="20"/>
        <w:ind w:left="0" w:right="0" w:hanging="360"/>
        <w:jc w:val="left"/>
        <w:rPr/>
      </w:pPr>
      <w:r>
        <w:rPr>
          <w:color w:val="000000"/>
        </w:rPr>
        <w:t>•</w:t>
      </w:r>
      <w:r>
        <w:rPr>
          <w:rFonts w:ascii="Tenorite;sans-serif" w:hAnsi="Tenorite;sans-serif"/>
          <w:b/>
          <w:color w:val="000000"/>
          <w:sz w:val="20"/>
        </w:rPr>
        <w:t>Total client cash balances were $57 billion, a decrease of $2 billion sequentially and an increase of $6 billion year-over-year</w:t>
      </w:r>
    </w:p>
    <w:p>
      <w:pPr>
        <w:pStyle w:val="TextBody"/>
        <w:bidi w:val="0"/>
        <w:spacing w:lineRule="auto" w:line="268" w:before="20" w:after="20"/>
        <w:ind w:left="0" w:right="0" w:hanging="360"/>
        <w:jc w:val="left"/>
        <w:rPr/>
      </w:pPr>
      <w:r>
        <w:rPr>
          <w:color w:val="000000"/>
        </w:rPr>
        <w:t>◦</w:t>
      </w:r>
      <w:r>
        <w:rPr>
          <w:rFonts w:ascii="Tenorite;sans-serif" w:hAnsi="Tenorite;sans-serif"/>
          <w:b w:val="false"/>
          <w:color w:val="000000"/>
          <w:sz w:val="20"/>
        </w:rPr>
        <w:t>Client cash balances as a percentage of total client assets were 2.2%, down from 2.5% in the prior quarter and 2.6% in the prior year</w:t>
      </w:r>
    </w:p>
    <w:p>
      <w:pPr>
        <w:pStyle w:val="TextBody"/>
        <w:bidi w:val="0"/>
        <w:spacing w:before="20" w:after="20"/>
        <w:jc w:val="left"/>
        <w:rPr/>
      </w:pPr>
      <w:r>
        <w:rPr/>
      </w:r>
    </w:p>
    <w:p>
      <w:pPr>
        <w:pStyle w:val="TextBody"/>
        <w:bidi w:val="0"/>
        <w:spacing w:lineRule="auto" w:line="288" w:before="20" w:after="20"/>
        <w:jc w:val="left"/>
        <w:rPr>
          <w:rFonts w:ascii="Tenorite;sans-serif" w:hAnsi="Tenorite;sans-serif"/>
          <w:b/>
          <w:color w:val="000000"/>
          <w:sz w:val="20"/>
          <w:u w:val="single"/>
        </w:rPr>
      </w:pPr>
      <w:r>
        <w:rPr>
          <w:rFonts w:ascii="Tenorite;sans-serif" w:hAnsi="Tenorite;sans-serif"/>
          <w:b/>
          <w:color w:val="000000"/>
          <w:sz w:val="20"/>
          <w:u w:val="single"/>
        </w:rPr>
        <w:t>Key Capital and Liquidity Measures</w:t>
      </w:r>
    </w:p>
    <w:p>
      <w:pPr>
        <w:pStyle w:val="TextBody"/>
        <w:bidi w:val="0"/>
        <w:spacing w:lineRule="auto" w:line="288" w:before="60" w:after="20"/>
        <w:ind w:left="0" w:right="0" w:hanging="360"/>
        <w:jc w:val="left"/>
        <w:rPr/>
      </w:pPr>
      <w:r>
        <w:rPr>
          <w:color w:val="000000"/>
        </w:rPr>
        <w:t>•</w:t>
      </w:r>
      <w:r>
        <w:rPr>
          <w:rFonts w:ascii="Tenorite;sans-serif" w:hAnsi="Tenorite;sans-serif"/>
          <w:b/>
          <w:color w:val="000000"/>
          <w:sz w:val="20"/>
        </w:rPr>
        <w:t>Corporate cash</w:t>
      </w:r>
      <w:r>
        <w:rPr>
          <w:rFonts w:ascii="Tenorite;sans-serif" w:hAnsi="Tenorite;sans-serif"/>
          <w:b/>
          <w:color w:val="000000"/>
          <w:sz w:val="13"/>
        </w:rPr>
        <w:t>(2)</w:t>
      </w:r>
      <w:r>
        <w:rPr>
          <w:color w:val="000000"/>
        </w:rPr>
        <w:t xml:space="preserve"> </w:t>
      </w:r>
      <w:r>
        <w:rPr>
          <w:rFonts w:ascii="Tenorite;sans-serif" w:hAnsi="Tenorite;sans-serif"/>
          <w:b/>
          <w:color w:val="000000"/>
          <w:sz w:val="20"/>
        </w:rPr>
        <w:t xml:space="preserve">was $430 million </w:t>
      </w:r>
    </w:p>
    <w:p>
      <w:pPr>
        <w:pStyle w:val="TextBody"/>
        <w:bidi w:val="0"/>
        <w:spacing w:lineRule="auto" w:line="288" w:before="60" w:after="20"/>
        <w:ind w:left="0" w:right="0" w:hanging="360"/>
        <w:jc w:val="left"/>
        <w:rPr/>
      </w:pPr>
      <w:r>
        <w:rPr>
          <w:color w:val="000000"/>
        </w:rPr>
        <w:t>•</w:t>
      </w:r>
      <w:r>
        <w:rPr>
          <w:rFonts w:ascii="Tenorite;sans-serif" w:hAnsi="Tenorite;sans-serif"/>
          <w:b/>
          <w:color w:val="000000"/>
          <w:sz w:val="20"/>
        </w:rPr>
        <w:t>Leverage ratio</w:t>
      </w:r>
      <w:r>
        <w:rPr>
          <w:rFonts w:ascii="Tenorite;sans-serif" w:hAnsi="Tenorite;sans-serif"/>
          <w:b/>
          <w:color w:val="000000"/>
          <w:sz w:val="13"/>
        </w:rPr>
        <w:t>(3)</w:t>
      </w:r>
      <w:r>
        <w:rPr>
          <w:color w:val="000000"/>
        </w:rPr>
        <w:t xml:space="preserve"> </w:t>
      </w:r>
      <w:r>
        <w:rPr>
          <w:rFonts w:ascii="Tenorite;sans-serif" w:hAnsi="Tenorite;sans-serif"/>
          <w:b/>
          <w:color w:val="000000"/>
          <w:sz w:val="20"/>
        </w:rPr>
        <w:t>was 1.91x</w:t>
      </w:r>
    </w:p>
    <w:p>
      <w:pPr>
        <w:pStyle w:val="TextBody"/>
        <w:bidi w:val="0"/>
        <w:spacing w:lineRule="auto" w:line="288" w:before="60" w:after="20"/>
        <w:ind w:left="0" w:right="0" w:hanging="360"/>
        <w:jc w:val="left"/>
        <w:rPr/>
      </w:pPr>
      <w:r>
        <w:rPr>
          <w:color w:val="000000"/>
        </w:rPr>
        <w:t>•</w:t>
      </w:r>
      <w:r>
        <w:rPr>
          <w:rFonts w:ascii="Tenorite;sans-serif" w:hAnsi="Tenorite;sans-serif"/>
          <w:b/>
          <w:color w:val="000000"/>
          <w:sz w:val="20"/>
        </w:rPr>
        <w:t>Share repurchases were $309 million and dividends paid were $24 million</w:t>
      </w:r>
    </w:p>
    <w:p>
      <w:pPr>
        <w:pStyle w:val="TextBody"/>
        <w:bidi w:val="0"/>
        <w:spacing w:before="6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 w:after="20"/>
        <w:jc w:val="left"/>
        <w:rPr>
          <w:rFonts w:ascii="Tenorite;sans-serif" w:hAnsi="Tenorite;sans-serif"/>
          <w:b/>
          <w:color w:val="000000"/>
          <w:sz w:val="20"/>
          <w:u w:val="single"/>
        </w:rPr>
      </w:pPr>
      <w:r>
        <w:rPr>
          <w:rFonts w:ascii="Tenorite;sans-serif" w:hAnsi="Tenorite;sans-serif"/>
          <w:b/>
          <w:color w:val="000000"/>
          <w:sz w:val="20"/>
          <w:u w:val="single"/>
        </w:rPr>
        <w:t>Key Updates</w:t>
      </w:r>
    </w:p>
    <w:p>
      <w:pPr>
        <w:pStyle w:val="TextBody"/>
        <w:bidi w:val="0"/>
        <w:spacing w:lineRule="auto" w:line="268" w:before="60" w:after="20"/>
        <w:ind w:left="0" w:right="0" w:hanging="360"/>
        <w:jc w:val="left"/>
        <w:rPr>
          <w:rFonts w:ascii="Tenorite;sans-serif" w:hAnsi="Tenorite;sans-serif"/>
          <w:b/>
          <w:color w:val="000000"/>
          <w:sz w:val="20"/>
        </w:rPr>
      </w:pPr>
      <w:r>
        <w:rPr>
          <w:rFonts w:ascii="Tenorite;sans-serif" w:hAnsi="Tenorite;sans-serif"/>
          <w:b/>
          <w:color w:val="000000"/>
          <w:sz w:val="20"/>
        </w:rPr>
        <w:t>M&amp;A:</w:t>
      </w:r>
    </w:p>
    <w:p>
      <w:pPr>
        <w:pStyle w:val="TextBody"/>
        <w:bidi w:val="0"/>
        <w:spacing w:lineRule="auto" w:line="288" w:before="60" w:after="20"/>
        <w:ind w:left="0" w:right="0" w:hanging="360"/>
        <w:jc w:val="left"/>
        <w:rPr/>
      </w:pPr>
      <w:r>
        <w:rPr>
          <w:color w:val="000000"/>
        </w:rPr>
        <w:t>•</w:t>
      </w:r>
      <w:r>
        <w:rPr>
          <w:rFonts w:ascii="Tenorite;sans-serif" w:hAnsi="Tenorite;sans-serif"/>
          <w:b/>
          <w:color w:val="000000"/>
          <w:sz w:val="20"/>
        </w:rPr>
        <w:t xml:space="preserve">Commonwealth Financial Network ("Commonwealth"): </w:t>
      </w:r>
      <w:r>
        <w:rPr>
          <w:rFonts w:ascii="Tenorite;sans-serif" w:hAnsi="Tenorite;sans-serif"/>
          <w:b w:val="false"/>
          <w:color w:val="000000"/>
          <w:sz w:val="20"/>
        </w:rPr>
        <w:t>On track to complete the conversion in the fourth quarter of 2026</w:t>
      </w:r>
    </w:p>
    <w:p>
      <w:pPr>
        <w:pStyle w:val="TextBody"/>
        <w:bidi w:val="0"/>
        <w:spacing w:lineRule="auto" w:line="288" w:before="60" w:after="20"/>
        <w:ind w:left="0" w:right="0" w:hanging="360"/>
        <w:jc w:val="left"/>
        <w:rPr/>
      </w:pPr>
      <w:r>
        <w:rPr>
          <w:color w:val="000000"/>
        </w:rPr>
        <w:t>◦</w:t>
      </w:r>
      <w:r>
        <w:rPr>
          <w:rFonts w:ascii="Tenorite;sans-serif" w:hAnsi="Tenorite;sans-serif"/>
          <w:b w:val="false"/>
          <w:color w:val="000000"/>
          <w:sz w:val="20"/>
        </w:rPr>
        <w:t xml:space="preserve">Continue to expect asset retention of approximately 90% </w:t>
      </w:r>
    </w:p>
    <w:p>
      <w:pPr>
        <w:pStyle w:val="TextBody"/>
        <w:bidi w:val="0"/>
        <w:spacing w:lineRule="auto" w:line="288" w:before="60" w:after="20"/>
        <w:ind w:left="0" w:right="0" w:hanging="360"/>
        <w:jc w:val="left"/>
        <w:rPr/>
      </w:pPr>
      <w:r>
        <w:rPr>
          <w:color w:val="000000"/>
        </w:rPr>
        <w:t>◦</w:t>
      </w:r>
      <w:r>
        <w:rPr>
          <w:rFonts w:ascii="Tenorite;sans-serif" w:hAnsi="Tenorite;sans-serif"/>
          <w:b w:val="false"/>
          <w:color w:val="000000"/>
          <w:sz w:val="20"/>
        </w:rPr>
        <w:t>Estimated run-rate EBITDA has increased from $410 million to $435 million</w:t>
      </w:r>
    </w:p>
    <w:p>
      <w:pPr>
        <w:pStyle w:val="TextBody"/>
        <w:bidi w:val="0"/>
        <w:spacing w:lineRule="auto" w:line="288" w:before="60" w:after="20"/>
        <w:ind w:left="0" w:right="0" w:hanging="360"/>
        <w:jc w:val="left"/>
        <w:rPr/>
      </w:pPr>
      <w:r>
        <w:rPr>
          <w:color w:val="000000"/>
        </w:rPr>
        <w:t>•</w:t>
      </w:r>
      <w:r>
        <w:rPr>
          <w:rFonts w:ascii="Tenorite;sans-serif" w:hAnsi="Tenorite;sans-serif"/>
          <w:b/>
          <w:color w:val="000000"/>
          <w:sz w:val="20"/>
        </w:rPr>
        <w:t xml:space="preserve">Mariner Advisor Network: </w:t>
      </w:r>
      <w:r>
        <w:rPr>
          <w:rFonts w:ascii="Tenorite;sans-serif" w:hAnsi="Tenorite;sans-serif"/>
          <w:b w:val="false"/>
          <w:color w:val="000000"/>
          <w:sz w:val="20"/>
        </w:rPr>
        <w:t>Closed on the acquisition of Mariner Advisor Network, an LPL branch office supporting 367</w:t>
      </w:r>
      <w:r>
        <w:rPr>
          <w:color w:val="000000"/>
        </w:rPr>
        <w:t xml:space="preserve">† </w:t>
      </w:r>
      <w:r>
        <w:rPr>
          <w:rFonts w:ascii="Tenorite;sans-serif" w:hAnsi="Tenorite;sans-serif"/>
          <w:b w:val="false"/>
          <w:color w:val="000000"/>
          <w:sz w:val="20"/>
        </w:rPr>
        <w:t>advisors who collectively manage $31 billion</w:t>
      </w:r>
      <w:r>
        <w:rPr>
          <w:color w:val="000000"/>
        </w:rPr>
        <w:t xml:space="preserve">† </w:t>
      </w:r>
      <w:r>
        <w:rPr>
          <w:rFonts w:ascii="Tenorite;sans-serif" w:hAnsi="Tenorite;sans-serif"/>
          <w:b w:val="false"/>
          <w:color w:val="000000"/>
          <w:sz w:val="20"/>
        </w:rPr>
        <w:t>of client assets</w:t>
      </w:r>
    </w:p>
    <w:p>
      <w:pPr>
        <w:pStyle w:val="TextBody"/>
        <w:bidi w:val="0"/>
        <w:spacing w:lineRule="auto" w:line="288" w:before="60" w:after="20"/>
        <w:ind w:left="0" w:right="0" w:hanging="360"/>
        <w:jc w:val="left"/>
        <w:rPr/>
      </w:pPr>
      <w:r>
        <w:rPr>
          <w:color w:val="000000"/>
        </w:rPr>
        <w:t>◦</w:t>
      </w:r>
      <w:r>
        <w:rPr>
          <w:rFonts w:ascii="Tenorite;sans-serif" w:hAnsi="Tenorite;sans-serif"/>
          <w:b w:val="false"/>
          <w:color w:val="000000"/>
          <w:sz w:val="20"/>
        </w:rPr>
        <w:t>As part of this transaction, approximately 223 advisors remain directly affiliated with LPL, and approximately 144 hybrid advisors have transitioned to Private Advisor Group's hybrid RIA model</w:t>
      </w:r>
    </w:p>
    <w:p>
      <w:pPr>
        <w:pStyle w:val="TextBody"/>
        <w:bidi w:val="0"/>
        <w:spacing w:lineRule="auto" w:line="288" w:before="60" w:after="20"/>
        <w:ind w:left="0" w:right="0" w:hanging="360"/>
        <w:jc w:val="left"/>
        <w:rPr/>
      </w:pPr>
      <w:r>
        <w:rPr>
          <w:color w:val="000000"/>
        </w:rPr>
        <w:t>•</w:t>
      </w:r>
      <w:r>
        <w:rPr>
          <w:rFonts w:ascii="Tenorite;sans-serif" w:hAnsi="Tenorite;sans-serif"/>
          <w:b/>
          <w:color w:val="000000"/>
          <w:sz w:val="20"/>
        </w:rPr>
        <w:t xml:space="preserve">Liquidity &amp; Succession: </w:t>
      </w:r>
      <w:r>
        <w:rPr>
          <w:rFonts w:ascii="Tenorite;sans-serif" w:hAnsi="Tenorite;sans-serif"/>
          <w:b w:val="false"/>
          <w:color w:val="000000"/>
          <w:sz w:val="20"/>
        </w:rPr>
        <w:t>Deployed approximately $21 million of capital to close four deals in Q2, including one external practice</w:t>
      </w:r>
    </w:p>
    <w:p>
      <w:pPr>
        <w:pStyle w:val="TextBody"/>
        <w:bidi w:val="0"/>
        <w:spacing w:lineRule="auto" w:line="268" w:before="60" w:after="20"/>
        <w:ind w:left="0" w:right="0" w:hanging="360"/>
        <w:jc w:val="left"/>
        <w:rPr>
          <w:rFonts w:ascii="Tenorite;sans-serif" w:hAnsi="Tenorite;sans-serif"/>
          <w:b/>
          <w:color w:val="000000"/>
          <w:sz w:val="20"/>
        </w:rPr>
      </w:pPr>
      <w:r>
        <w:rPr>
          <w:rFonts w:ascii="Tenorite;sans-serif" w:hAnsi="Tenorite;sans-serif"/>
          <w:b/>
          <w:color w:val="000000"/>
          <w:sz w:val="20"/>
        </w:rPr>
        <w:t>Core G&amp;A:</w:t>
      </w:r>
    </w:p>
    <w:p>
      <w:pPr>
        <w:pStyle w:val="TextBody"/>
        <w:bidi w:val="0"/>
        <w:spacing w:lineRule="auto" w:line="288" w:before="60" w:after="20"/>
        <w:ind w:left="0" w:right="0" w:hanging="360"/>
        <w:jc w:val="left"/>
        <w:rPr/>
      </w:pPr>
      <w:r>
        <w:rPr>
          <w:color w:val="000000"/>
        </w:rPr>
        <w:t>•</w:t>
      </w:r>
      <w:r>
        <w:rPr>
          <w:rFonts w:ascii="Tenorite;sans-serif" w:hAnsi="Tenorite;sans-serif"/>
          <w:b w:val="false"/>
          <w:color w:val="000000"/>
          <w:sz w:val="20"/>
        </w:rPr>
        <w:t>Given our performance to date, we are lowering our 2026 Core G&amp;A* outlook range to $2,140-2,165 million, including expenses related to Commonwealth</w:t>
      </w:r>
    </w:p>
    <w:p>
      <w:pPr>
        <w:pStyle w:val="TextBody"/>
        <w:bidi w:val="0"/>
        <w:spacing w:lineRule="auto" w:line="288" w:before="60" w:after="20"/>
        <w:jc w:val="left"/>
        <w:rPr>
          <w:rFonts w:ascii="Tenorite;sans-serif" w:hAnsi="Tenorite;sans-serif"/>
          <w:b/>
          <w:color w:val="000000"/>
          <w:sz w:val="20"/>
        </w:rPr>
      </w:pPr>
      <w:r>
        <w:rPr>
          <w:rFonts w:ascii="Tenorite;sans-serif" w:hAnsi="Tenorite;sans-serif"/>
          <w:b/>
          <w:color w:val="000000"/>
          <w:sz w:val="20"/>
        </w:rPr>
        <w:t>Capital Management:</w:t>
      </w:r>
    </w:p>
    <w:p>
      <w:pPr>
        <w:pStyle w:val="TextBody"/>
        <w:bidi w:val="0"/>
        <w:spacing w:lineRule="auto" w:line="288" w:before="60" w:after="20"/>
        <w:ind w:left="0" w:right="0" w:hanging="360"/>
        <w:jc w:val="left"/>
        <w:rPr/>
      </w:pPr>
      <w:r>
        <w:rPr>
          <w:color w:val="000000"/>
        </w:rPr>
        <w:t>•</w:t>
      </w:r>
      <w:r>
        <w:rPr>
          <w:rFonts w:ascii="Tenorite;sans-serif" w:hAnsi="Tenorite;sans-serif"/>
          <w:b/>
          <w:color w:val="000000"/>
          <w:sz w:val="20"/>
        </w:rPr>
        <w:t>Share Repurchases:</w:t>
      </w:r>
      <w:r>
        <w:rPr>
          <w:color w:val="000000"/>
        </w:rPr>
        <w:t xml:space="preserve"> </w:t>
      </w:r>
      <w:r>
        <w:rPr>
          <w:rFonts w:ascii="Tenorite;sans-serif" w:hAnsi="Tenorite;sans-serif"/>
          <w:b w:val="false"/>
          <w:color w:val="000000"/>
          <w:sz w:val="20"/>
        </w:rPr>
        <w:t>Resumed our share repurchase program, with $309 million repurchased during the second quarter and approximately $300 million planned for the third quarter</w:t>
      </w:r>
    </w:p>
    <w:p>
      <w:pPr>
        <w:pStyle w:val="TextBody"/>
        <w:bidi w:val="0"/>
        <w:spacing w:lineRule="auto" w:line="288" w:before="60" w:after="20"/>
        <w:ind w:left="0" w:right="0" w:hanging="360"/>
        <w:jc w:val="left"/>
        <w:rPr/>
      </w:pPr>
      <w:r>
        <w:rPr>
          <w:color w:val="000000"/>
        </w:rPr>
        <w:t>•</w:t>
      </w:r>
      <w:r>
        <w:rPr>
          <w:rFonts w:ascii="Tenorite;sans-serif" w:hAnsi="Tenorite;sans-serif"/>
          <w:b/>
          <w:color w:val="000000"/>
          <w:sz w:val="20"/>
        </w:rPr>
        <w:t>Repurchase Authorization:</w:t>
      </w:r>
      <w:r>
        <w:rPr>
          <w:color w:val="000000"/>
        </w:rPr>
        <w:t xml:space="preserve"> </w:t>
      </w:r>
      <w:r>
        <w:rPr>
          <w:rFonts w:ascii="Tenorite;sans-serif" w:hAnsi="Tenorite;sans-serif"/>
          <w:b w:val="false"/>
          <w:color w:val="000000"/>
          <w:sz w:val="20"/>
        </w:rPr>
        <w:t>On July 23, 2026, the Board approved a $2.5 billion increase to the Company's share repurchase authorization</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018540"/>
                <wp:effectExtent l="0" t="0" r="0" b="0"/>
                <wp:wrapNone/>
                <wp:docPr id="5" name="Frame4"/>
                <a:graphic xmlns:a="http://schemas.openxmlformats.org/drawingml/2006/main">
                  <a:graphicData uri="http://schemas.microsoft.com/office/word/2010/wordprocessingShape">
                    <wps:wsp>
                      <wps:cNvSpPr txBox="1"/>
                      <wps:spPr>
                        <a:xfrm>
                          <a:off x="0" y="0"/>
                          <a:ext cx="6480175" cy="101854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68" w:before="0" w:after="0"/>
                              <w:jc w:val="left"/>
                              <w:rPr>
                                <w:rFonts w:ascii="Tenorite;sans-serif" w:hAnsi="Tenorite;sans-serif"/>
                                <w:b w:val="false"/>
                                <w:color w:val="000000"/>
                                <w:sz w:val="16"/>
                              </w:rPr>
                            </w:pPr>
                            <w:r>
                              <w:rPr>
                                <w:rFonts w:ascii="Tenorite;sans-serif" w:hAnsi="Tenorite;sans-serif"/>
                                <w:b w:val="false"/>
                                <w:color w:val="000000"/>
                                <w:sz w:val="16"/>
                              </w:rPr>
                              <w:t>*See the Non-GAAP Financial Measures section and the endnotes to this release for further details about these non-GAAP financial measures</w:t>
                            </w:r>
                          </w:p>
                          <w:p>
                            <w:pPr>
                              <w:pStyle w:val="TextBody"/>
                              <w:bidi w:val="0"/>
                              <w:spacing w:before="60" w:after="283"/>
                              <w:jc w:val="center"/>
                              <w:rPr/>
                            </w:pPr>
                            <w:r>
                              <w:rPr/>
                            </w:r>
                          </w:p>
                          <w:p>
                            <w:pPr>
                              <w:pStyle w:val="TextBody"/>
                              <w:bidi w:val="0"/>
                              <w:spacing w:lineRule="auto" w:line="268" w:before="60" w:after="283"/>
                              <w:jc w:val="center"/>
                              <w:rPr>
                                <w:rFonts w:ascii="Tenorite;sans-serif" w:hAnsi="Tenorite;sans-serif"/>
                                <w:b w:val="false"/>
                                <w:color w:val="000000"/>
                                <w:sz w:val="20"/>
                              </w:rPr>
                            </w:pPr>
                            <w:r>
                              <w:rPr>
                                <w:rFonts w:ascii="Tenorite;sans-serif" w:hAnsi="Tenorite;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68" w:before="0" w:after="0"/>
                        <w:jc w:val="left"/>
                        <w:rPr>
                          <w:rFonts w:ascii="Tenorite;sans-serif" w:hAnsi="Tenorite;sans-serif"/>
                          <w:b w:val="false"/>
                          <w:color w:val="000000"/>
                          <w:sz w:val="16"/>
                        </w:rPr>
                      </w:pPr>
                      <w:r>
                        <w:rPr>
                          <w:rFonts w:ascii="Tenorite;sans-serif" w:hAnsi="Tenorite;sans-serif"/>
                          <w:b w:val="false"/>
                          <w:color w:val="000000"/>
                          <w:sz w:val="16"/>
                        </w:rPr>
                        <w:t>*See the Non-GAAP Financial Measures section and the endnotes to this release for further details about these non-GAAP financial measures</w:t>
                      </w:r>
                    </w:p>
                    <w:p>
                      <w:pPr>
                        <w:pStyle w:val="TextBody"/>
                        <w:bidi w:val="0"/>
                        <w:spacing w:before="60" w:after="283"/>
                        <w:jc w:val="center"/>
                        <w:rPr/>
                      </w:pPr>
                      <w:r>
                        <w:rPr/>
                      </w:r>
                    </w:p>
                    <w:p>
                      <w:pPr>
                        <w:pStyle w:val="TextBody"/>
                        <w:bidi w:val="0"/>
                        <w:spacing w:lineRule="auto" w:line="268" w:before="60" w:after="283"/>
                        <w:jc w:val="center"/>
                        <w:rPr>
                          <w:rFonts w:ascii="Tenorite;sans-serif" w:hAnsi="Tenorite;sans-serif"/>
                          <w:b w:val="false"/>
                          <w:color w:val="000000"/>
                          <w:sz w:val="20"/>
                        </w:rPr>
                      </w:pPr>
                      <w:r>
                        <w:rPr>
                          <w:rFonts w:ascii="Tenorite;sans-serif" w:hAnsi="Tenorite;sans-serif"/>
                          <w:b w:val="false"/>
                          <w:color w:val="000000"/>
                          <w:sz w:val="20"/>
                        </w:rPr>
                        <w:t>1</w:t>
                      </w:r>
                    </w:p>
                  </w:txbxContent>
                </v:textbox>
                <w10:wrap type="none"/>
              </v:rect>
            </w:pict>
          </mc:Fallback>
        </mc:AlternateContent>
      </w:r>
    </w:p>
    <w:p>
      <w:pPr>
        <w:pStyle w:val="TextBody"/>
        <w:bidi w:val="0"/>
        <w:spacing w:lineRule="auto" w:line="288" w:before="60" w:after="20"/>
        <w:ind w:left="0" w:right="0" w:hanging="360"/>
        <w:jc w:val="left"/>
        <w:rPr/>
      </w:pPr>
      <w:r>
        <w:rPr>
          <w:color w:val="000000"/>
        </w:rPr>
        <w:t>•</w:t>
      </w:r>
      <w:r>
        <w:rPr>
          <w:rFonts w:ascii="Tenorite;sans-serif" w:hAnsi="Tenorite;sans-serif"/>
          <w:b/>
          <w:color w:val="000000"/>
          <w:sz w:val="20"/>
        </w:rPr>
        <w:t xml:space="preserve">Dividend: </w:t>
      </w:r>
      <w:r>
        <w:rPr>
          <w:rFonts w:ascii="Tenorite;sans-serif" w:hAnsi="Tenorite;sans-serif"/>
          <w:b w:val="false"/>
          <w:color w:val="000000"/>
          <w:sz w:val="20"/>
        </w:rPr>
        <w:t>The Company's Board of Directors declared a $0.30 per share dividend to be paid on August 28, 2026 to all stockholders of record as of August 14, 2026.</w:t>
      </w:r>
    </w:p>
    <w:p>
      <w:pPr>
        <w:pStyle w:val="TextBody"/>
        <w:bidi w:val="0"/>
        <w:spacing w:before="60" w:after="20"/>
        <w:jc w:val="left"/>
        <w:rPr/>
      </w:pPr>
      <w:r>
        <w:rPr/>
      </w:r>
    </w:p>
    <w:p>
      <w:pPr>
        <w:pStyle w:val="TextBody"/>
        <w:bidi w:val="0"/>
        <w:spacing w:lineRule="auto" w:line="288" w:before="0" w:after="0"/>
        <w:jc w:val="left"/>
        <w:rPr/>
      </w:pPr>
      <w:r>
        <w:rPr>
          <w:rFonts w:ascii="Tenorite;sans-serif" w:hAnsi="Tenorite;sans-serif"/>
          <w:b/>
          <w:color w:val="000000"/>
          <w:sz w:val="20"/>
        </w:rPr>
        <w:t xml:space="preserve">SAN DIEGO — July 30, 2026 — </w:t>
      </w:r>
      <w:r>
        <w:rPr>
          <w:rFonts w:ascii="Tenorite;sans-serif" w:hAnsi="Tenorite;sans-serif"/>
          <w:b w:val="false"/>
          <w:color w:val="000000"/>
          <w:sz w:val="20"/>
        </w:rPr>
        <w:t>LPL Financial Holdings Inc. (Nasdaq: LPLA) (the "Company") today announced results for its second quarter ended June 30, 2026, reporting net income of $379 million, or $4.74 per share. This compares with net income of $273 million, or $3.40 per share, in the second quarter of 2025 and net income of $356 million, or $4.43 per share, in the prior quarter.</w:t>
      </w:r>
    </w:p>
    <w:p>
      <w:pPr>
        <w:pStyle w:val="TextBody"/>
        <w:bidi w:val="0"/>
        <w:spacing w:lineRule="auto" w:line="288" w:before="120" w:after="283"/>
        <w:jc w:val="left"/>
        <w:rPr>
          <w:rFonts w:ascii="Tenorite;sans-serif" w:hAnsi="Tenorite;sans-serif"/>
          <w:b w:val="false"/>
          <w:color w:val="000000"/>
          <w:sz w:val="20"/>
        </w:rPr>
      </w:pPr>
      <w:r>
        <w:rPr>
          <w:rFonts w:ascii="Tenorite;sans-serif" w:hAnsi="Tenorite;sans-serif"/>
          <w:b w:val="false"/>
          <w:color w:val="000000"/>
          <w:sz w:val="20"/>
        </w:rPr>
        <w:t>"After an outstanding start to the year, we continued our momentum in the second quarter, delivering another quarter of strong performance and results," said Rich Steinmeier, CEO. "We remain focused on our strategic priorities, and are on track to onboard Commonwealth later this year. Underscoring the exceptional work and dedication of our teams, JD Power recognized both Commonwealth and LPL as the top-ranked firms for independent advisor satisfaction. This is a reflection of the complementary cultures we're bringing together and the unparalleled value we deliver to advisors and their clients."</w:t>
      </w:r>
    </w:p>
    <w:p>
      <w:pPr>
        <w:pStyle w:val="TextBody"/>
        <w:bidi w:val="0"/>
        <w:spacing w:lineRule="auto" w:line="288" w:before="120" w:after="283"/>
        <w:jc w:val="left"/>
        <w:rPr>
          <w:rFonts w:ascii="Tenorite;sans-serif" w:hAnsi="Tenorite;sans-serif"/>
          <w:b w:val="false"/>
          <w:color w:val="000000"/>
          <w:sz w:val="20"/>
        </w:rPr>
      </w:pPr>
      <w:r>
        <w:rPr>
          <w:rFonts w:ascii="Tenorite;sans-serif" w:hAnsi="Tenorite;sans-serif"/>
          <w:b w:val="false"/>
          <w:color w:val="000000"/>
          <w:sz w:val="20"/>
        </w:rPr>
        <w:t>"The team delivered another quarter of remarkable results, highlighted by record adjusted earnings per share and further progress driving improved operating leverage," said Matt Audette, President and CFO. "We achieved this while deploying capital across our entire framework, including continuing to invest in organic and inorganic growth and resuming share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enorite;sans-serif" w:hAnsi="Tenorite;sans-serif"/>
          <w:b/>
          <w:color w:val="000000"/>
          <w:sz w:val="20"/>
        </w:rPr>
      </w:pPr>
      <w:r>
        <w:rPr>
          <w:rFonts w:ascii="Tenorite;sans-serif" w:hAnsi="Tenorite;sans-serif"/>
          <w:b/>
          <w:color w:val="000000"/>
          <w:sz w:val="20"/>
        </w:rPr>
        <w:t>Conference Call and Additional Information</w:t>
      </w:r>
    </w:p>
    <w:p>
      <w:pPr>
        <w:pStyle w:val="TextBody"/>
        <w:bidi w:val="0"/>
        <w:spacing w:lineRule="auto" w:line="288" w:before="120" w:after="283"/>
        <w:jc w:val="left"/>
        <w:rPr/>
      </w:pPr>
      <w:r>
        <w:rPr>
          <w:rFonts w:ascii="Tenorite;sans-serif" w:hAnsi="Tenorite;sans-serif"/>
          <w:b w:val="false"/>
          <w:color w:val="000000"/>
          <w:sz w:val="20"/>
        </w:rPr>
        <w:t>The Company will hold a conference call to discuss its results at 5:00 p.m. ET on Thursday, July 30, 2026. The conference call will be accessible and available for replay at</w:t>
      </w:r>
      <w:r>
        <w:rPr>
          <w:color w:val="0000FF"/>
        </w:rPr>
        <w:t xml:space="preserve"> </w:t>
      </w:r>
      <w:r>
        <w:rPr>
          <w:rFonts w:ascii="Tenorite;sans-serif" w:hAnsi="Tenorite;sans-serif"/>
          <w:b w:val="false"/>
          <w:color w:val="000000"/>
          <w:sz w:val="20"/>
        </w:rPr>
        <w:t>investor.lpl.com/events.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enorite;sans-serif" w:hAnsi="Tenorite;sans-serif"/>
          <w:b/>
          <w:color w:val="000000"/>
          <w:sz w:val="20"/>
          <w:u w:val="single"/>
        </w:rPr>
      </w:pPr>
      <w:r>
        <w:rPr>
          <w:rFonts w:ascii="Tenorite;sans-serif" w:hAnsi="Tenorite;sans-serif"/>
          <w:b/>
          <w:color w:val="000000"/>
          <w:sz w:val="20"/>
          <w:u w:val="single"/>
        </w:rPr>
        <w:t>Contacts</w:t>
      </w:r>
    </w:p>
    <w:p>
      <w:pPr>
        <w:pStyle w:val="TextBody"/>
        <w:bidi w:val="0"/>
        <w:spacing w:lineRule="auto" w:line="288" w:before="0" w:after="0"/>
        <w:jc w:val="left"/>
        <w:rPr>
          <w:rFonts w:ascii="Tenorite;sans-serif" w:hAnsi="Tenorite;sans-serif"/>
          <w:b w:val="false"/>
          <w:color w:val="000000"/>
          <w:sz w:val="20"/>
        </w:rPr>
      </w:pPr>
      <w:r>
        <w:rPr>
          <w:rFonts w:ascii="Tenorite;sans-serif" w:hAnsi="Tenorite;sans-serif"/>
          <w:b w:val="false"/>
          <w:color w:val="000000"/>
          <w:sz w:val="20"/>
        </w:rPr>
        <w:t>Investor Relations</w:t>
      </w:r>
    </w:p>
    <w:p>
      <w:pPr>
        <w:pStyle w:val="TextBody"/>
        <w:bidi w:val="0"/>
        <w:spacing w:lineRule="auto" w:line="288" w:before="0" w:after="0"/>
        <w:jc w:val="left"/>
        <w:rPr>
          <w:rFonts w:ascii="Tenorite;sans-serif" w:hAnsi="Tenorite;sans-serif"/>
          <w:b w:val="false"/>
          <w:color w:val="3051F2"/>
          <w:sz w:val="20"/>
          <w:u w:val="single"/>
        </w:rPr>
      </w:pPr>
      <w:r>
        <w:rPr>
          <w:rFonts w:ascii="Tenorite;sans-serif" w:hAnsi="Tenorite;sans-serif"/>
          <w:b w:val="false"/>
          <w:color w:val="3051F2"/>
          <w:sz w:val="20"/>
          <w:u w:val="single"/>
        </w:rPr>
        <w:t>investor.relations@lplfinancial.com</w:t>
      </w:r>
    </w:p>
    <w:p>
      <w:pPr>
        <w:pStyle w:val="TextBody"/>
        <w:bidi w:val="0"/>
        <w:spacing w:before="0" w:after="0"/>
        <w:jc w:val="left"/>
        <w:rPr/>
      </w:pPr>
      <w:r>
        <w:rPr/>
      </w:r>
    </w:p>
    <w:p>
      <w:pPr>
        <w:pStyle w:val="TextBody"/>
        <w:bidi w:val="0"/>
        <w:spacing w:lineRule="auto" w:line="288" w:before="0" w:after="0"/>
        <w:jc w:val="left"/>
        <w:rPr>
          <w:rFonts w:ascii="Tenorite;sans-serif" w:hAnsi="Tenorite;sans-serif"/>
          <w:b w:val="false"/>
          <w:color w:val="000000"/>
          <w:sz w:val="20"/>
        </w:rPr>
      </w:pPr>
      <w:r>
        <w:rPr>
          <w:rFonts w:ascii="Tenorite;sans-serif" w:hAnsi="Tenorite;sans-serif"/>
          <w:b w:val="false"/>
          <w:color w:val="000000"/>
          <w:sz w:val="20"/>
        </w:rPr>
        <w:t>Media Relations</w:t>
      </w:r>
    </w:p>
    <w:p>
      <w:pPr>
        <w:pStyle w:val="TextBody"/>
        <w:bidi w:val="0"/>
        <w:spacing w:lineRule="auto" w:line="288" w:before="0" w:after="0"/>
        <w:jc w:val="left"/>
        <w:rPr>
          <w:rFonts w:ascii="Tenorite;sans-serif" w:hAnsi="Tenorite;sans-serif"/>
          <w:b w:val="false"/>
          <w:color w:val="3051F2"/>
          <w:sz w:val="20"/>
          <w:u w:val="single"/>
        </w:rPr>
      </w:pPr>
      <w:r>
        <w:rPr>
          <w:rFonts w:ascii="Tenorite;sans-serif" w:hAnsi="Tenorite;sans-serif"/>
          <w:b w:val="false"/>
          <w:color w:val="3051F2"/>
          <w:sz w:val="20"/>
          <w:u w:val="single"/>
        </w:rPr>
        <w:t>media.relations@lplfinancial.com</w:t>
      </w:r>
    </w:p>
    <w:p>
      <w:pPr>
        <w:pStyle w:val="TextBody"/>
        <w:bidi w:val="0"/>
        <w:spacing w:before="0" w:after="0"/>
        <w:jc w:val="left"/>
        <w:rPr/>
      </w:pPr>
      <w:r>
        <w:rPr/>
      </w:r>
    </w:p>
    <w:p>
      <w:pPr>
        <w:pStyle w:val="TextBody"/>
        <w:bidi w:val="0"/>
        <w:spacing w:lineRule="auto" w:line="288" w:before="0" w:after="0"/>
        <w:jc w:val="left"/>
        <w:rPr>
          <w:rFonts w:ascii="Tenorite;sans-serif" w:hAnsi="Tenorite;sans-serif"/>
          <w:b/>
          <w:color w:val="000000"/>
          <w:sz w:val="20"/>
          <w:u w:val="single"/>
        </w:rPr>
      </w:pPr>
      <w:r>
        <w:rPr>
          <w:rFonts w:ascii="Tenorite;sans-serif" w:hAnsi="Tenorite;sans-serif"/>
          <w:b/>
          <w:color w:val="000000"/>
          <w:sz w:val="20"/>
          <w:u w:val="single"/>
        </w:rPr>
        <w:t>About LPL Financial</w:t>
      </w:r>
    </w:p>
    <w:p>
      <w:pPr>
        <w:pStyle w:val="TextBody"/>
        <w:bidi w:val="0"/>
        <w:spacing w:lineRule="auto" w:line="276" w:before="0" w:after="0"/>
        <w:jc w:val="left"/>
        <w:rPr/>
      </w:pPr>
      <w:r>
        <w:rPr>
          <w:rFonts w:ascii="Tenorite;sans-serif" w:hAnsi="Tenorite;sans-serif"/>
          <w:b w:val="false"/>
          <w:color w:val="000000"/>
          <w:sz w:val="20"/>
        </w:rPr>
        <w:t>LPL Financial Holdings Inc. (Nasdaq: LPLA) is among the fastest growing wealth management firms in the U.S. As a leader in the financial advisor-mediated marketplace</w:t>
      </w:r>
      <w:r>
        <w:rPr>
          <w:rFonts w:ascii="Tenorite;sans-serif" w:hAnsi="Tenorite;sans-serif"/>
          <w:b w:val="false"/>
          <w:color w:val="000000"/>
          <w:sz w:val="13"/>
        </w:rPr>
        <w:t>(4)</w:t>
      </w:r>
      <w:r>
        <w:rPr>
          <w:rFonts w:ascii="Tenorite;sans-serif" w:hAnsi="Tenorite;sans-serif"/>
          <w:b w:val="false"/>
          <w:color w:val="000000"/>
          <w:sz w:val="20"/>
        </w:rPr>
        <w:t>, LPL supports more than 32,000 financial advisors and the wealth management practices of approximately 1,100 financial institutions, servicing and custodying approximately $2.6 trillion in brokerage and advisory assets on behalf of approximately 8 million Americans. The firm provides a wide range of advisor affiliation models, investment solutions, fintech tools and practice management services, ensuring that advisors and institutions have the flexibility to choose the business model, services, and technology resources they need to run thriving businesses. For further information about LPL, please visit www.lpl.com.</w:t>
      </w:r>
    </w:p>
    <w:p>
      <w:pPr>
        <w:pStyle w:val="TextBody"/>
        <w:bidi w:val="0"/>
        <w:spacing w:lineRule="auto" w:line="288" w:before="120" w:after="283"/>
        <w:jc w:val="left"/>
        <w:rPr/>
      </w:pPr>
      <w:r>
        <w:rPr>
          <w:rFonts w:ascii="Tenorite;sans-serif" w:hAnsi="Tenorite;sans-serif"/>
          <w:b/>
          <w:color w:val="000000"/>
          <w:sz w:val="20"/>
        </w:rPr>
        <w:t>Securities and advisory services offered through LPL Financial LLC ("LPL Financial") or its affiliate LPL Enterprise, LLC ("LPL Enterprise"), both registered investment advisers and broker-dealers.</w:t>
      </w:r>
      <w:r>
        <w:rPr>
          <w:color w:val="000000"/>
        </w:rPr>
        <w:t xml:space="preserve"> </w:t>
      </w:r>
      <w:r>
        <w:rPr>
          <w:rFonts w:ascii="Tenorite;sans-serif" w:hAnsi="Tenorite;sans-serif"/>
          <w:b/>
          <w:color w:val="000000"/>
          <w:sz w:val="20"/>
        </w:rPr>
        <w:t>Members FINRA/SIPC.</w:t>
      </w:r>
      <w:r>
        <w:rPr>
          <w:color w:val="000000"/>
        </w:rPr>
        <w:t xml:space="preserve"> </w:t>
      </w:r>
    </w:p>
    <w:p>
      <w:pPr>
        <w:pStyle w:val="TextBody"/>
        <w:bidi w:val="0"/>
        <w:spacing w:lineRule="auto" w:line="288" w:before="120" w:after="283"/>
        <w:jc w:val="left"/>
        <w:rPr>
          <w:rFonts w:ascii="Tenorite;sans-serif" w:hAnsi="Tenorite;sans-serif"/>
          <w:b w:val="false"/>
          <w:color w:val="000000"/>
          <w:sz w:val="20"/>
        </w:rPr>
      </w:pPr>
      <w:r>
        <w:rPr>
          <w:rFonts w:ascii="Tenorite;sans-serif" w:hAnsi="Tenorite;sans-serif"/>
          <w:b w:val="false"/>
          <w:color w:val="000000"/>
          <w:sz w:val="20"/>
        </w:rPr>
        <w:t>Throughout this communication, the terms "financial advisors" and "advisors" are used to refer to registered representatives and/or investment advisor representatives affiliated with LPL Financial or LPL Enterprise.</w:t>
      </w:r>
    </w:p>
    <w:p>
      <w:pPr>
        <w:pStyle w:val="TextBody"/>
        <w:bidi w:val="0"/>
        <w:spacing w:lineRule="auto" w:line="288" w:before="120" w:after="283"/>
        <w:jc w:val="left"/>
        <w:rPr/>
      </w:pPr>
      <w:r>
        <w:rPr>
          <w:rFonts w:ascii="Tenorite;sans-serif" w:hAnsi="Tenorite;sans-serif"/>
          <w:b w:val="false"/>
          <w:color w:val="000000"/>
          <w:sz w:val="20"/>
        </w:rPr>
        <w:t>We routinely disclose information that may be important to shareholders in the "Investor Relations</w:t>
      </w:r>
      <w:r>
        <w:rPr>
          <w:rFonts w:ascii="Times New Roman;serif" w:hAnsi="Times New Roman;serif"/>
          <w:b w:val="false"/>
          <w:color w:val="000000"/>
          <w:sz w:val="20"/>
        </w:rPr>
        <w:t xml:space="preserve">" </w:t>
      </w:r>
      <w:r>
        <w:rPr>
          <w:rFonts w:ascii="Tenorite;sans-serif" w:hAnsi="Tenorite;sans-serif"/>
          <w:b w:val="false"/>
          <w:color w:val="000000"/>
          <w:sz w:val="20"/>
        </w:rPr>
        <w:t>or "Press Releases" section of our website.</w:t>
      </w:r>
    </w:p>
    <w:p>
      <w:pPr>
        <w:pStyle w:val="TextBody"/>
        <w:bidi w:val="0"/>
        <w:spacing w:lineRule="auto" w:line="288" w:before="120" w:after="283"/>
        <w:jc w:val="left"/>
        <w:rPr>
          <w:color w:val="000000"/>
        </w:rPr>
      </w:pPr>
      <w:r>
        <w:rPr>
          <w:color w:val="000000"/>
        </w:rPr>
        <w:t xml:space="preserve">† </w:t>
      </w:r>
      <w:r>
        <w:rPr>
          <w:rFonts w:ascii="Tenorite;sans-serif" w:hAnsi="Tenorite;sans-serif"/>
          <w:b w:val="false"/>
          <w:i/>
          <w:color w:val="000000"/>
          <w:sz w:val="20"/>
        </w:rPr>
        <w:t>Value approximated based on asset and holding details provided to LPL from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972185"/>
                <wp:effectExtent l="0" t="0" r="0" b="0"/>
                <wp:wrapNone/>
                <wp:docPr id="6" name="Frame5"/>
                <a:graphic xmlns:a="http://schemas.openxmlformats.org/drawingml/2006/main">
                  <a:graphicData uri="http://schemas.microsoft.com/office/word/2010/wordprocessingShape">
                    <wps:wsp>
                      <wps:cNvSpPr txBox="1"/>
                      <wps:spPr>
                        <a:xfrm>
                          <a:off x="0" y="0"/>
                          <a:ext cx="6480175" cy="972185"/>
                        </a:xfrm>
                        <a:prstGeom prst="rect"/>
                        <a:solidFill>
                          <a:srgbClr val="FFFFFF"/>
                        </a:solidFill>
                      </wps:spPr>
                      <wps:txbx>
                        <w:txbxContent>
                          <w:p>
                            <w:pPr>
                              <w:pStyle w:val="TextBody"/>
                              <w:bidi w:val="0"/>
                              <w:spacing w:before="60" w:after="283"/>
                              <w:jc w:val="center"/>
                              <w:rPr/>
                            </w:pPr>
                            <w:r>
                              <w:rPr/>
                            </w:r>
                            <w:r>
                              <w:br w:type="page"/>
                            </w:r>
                          </w:p>
                          <w:p>
                            <w:pPr>
                              <w:pStyle w:val="TextBody"/>
                              <w:bidi w:val="0"/>
                              <w:spacing w:before="60" w:after="283"/>
                              <w:jc w:val="left"/>
                              <w:rPr/>
                            </w:pPr>
                            <w:r>
                              <w:rPr/>
                            </w:r>
                          </w:p>
                          <w:p>
                            <w:pPr>
                              <w:pStyle w:val="TextBody"/>
                              <w:bidi w:val="0"/>
                              <w:spacing w:lineRule="auto" w:line="288" w:before="60" w:after="283"/>
                              <w:jc w:val="center"/>
                              <w:rPr>
                                <w:rFonts w:ascii="Tenorite;sans-serif" w:hAnsi="Tenorite;sans-serif"/>
                                <w:b w:val="false"/>
                                <w:color w:val="000000"/>
                                <w:sz w:val="20"/>
                              </w:rPr>
                            </w:pPr>
                            <w:r>
                              <w:rPr>
                                <w:rFonts w:ascii="Tenorite;sans-serif" w:hAnsi="Tenorite;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p>
                      <w:pPr>
                        <w:pStyle w:val="TextBody"/>
                        <w:bidi w:val="0"/>
                        <w:spacing w:before="60" w:after="283"/>
                        <w:jc w:val="left"/>
                        <w:rPr/>
                      </w:pPr>
                      <w:r>
                        <w:rPr/>
                      </w:r>
                    </w:p>
                    <w:p>
                      <w:pPr>
                        <w:pStyle w:val="TextBody"/>
                        <w:bidi w:val="0"/>
                        <w:spacing w:lineRule="auto" w:line="288" w:before="60" w:after="283"/>
                        <w:jc w:val="center"/>
                        <w:rPr>
                          <w:rFonts w:ascii="Tenorite;sans-serif" w:hAnsi="Tenorite;sans-serif"/>
                          <w:b w:val="false"/>
                          <w:color w:val="000000"/>
                          <w:sz w:val="20"/>
                        </w:rPr>
                      </w:pPr>
                      <w:r>
                        <w:rPr>
                          <w:rFonts w:ascii="Tenorite;sans-serif" w:hAnsi="Tenorite;sans-serif"/>
                          <w:b w:val="false"/>
                          <w:color w:val="000000"/>
                          <w:sz w:val="20"/>
                        </w:rPr>
                        <w:t>2</w:t>
                      </w:r>
                    </w:p>
                  </w:txbxContent>
                </v:textbox>
                <w10:wrap type="none"/>
              </v:rect>
            </w:pict>
          </mc:Fallback>
        </mc:AlternateContent>
      </w:r>
    </w:p>
    <w:p>
      <w:pPr>
        <w:pStyle w:val="TextBody"/>
        <w:bidi w:val="0"/>
        <w:spacing w:lineRule="auto" w:line="288" w:before="240" w:after="120"/>
        <w:jc w:val="left"/>
        <w:rPr>
          <w:rFonts w:ascii="Tenorite;sans-serif" w:hAnsi="Tenorite;sans-serif"/>
          <w:b/>
          <w:color w:val="000000"/>
          <w:sz w:val="20"/>
        </w:rPr>
      </w:pPr>
      <w:r>
        <w:rPr>
          <w:rFonts w:ascii="Tenorite;sans-serif" w:hAnsi="Tenorite;sans-serif"/>
          <w:b/>
          <w:color w:val="000000"/>
          <w:sz w:val="20"/>
        </w:rPr>
        <w:t>Forward-Looking Statements</w:t>
      </w:r>
    </w:p>
    <w:p>
      <w:pPr>
        <w:pStyle w:val="TextBody"/>
        <w:bidi w:val="0"/>
        <w:spacing w:lineRule="auto" w:line="288" w:before="0" w:after="0"/>
        <w:jc w:val="left"/>
        <w:rPr>
          <w:rFonts w:ascii="Tenorite;sans-serif" w:hAnsi="Tenorite;sans-serif"/>
          <w:b w:val="false"/>
          <w:color w:val="000000"/>
          <w:sz w:val="20"/>
        </w:rPr>
      </w:pPr>
      <w:r>
        <w:rPr>
          <w:rFonts w:ascii="Tenorite;sans-serif" w:hAnsi="Tenorite;sans-serif"/>
          <w:b w:val="false"/>
          <w:color w:val="000000"/>
          <w:sz w:val="20"/>
        </w:rPr>
        <w:t>This press release contains statements regarding:</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enorite;sans-serif" w:hAnsi="Tenorite;sans-serif"/>
          <w:b w:val="false"/>
          <w:color w:val="000000"/>
          <w:sz w:val="20"/>
        </w:rPr>
        <w:t>the Company’s retention of Commonwealth assets and Commonwealth’s future financial and operating performance;</w:t>
      </w:r>
    </w:p>
    <w:p>
      <w:pPr>
        <w:pStyle w:val="TextBody"/>
        <w:bidi w:val="0"/>
        <w:spacing w:lineRule="auto" w:line="268" w:before="0" w:after="0"/>
        <w:ind w:left="0" w:right="0" w:hanging="360"/>
        <w:jc w:val="left"/>
        <w:rPr/>
      </w:pPr>
      <w:r>
        <w:rPr>
          <w:color w:val="000000"/>
        </w:rPr>
        <w:t>•</w:t>
      </w:r>
      <w:r>
        <w:rPr>
          <w:rFonts w:ascii="Tenorite;sans-serif" w:hAnsi="Tenorite;sans-serif"/>
          <w:b w:val="false"/>
          <w:color w:val="000000"/>
          <w:sz w:val="20"/>
        </w:rPr>
        <w:t>run-rate EBITDA expectations in connection with the Company’s acquisition of Commonwealth;</w:t>
      </w:r>
    </w:p>
    <w:p>
      <w:pPr>
        <w:pStyle w:val="TextBody"/>
        <w:bidi w:val="0"/>
        <w:spacing w:lineRule="auto" w:line="268" w:before="0" w:after="0"/>
        <w:ind w:left="0" w:right="0" w:hanging="360"/>
        <w:jc w:val="left"/>
        <w:rPr/>
      </w:pPr>
      <w:r>
        <w:rPr>
          <w:color w:val="000000"/>
        </w:rPr>
        <w:t>•</w:t>
      </w:r>
      <w:r>
        <w:rPr>
          <w:rFonts w:ascii="Tenorite;sans-serif" w:hAnsi="Tenorite;sans-serif"/>
          <w:b w:val="false"/>
          <w:color w:val="000000"/>
          <w:sz w:val="20"/>
        </w:rPr>
        <w:t>the amount and timing of the onboarding of acquired, recruited or transitioned brokerage and advisory assets, including Commonwealth;</w:t>
      </w:r>
    </w:p>
    <w:p>
      <w:pPr>
        <w:pStyle w:val="TextBody"/>
        <w:bidi w:val="0"/>
        <w:spacing w:lineRule="auto" w:line="288" w:before="0" w:after="0"/>
        <w:ind w:left="0" w:right="0" w:hanging="360"/>
        <w:jc w:val="left"/>
        <w:rPr/>
      </w:pPr>
      <w:r>
        <w:rPr>
          <w:color w:val="000000"/>
        </w:rPr>
        <w:t>•</w:t>
      </w:r>
      <w:r>
        <w:rPr>
          <w:rFonts w:ascii="Tenorite;sans-serif" w:hAnsi="Tenorite;sans-serif"/>
          <w:b w:val="false"/>
          <w:color w:val="000000"/>
          <w:sz w:val="20"/>
        </w:rPr>
        <w:t>the Company's plans to invest to drive growth and increase efficiency while scaling its business;</w:t>
      </w:r>
    </w:p>
    <w:p>
      <w:pPr>
        <w:pStyle w:val="TextBody"/>
        <w:bidi w:val="0"/>
        <w:spacing w:lineRule="auto" w:line="268" w:before="0" w:after="0"/>
        <w:ind w:left="0" w:right="0" w:hanging="360"/>
        <w:jc w:val="left"/>
        <w:rPr/>
      </w:pPr>
      <w:r>
        <w:rPr>
          <w:color w:val="000000"/>
        </w:rPr>
        <w:t>•</w:t>
      </w:r>
      <w:r>
        <w:rPr>
          <w:rFonts w:ascii="Tenorite;sans-serif" w:hAnsi="Tenorite;sans-serif"/>
          <w:b w:val="false"/>
          <w:color w:val="000000"/>
          <w:sz w:val="20"/>
        </w:rPr>
        <w:t>the Company’s recruitment pipeline and expected organic growth;</w:t>
      </w:r>
    </w:p>
    <w:p>
      <w:pPr>
        <w:pStyle w:val="TextBody"/>
        <w:bidi w:val="0"/>
        <w:spacing w:lineRule="auto" w:line="268" w:before="0" w:after="0"/>
        <w:ind w:left="0" w:right="0" w:hanging="360"/>
        <w:jc w:val="left"/>
        <w:rPr/>
      </w:pPr>
      <w:r>
        <w:rPr>
          <w:color w:val="000000"/>
        </w:rPr>
        <w:t>•</w:t>
      </w:r>
      <w:r>
        <w:rPr>
          <w:rFonts w:ascii="Tenorite;sans-serif" w:hAnsi="Tenorite;sans-serif"/>
          <w:b w:val="false"/>
          <w:color w:val="000000"/>
          <w:sz w:val="20"/>
        </w:rPr>
        <w:t>the Company's future financial and operating results, growth, plans, priorities and business strategies, including forecasts and statements related to the Company's ICA yield, service and fee revenue, transaction revenue, core G&amp;A expense, interest expense and income, leverage ratio (including plans to reduce leverage), pricing and fees (including their effect on adjusted pre-tax margin), corporate cash, run-rate EBITDA, depreciation and amortization, operating leverage, pre-tax margin, transition assistance loan amortization, organic growth, payout rate, tax rate and share repurchases; and</w:t>
      </w:r>
    </w:p>
    <w:p>
      <w:pPr>
        <w:pStyle w:val="TextBody"/>
        <w:bidi w:val="0"/>
        <w:spacing w:lineRule="auto" w:line="288" w:before="0" w:after="0"/>
        <w:ind w:left="0" w:right="0" w:hanging="360"/>
        <w:jc w:val="left"/>
        <w:rPr/>
      </w:pPr>
      <w:r>
        <w:rPr>
          <w:color w:val="000000"/>
        </w:rPr>
        <w:t>•</w:t>
      </w:r>
      <w:r>
        <w:rPr>
          <w:rFonts w:ascii="Tenorite;sans-serif" w:hAnsi="Tenorite;sans-serif"/>
          <w:b w:val="false"/>
          <w:color w:val="000000"/>
          <w:sz w:val="20"/>
        </w:rPr>
        <w:t xml:space="preserve">future capabilities, future advisor service experience, future investments and capital deployment, including share repurchase activity and dividends, if any, and long-term shareholder value. </w:t>
      </w:r>
    </w:p>
    <w:p>
      <w:pPr>
        <w:pStyle w:val="TextBody"/>
        <w:bidi w:val="0"/>
        <w:spacing w:before="0" w:after="0"/>
        <w:jc w:val="left"/>
        <w:rPr/>
      </w:pPr>
      <w:r>
        <w:rPr/>
      </w:r>
    </w:p>
    <w:p>
      <w:pPr>
        <w:pStyle w:val="TextBody"/>
        <w:bidi w:val="0"/>
        <w:spacing w:lineRule="auto" w:line="288" w:before="0" w:after="0"/>
        <w:jc w:val="left"/>
        <w:rPr>
          <w:rFonts w:ascii="Tenorite;sans-serif" w:hAnsi="Tenorite;sans-serif"/>
          <w:b w:val="false"/>
          <w:color w:val="000000"/>
          <w:sz w:val="20"/>
        </w:rPr>
      </w:pPr>
      <w:r>
        <w:rPr>
          <w:rFonts w:ascii="Tenorite;sans-serif" w:hAnsi="Tenorite;sans-serif"/>
          <w:b w:val="false"/>
          <w:color w:val="000000"/>
          <w:sz w:val="20"/>
        </w:rPr>
        <w:t xml:space="preserve">These and any other statements that are not related to present facts or current conditions, or that are not purely historical, constitute forward-looking statements. They reflect the Company's expectations and objectives as of July 30, 2026 and are not guarantees that expectations or objectives expressed or implied will be achieved. The achievement of such expectations and objectives involves risks and uncertainties that may cause actual results, levels of activity or the timing of events to differ materially from those expressed or implied by forward-looking statements. Important factors that could cause or contribute to such differences include: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enorite;sans-serif" w:hAnsi="Tenorite;sans-serif"/>
          <w:b w:val="false"/>
          <w:color w:val="000000"/>
          <w:sz w:val="20"/>
        </w:rPr>
        <w:t>difficulties and delays in onboarding the assets of acquired, recruited or transitioned advisors, including the receipt and timing of regulatory approvals that may be required;</w:t>
      </w:r>
    </w:p>
    <w:p>
      <w:pPr>
        <w:pStyle w:val="TextBody"/>
        <w:bidi w:val="0"/>
        <w:spacing w:lineRule="auto" w:line="288" w:before="0" w:after="0"/>
        <w:ind w:left="0" w:right="0" w:hanging="360"/>
        <w:jc w:val="left"/>
        <w:rPr/>
      </w:pPr>
      <w:r>
        <w:rPr>
          <w:color w:val="000000"/>
        </w:rPr>
        <w:t>•</w:t>
      </w:r>
      <w:r>
        <w:rPr>
          <w:rFonts w:ascii="Tenorite;sans-serif" w:hAnsi="Tenorite;sans-serif"/>
          <w:b w:val="false"/>
          <w:color w:val="000000"/>
          <w:sz w:val="20"/>
        </w:rPr>
        <w:t>disruptions in the businesses of the Company and Commonwealth that could make it more difficult to maintain relationships with advisors and their clients;</w:t>
      </w:r>
    </w:p>
    <w:p>
      <w:pPr>
        <w:pStyle w:val="TextBody"/>
        <w:bidi w:val="0"/>
        <w:spacing w:lineRule="auto" w:line="288" w:before="0" w:after="0"/>
        <w:ind w:left="0" w:right="0" w:hanging="360"/>
        <w:jc w:val="left"/>
        <w:rPr/>
      </w:pPr>
      <w:r>
        <w:rPr>
          <w:color w:val="000000"/>
        </w:rPr>
        <w:t>•</w:t>
      </w:r>
      <w:r>
        <w:rPr>
          <w:rFonts w:ascii="Tenorite;sans-serif" w:hAnsi="Tenorite;sans-serif"/>
          <w:b w:val="false"/>
          <w:color w:val="000000"/>
          <w:sz w:val="20"/>
        </w:rPr>
        <w:t>the choice by clients of acquired or recruited advisors not to open brokerage and/or advisory accounts at the Company;</w:t>
      </w:r>
    </w:p>
    <w:p>
      <w:pPr>
        <w:pStyle w:val="TextBody"/>
        <w:bidi w:val="0"/>
        <w:spacing w:lineRule="auto" w:line="288" w:before="0" w:after="0"/>
        <w:ind w:left="0" w:right="0" w:hanging="360"/>
        <w:jc w:val="left"/>
        <w:rPr/>
      </w:pPr>
      <w:r>
        <w:rPr>
          <w:color w:val="000000"/>
        </w:rPr>
        <w:t>•</w:t>
      </w:r>
      <w:r>
        <w:rPr>
          <w:rFonts w:ascii="Tenorite;sans-serif" w:hAnsi="Tenorite;sans-serif"/>
          <w:b w:val="false"/>
          <w:color w:val="000000"/>
          <w:sz w:val="20"/>
        </w:rPr>
        <w:t xml:space="preserve">changes in general economic and financial market conditions, including retail investor sentiment; </w:t>
      </w:r>
    </w:p>
    <w:p>
      <w:pPr>
        <w:pStyle w:val="TextBody"/>
        <w:bidi w:val="0"/>
        <w:spacing w:lineRule="auto" w:line="288" w:before="0" w:after="0"/>
        <w:ind w:left="0" w:right="0" w:hanging="360"/>
        <w:jc w:val="left"/>
        <w:rPr/>
      </w:pPr>
      <w:r>
        <w:rPr>
          <w:color w:val="000000"/>
        </w:rPr>
        <w:t>•</w:t>
      </w:r>
      <w:r>
        <w:rPr>
          <w:rFonts w:ascii="Tenorite;sans-serif" w:hAnsi="Tenorite;sans-serif"/>
          <w:b w:val="false"/>
          <w:color w:val="000000"/>
          <w:sz w:val="20"/>
        </w:rPr>
        <w:t>changes in interest rates and fees payable by banks participating in the Company's client cash programs, including the Company's success in negotiating agreements with current or additional counterparties;</w:t>
      </w:r>
    </w:p>
    <w:p>
      <w:pPr>
        <w:pStyle w:val="TextBody"/>
        <w:bidi w:val="0"/>
        <w:spacing w:lineRule="auto" w:line="288" w:before="0" w:after="0"/>
        <w:ind w:left="0" w:right="0" w:hanging="360"/>
        <w:jc w:val="left"/>
        <w:rPr/>
      </w:pPr>
      <w:r>
        <w:rPr>
          <w:color w:val="000000"/>
        </w:rPr>
        <w:t>•</w:t>
      </w:r>
      <w:r>
        <w:rPr>
          <w:rFonts w:ascii="Tenorite;sans-serif" w:hAnsi="Tenorite;sans-serif"/>
          <w:b w:val="false"/>
          <w:color w:val="000000"/>
          <w:sz w:val="20"/>
        </w:rPr>
        <w:t xml:space="preserve">the Company's strategy and success in managing client cash program fees; </w:t>
      </w:r>
    </w:p>
    <w:p>
      <w:pPr>
        <w:pStyle w:val="TextBody"/>
        <w:bidi w:val="0"/>
        <w:spacing w:lineRule="auto" w:line="288" w:before="0" w:after="0"/>
        <w:ind w:left="0" w:right="0" w:hanging="360"/>
        <w:jc w:val="left"/>
        <w:rPr/>
      </w:pPr>
      <w:r>
        <w:rPr>
          <w:color w:val="000000"/>
        </w:rPr>
        <w:t>•</w:t>
      </w:r>
      <w:r>
        <w:rPr>
          <w:rFonts w:ascii="Tenorite;sans-serif" w:hAnsi="Tenorite;sans-serif"/>
          <w:b w:val="false"/>
          <w:color w:val="000000"/>
          <w:sz w:val="20"/>
        </w:rPr>
        <w:t xml:space="preserve">fluctuations in the levels of advisory and brokerage assets, including net new assets, and the related impact on revenue; </w:t>
      </w:r>
    </w:p>
    <w:p>
      <w:pPr>
        <w:pStyle w:val="TextBody"/>
        <w:bidi w:val="0"/>
        <w:spacing w:lineRule="auto" w:line="288" w:before="0" w:after="0"/>
        <w:ind w:left="0" w:right="0" w:hanging="360"/>
        <w:jc w:val="left"/>
        <w:rPr/>
      </w:pPr>
      <w:r>
        <w:rPr>
          <w:color w:val="000000"/>
        </w:rPr>
        <w:t>•</w:t>
      </w:r>
      <w:r>
        <w:rPr>
          <w:rFonts w:ascii="Tenorite;sans-serif" w:hAnsi="Tenorite;sans-serif"/>
          <w:b w:val="false"/>
          <w:color w:val="000000"/>
          <w:sz w:val="20"/>
        </w:rPr>
        <w:t xml:space="preserve">effects of competition in the financial services industry and the success of the Company in attracting and retaining financial advisors and institutions, and their ability to provide financial products and services effectively; </w:t>
      </w:r>
    </w:p>
    <w:p>
      <w:pPr>
        <w:pStyle w:val="TextBody"/>
        <w:bidi w:val="0"/>
        <w:spacing w:lineRule="auto" w:line="288" w:before="0" w:after="0"/>
        <w:ind w:left="0" w:right="0" w:hanging="360"/>
        <w:jc w:val="left"/>
        <w:rPr/>
      </w:pPr>
      <w:r>
        <w:rPr>
          <w:color w:val="000000"/>
        </w:rPr>
        <w:t>•</w:t>
      </w:r>
      <w:r>
        <w:rPr>
          <w:rFonts w:ascii="Tenorite;sans-serif" w:hAnsi="Tenorite;sans-serif"/>
          <w:b w:val="false"/>
          <w:color w:val="000000"/>
          <w:sz w:val="20"/>
        </w:rPr>
        <w:t xml:space="preserve">whether retail investors served by newly-recruited advisors choose to move their respective assets to new accounts at the Company; </w:t>
      </w:r>
    </w:p>
    <w:p>
      <w:pPr>
        <w:pStyle w:val="TextBody"/>
        <w:bidi w:val="0"/>
        <w:spacing w:lineRule="auto" w:line="288" w:before="0" w:after="0"/>
        <w:ind w:left="0" w:right="0" w:hanging="360"/>
        <w:jc w:val="left"/>
        <w:rPr/>
      </w:pPr>
      <w:r>
        <w:rPr>
          <w:color w:val="000000"/>
        </w:rPr>
        <w:t>•</w:t>
      </w:r>
      <w:r>
        <w:rPr>
          <w:rFonts w:ascii="Tenorite;sans-serif" w:hAnsi="Tenorite;sans-serif"/>
          <w:b w:val="false"/>
          <w:color w:val="000000"/>
          <w:sz w:val="20"/>
        </w:rPr>
        <w:t xml:space="preserve">changes in the growth and profitability of the Company's fee-based offerings and asset-based revenues; </w:t>
      </w:r>
    </w:p>
    <w:p>
      <w:pPr>
        <w:pStyle w:val="TextBody"/>
        <w:bidi w:val="0"/>
        <w:spacing w:lineRule="auto" w:line="288" w:before="0" w:after="0"/>
        <w:ind w:left="0" w:right="0" w:hanging="360"/>
        <w:jc w:val="left"/>
        <w:rPr/>
      </w:pPr>
      <w:r>
        <w:rPr>
          <w:color w:val="000000"/>
        </w:rPr>
        <w:t>•</w:t>
      </w:r>
      <w:r>
        <w:rPr>
          <w:rFonts w:ascii="Tenorite;sans-serif" w:hAnsi="Tenorite;sans-serif"/>
          <w:b w:val="false"/>
          <w:color w:val="000000"/>
          <w:sz w:val="20"/>
        </w:rPr>
        <w:t xml:space="preserve">the effect of current, pending and future legislation, regulation and regulatory actions, including disciplinary actions imposed by federal and state regulators and self-regulatory organizations; </w:t>
      </w:r>
    </w:p>
    <w:p>
      <w:pPr>
        <w:pStyle w:val="TextBody"/>
        <w:bidi w:val="0"/>
        <w:spacing w:lineRule="auto" w:line="288" w:before="0" w:after="0"/>
        <w:ind w:left="0" w:right="0" w:hanging="360"/>
        <w:jc w:val="left"/>
        <w:rPr/>
      </w:pPr>
      <w:r>
        <w:rPr>
          <w:color w:val="000000"/>
        </w:rPr>
        <w:t>•</w:t>
      </w:r>
      <w:r>
        <w:rPr>
          <w:rFonts w:ascii="Tenorite;sans-serif" w:hAnsi="Tenorite;sans-serif"/>
          <w:b w:val="false"/>
          <w:color w:val="000000"/>
          <w:sz w:val="20"/>
        </w:rPr>
        <w:t xml:space="preserve">the cost of defending, settling and remediating issues related to regulatory matters or legal proceedings, including civil monetary penalties or actual costs of reimbursing customers for losses in excess of our reserves or insurance; </w:t>
      </w:r>
    </w:p>
    <w:p>
      <w:pPr>
        <w:pStyle w:val="TextBody"/>
        <w:bidi w:val="0"/>
        <w:spacing w:lineRule="auto" w:line="268" w:before="0" w:after="0"/>
        <w:ind w:left="0" w:right="0" w:hanging="360"/>
        <w:jc w:val="left"/>
        <w:rPr/>
      </w:pPr>
      <w:r>
        <w:rPr>
          <w:color w:val="000000"/>
        </w:rPr>
        <w:t>•</w:t>
      </w:r>
      <w:r>
        <w:rPr>
          <w:rFonts w:ascii="Tenorite;sans-serif" w:hAnsi="Tenorite;sans-serif"/>
          <w:b w:val="false"/>
          <w:color w:val="000000"/>
          <w:sz w:val="20"/>
        </w:rPr>
        <w:t xml:space="preserve">changes made to the Company's services and pricing, including in response to competitive developments and current, pending and future legislation, regulation and regulatory actions, and the effect that such changes may have on the Company’s gross profit streams and costs; </w:t>
      </w:r>
    </w:p>
    <w:p>
      <w:pPr>
        <w:pStyle w:val="TextBody"/>
        <w:bidi w:val="0"/>
        <w:spacing w:lineRule="auto" w:line="288" w:before="0" w:after="0"/>
        <w:ind w:left="0" w:right="0" w:hanging="360"/>
        <w:jc w:val="left"/>
        <w:rPr/>
      </w:pPr>
      <w:r>
        <w:rPr>
          <w:color w:val="000000"/>
        </w:rPr>
        <w:t>•</w:t>
      </w:r>
      <w:r>
        <w:rPr>
          <w:rFonts w:ascii="Tenorite;sans-serif" w:hAnsi="Tenorite;sans-serif"/>
          <w:b w:val="false"/>
          <w:color w:val="000000"/>
          <w:sz w:val="20"/>
        </w:rPr>
        <w:t>the execution of the Company's capital management plans, including its compliance with the terms of the Company's amended and restated credit agreement, the committed revolving credit facilities of the Company and LPL Financial, and the indentures governing the Company's senior unsecured notes;</w:t>
      </w:r>
    </w:p>
    <w:p>
      <w:pPr>
        <w:pStyle w:val="TextBody"/>
        <w:bidi w:val="0"/>
        <w:spacing w:lineRule="auto" w:line="288" w:before="0" w:after="0"/>
        <w:ind w:left="0" w:right="0" w:hanging="360"/>
        <w:jc w:val="left"/>
        <w:rPr/>
      </w:pPr>
      <w:r>
        <w:rPr>
          <w:color w:val="000000"/>
        </w:rPr>
        <w:t>•</w:t>
      </w:r>
      <w:r>
        <w:rPr>
          <w:rFonts w:ascii="Tenorite;sans-serif" w:hAnsi="Tenorite;sans-serif"/>
          <w:b w:val="false"/>
          <w:color w:val="000000"/>
          <w:sz w:val="20"/>
        </w:rPr>
        <w:t>strategic acquisitions and investments, including pursuant to the Company's Liquidity &amp; Succession solution, and the effect that such acquisitions and investments may have on the Company’s capital management plans and liquidity;</w:t>
      </w:r>
    </w:p>
    <w:p>
      <w:pPr>
        <w:pStyle w:val="TextBody"/>
        <w:bidi w:val="0"/>
        <w:spacing w:lineRule="auto" w:line="288"/>
        <w:ind w:left="0" w:right="0" w:hanging="360"/>
        <w:jc w:val="left"/>
        <w:rPr/>
      </w:pPr>
      <w:r>
        <w:rPr>
          <w:color w:val="000000"/>
        </w:rPr>
        <w:t>•</w:t>
      </w:r>
      <w:r>
        <w:rPr>
          <w:rFonts w:ascii="Tenorite;sans-serif" w:hAnsi="Tenorite;sans-serif"/>
          <w:b w:val="false"/>
          <w:color w:val="000000"/>
          <w:sz w:val="20"/>
        </w:rPr>
        <w:t>the price, availability and trading volumes of shares of the Company's common stock, which will affect the timing and size of future share repurchases by the Company, if any;</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7955"/>
                <wp:effectExtent l="0" t="0" r="0" b="0"/>
                <wp:wrapNone/>
                <wp:docPr id="7"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3</w:t>
                      </w:r>
                    </w:p>
                  </w:txbxContent>
                </v:textbox>
                <w10:wrap type="none"/>
              </v:rect>
            </w:pict>
          </mc:Fallback>
        </mc:AlternateContent>
      </w:r>
    </w:p>
    <w:p>
      <w:pPr>
        <w:pStyle w:val="TextBody"/>
        <w:bidi w:val="0"/>
        <w:spacing w:lineRule="auto" w:line="268" w:before="0" w:after="0"/>
        <w:ind w:left="0" w:right="0" w:hanging="360"/>
        <w:jc w:val="left"/>
        <w:rPr/>
      </w:pPr>
      <w:r>
        <w:rPr>
          <w:color w:val="000000"/>
        </w:rPr>
        <w:t>•</w:t>
      </w:r>
      <w:r>
        <w:rPr>
          <w:rFonts w:ascii="Tenorite;sans-serif" w:hAnsi="Tenorite;sans-serif"/>
          <w:b w:val="false"/>
          <w:color w:val="000000"/>
          <w:sz w:val="20"/>
        </w:rPr>
        <w:t>the execution of the Company's plans and its success in realizing the synergies, expense savings, service improvements or efficiencies expected to result from its investments, initiatives and acquisitions, expense plans and technology initiatives;</w:t>
      </w:r>
    </w:p>
    <w:p>
      <w:pPr>
        <w:pStyle w:val="TextBody"/>
        <w:bidi w:val="0"/>
        <w:spacing w:lineRule="auto" w:line="288" w:before="0" w:after="0"/>
        <w:ind w:left="0" w:right="0" w:hanging="360"/>
        <w:jc w:val="left"/>
        <w:rPr/>
      </w:pPr>
      <w:r>
        <w:rPr>
          <w:color w:val="000000"/>
        </w:rPr>
        <w:t>•</w:t>
      </w:r>
      <w:r>
        <w:rPr>
          <w:rFonts w:ascii="Tenorite;sans-serif" w:hAnsi="Tenorite;sans-serif"/>
          <w:b w:val="false"/>
          <w:color w:val="000000"/>
          <w:sz w:val="20"/>
        </w:rPr>
        <w:t>whether advisors affiliated with Commonwealth will transition registration to the Company and whether assets reported as serviced by such financial advisors will translate into assets of the Company;</w:t>
      </w:r>
    </w:p>
    <w:p>
      <w:pPr>
        <w:pStyle w:val="TextBody"/>
        <w:bidi w:val="0"/>
        <w:spacing w:lineRule="auto" w:line="288" w:before="0" w:after="0"/>
        <w:ind w:left="0" w:right="0" w:hanging="360"/>
        <w:jc w:val="left"/>
        <w:rPr/>
      </w:pPr>
      <w:r>
        <w:rPr>
          <w:color w:val="000000"/>
        </w:rPr>
        <w:t>•</w:t>
      </w:r>
      <w:r>
        <w:rPr>
          <w:rFonts w:ascii="Tenorite;sans-serif" w:hAnsi="Tenorite;sans-serif"/>
          <w:b w:val="false"/>
          <w:color w:val="000000"/>
          <w:sz w:val="20"/>
        </w:rPr>
        <w:t>the performance of third-party service providers to which business processes have been transitioned;</w:t>
      </w:r>
    </w:p>
    <w:p>
      <w:pPr>
        <w:pStyle w:val="TextBody"/>
        <w:bidi w:val="0"/>
        <w:spacing w:lineRule="auto" w:line="288" w:before="0" w:after="0"/>
        <w:ind w:left="0" w:right="0" w:hanging="360"/>
        <w:jc w:val="left"/>
        <w:rPr/>
      </w:pPr>
      <w:r>
        <w:rPr>
          <w:color w:val="000000"/>
        </w:rPr>
        <w:t>•</w:t>
      </w:r>
      <w:r>
        <w:rPr>
          <w:rFonts w:ascii="Tenorite;sans-serif" w:hAnsi="Tenorite;sans-serif"/>
          <w:b w:val="false"/>
          <w:color w:val="000000"/>
          <w:sz w:val="20"/>
        </w:rPr>
        <w:t>the Company's ability to control operating risks, information technology systems risks, cybersecurity risks and sourcing risks; and</w:t>
      </w:r>
    </w:p>
    <w:p>
      <w:pPr>
        <w:pStyle w:val="TextBody"/>
        <w:bidi w:val="0"/>
        <w:spacing w:lineRule="auto" w:line="288" w:before="0" w:after="0"/>
        <w:ind w:left="0" w:right="0" w:hanging="360"/>
        <w:jc w:val="left"/>
        <w:rPr/>
      </w:pPr>
      <w:r>
        <w:rPr>
          <w:color w:val="000000"/>
        </w:rPr>
        <w:t>•</w:t>
      </w:r>
      <w:r>
        <w:rPr>
          <w:rFonts w:ascii="Tenorite;sans-serif" w:hAnsi="Tenorite;sans-serif"/>
          <w:b w:val="false"/>
          <w:color w:val="000000"/>
          <w:sz w:val="20"/>
        </w:rPr>
        <w:t>the other factors set forth in the Company's most recent Annual Report on Form 10-K, as may be amended or updated in the Company's Quarterly Reports on Form 10-Q or other filings with the Securities and Exchange Commission. </w:t>
      </w:r>
    </w:p>
    <w:p>
      <w:pPr>
        <w:pStyle w:val="TextBody"/>
        <w:bidi w:val="0"/>
        <w:spacing w:before="0" w:after="0"/>
        <w:jc w:val="left"/>
        <w:rPr/>
      </w:pPr>
      <w:r>
        <w:rPr/>
      </w:r>
    </w:p>
    <w:p>
      <w:pPr>
        <w:pStyle w:val="TextBody"/>
        <w:bidi w:val="0"/>
        <w:spacing w:lineRule="auto" w:line="288" w:before="0" w:after="0"/>
        <w:jc w:val="left"/>
        <w:rPr>
          <w:rFonts w:ascii="Tenorite;sans-serif" w:hAnsi="Tenorite;sans-serif"/>
          <w:b w:val="false"/>
          <w:color w:val="000000"/>
          <w:sz w:val="20"/>
        </w:rPr>
      </w:pPr>
      <w:r>
        <w:rPr>
          <w:rFonts w:ascii="Tenorite;sans-serif" w:hAnsi="Tenorite;sans-serif"/>
          <w:b w:val="false"/>
          <w:color w:val="000000"/>
          <w:sz w:val="20"/>
        </w:rPr>
        <w:t>Except as required by law, the Company specifically disclaims any obligation to update any forward-looking statements as a result of developments occurring after the date of this earnings release, and you should not rely on statements contained herein as representing the Company's view as of any date subsequent to the date of this press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7955"/>
                <wp:effectExtent l="0" t="0" r="0" b="0"/>
                <wp:wrapNone/>
                <wp:docPr id="8"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Tenorite;sans-serif" w:hAnsi="Tenorite;sans-serif"/>
          <w:b/>
          <w:color w:val="000000"/>
          <w:sz w:val="20"/>
        </w:rPr>
      </w:pPr>
      <w:r>
        <w:rPr>
          <w:rFonts w:ascii="Tenorite;sans-serif" w:hAnsi="Tenorite;sans-serif"/>
          <w:b/>
          <w:color w:val="000000"/>
          <w:sz w:val="20"/>
        </w:rPr>
        <w:t>LPL Financial Holdings Inc.</w:t>
      </w:r>
    </w:p>
    <w:p>
      <w:pPr>
        <w:pStyle w:val="TextBody"/>
        <w:bidi w:val="0"/>
        <w:spacing w:lineRule="auto" w:line="288" w:before="0" w:after="0"/>
        <w:jc w:val="center"/>
        <w:rPr>
          <w:rFonts w:ascii="Tenorite;sans-serif" w:hAnsi="Tenorite;sans-serif"/>
          <w:b/>
          <w:color w:val="000000"/>
          <w:sz w:val="20"/>
        </w:rPr>
      </w:pPr>
      <w:r>
        <w:rPr>
          <w:rFonts w:ascii="Tenorite;sans-serif" w:hAnsi="Tenorite;sans-serif"/>
          <w:b/>
          <w:color w:val="000000"/>
          <w:sz w:val="20"/>
        </w:rPr>
        <w:t>Condensed Consolidated Statements of Income</w:t>
      </w:r>
    </w:p>
    <w:p>
      <w:pPr>
        <w:pStyle w:val="TextBody"/>
        <w:bidi w:val="0"/>
        <w:spacing w:lineRule="auto" w:line="288" w:before="0" w:after="0"/>
        <w:jc w:val="center"/>
        <w:rPr>
          <w:rFonts w:ascii="Tenorite;sans-serif" w:hAnsi="Tenorite;sans-serif"/>
          <w:b/>
          <w:color w:val="000000"/>
          <w:sz w:val="20"/>
        </w:rPr>
      </w:pPr>
      <w:r>
        <w:rPr>
          <w:rFonts w:ascii="Tenorite;sans-serif" w:hAnsi="Tenorite;sans-serif"/>
          <w:b/>
          <w:color w:val="000000"/>
          <w:sz w:val="20"/>
        </w:rPr>
        <w:t>(In thousands, except per share data)</w:t>
      </w:r>
    </w:p>
    <w:p>
      <w:pPr>
        <w:pStyle w:val="TextBody"/>
        <w:bidi w:val="0"/>
        <w:spacing w:lineRule="auto" w:line="288" w:before="0" w:after="240"/>
        <w:jc w:val="center"/>
        <w:rPr>
          <w:rFonts w:ascii="Tenorite;sans-serif" w:hAnsi="Tenorite;sans-serif"/>
          <w:b/>
          <w:color w:val="000000"/>
          <w:sz w:val="20"/>
        </w:rPr>
      </w:pPr>
      <w:r>
        <w:rPr>
          <w:rFonts w:ascii="Tenorite;sans-serif" w:hAnsi="Tenorite;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317"/>
        <w:gridCol w:w="887"/>
        <w:gridCol w:w="895"/>
        <w:gridCol w:w="226"/>
        <w:gridCol w:w="1126"/>
        <w:gridCol w:w="109"/>
        <w:gridCol w:w="226"/>
        <w:gridCol w:w="1126"/>
        <w:gridCol w:w="109"/>
        <w:gridCol w:w="210"/>
        <w:gridCol w:w="211"/>
        <w:gridCol w:w="492"/>
        <w:gridCol w:w="280"/>
        <w:gridCol w:w="1397"/>
        <w:gridCol w:w="134"/>
        <w:gridCol w:w="210"/>
        <w:gridCol w:w="211"/>
        <w:gridCol w:w="1039"/>
      </w:tblGrid>
      <w:tr>
        <w:trPr/>
        <w:tc>
          <w:tcPr>
            <w:tcW w:w="131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3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Three Months Ended</w:t>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Three Months Ended</w:t>
            </w:r>
          </w:p>
        </w:tc>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June 30,</w:t>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March 31,</w:t>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June 30,</w:t>
            </w:r>
          </w:p>
        </w:tc>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2026</w:t>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2026</w:t>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Change</w:t>
            </w:r>
          </w:p>
        </w:tc>
        <w:tc>
          <w:tcPr>
            <w:tcW w:w="1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2025</w:t>
            </w:r>
          </w:p>
        </w:tc>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Change</w:t>
            </w:r>
          </w:p>
        </w:tc>
      </w:tr>
      <w:tr>
        <w:trPr/>
        <w:tc>
          <w:tcPr>
            <w:tcW w:w="3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REVENUE</w:t>
            </w:r>
          </w:p>
        </w:tc>
        <w:tc>
          <w:tcPr>
            <w:tcW w:w="14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Advisory</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2,632,405 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2,615,047 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1,717,738 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53</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Commission:</w:t>
            </w:r>
          </w:p>
        </w:tc>
        <w:tc>
          <w:tcPr>
            <w:tcW w:w="14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Sales-based</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728,155 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705,415 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619,792 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17</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Trailing</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503,918 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486,619 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w:t>
            </w:r>
          </w:p>
        </w:tc>
        <w:tc>
          <w:tcPr>
            <w:tcW w:w="4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6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418,295 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20</w:t>
            </w:r>
          </w:p>
        </w:tc>
        <w:tc>
          <w:tcPr>
            <w:tcW w:w="1039" w:type="dxa"/>
            <w:tcBorders/>
            <w:shd w:fill="DBDBDB" w:val="clear"/>
            <w:tcMar>
              <w:top w:w="0" w:type="dxa"/>
              <w:left w:w="0" w:type="dxa"/>
              <w:bottom w:w="0" w:type="dxa"/>
              <w:right w:w="0" w:type="dxa"/>
            </w:tcMar>
            <w:vAlign w:val="center"/>
          </w:tcPr>
          <w:p>
            <w:pPr>
              <w:pStyle w:val="TableContents"/>
              <w:bidi w:val="0"/>
              <w:spacing w:lineRule="auto" w:line="240" w:before="0" w:after="283"/>
              <w:ind w:left="0" w:right="0" w:firstLine="54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Total commission</w:t>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1,232,073 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1,192,034 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1,038,087 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19</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Asset-based:</w:t>
            </w:r>
          </w:p>
        </w:tc>
        <w:tc>
          <w:tcPr>
            <w:tcW w:w="14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Client cash</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443,501 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445,325 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397,332 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12</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Other asset-based</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391,643 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375,480 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w:t>
            </w:r>
          </w:p>
        </w:tc>
        <w:tc>
          <w:tcPr>
            <w:tcW w:w="4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6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305,015 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28</w:t>
            </w:r>
          </w:p>
        </w:tc>
        <w:tc>
          <w:tcPr>
            <w:tcW w:w="1039" w:type="dxa"/>
            <w:tcBorders/>
            <w:shd w:fill="DBDBDB" w:val="clear"/>
            <w:tcMar>
              <w:top w:w="0" w:type="dxa"/>
              <w:left w:w="0" w:type="dxa"/>
              <w:bottom w:w="0" w:type="dxa"/>
              <w:right w:w="0" w:type="dxa"/>
            </w:tcMar>
            <w:vAlign w:val="center"/>
          </w:tcPr>
          <w:p>
            <w:pPr>
              <w:pStyle w:val="TableContents"/>
              <w:bidi w:val="0"/>
              <w:spacing w:lineRule="auto" w:line="240" w:before="0" w:after="283"/>
              <w:ind w:left="0" w:right="0" w:firstLine="54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Total asset-based</w:t>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835,144 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820,805 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702,347 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19</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Service and fee</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208,879 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210,984 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w:t>
            </w:r>
          </w:p>
        </w:tc>
        <w:tc>
          <w:tcPr>
            <w:tcW w:w="4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6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151,839 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38</w:t>
            </w:r>
          </w:p>
        </w:tc>
        <w:tc>
          <w:tcPr>
            <w:tcW w:w="1039" w:type="dxa"/>
            <w:tcBorders/>
            <w:shd w:fill="DBDBDB"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Transaction</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83,216 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80,542 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60,541 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37</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Interest income, net</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46,527 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45,180 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w:t>
            </w:r>
          </w:p>
        </w:tc>
        <w:tc>
          <w:tcPr>
            <w:tcW w:w="4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6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76,941 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(40</w:t>
            </w:r>
          </w:p>
        </w:tc>
        <w:tc>
          <w:tcPr>
            <w:tcW w:w="1039" w:type="dxa"/>
            <w:tcBorders/>
            <w:shd w:fill="DBDBDB"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Other</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148,379 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(26,158)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n/m</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87,532 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70</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72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Total revenue</w:t>
            </w:r>
          </w:p>
        </w:tc>
        <w:tc>
          <w:tcPr>
            <w:tcW w:w="13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5,186,623 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4,938,434 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w:t>
            </w:r>
          </w:p>
        </w:tc>
        <w:tc>
          <w:tcPr>
            <w:tcW w:w="4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6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3,835,025 </w:t>
            </w:r>
          </w:p>
        </w:tc>
        <w:tc>
          <w:tcPr>
            <w:tcW w:w="13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35</w:t>
            </w:r>
          </w:p>
        </w:tc>
        <w:tc>
          <w:tcPr>
            <w:tcW w:w="103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EXPENSE</w:t>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Advisory and commission</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3,507,164 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3,291,209 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w:t>
            </w:r>
          </w:p>
        </w:tc>
        <w:tc>
          <w:tcPr>
            <w:tcW w:w="4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6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2,483,165 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41</w:t>
            </w:r>
          </w:p>
        </w:tc>
        <w:tc>
          <w:tcPr>
            <w:tcW w:w="1039" w:type="dxa"/>
            <w:tcBorders/>
            <w:shd w:fill="DBDBDB"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Compensation and benefits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355,612 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368,740 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319,100 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11</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Promotional</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220,030 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208,400 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w:t>
            </w:r>
          </w:p>
        </w:tc>
        <w:tc>
          <w:tcPr>
            <w:tcW w:w="4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6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177,552 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24</w:t>
            </w:r>
          </w:p>
        </w:tc>
        <w:tc>
          <w:tcPr>
            <w:tcW w:w="1039" w:type="dxa"/>
            <w:tcBorders/>
            <w:shd w:fill="DBDBDB"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Occupancy and equipment</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125,542 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118,523 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81,443 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54</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Depreciation and amortization</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109,805 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105,751 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w:t>
            </w:r>
          </w:p>
        </w:tc>
        <w:tc>
          <w:tcPr>
            <w:tcW w:w="4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6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96,231 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14</w:t>
            </w:r>
          </w:p>
        </w:tc>
        <w:tc>
          <w:tcPr>
            <w:tcW w:w="1039" w:type="dxa"/>
            <w:tcBorders/>
            <w:shd w:fill="DBDBDB"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Interest expense on borrowings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101,502 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100,292 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105,636 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Amortization of other intangibles</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70,886 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67,230 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w:t>
            </w:r>
          </w:p>
        </w:tc>
        <w:tc>
          <w:tcPr>
            <w:tcW w:w="4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6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46,103 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54</w:t>
            </w:r>
          </w:p>
        </w:tc>
        <w:tc>
          <w:tcPr>
            <w:tcW w:w="1039" w:type="dxa"/>
            <w:tcBorders/>
            <w:shd w:fill="DBDBDB"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Brokerage, clearing and exchange</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52,018 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55,475 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43,290 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20</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Professional services</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50,757 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50,381 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w:t>
            </w:r>
          </w:p>
        </w:tc>
        <w:tc>
          <w:tcPr>
            <w:tcW w:w="4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6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41,092 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24</w:t>
            </w:r>
          </w:p>
        </w:tc>
        <w:tc>
          <w:tcPr>
            <w:tcW w:w="103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099"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ind w:left="0" w:right="0" w:firstLine="90"/>
              <w:jc w:val="left"/>
              <w:rPr>
                <w:sz w:val="4"/>
                <w:szCs w:val="4"/>
              </w:rPr>
            </w:pPr>
            <w:r>
              <w:rPr>
                <w:sz w:val="4"/>
                <w:szCs w:val="4"/>
              </w:rPr>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Communications and data processing</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26,200 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23,467 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12</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21,417 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22</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Other</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51,603 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64,382 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(20</w:t>
            </w:r>
          </w:p>
        </w:tc>
        <w:tc>
          <w:tcPr>
            <w:tcW w:w="4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6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51,192 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w:t>
            </w:r>
          </w:p>
        </w:tc>
        <w:tc>
          <w:tcPr>
            <w:tcW w:w="1039" w:type="dxa"/>
            <w:tcBorders/>
            <w:shd w:fill="DBDBDB" w:val="clear"/>
            <w:tcMar>
              <w:top w:w="0" w:type="dxa"/>
              <w:left w:w="0" w:type="dxa"/>
              <w:bottom w:w="0" w:type="dxa"/>
              <w:right w:w="0" w:type="dxa"/>
            </w:tcMar>
            <w:vAlign w:val="center"/>
          </w:tcPr>
          <w:p>
            <w:pPr>
              <w:pStyle w:val="TableContents"/>
              <w:bidi w:val="0"/>
              <w:spacing w:lineRule="auto" w:line="240" w:before="0" w:after="283"/>
              <w:ind w:left="0" w:right="0" w:firstLine="72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Total expense</w:t>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4,671,119 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4,453,850 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3,466,221 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35</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099"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90"/>
              <w:jc w:val="left"/>
              <w:rPr>
                <w:color w:val="000000"/>
              </w:rPr>
            </w:pPr>
            <w:r>
              <w:rPr>
                <w:color w:val="000000"/>
              </w:rPr>
              <w:t> </w:t>
            </w:r>
            <w:r>
              <w:rPr>
                <w:rFonts w:ascii="Tenorite;sans-serif" w:hAnsi="Tenorite;sans-serif"/>
                <w:b w:val="false"/>
                <w:color w:val="000000"/>
                <w:sz w:val="18"/>
              </w:rPr>
              <w:t xml:space="preserve">INCOME BEFORE PROVISION FOR INCOME TAXES </w:t>
            </w:r>
          </w:p>
        </w:tc>
        <w:tc>
          <w:tcPr>
            <w:tcW w:w="13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515,504 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484,584 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w:t>
            </w:r>
          </w:p>
        </w:tc>
        <w:tc>
          <w:tcPr>
            <w:tcW w:w="4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6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368,804 </w:t>
            </w:r>
          </w:p>
        </w:tc>
        <w:tc>
          <w:tcPr>
            <w:tcW w:w="13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40</w:t>
            </w:r>
          </w:p>
        </w:tc>
        <w:tc>
          <w:tcPr>
            <w:tcW w:w="103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enorite;sans-serif" w:hAnsi="Tenorite;sans-serif"/>
                <w:b w:val="false"/>
                <w:color w:val="000000"/>
                <w:sz w:val="18"/>
              </w:rPr>
            </w:pPr>
            <w:r>
              <w:rPr>
                <w:rFonts w:ascii="Tenorite;sans-serif" w:hAnsi="Tenorite;sans-serif"/>
                <w:b w:val="false"/>
                <w:color w:val="000000"/>
                <w:sz w:val="18"/>
              </w:rPr>
              <w:t>PROVISION FOR INCOME TAXES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136,243 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128,180 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95,555 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43</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0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val="false"/>
                <w:color w:val="000000"/>
                <w:sz w:val="18"/>
              </w:rPr>
            </w:pPr>
            <w:r>
              <w:rPr>
                <w:rFonts w:ascii="Tenorite;sans-serif" w:hAnsi="Tenorite;sans-serif"/>
                <w:b w:val="false"/>
                <w:color w:val="000000"/>
                <w:sz w:val="18"/>
              </w:rPr>
              <w:t>NET INCOME</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379,261 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356,404 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w:t>
            </w:r>
          </w:p>
        </w:tc>
        <w:tc>
          <w:tcPr>
            <w:tcW w:w="4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28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39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273,249 </w:t>
            </w:r>
          </w:p>
        </w:tc>
        <w:tc>
          <w:tcPr>
            <w:tcW w:w="13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39</w:t>
            </w:r>
          </w:p>
        </w:tc>
        <w:tc>
          <w:tcPr>
            <w:tcW w:w="103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val="false"/>
                <w:color w:val="000000"/>
                <w:sz w:val="18"/>
              </w:rPr>
            </w:pPr>
            <w:r>
              <w:rPr>
                <w:rFonts w:ascii="Tenorite;sans-serif" w:hAnsi="Tenorite;sans-serif"/>
                <w:b w:val="false"/>
                <w:color w:val="000000"/>
                <w:sz w:val="18"/>
              </w:rPr>
              <w:t xml:space="preserve">EARNINGS PER SHARE </w:t>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enorite;sans-serif" w:hAnsi="Tenorite;sans-serif"/>
                <w:b w:val="false"/>
                <w:color w:val="000000"/>
                <w:sz w:val="18"/>
              </w:rPr>
            </w:pPr>
            <w:r>
              <w:rPr>
                <w:rFonts w:ascii="Tenorite;sans-serif" w:hAnsi="Tenorite;sans-serif"/>
                <w:b w:val="false"/>
                <w:color w:val="000000"/>
                <w:sz w:val="18"/>
              </w:rPr>
              <w:t xml:space="preserve">Earnings per share, basic </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4.75 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4.45 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w:t>
            </w:r>
          </w:p>
        </w:tc>
        <w:tc>
          <w:tcPr>
            <w:tcW w:w="4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28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39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3.42 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39</w:t>
            </w:r>
          </w:p>
        </w:tc>
        <w:tc>
          <w:tcPr>
            <w:tcW w:w="103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enorite;sans-serif" w:hAnsi="Tenorite;sans-serif"/>
                <w:b w:val="false"/>
                <w:color w:val="000000"/>
                <w:sz w:val="18"/>
              </w:rPr>
            </w:pPr>
            <w:r>
              <w:rPr>
                <w:rFonts w:ascii="Tenorite;sans-serif" w:hAnsi="Tenorite;sans-serif"/>
                <w:b w:val="false"/>
                <w:color w:val="000000"/>
                <w:sz w:val="18"/>
              </w:rPr>
              <w:t>Earnings per share, diluted</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4.74 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4.43 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28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39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3.40 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39</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Weighted-average shares outstanding, basic</w:t>
            </w:r>
          </w:p>
        </w:tc>
        <w:tc>
          <w:tcPr>
            <w:tcW w:w="1461" w:type="dxa"/>
            <w:gridSpan w:val="3"/>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79,791</w:t>
            </w:r>
          </w:p>
        </w:tc>
        <w:tc>
          <w:tcPr>
            <w:tcW w:w="1461" w:type="dxa"/>
            <w:gridSpan w:val="3"/>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80,113</w:t>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811" w:type="dxa"/>
            <w:gridSpan w:val="3"/>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79,984</w:t>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39" w:type="dxa"/>
            <w:tcBorders/>
            <w:shd w:fill="DBDBDB"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Weighted-average shares outstanding, diluted</w:t>
            </w:r>
          </w:p>
        </w:tc>
        <w:tc>
          <w:tcPr>
            <w:tcW w:w="146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80,032</w:t>
            </w:r>
          </w:p>
        </w:tc>
        <w:tc>
          <w:tcPr>
            <w:tcW w:w="146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80,446</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81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80,373</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7955"/>
                <wp:effectExtent l="0" t="0" r="0" b="0"/>
                <wp:wrapNone/>
                <wp:docPr id="9"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5</w:t>
                      </w:r>
                    </w:p>
                  </w:txbxContent>
                </v:textbox>
                <w10:wrap type="none"/>
              </v:rect>
            </w:pict>
          </mc:Fallback>
        </mc:AlternateContent>
      </w:r>
    </w:p>
    <w:p>
      <w:pPr>
        <w:pStyle w:val="TextBody"/>
        <w:bidi w:val="0"/>
        <w:spacing w:lineRule="auto" w:line="288" w:before="60" w:after="283"/>
        <w:jc w:val="center"/>
        <w:rPr>
          <w:rFonts w:ascii="Tenorite;sans-serif" w:hAnsi="Tenorite;sans-serif"/>
          <w:b/>
          <w:color w:val="000000"/>
          <w:sz w:val="20"/>
        </w:rPr>
      </w:pPr>
      <w:r>
        <w:rPr>
          <w:rFonts w:ascii="Tenorite;sans-serif" w:hAnsi="Tenorite;sans-serif"/>
          <w:b/>
          <w:color w:val="000000"/>
          <w:sz w:val="20"/>
        </w:rPr>
        <w:t>LPL Financial Holdings Inc.</w:t>
      </w:r>
    </w:p>
    <w:p>
      <w:pPr>
        <w:pStyle w:val="TextBody"/>
        <w:bidi w:val="0"/>
        <w:spacing w:lineRule="auto" w:line="288" w:before="0" w:after="0"/>
        <w:jc w:val="center"/>
        <w:rPr>
          <w:rFonts w:ascii="Tenorite;sans-serif" w:hAnsi="Tenorite;sans-serif"/>
          <w:b/>
          <w:color w:val="000000"/>
          <w:sz w:val="20"/>
        </w:rPr>
      </w:pPr>
      <w:r>
        <w:rPr>
          <w:rFonts w:ascii="Tenorite;sans-serif" w:hAnsi="Tenorite;sans-serif"/>
          <w:b/>
          <w:color w:val="000000"/>
          <w:sz w:val="20"/>
        </w:rPr>
        <w:t>Condensed Consolidated Statements of Income</w:t>
      </w:r>
    </w:p>
    <w:p>
      <w:pPr>
        <w:pStyle w:val="TextBody"/>
        <w:bidi w:val="0"/>
        <w:spacing w:lineRule="auto" w:line="288" w:before="0" w:after="0"/>
        <w:jc w:val="center"/>
        <w:rPr>
          <w:rFonts w:ascii="Tenorite;sans-serif" w:hAnsi="Tenorite;sans-serif"/>
          <w:b/>
          <w:color w:val="000000"/>
          <w:sz w:val="20"/>
        </w:rPr>
      </w:pPr>
      <w:r>
        <w:rPr>
          <w:rFonts w:ascii="Tenorite;sans-serif" w:hAnsi="Tenorite;sans-serif"/>
          <w:b/>
          <w:color w:val="000000"/>
          <w:sz w:val="20"/>
        </w:rPr>
        <w:t>(In thousands, except per share data)</w:t>
      </w:r>
    </w:p>
    <w:p>
      <w:pPr>
        <w:pStyle w:val="TextBody"/>
        <w:bidi w:val="0"/>
        <w:spacing w:lineRule="auto" w:line="288" w:before="0" w:after="240"/>
        <w:jc w:val="center"/>
        <w:rPr>
          <w:rFonts w:ascii="Tenorite;sans-serif" w:hAnsi="Tenorite;sans-serif"/>
          <w:b/>
          <w:color w:val="000000"/>
          <w:sz w:val="20"/>
        </w:rPr>
      </w:pPr>
      <w:r>
        <w:rPr>
          <w:rFonts w:ascii="Tenorite;sans-serif" w:hAnsi="Tenorite;sans-serif"/>
          <w:b/>
          <w:color w:val="000000"/>
          <w:sz w:val="20"/>
        </w:rPr>
        <w:t>(Unaudited)</w:t>
      </w:r>
    </w:p>
    <w:tbl>
      <w:tblPr>
        <w:tblW w:w="8893" w:type="dxa"/>
        <w:jc w:val="left"/>
        <w:tblInd w:w="0" w:type="dxa"/>
        <w:tblLayout w:type="fixed"/>
        <w:tblCellMar>
          <w:top w:w="28" w:type="dxa"/>
          <w:left w:w="28" w:type="dxa"/>
          <w:bottom w:w="28" w:type="dxa"/>
          <w:right w:w="28" w:type="dxa"/>
        </w:tblCellMar>
      </w:tblPr>
      <w:tblGrid>
        <w:gridCol w:w="1635"/>
        <w:gridCol w:w="1433"/>
        <w:gridCol w:w="1446"/>
        <w:gridCol w:w="226"/>
        <w:gridCol w:w="1126"/>
        <w:gridCol w:w="109"/>
        <w:gridCol w:w="226"/>
        <w:gridCol w:w="1126"/>
        <w:gridCol w:w="109"/>
        <w:gridCol w:w="210"/>
        <w:gridCol w:w="211"/>
        <w:gridCol w:w="1036"/>
      </w:tblGrid>
      <w:tr>
        <w:trPr/>
        <w:tc>
          <w:tcPr>
            <w:tcW w:w="1635"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Six Months Ended</w:t>
            </w:r>
          </w:p>
        </w:tc>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June 30,</w:t>
            </w:r>
          </w:p>
        </w:tc>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2026</w:t>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2025</w:t>
            </w:r>
          </w:p>
        </w:tc>
        <w:tc>
          <w:tcPr>
            <w:tcW w:w="14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Change</w:t>
            </w:r>
          </w:p>
        </w:tc>
      </w:tr>
      <w:tr>
        <w:trPr/>
        <w:tc>
          <w:tcPr>
            <w:tcW w:w="45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REVENUE</w:t>
            </w:r>
          </w:p>
        </w:tc>
        <w:tc>
          <w:tcPr>
            <w:tcW w:w="14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Advisory</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5,247,452 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3,406,983 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54</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45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Commission:</w:t>
            </w:r>
          </w:p>
        </w:tc>
        <w:tc>
          <w:tcPr>
            <w:tcW w:w="14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Sales-based</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1,433,570 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1,229,830 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17</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45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Trailing</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990,537 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856,014 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16</w:t>
            </w:r>
          </w:p>
        </w:tc>
        <w:tc>
          <w:tcPr>
            <w:tcW w:w="1036" w:type="dxa"/>
            <w:tcBorders/>
            <w:shd w:fill="DBDBDB" w:val="clear"/>
            <w:tcMar>
              <w:top w:w="0" w:type="dxa"/>
              <w:left w:w="0" w:type="dxa"/>
              <w:bottom w:w="0" w:type="dxa"/>
              <w:right w:w="0" w:type="dxa"/>
            </w:tcMar>
            <w:vAlign w:val="center"/>
          </w:tcPr>
          <w:p>
            <w:pPr>
              <w:pStyle w:val="TableContents"/>
              <w:bidi w:val="0"/>
              <w:spacing w:lineRule="auto" w:line="240" w:before="0" w:after="283"/>
              <w:ind w:left="0" w:right="0" w:firstLine="54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Total commission</w:t>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2,424,107 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2,085,844 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16</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45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Asset-based:</w:t>
            </w:r>
          </w:p>
        </w:tc>
        <w:tc>
          <w:tcPr>
            <w:tcW w:w="14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Client cash</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888,826 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789,363 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13</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45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Other asset-based</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767,123 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608,225 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26</w:t>
            </w:r>
          </w:p>
        </w:tc>
        <w:tc>
          <w:tcPr>
            <w:tcW w:w="1036" w:type="dxa"/>
            <w:tcBorders/>
            <w:shd w:fill="DBDBDB" w:val="clear"/>
            <w:tcMar>
              <w:top w:w="0" w:type="dxa"/>
              <w:left w:w="0" w:type="dxa"/>
              <w:bottom w:w="0" w:type="dxa"/>
              <w:right w:w="0" w:type="dxa"/>
            </w:tcMar>
            <w:vAlign w:val="center"/>
          </w:tcPr>
          <w:p>
            <w:pPr>
              <w:pStyle w:val="TableContents"/>
              <w:bidi w:val="0"/>
              <w:spacing w:lineRule="auto" w:line="240" w:before="0" w:after="283"/>
              <w:ind w:left="0" w:right="0" w:firstLine="54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Total asset-based</w:t>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1,655,949 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1,397,588 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18</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45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Service and fee</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419,863 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297,038 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41</w:t>
            </w:r>
          </w:p>
        </w:tc>
        <w:tc>
          <w:tcPr>
            <w:tcW w:w="1036" w:type="dxa"/>
            <w:tcBorders/>
            <w:shd w:fill="DBDBDB"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Transaction</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163,758 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128,405 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28</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45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Interest income, net</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91,707 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120,792 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(24</w:t>
            </w:r>
          </w:p>
        </w:tc>
        <w:tc>
          <w:tcPr>
            <w:tcW w:w="1036" w:type="dxa"/>
            <w:tcBorders/>
            <w:shd w:fill="DBDBDB"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Other</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122,221 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68,382 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79</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72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45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Total revenue</w:t>
            </w:r>
          </w:p>
        </w:tc>
        <w:tc>
          <w:tcPr>
            <w:tcW w:w="13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10,125,057 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7,505,032 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35</w:t>
            </w:r>
          </w:p>
        </w:tc>
        <w:tc>
          <w:tcPr>
            <w:tcW w:w="103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EXPENSE</w:t>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5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Advisory and commission</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6,798,373 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4,837,090 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41</w:t>
            </w:r>
          </w:p>
        </w:tc>
        <w:tc>
          <w:tcPr>
            <w:tcW w:w="1036" w:type="dxa"/>
            <w:tcBorders/>
            <w:shd w:fill="DBDBDB"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Compensation and benefits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724,352 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624,646 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16</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45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Promotional</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428,430 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323,197 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33</w:t>
            </w:r>
          </w:p>
        </w:tc>
        <w:tc>
          <w:tcPr>
            <w:tcW w:w="1036" w:type="dxa"/>
            <w:tcBorders/>
            <w:shd w:fill="DBDBDB"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Occupancy and equipment</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244,065 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158,683 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54</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45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Depreciation and amortization</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215,556 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188,587 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14</w:t>
            </w:r>
          </w:p>
        </w:tc>
        <w:tc>
          <w:tcPr>
            <w:tcW w:w="1036" w:type="dxa"/>
            <w:tcBorders/>
            <w:shd w:fill="DBDBDB"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Interest expense on borrowings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201,794 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191,498 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45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Amortization of other intangibles</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138,116 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89,624 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54</w:t>
            </w:r>
          </w:p>
        </w:tc>
        <w:tc>
          <w:tcPr>
            <w:tcW w:w="1036" w:type="dxa"/>
            <w:tcBorders/>
            <w:shd w:fill="DBDBDB"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Brokerage, clearing and exchange</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107,493 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87,428 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23</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45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Professional services</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101,138 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77,418 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31</w:t>
            </w:r>
          </w:p>
        </w:tc>
        <w:tc>
          <w:tcPr>
            <w:tcW w:w="1036" w:type="dxa"/>
            <w:tcBorders/>
            <w:shd w:fill="DBDBDB"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Communications and data processing</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49,667 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40,923 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21</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45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Other</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115,985 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99,881 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16</w:t>
            </w:r>
          </w:p>
        </w:tc>
        <w:tc>
          <w:tcPr>
            <w:tcW w:w="1036" w:type="dxa"/>
            <w:tcBorders/>
            <w:shd w:fill="DBDBDB" w:val="clear"/>
            <w:tcMar>
              <w:top w:w="0" w:type="dxa"/>
              <w:left w:w="0" w:type="dxa"/>
              <w:bottom w:w="0" w:type="dxa"/>
              <w:right w:w="0" w:type="dxa"/>
            </w:tcMar>
            <w:vAlign w:val="center"/>
          </w:tcPr>
          <w:p>
            <w:pPr>
              <w:pStyle w:val="TableContents"/>
              <w:bidi w:val="0"/>
              <w:spacing w:lineRule="auto" w:line="240" w:before="0" w:after="283"/>
              <w:ind w:left="0" w:right="0" w:firstLine="72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Total expense</w:t>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9,124,969 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6,718,975 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36</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45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INCOME BEFORE PROVISION FOR INCOME TAXES</w:t>
            </w:r>
          </w:p>
        </w:tc>
        <w:tc>
          <w:tcPr>
            <w:tcW w:w="13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1,000,088 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786,057 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27</w:t>
            </w:r>
          </w:p>
        </w:tc>
        <w:tc>
          <w:tcPr>
            <w:tcW w:w="103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PROVISION FOR INCOME TAXES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264,423 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194,235 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36</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451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val="false"/>
                <w:color w:val="000000"/>
                <w:sz w:val="18"/>
              </w:rPr>
            </w:pPr>
            <w:r>
              <w:rPr>
                <w:rFonts w:ascii="Tenorite;sans-serif" w:hAnsi="Tenorite;sans-serif"/>
                <w:b w:val="false"/>
                <w:color w:val="000000"/>
                <w:sz w:val="18"/>
              </w:rPr>
              <w:t>NET INCOME</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735,665 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591,822 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24</w:t>
            </w:r>
          </w:p>
        </w:tc>
        <w:tc>
          <w:tcPr>
            <w:tcW w:w="103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EARNINGS PER SHARE</w:t>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5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Earnings per share, basic</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9.20 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20</w:t>
            </w:r>
          </w:p>
        </w:tc>
        <w:tc>
          <w:tcPr>
            <w:tcW w:w="1036" w:type="dxa"/>
            <w:tcBorders/>
            <w:shd w:fill="DBDBDB"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Earnings per share, diluted</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9.17 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7.61 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20</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45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Weighted-average shares outstanding, basic</w:t>
            </w:r>
          </w:p>
        </w:tc>
        <w:tc>
          <w:tcPr>
            <w:tcW w:w="1461" w:type="dxa"/>
            <w:gridSpan w:val="3"/>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79,951</w:t>
            </w:r>
          </w:p>
        </w:tc>
        <w:tc>
          <w:tcPr>
            <w:tcW w:w="1461" w:type="dxa"/>
            <w:gridSpan w:val="3"/>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77,307</w:t>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w:t>
            </w:r>
          </w:p>
        </w:tc>
        <w:tc>
          <w:tcPr>
            <w:tcW w:w="1036" w:type="dxa"/>
            <w:tcBorders/>
            <w:shd w:fill="DBDBDB"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Weighted-average shares outstanding, diluted</w:t>
            </w:r>
          </w:p>
        </w:tc>
        <w:tc>
          <w:tcPr>
            <w:tcW w:w="146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80,243</w:t>
            </w:r>
          </w:p>
        </w:tc>
        <w:tc>
          <w:tcPr>
            <w:tcW w:w="146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77,760</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7955"/>
                <wp:effectExtent l="0" t="0" r="0" b="0"/>
                <wp:wrapNone/>
                <wp:docPr id="10"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enorite;sans-serif" w:hAnsi="Tenorite;sans-serif"/>
          <w:b/>
          <w:color w:val="000000"/>
          <w:sz w:val="20"/>
        </w:rPr>
      </w:pPr>
      <w:r>
        <w:rPr>
          <w:rFonts w:ascii="Tenorite;sans-serif" w:hAnsi="Tenorite;sans-serif"/>
          <w:b/>
          <w:color w:val="000000"/>
          <w:sz w:val="20"/>
        </w:rPr>
        <w:t>LPL Financial Holdings Inc.</w:t>
      </w:r>
    </w:p>
    <w:p>
      <w:pPr>
        <w:pStyle w:val="TextBody"/>
        <w:bidi w:val="0"/>
        <w:spacing w:lineRule="auto" w:line="288" w:before="0" w:after="0"/>
        <w:jc w:val="center"/>
        <w:rPr>
          <w:rFonts w:ascii="Tenorite;sans-serif" w:hAnsi="Tenorite;sans-serif"/>
          <w:b/>
          <w:color w:val="000000"/>
          <w:sz w:val="20"/>
        </w:rPr>
      </w:pPr>
      <w:r>
        <w:rPr>
          <w:rFonts w:ascii="Tenorite;sans-serif" w:hAnsi="Tenorite;sans-serif"/>
          <w:b/>
          <w:color w:val="000000"/>
          <w:sz w:val="20"/>
        </w:rPr>
        <w:t>Condensed Consolidated Statements of Financial Condition</w:t>
      </w:r>
    </w:p>
    <w:p>
      <w:pPr>
        <w:pStyle w:val="TextBody"/>
        <w:bidi w:val="0"/>
        <w:spacing w:lineRule="auto" w:line="288" w:before="0" w:after="0"/>
        <w:jc w:val="center"/>
        <w:rPr>
          <w:rFonts w:ascii="Tenorite;sans-serif" w:hAnsi="Tenorite;sans-serif"/>
          <w:b/>
          <w:color w:val="000000"/>
          <w:sz w:val="20"/>
        </w:rPr>
      </w:pPr>
      <w:r>
        <w:rPr>
          <w:rFonts w:ascii="Tenorite;sans-serif" w:hAnsi="Tenorite;sans-serif"/>
          <w:b/>
          <w:color w:val="000000"/>
          <w:sz w:val="20"/>
        </w:rPr>
        <w:t>(In thousands, except share data)</w:t>
      </w:r>
    </w:p>
    <w:p>
      <w:pPr>
        <w:pStyle w:val="TextBody"/>
        <w:bidi w:val="0"/>
        <w:spacing w:lineRule="auto" w:line="288" w:before="0" w:after="240"/>
        <w:jc w:val="center"/>
        <w:rPr>
          <w:rFonts w:ascii="Tenorite;sans-serif" w:hAnsi="Tenorite;sans-serif"/>
          <w:b/>
          <w:color w:val="000000"/>
          <w:sz w:val="20"/>
        </w:rPr>
      </w:pPr>
      <w:r>
        <w:rPr>
          <w:rFonts w:ascii="Tenorite;sans-serif" w:hAnsi="Tenorite;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103"/>
        <w:gridCol w:w="1500"/>
        <w:gridCol w:w="1505"/>
        <w:gridCol w:w="226"/>
        <w:gridCol w:w="1246"/>
        <w:gridCol w:w="109"/>
        <w:gridCol w:w="228"/>
        <w:gridCol w:w="1257"/>
        <w:gridCol w:w="109"/>
        <w:gridCol w:w="231"/>
        <w:gridCol w:w="1276"/>
        <w:gridCol w:w="415"/>
      </w:tblGrid>
      <w:tr>
        <w:trPr/>
        <w:tc>
          <w:tcPr>
            <w:tcW w:w="2103"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5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June 30, 2026</w:t>
            </w:r>
          </w:p>
        </w:tc>
        <w:tc>
          <w:tcPr>
            <w:tcW w:w="15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March 31, 2026</w:t>
            </w:r>
          </w:p>
        </w:tc>
        <w:tc>
          <w:tcPr>
            <w:tcW w:w="19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December 31, 2025</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ASSETS</w:t>
            </w:r>
          </w:p>
        </w:tc>
      </w:tr>
      <w:tr>
        <w:trPr/>
        <w:tc>
          <w:tcPr>
            <w:tcW w:w="51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Cash and equivalents</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2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1,275,690 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25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1,024,459 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2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1,037,378 </w:t>
            </w:r>
          </w:p>
        </w:tc>
        <w:tc>
          <w:tcPr>
            <w:tcW w:w="4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Cash and equivalents segregated under federal or other regulations</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1,420,167 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1,655,723 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1,792,064 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Restricted cash</w:t>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232,889 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225,765 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225,298 </w:t>
            </w:r>
          </w:p>
        </w:tc>
        <w:tc>
          <w:tcPr>
            <w:tcW w:w="4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 xml:space="preserve">Receivables from clients, net </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994,139 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866,500 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803,206 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Receivables from brokers, dealers and clearing organizations</w:t>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244,302 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100,003 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70,897 </w:t>
            </w:r>
          </w:p>
        </w:tc>
        <w:tc>
          <w:tcPr>
            <w:tcW w:w="4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Advisor loans, net</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3,889,372 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3,741,085 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3,681,512 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Other receivables, net</w:t>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1,427,985 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1,359,790 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1,203,539 </w:t>
            </w:r>
          </w:p>
        </w:tc>
        <w:tc>
          <w:tcPr>
            <w:tcW w:w="4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val="false"/>
                <w:color w:val="000000"/>
                <w:sz w:val="18"/>
              </w:rPr>
            </w:pPr>
            <w:r>
              <w:rPr>
                <w:rFonts w:ascii="Tenorite;sans-serif" w:hAnsi="Tenorite;sans-serif"/>
                <w:b w:val="false"/>
                <w:color w:val="000000"/>
                <w:sz w:val="18"/>
              </w:rPr>
              <w:t>Investment securities ($188,006, $84,862, and $76,108 at fair value at June 30, 2026, March 31, 2026, and December 31, 2025, respectively)</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203,499 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100,322 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91,528 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Property and equipment, net</w:t>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1,569,647 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1,467,569 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1,409,376 </w:t>
            </w:r>
          </w:p>
        </w:tc>
        <w:tc>
          <w:tcPr>
            <w:tcW w:w="4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Goodwill</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2,681,661 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2,659,170 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2,644,723 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Other intangibles, net</w:t>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3,433,597 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3,413,946 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3,330,788 </w:t>
            </w:r>
          </w:p>
        </w:tc>
        <w:tc>
          <w:tcPr>
            <w:tcW w:w="4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Other assets</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2,418,172 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2,220,909 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2,202,444 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Total assets</w:t>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19,791,120 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25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18,835,241 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2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18,492,753 </w:t>
            </w:r>
          </w:p>
        </w:tc>
        <w:tc>
          <w:tcPr>
            <w:tcW w:w="41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LIABILITIES AND STOCKHOLDERS’ EQUITY</w:t>
            </w:r>
          </w:p>
        </w:tc>
      </w:tr>
      <w:tr>
        <w:trPr/>
        <w:tc>
          <w:tcPr>
            <w:tcW w:w="51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LIABILITIES:</w:t>
            </w:r>
          </w:p>
        </w:tc>
        <w:tc>
          <w:tcPr>
            <w:tcW w:w="15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Client payables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2,256,333 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2,116,992 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2,308,275 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Payables to brokers, dealers and clearing organizations</w:t>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599,397 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307,677 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150,520 </w:t>
            </w:r>
          </w:p>
        </w:tc>
        <w:tc>
          <w:tcPr>
            <w:tcW w:w="4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Accrued advisory and commission expenses payable</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381,255 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370,174 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361,623 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Corporate debt and other borrowings, net</w:t>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7,460,510 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7,182,102 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7,258,694 </w:t>
            </w:r>
          </w:p>
        </w:tc>
        <w:tc>
          <w:tcPr>
            <w:tcW w:w="4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Accounts payable and accrued liabilities</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812,156 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744,928 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821,641 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Other liabilities</w:t>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2,524,629 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2,427,666 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2,247,515 </w:t>
            </w:r>
          </w:p>
        </w:tc>
        <w:tc>
          <w:tcPr>
            <w:tcW w:w="415" w:type="dxa"/>
            <w:tcBorders/>
            <w:shd w:fill="DBDBDB"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Total liabilities</w:t>
            </w:r>
          </w:p>
        </w:tc>
        <w:tc>
          <w:tcPr>
            <w:tcW w:w="14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14,034,280 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13,149,539 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13,148,268 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STOCKHOLDERS’ EQUITY:</w:t>
            </w:r>
          </w:p>
        </w:tc>
        <w:tc>
          <w:tcPr>
            <w:tcW w:w="15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val="false"/>
                <w:color w:val="000000"/>
                <w:sz w:val="18"/>
              </w:rPr>
            </w:pPr>
            <w:r>
              <w:rPr>
                <w:rFonts w:ascii="Tenorite;sans-serif" w:hAnsi="Tenorite;sans-serif"/>
                <w:b w:val="false"/>
                <w:color w:val="000000"/>
                <w:sz w:val="18"/>
              </w:rPr>
              <w:t>Common stock, $0.001 par value; 600,000,000 shares authorized; 136,822,289, 136,811,280, and 136,637,544 shares issued at June 30, 2026, March 31, 2026, and December 31, 2025, respectively</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136 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Additional paid-in capital</w:t>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3,898,694 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3,870,612 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3,843,017 </w:t>
            </w:r>
          </w:p>
        </w:tc>
        <w:tc>
          <w:tcPr>
            <w:tcW w:w="4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val="false"/>
                <w:color w:val="000000"/>
                <w:sz w:val="18"/>
              </w:rPr>
            </w:pPr>
            <w:r>
              <w:rPr>
                <w:rFonts w:ascii="Tenorite;sans-serif" w:hAnsi="Tenorite;sans-serif"/>
                <w:b w:val="false"/>
                <w:color w:val="000000"/>
                <w:sz w:val="18"/>
              </w:rPr>
              <w:t>Treasury stock, at cost — 57,660,516, 56,622,578, and 56,576,672 shares at June 30, 2026, March 31, 2026, and December 31, 2025, respectively</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(4,664,666)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(4,352,434)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(4,333,725)</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Retained earnings</w:t>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6,522,675 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6,167,387 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5,835,057 </w:t>
            </w:r>
          </w:p>
        </w:tc>
        <w:tc>
          <w:tcPr>
            <w:tcW w:w="415" w:type="dxa"/>
            <w:tcBorders/>
            <w:shd w:fill="DBDBDB"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Total stockholders’ equity</w:t>
            </w:r>
          </w:p>
        </w:tc>
        <w:tc>
          <w:tcPr>
            <w:tcW w:w="14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5,756,840 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5,685,702 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5,344,485 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Total liabilities and stockholders’ equity</w:t>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19,791,120 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25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18,835,241 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2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18,492,753 </w:t>
            </w:r>
          </w:p>
        </w:tc>
        <w:tc>
          <w:tcPr>
            <w:tcW w:w="41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7955"/>
                <wp:effectExtent l="0" t="0" r="0" b="0"/>
                <wp:wrapNone/>
                <wp:docPr id="11"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7</w:t>
                      </w:r>
                    </w:p>
                  </w:txbxContent>
                </v:textbox>
                <w10:wrap type="none"/>
              </v:rect>
            </w:pict>
          </mc:Fallback>
        </mc:AlternateContent>
      </w:r>
    </w:p>
    <w:p>
      <w:pPr>
        <w:pStyle w:val="TextBody"/>
        <w:bidi w:val="0"/>
        <w:spacing w:lineRule="auto" w:line="288" w:before="0" w:after="0"/>
        <w:ind w:left="0" w:right="0" w:firstLine="720"/>
        <w:jc w:val="center"/>
        <w:rPr>
          <w:rFonts w:ascii="Tenorite;sans-serif" w:hAnsi="Tenorite;sans-serif"/>
          <w:b/>
          <w:color w:val="000000"/>
          <w:sz w:val="20"/>
        </w:rPr>
      </w:pPr>
      <w:r>
        <w:rPr>
          <w:rFonts w:ascii="Tenorite;sans-serif" w:hAnsi="Tenorite;sans-serif"/>
          <w:b/>
          <w:color w:val="000000"/>
          <w:sz w:val="20"/>
        </w:rPr>
        <w:t>LPL Financial Holdings Inc.</w:t>
      </w:r>
    </w:p>
    <w:p>
      <w:pPr>
        <w:pStyle w:val="TextBody"/>
        <w:bidi w:val="0"/>
        <w:spacing w:lineRule="auto" w:line="288" w:before="0" w:after="0"/>
        <w:jc w:val="center"/>
        <w:rPr>
          <w:rFonts w:ascii="Tenorite;sans-serif" w:hAnsi="Tenorite;sans-serif"/>
          <w:b/>
          <w:color w:val="000000"/>
          <w:sz w:val="20"/>
        </w:rPr>
      </w:pPr>
      <w:r>
        <w:rPr>
          <w:rFonts w:ascii="Tenorite;sans-serif" w:hAnsi="Tenorite;sans-serif"/>
          <w:b/>
          <w:color w:val="000000"/>
          <w:sz w:val="20"/>
        </w:rPr>
        <w:t>Management's Statements of Operations</w:t>
      </w:r>
    </w:p>
    <w:p>
      <w:pPr>
        <w:pStyle w:val="TextBody"/>
        <w:bidi w:val="0"/>
        <w:spacing w:lineRule="auto" w:line="288" w:before="0" w:after="0"/>
        <w:jc w:val="center"/>
        <w:rPr>
          <w:rFonts w:ascii="Tenorite;sans-serif" w:hAnsi="Tenorite;sans-serif"/>
          <w:b/>
          <w:color w:val="000000"/>
          <w:sz w:val="20"/>
        </w:rPr>
      </w:pPr>
      <w:r>
        <w:rPr>
          <w:rFonts w:ascii="Tenorite;sans-serif" w:hAnsi="Tenorite;sans-serif"/>
          <w:b/>
          <w:color w:val="000000"/>
          <w:sz w:val="20"/>
        </w:rPr>
        <w:t>(In thousands, except per share data)</w:t>
      </w:r>
    </w:p>
    <w:p>
      <w:pPr>
        <w:pStyle w:val="TextBody"/>
        <w:bidi w:val="0"/>
        <w:spacing w:lineRule="auto" w:line="288" w:before="0" w:after="240"/>
        <w:jc w:val="center"/>
        <w:rPr>
          <w:rFonts w:ascii="Tenorite;sans-serif" w:hAnsi="Tenorite;sans-serif"/>
          <w:b/>
          <w:color w:val="000000"/>
          <w:sz w:val="20"/>
        </w:rPr>
      </w:pPr>
      <w:r>
        <w:rPr>
          <w:rFonts w:ascii="Tenorite;sans-serif" w:hAnsi="Tenorite;sans-serif"/>
          <w:b/>
          <w:color w:val="000000"/>
          <w:sz w:val="20"/>
        </w:rPr>
        <w:t>(Unaudited)</w:t>
      </w:r>
    </w:p>
    <w:p>
      <w:pPr>
        <w:pStyle w:val="TextBody"/>
        <w:bidi w:val="0"/>
        <w:spacing w:lineRule="auto" w:line="288" w:before="240" w:after="240"/>
        <w:jc w:val="left"/>
        <w:rPr/>
      </w:pPr>
      <w:r>
        <w:rPr>
          <w:rFonts w:ascii="Tenorite;sans-serif" w:hAnsi="Tenorite;sans-serif"/>
          <w:b w:val="false"/>
          <w:color w:val="000000"/>
          <w:sz w:val="20"/>
        </w:rPr>
        <w:t xml:space="preserve">Certain information in this release is presented as reviewed by the Company’s management and includes information derived from the Company’s unaudited condensed consolidated statements of income, non-GAAP financial measures and operational and performance metrics. For information on non-GAAP financial measures, please see the section titled </w:t>
      </w:r>
      <w:r>
        <w:rPr>
          <w:rFonts w:ascii="Tenorite;sans-serif" w:hAnsi="Tenorite;sans-serif"/>
          <w:b w:val="false"/>
          <w:i/>
          <w:color w:val="000000"/>
          <w:sz w:val="20"/>
        </w:rPr>
        <w:t>"Non-GAAP Financial Measures"</w:t>
      </w:r>
      <w:r>
        <w:rPr>
          <w:color w:val="000000"/>
        </w:rPr>
        <w:t xml:space="preserve"> </w:t>
      </w:r>
      <w:r>
        <w:rPr>
          <w:rFonts w:ascii="Tenorite;sans-serif" w:hAnsi="Tenorite;sans-serif"/>
          <w:b w:val="false"/>
          <w:color w:val="000000"/>
          <w:sz w:val="20"/>
        </w:rPr>
        <w:t xml:space="preserve">in this release. </w:t>
      </w:r>
    </w:p>
    <w:tbl>
      <w:tblPr>
        <w:tblW w:w="10205" w:type="dxa"/>
        <w:jc w:val="left"/>
        <w:tblInd w:w="0" w:type="dxa"/>
        <w:tblLayout w:type="fixed"/>
        <w:tblCellMar>
          <w:top w:w="28" w:type="dxa"/>
          <w:left w:w="28" w:type="dxa"/>
          <w:bottom w:w="28" w:type="dxa"/>
          <w:right w:w="28" w:type="dxa"/>
        </w:tblCellMar>
      </w:tblPr>
      <w:tblGrid>
        <w:gridCol w:w="1580"/>
        <w:gridCol w:w="1108"/>
        <w:gridCol w:w="954"/>
        <w:gridCol w:w="226"/>
        <w:gridCol w:w="1126"/>
        <w:gridCol w:w="109"/>
        <w:gridCol w:w="226"/>
        <w:gridCol w:w="1126"/>
        <w:gridCol w:w="109"/>
        <w:gridCol w:w="233"/>
        <w:gridCol w:w="233"/>
        <w:gridCol w:w="492"/>
        <w:gridCol w:w="226"/>
        <w:gridCol w:w="1126"/>
        <w:gridCol w:w="109"/>
        <w:gridCol w:w="269"/>
        <w:gridCol w:w="272"/>
        <w:gridCol w:w="681"/>
      </w:tblGrid>
      <w:tr>
        <w:trPr/>
        <w:tc>
          <w:tcPr>
            <w:tcW w:w="158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3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Quarterly Results</w:t>
            </w:r>
          </w:p>
        </w:tc>
      </w:tr>
      <w:tr>
        <w:trPr/>
        <w:tc>
          <w:tcPr>
            <w:tcW w:w="3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Q2 2026</w:t>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Q1 2026</w:t>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Change</w:t>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Q2 2025</w:t>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Change</w:t>
            </w:r>
          </w:p>
        </w:tc>
      </w:tr>
      <w:tr>
        <w:trPr/>
        <w:tc>
          <w:tcPr>
            <w:tcW w:w="364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color w:val="000000"/>
                <w:sz w:val="18"/>
              </w:rPr>
              <w:t>Gross Profit</w:t>
            </w:r>
            <w:r>
              <w:rPr>
                <w:rFonts w:ascii="Tenorite;sans-serif" w:hAnsi="Tenorite;sans-serif"/>
                <w:b/>
                <w:color w:val="000000"/>
                <w:sz w:val="12"/>
              </w:rPr>
              <w:t>(5)</w:t>
            </w:r>
          </w:p>
        </w:tc>
        <w:tc>
          <w:tcPr>
            <w:tcW w:w="14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Advisory</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2,632,405 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2,615,047 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1,717,738 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53</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6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Trailing commissions</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503,918 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486,619 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w:t>
            </w:r>
          </w:p>
        </w:tc>
        <w:tc>
          <w:tcPr>
            <w:tcW w:w="4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418,295 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20</w:t>
            </w:r>
          </w:p>
        </w:tc>
        <w:tc>
          <w:tcPr>
            <w:tcW w:w="681" w:type="dxa"/>
            <w:tcBorders/>
            <w:shd w:fill="DBDBDB"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Sales-based commissions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728,155 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705,415 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619,792 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17</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6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Advisory fees and commissions</w:t>
            </w:r>
          </w:p>
        </w:tc>
        <w:tc>
          <w:tcPr>
            <w:tcW w:w="13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3,864,478 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3,807,081 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w:t>
            </w:r>
          </w:p>
        </w:tc>
        <w:tc>
          <w:tcPr>
            <w:tcW w:w="4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3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2,755,825 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40</w:t>
            </w:r>
          </w:p>
        </w:tc>
        <w:tc>
          <w:tcPr>
            <w:tcW w:w="6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enorite;sans-serif" w:hAnsi="Tenorite;sans-serif"/>
                <w:b w:val="false"/>
                <w:color w:val="000000"/>
                <w:sz w:val="18"/>
              </w:rPr>
              <w:t>Production-based payout</w:t>
            </w:r>
            <w:r>
              <w:rPr>
                <w:rFonts w:ascii="Tenorite;sans-serif" w:hAnsi="Tenorite;sans-serif"/>
                <w:b w:val="false"/>
                <w:color w:val="000000"/>
                <w:sz w:val="12"/>
              </w:rPr>
              <w:t>(6)</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(3,378,961)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(3,320,527)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(2,406,692)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40</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6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Advisory fees and commissions, net of payout</w:t>
            </w:r>
          </w:p>
        </w:tc>
        <w:tc>
          <w:tcPr>
            <w:tcW w:w="13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485,517 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486,554 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3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349,133 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39</w:t>
            </w:r>
          </w:p>
        </w:tc>
        <w:tc>
          <w:tcPr>
            <w:tcW w:w="6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enorite;sans-serif" w:hAnsi="Tenorite;sans-serif"/>
                <w:b w:val="false"/>
                <w:color w:val="000000"/>
                <w:sz w:val="18"/>
              </w:rPr>
              <w:t>Client cash</w:t>
            </w:r>
            <w:r>
              <w:rPr>
                <w:rFonts w:ascii="Tenorite;sans-serif" w:hAnsi="Tenorite;sans-serif"/>
                <w:b w:val="false"/>
                <w:color w:val="000000"/>
                <w:sz w:val="12"/>
              </w:rPr>
              <w:t>(7)</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456,945 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459,653 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413,516 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11</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642"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enorite;sans-serif" w:hAnsi="Tenorite;sans-serif"/>
                <w:b w:val="false"/>
                <w:color w:val="000000"/>
                <w:sz w:val="18"/>
              </w:rPr>
              <w:t>Other asset-based</w:t>
            </w:r>
            <w:r>
              <w:rPr>
                <w:rFonts w:ascii="Tenorite;sans-serif" w:hAnsi="Tenorite;sans-serif"/>
                <w:b w:val="false"/>
                <w:color w:val="000000"/>
                <w:sz w:val="12"/>
              </w:rPr>
              <w:t>(8)</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391,643 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375,480 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w:t>
            </w:r>
          </w:p>
        </w:tc>
        <w:tc>
          <w:tcPr>
            <w:tcW w:w="4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305,015 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28</w:t>
            </w:r>
          </w:p>
        </w:tc>
        <w:tc>
          <w:tcPr>
            <w:tcW w:w="681" w:type="dxa"/>
            <w:tcBorders/>
            <w:shd w:fill="DBDBDB"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Service and fee</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208,879 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210,984 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151,839 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38</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6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Transaction</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83,216 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80,542 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w:t>
            </w:r>
          </w:p>
        </w:tc>
        <w:tc>
          <w:tcPr>
            <w:tcW w:w="4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60,541 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37</w:t>
            </w:r>
          </w:p>
        </w:tc>
        <w:tc>
          <w:tcPr>
            <w:tcW w:w="6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enorite;sans-serif" w:hAnsi="Tenorite;sans-serif"/>
                <w:b w:val="false"/>
                <w:color w:val="000000"/>
                <w:sz w:val="18"/>
              </w:rPr>
              <w:t>Interest income, net</w:t>
            </w:r>
            <w:r>
              <w:rPr>
                <w:rFonts w:ascii="Tenorite;sans-serif" w:hAnsi="Tenorite;sans-serif"/>
                <w:b w:val="false"/>
                <w:color w:val="000000"/>
                <w:sz w:val="12"/>
              </w:rPr>
              <w:t>(9)</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33,027 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30,835 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60,738 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(46</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642"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enorite;sans-serif" w:hAnsi="Tenorite;sans-serif"/>
                <w:b w:val="false"/>
                <w:color w:val="000000"/>
                <w:sz w:val="18"/>
              </w:rPr>
              <w:t>Other revenue</w:t>
            </w:r>
            <w:r>
              <w:rPr>
                <w:rFonts w:ascii="Tenorite;sans-serif" w:hAnsi="Tenorite;sans-serif"/>
                <w:b w:val="false"/>
                <w:color w:val="000000"/>
                <w:sz w:val="12"/>
              </w:rPr>
              <w:t>(10)</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11,054 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4,138 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167</w:t>
            </w:r>
          </w:p>
        </w:tc>
        <w:tc>
          <w:tcPr>
            <w:tcW w:w="4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6,785 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63</w:t>
            </w:r>
          </w:p>
        </w:tc>
        <w:tc>
          <w:tcPr>
            <w:tcW w:w="681" w:type="dxa"/>
            <w:tcBorders/>
            <w:shd w:fill="DBDBDB"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Total net advisory fees and commissions and attachment revenue</w:t>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1,670,281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1,648,186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1,347,567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24</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6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Brokerage, clearing and exchange expense</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(52,018)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(55,475)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w:t>
            </w:r>
          </w:p>
        </w:tc>
        <w:tc>
          <w:tcPr>
            <w:tcW w:w="4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(43,290)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20</w:t>
            </w:r>
          </w:p>
        </w:tc>
        <w:tc>
          <w:tcPr>
            <w:tcW w:w="6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pPr>
            <w:r>
              <w:rPr>
                <w:rFonts w:ascii="Tenorite;sans-serif" w:hAnsi="Tenorite;sans-serif"/>
                <w:b/>
                <w:color w:val="000000"/>
                <w:sz w:val="18"/>
              </w:rPr>
              <w:t>Gross Profit</w:t>
            </w:r>
            <w:r>
              <w:rPr>
                <w:rFonts w:ascii="Tenorite;sans-serif" w:hAnsi="Tenorite;sans-serif"/>
                <w:b/>
                <w:color w:val="000000"/>
                <w:sz w:val="12"/>
              </w:rPr>
              <w:t>(5)</w:t>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1,618,263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1,592,711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1,304,277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24</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6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G&amp;A Expense</w:t>
            </w:r>
          </w:p>
        </w:tc>
        <w:tc>
          <w:tcPr>
            <w:tcW w:w="14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enorite;sans-serif" w:hAnsi="Tenorite;sans-serif"/>
                <w:b w:val="false"/>
                <w:color w:val="000000"/>
                <w:sz w:val="18"/>
              </w:rPr>
              <w:t>Core G&amp;A</w:t>
            </w:r>
            <w:r>
              <w:rPr>
                <w:rFonts w:ascii="Tenorite;sans-serif" w:hAnsi="Tenorite;sans-serif"/>
                <w:b w:val="false"/>
                <w:color w:val="000000"/>
                <w:sz w:val="12"/>
              </w:rPr>
              <w:t>(11)</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519,272 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532,049 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425,595 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22</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642"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enorite;sans-serif" w:hAnsi="Tenorite;sans-serif"/>
                <w:b w:val="false"/>
                <w:color w:val="000000"/>
                <w:sz w:val="18"/>
              </w:rPr>
              <w:t>Transition assistance loan amortization</w:t>
            </w:r>
            <w:r>
              <w:rPr>
                <w:rFonts w:ascii="Tenorite;sans-serif" w:hAnsi="Tenorite;sans-serif"/>
                <w:b w:val="false"/>
                <w:color w:val="000000"/>
                <w:sz w:val="12"/>
              </w:rPr>
              <w:t>(12)</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142,335 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135,982 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w:t>
            </w:r>
          </w:p>
        </w:tc>
        <w:tc>
          <w:tcPr>
            <w:tcW w:w="4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89,423 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59</w:t>
            </w:r>
          </w:p>
        </w:tc>
        <w:tc>
          <w:tcPr>
            <w:tcW w:w="6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enorite;sans-serif" w:hAnsi="Tenorite;sans-serif"/>
                <w:b w:val="false"/>
                <w:color w:val="000000"/>
                <w:sz w:val="18"/>
              </w:rPr>
              <w:t>Promotional (ongoing)</w:t>
            </w:r>
            <w:r>
              <w:rPr>
                <w:rFonts w:ascii="Tenorite;sans-serif" w:hAnsi="Tenorite;sans-serif"/>
                <w:b w:val="false"/>
                <w:color w:val="000000"/>
                <w:sz w:val="12"/>
              </w:rPr>
              <w:t>(12)(13)(14)</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79,123 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75,888 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74,152 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6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Employee share-based compensation</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22,701 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22,218 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w:t>
            </w:r>
          </w:p>
        </w:tc>
        <w:tc>
          <w:tcPr>
            <w:tcW w:w="4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19,504 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16</w:t>
            </w:r>
          </w:p>
        </w:tc>
        <w:tc>
          <w:tcPr>
            <w:tcW w:w="6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enorite;sans-serif" w:hAnsi="Tenorite;sans-serif"/>
                <w:b w:val="false"/>
                <w:color w:val="000000"/>
                <w:sz w:val="18"/>
              </w:rPr>
            </w:pPr>
            <w:r>
              <w:rPr>
                <w:rFonts w:ascii="Tenorite;sans-serif" w:hAnsi="Tenorite;sans-serif"/>
                <w:b w:val="false"/>
                <w:color w:val="000000"/>
                <w:sz w:val="18"/>
              </w:rPr>
              <w:t>Regulatory charges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9</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12</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642"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enorite;sans-serif" w:hAnsi="Tenorite;sans-serif"/>
                <w:b w:val="false"/>
                <w:color w:val="000000"/>
                <w:sz w:val="18"/>
              </w:rPr>
              <w:t>Acquisition costs excluding interest</w:t>
            </w:r>
            <w:r>
              <w:rPr>
                <w:rFonts w:ascii="Tenorite;sans-serif" w:hAnsi="Tenorite;sans-serif"/>
                <w:b w:val="false"/>
                <w:color w:val="000000"/>
                <w:sz w:val="12"/>
              </w:rPr>
              <w:t>(14)</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48,977 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61,216 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(20</w:t>
            </w:r>
          </w:p>
        </w:tc>
        <w:tc>
          <w:tcPr>
            <w:tcW w:w="4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71,562 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(32</w:t>
            </w:r>
          </w:p>
        </w:tc>
        <w:tc>
          <w:tcPr>
            <w:tcW w:w="681" w:type="dxa"/>
            <w:tcBorders/>
            <w:shd w:fill="DBDBDB"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Total G&amp;A</w:t>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820,566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834,854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687,503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19</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642"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364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color w:val="000000"/>
                <w:sz w:val="18"/>
              </w:rPr>
              <w:t>EBITDA</w:t>
            </w:r>
            <w:r>
              <w:rPr>
                <w:rFonts w:ascii="Tenorite;sans-serif" w:hAnsi="Tenorite;sans-serif"/>
                <w:b/>
                <w:color w:val="000000"/>
                <w:sz w:val="12"/>
              </w:rPr>
              <w:t>(15)</w:t>
            </w:r>
          </w:p>
        </w:tc>
        <w:tc>
          <w:tcPr>
            <w:tcW w:w="13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797,697</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757,857</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w:t>
            </w:r>
          </w:p>
        </w:tc>
        <w:tc>
          <w:tcPr>
            <w:tcW w:w="4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3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616,774</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29</w:t>
            </w:r>
          </w:p>
        </w:tc>
        <w:tc>
          <w:tcPr>
            <w:tcW w:w="6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enorite;sans-serif" w:hAnsi="Tenorite;sans-serif"/>
                <w:b w:val="false"/>
                <w:color w:val="000000"/>
                <w:sz w:val="18"/>
              </w:rPr>
              <w:t>Interest expense on borrowings</w:t>
            </w:r>
            <w:r>
              <w:rPr>
                <w:rFonts w:ascii="Tenorite;sans-serif" w:hAnsi="Tenorite;sans-serif"/>
                <w:b w:val="false"/>
                <w:color w:val="000000"/>
                <w:sz w:val="12"/>
              </w:rPr>
              <w:t>(16)</w:t>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101,502 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100,292 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102,323 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6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Depreciation and amortization</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109,805 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105,751 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w:t>
            </w:r>
          </w:p>
        </w:tc>
        <w:tc>
          <w:tcPr>
            <w:tcW w:w="4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96,231 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14</w:t>
            </w:r>
          </w:p>
        </w:tc>
        <w:tc>
          <w:tcPr>
            <w:tcW w:w="681" w:type="dxa"/>
            <w:tcBorders/>
            <w:shd w:fill="DBDBDB" w:val="clear"/>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Amortization of other intangibles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70,886 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67,230 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46,103 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54</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642"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enorite;sans-serif" w:hAnsi="Tenorite;sans-serif"/>
                <w:b w:val="false"/>
                <w:color w:val="000000"/>
                <w:sz w:val="18"/>
              </w:rPr>
              <w:t>Acquisition costs - interest</w:t>
            </w:r>
            <w:r>
              <w:rPr>
                <w:rFonts w:ascii="Tenorite;sans-serif" w:hAnsi="Tenorite;sans-serif"/>
                <w:b w:val="false"/>
                <w:color w:val="000000"/>
                <w:sz w:val="12"/>
              </w:rPr>
              <w:t>(14)</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3,313 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(100</w:t>
            </w:r>
          </w:p>
        </w:tc>
        <w:tc>
          <w:tcPr>
            <w:tcW w:w="6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color w:val="000000"/>
                <w:sz w:val="18"/>
              </w:rPr>
            </w:pPr>
            <w:r>
              <w:rPr>
                <w:rFonts w:ascii="Tenorite;sans-serif" w:hAnsi="Tenorite;sans-serif"/>
                <w:b/>
                <w:color w:val="000000"/>
                <w:sz w:val="18"/>
              </w:rPr>
              <w:t>INCOME BEFORE PROVISION FOR INCOME TAXES</w:t>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515,504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484,584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368,804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40</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64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val="false"/>
                <w:color w:val="000000"/>
                <w:sz w:val="18"/>
              </w:rPr>
            </w:pPr>
            <w:r>
              <w:rPr>
                <w:rFonts w:ascii="Tenorite;sans-serif" w:hAnsi="Tenorite;sans-serif"/>
                <w:b w:val="false"/>
                <w:color w:val="000000"/>
                <w:sz w:val="18"/>
              </w:rPr>
              <w:t>PROVISION FOR INCOME TAXES</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136,243 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128,180 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w:t>
            </w:r>
          </w:p>
        </w:tc>
        <w:tc>
          <w:tcPr>
            <w:tcW w:w="4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95,555 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43</w:t>
            </w:r>
          </w:p>
        </w:tc>
        <w:tc>
          <w:tcPr>
            <w:tcW w:w="6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color w:val="000000"/>
                <w:sz w:val="18"/>
              </w:rPr>
            </w:pPr>
            <w:r>
              <w:rPr>
                <w:rFonts w:ascii="Tenorite;sans-serif" w:hAnsi="Tenorite;sans-serif"/>
                <w:b/>
                <w:color w:val="000000"/>
                <w:sz w:val="18"/>
              </w:rPr>
              <w:t>NET INCOME</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379,261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356,404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273,249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39</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64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val="false"/>
                <w:color w:val="000000"/>
                <w:sz w:val="18"/>
              </w:rPr>
            </w:pPr>
            <w:r>
              <w:rPr>
                <w:rFonts w:ascii="Tenorite;sans-serif" w:hAnsi="Tenorite;sans-serif"/>
                <w:b w:val="false"/>
                <w:color w:val="000000"/>
                <w:sz w:val="18"/>
              </w:rPr>
              <w:t>Earnings per share, diluted</w:t>
            </w:r>
          </w:p>
        </w:tc>
        <w:tc>
          <w:tcPr>
            <w:tcW w:w="22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2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4.74 </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2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4.43 </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w:t>
            </w:r>
          </w:p>
        </w:tc>
        <w:tc>
          <w:tcPr>
            <w:tcW w:w="4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22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2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3.40 </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39</w:t>
            </w:r>
          </w:p>
        </w:tc>
        <w:tc>
          <w:tcPr>
            <w:tcW w:w="6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Weighted-average shares outstanding, diluted</w:t>
            </w:r>
          </w:p>
        </w:tc>
        <w:tc>
          <w:tcPr>
            <w:tcW w:w="14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80,032</w:t>
            </w:r>
          </w:p>
        </w:tc>
        <w:tc>
          <w:tcPr>
            <w:tcW w:w="14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80,446</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4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80,373</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64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val="false"/>
                <w:color w:val="000000"/>
                <w:sz w:val="18"/>
              </w:rPr>
              <w:t>Adjusted EBITDA</w:t>
            </w:r>
            <w:r>
              <w:rPr>
                <w:rFonts w:ascii="Tenorite;sans-serif" w:hAnsi="Tenorite;sans-serif"/>
                <w:b w:val="false"/>
                <w:color w:val="000000"/>
                <w:sz w:val="12"/>
              </w:rPr>
              <w:t>(15)</w:t>
            </w:r>
          </w:p>
        </w:tc>
        <w:tc>
          <w:tcPr>
            <w:tcW w:w="22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2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846,674 </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2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819,073 </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w:t>
            </w:r>
          </w:p>
        </w:tc>
        <w:tc>
          <w:tcPr>
            <w:tcW w:w="4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22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2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688,336 </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23</w:t>
            </w:r>
          </w:p>
        </w:tc>
        <w:tc>
          <w:tcPr>
            <w:tcW w:w="6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val="false"/>
                <w:color w:val="000000"/>
                <w:sz w:val="18"/>
              </w:rPr>
              <w:t>Adjusted pre-tax income</w:t>
            </w:r>
            <w:r>
              <w:rPr>
                <w:rFonts w:ascii="Tenorite;sans-serif" w:hAnsi="Tenorite;sans-serif"/>
                <w:b w:val="false"/>
                <w:color w:val="000000"/>
                <w:sz w:val="12"/>
              </w:rPr>
              <w:t>(17)</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635,367 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613,030 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489,782 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30</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r>
      <w:tr>
        <w:trPr/>
        <w:tc>
          <w:tcPr>
            <w:tcW w:w="364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val="false"/>
                <w:color w:val="000000"/>
                <w:sz w:val="18"/>
              </w:rPr>
              <w:t>Adjusted EPS</w:t>
            </w:r>
            <w:r>
              <w:rPr>
                <w:rFonts w:ascii="Tenorite;sans-serif" w:hAnsi="Tenorite;sans-serif"/>
                <w:b w:val="false"/>
                <w:color w:val="000000"/>
                <w:sz w:val="12"/>
              </w:rPr>
              <w:t>(18)</w:t>
            </w:r>
          </w:p>
        </w:tc>
        <w:tc>
          <w:tcPr>
            <w:tcW w:w="226"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26"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5.84 </w:t>
            </w:r>
          </w:p>
        </w:tc>
        <w:tc>
          <w:tcPr>
            <w:tcW w:w="109"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26"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5.60 </w:t>
            </w:r>
          </w:p>
        </w:tc>
        <w:tc>
          <w:tcPr>
            <w:tcW w:w="109"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w:t>
            </w:r>
          </w:p>
        </w:tc>
        <w:tc>
          <w:tcPr>
            <w:tcW w:w="4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226"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26"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4.51 </w:t>
            </w:r>
          </w:p>
        </w:tc>
        <w:tc>
          <w:tcPr>
            <w:tcW w:w="109"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29</w:t>
            </w:r>
          </w:p>
        </w:tc>
        <w:tc>
          <w:tcPr>
            <w:tcW w:w="6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7955"/>
                <wp:effectExtent l="0" t="0" r="0" b="0"/>
                <wp:wrapNone/>
                <wp:docPr id="12"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enorite;sans-serif" w:hAnsi="Tenorite;sans-serif"/>
          <w:b/>
          <w:color w:val="000000"/>
          <w:sz w:val="20"/>
        </w:rPr>
      </w:pPr>
      <w:r>
        <w:rPr>
          <w:rFonts w:ascii="Tenorite;sans-serif" w:hAnsi="Tenorite;sans-serif"/>
          <w:b/>
          <w:color w:val="000000"/>
          <w:sz w:val="20"/>
        </w:rPr>
        <w:t>LPL Financial Holdings Inc.</w:t>
      </w:r>
    </w:p>
    <w:p>
      <w:pPr>
        <w:pStyle w:val="TextBody"/>
        <w:bidi w:val="0"/>
        <w:spacing w:lineRule="auto" w:line="288" w:before="0" w:after="0"/>
        <w:jc w:val="center"/>
        <w:rPr>
          <w:rFonts w:ascii="Tenorite;sans-serif" w:hAnsi="Tenorite;sans-serif"/>
          <w:b/>
          <w:color w:val="000000"/>
          <w:sz w:val="20"/>
        </w:rPr>
      </w:pPr>
      <w:r>
        <w:rPr>
          <w:rFonts w:ascii="Tenorite;sans-serif" w:hAnsi="Tenorite;sans-serif"/>
          <w:b/>
          <w:color w:val="000000"/>
          <w:sz w:val="20"/>
        </w:rPr>
        <w:t>Operating Metrics</w:t>
      </w:r>
    </w:p>
    <w:p>
      <w:pPr>
        <w:pStyle w:val="TextBody"/>
        <w:bidi w:val="0"/>
        <w:spacing w:lineRule="auto" w:line="288" w:before="0" w:after="0"/>
        <w:jc w:val="center"/>
        <w:rPr>
          <w:rFonts w:ascii="Tenorite;sans-serif" w:hAnsi="Tenorite;sans-serif"/>
          <w:b/>
          <w:color w:val="000000"/>
          <w:sz w:val="20"/>
        </w:rPr>
      </w:pPr>
      <w:r>
        <w:rPr>
          <w:rFonts w:ascii="Tenorite;sans-serif" w:hAnsi="Tenorite;sans-serif"/>
          <w:b/>
          <w:color w:val="000000"/>
          <w:sz w:val="20"/>
        </w:rPr>
        <w:t>(Dollars in billions, except where noted)</w:t>
      </w:r>
    </w:p>
    <w:p>
      <w:pPr>
        <w:pStyle w:val="TextBody"/>
        <w:bidi w:val="0"/>
        <w:spacing w:lineRule="auto" w:line="288" w:before="0" w:after="240"/>
        <w:jc w:val="center"/>
        <w:rPr>
          <w:rFonts w:ascii="Tenorite;sans-serif" w:hAnsi="Tenorite;sans-serif"/>
          <w:b/>
          <w:color w:val="000000"/>
          <w:sz w:val="20"/>
        </w:rPr>
      </w:pPr>
      <w:r>
        <w:rPr>
          <w:rFonts w:ascii="Tenorite;sans-serif" w:hAnsi="Tenorite;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62"/>
        <w:gridCol w:w="1451"/>
        <w:gridCol w:w="1463"/>
        <w:gridCol w:w="226"/>
        <w:gridCol w:w="916"/>
        <w:gridCol w:w="109"/>
        <w:gridCol w:w="226"/>
        <w:gridCol w:w="916"/>
        <w:gridCol w:w="109"/>
        <w:gridCol w:w="295"/>
        <w:gridCol w:w="295"/>
        <w:gridCol w:w="296"/>
        <w:gridCol w:w="226"/>
        <w:gridCol w:w="916"/>
        <w:gridCol w:w="109"/>
        <w:gridCol w:w="288"/>
        <w:gridCol w:w="288"/>
        <w:gridCol w:w="414"/>
      </w:tblGrid>
      <w:tr>
        <w:trPr/>
        <w:tc>
          <w:tcPr>
            <w:tcW w:w="1662"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4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Q2 2026</w:t>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Q1 2026</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Change</w:t>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Q2 2025</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Change</w:t>
            </w:r>
          </w:p>
        </w:tc>
      </w:tr>
      <w:tr>
        <w:trPr/>
        <w:tc>
          <w:tcPr>
            <w:tcW w:w="4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Market Drivers</w:t>
            </w:r>
          </w:p>
        </w:tc>
        <w:tc>
          <w:tcPr>
            <w:tcW w:w="12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S&amp;P 500 Index (end of period)</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15%</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21%</w:t>
            </w:r>
          </w:p>
        </w:tc>
      </w:tr>
      <w:tr>
        <w:trPr/>
        <w:tc>
          <w:tcPr>
            <w:tcW w:w="4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Russell 2000 Index (end of period)</w:t>
            </w:r>
          </w:p>
        </w:tc>
        <w:tc>
          <w:tcPr>
            <w:tcW w:w="11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3,024 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2,496 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21%</w:t>
            </w:r>
          </w:p>
        </w:tc>
        <w:tc>
          <w:tcPr>
            <w:tcW w:w="11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2,175 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39%</w:t>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Fed Funds daily effective rate (average bps)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(1bps)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(70bps)</w:t>
            </w:r>
          </w:p>
        </w:tc>
      </w:tr>
      <w:tr>
        <w:trPr/>
        <w:tc>
          <w:tcPr>
            <w:tcW w:w="45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color w:val="000000"/>
                <w:sz w:val="18"/>
              </w:rPr>
              <w:t>Client Assets</w:t>
            </w:r>
            <w:r>
              <w:rPr>
                <w:rFonts w:ascii="Tenorite;sans-serif" w:hAnsi="Tenorite;sans-serif"/>
                <w:b/>
                <w:color w:val="000000"/>
                <w:sz w:val="12"/>
              </w:rPr>
              <w:t>(19)</w:t>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val="false"/>
                <w:color w:val="000000"/>
                <w:sz w:val="18"/>
              </w:rPr>
            </w:pPr>
            <w:r>
              <w:rPr>
                <w:rFonts w:ascii="Tenorite;sans-serif" w:hAnsi="Tenorite;sans-serif"/>
                <w:b w:val="false"/>
                <w:color w:val="000000"/>
                <w:sz w:val="18"/>
              </w:rPr>
              <w:t>Advisory</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1,548.4 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1,390.4 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11%</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1,060.7 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46%</w:t>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val="false"/>
                <w:color w:val="000000"/>
                <w:sz w:val="18"/>
              </w:rPr>
            </w:pPr>
            <w:r>
              <w:rPr>
                <w:rFonts w:ascii="Tenorite;sans-serif" w:hAnsi="Tenorite;sans-serif"/>
                <w:b w:val="false"/>
                <w:color w:val="000000"/>
                <w:sz w:val="18"/>
              </w:rPr>
              <w:t>Brokerage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945.9 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7%</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18%</w:t>
            </w:r>
          </w:p>
        </w:tc>
      </w:tr>
      <w:tr>
        <w:trPr/>
        <w:tc>
          <w:tcPr>
            <w:tcW w:w="4576"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enorite;sans-serif" w:hAnsi="Tenorite;sans-serif"/>
                <w:b/>
                <w:color w:val="000000"/>
                <w:sz w:val="18"/>
              </w:rPr>
            </w:pPr>
            <w:r>
              <w:rPr>
                <w:rFonts w:ascii="Tenorite;sans-serif" w:hAnsi="Tenorite;sans-serif"/>
                <w:b/>
                <w:color w:val="000000"/>
                <w:sz w:val="18"/>
              </w:rPr>
              <w:t>Total Client Assets</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2,562.7</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2,336.3</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10%</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1,919.2</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34%</w:t>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enorite;sans-serif" w:hAnsi="Tenorite;sans-serif"/>
                <w:b w:val="false"/>
                <w:color w:val="000000"/>
                <w:sz w:val="18"/>
              </w:rPr>
            </w:pPr>
            <w:r>
              <w:rPr>
                <w:rFonts w:ascii="Tenorite;sans-serif" w:hAnsi="Tenorite;sans-serif"/>
                <w:b w:val="false"/>
                <w:color w:val="000000"/>
                <w:sz w:val="18"/>
              </w:rPr>
              <w:t>Advisory as a % of Total Client Assets</w:t>
            </w:r>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60.4%</w:t>
            </w:r>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59.5%</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90bps</w:t>
            </w:r>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55.3%</w:t>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510bps</w:t>
            </w:r>
          </w:p>
        </w:tc>
      </w:tr>
      <w:tr>
        <w:trPr/>
        <w:tc>
          <w:tcPr>
            <w:tcW w:w="45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Assets by Platform</w:t>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val="false"/>
                <w:color w:val="000000"/>
                <w:sz w:val="18"/>
              </w:rPr>
              <w:t>Corporate RIA advisory</w:t>
            </w:r>
            <w:r>
              <w:rPr>
                <w:rFonts w:ascii="Tenorite;sans-serif" w:hAnsi="Tenorite;sans-serif"/>
                <w:b w:val="false"/>
                <w:color w:val="000000"/>
                <w:sz w:val="12"/>
              </w:rPr>
              <w:t>(20)</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1,190.8 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1,063.4 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12%</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766.4 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55%</w:t>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val="false"/>
                <w:color w:val="000000"/>
                <w:sz w:val="18"/>
              </w:rPr>
              <w:t>Independent RIA advisory</w:t>
            </w:r>
            <w:r>
              <w:rPr>
                <w:rFonts w:ascii="Tenorite;sans-serif" w:hAnsi="Tenorite;sans-serif"/>
                <w:b w:val="false"/>
                <w:color w:val="000000"/>
                <w:sz w:val="12"/>
              </w:rPr>
              <w:t>(20)</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9%</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22%</w:t>
            </w:r>
          </w:p>
        </w:tc>
      </w:tr>
      <w:tr>
        <w:trPr/>
        <w:tc>
          <w:tcPr>
            <w:tcW w:w="457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val="false"/>
                <w:color w:val="000000"/>
                <w:sz w:val="18"/>
              </w:rPr>
            </w:pPr>
            <w:r>
              <w:rPr>
                <w:rFonts w:ascii="Tenorite;sans-serif" w:hAnsi="Tenorite;sans-serif"/>
                <w:b w:val="false"/>
                <w:color w:val="000000"/>
                <w:sz w:val="18"/>
              </w:rPr>
              <w:t>Brokerage</w:t>
            </w:r>
          </w:p>
        </w:tc>
        <w:tc>
          <w:tcPr>
            <w:tcW w:w="11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1,014.3 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945.9 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7%</w:t>
            </w:r>
          </w:p>
        </w:tc>
        <w:tc>
          <w:tcPr>
            <w:tcW w:w="11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858.5 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18%</w:t>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enorite;sans-serif" w:hAnsi="Tenorite;sans-serif"/>
                <w:b/>
                <w:color w:val="000000"/>
                <w:sz w:val="18"/>
              </w:rPr>
            </w:pPr>
            <w:r>
              <w:rPr>
                <w:rFonts w:ascii="Tenorite;sans-serif" w:hAnsi="Tenorite;sans-serif"/>
                <w:b/>
                <w:color w:val="000000"/>
                <w:sz w:val="18"/>
              </w:rPr>
              <w:t>Total Client Assets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2,562.7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2,336.3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10%</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1,919.2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34%</w:t>
            </w:r>
          </w:p>
        </w:tc>
      </w:tr>
      <w:tr>
        <w:trPr/>
        <w:tc>
          <w:tcPr>
            <w:tcW w:w="45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Centrally Managed Assets</w:t>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val="false"/>
                <w:color w:val="000000"/>
                <w:sz w:val="18"/>
              </w:rPr>
              <w:t>Centrally managed assets</w:t>
            </w:r>
            <w:r>
              <w:rPr>
                <w:rFonts w:ascii="Tenorite;sans-serif" w:hAnsi="Tenorite;sans-serif"/>
                <w:b w:val="false"/>
                <w:color w:val="000000"/>
                <w:sz w:val="12"/>
              </w:rPr>
              <w:t xml:space="preserve">(21) </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245.6 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217.2 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13%</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183.5 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34%</w:t>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Centrally Managed as a % of Total Advisory Assets</w:t>
            </w:r>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15.9%</w:t>
            </w:r>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15.6%</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30bps</w:t>
            </w:r>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17.3%</w:t>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(140bps)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13"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enorite;sans-serif" w:hAnsi="Tenorite;sans-serif"/>
          <w:b/>
          <w:color w:val="000000"/>
          <w:sz w:val="20"/>
        </w:rPr>
      </w:pPr>
      <w:r>
        <w:rPr>
          <w:rFonts w:ascii="Tenorite;sans-serif" w:hAnsi="Tenorite;sans-serif"/>
          <w:b/>
          <w:color w:val="000000"/>
          <w:sz w:val="20"/>
        </w:rPr>
        <w:t>LPL Financial Holdings Inc.</w:t>
      </w:r>
    </w:p>
    <w:p>
      <w:pPr>
        <w:pStyle w:val="TextBody"/>
        <w:bidi w:val="0"/>
        <w:spacing w:lineRule="auto" w:line="288" w:before="0" w:after="0"/>
        <w:jc w:val="center"/>
        <w:rPr>
          <w:rFonts w:ascii="Tenorite;sans-serif" w:hAnsi="Tenorite;sans-serif"/>
          <w:b/>
          <w:color w:val="000000"/>
          <w:sz w:val="20"/>
        </w:rPr>
      </w:pPr>
      <w:r>
        <w:rPr>
          <w:rFonts w:ascii="Tenorite;sans-serif" w:hAnsi="Tenorite;sans-serif"/>
          <w:b/>
          <w:color w:val="000000"/>
          <w:sz w:val="20"/>
        </w:rPr>
        <w:t>Operating Metrics</w:t>
      </w:r>
    </w:p>
    <w:p>
      <w:pPr>
        <w:pStyle w:val="TextBody"/>
        <w:bidi w:val="0"/>
        <w:spacing w:lineRule="auto" w:line="288" w:before="0" w:after="0"/>
        <w:jc w:val="center"/>
        <w:rPr>
          <w:rFonts w:ascii="Tenorite;sans-serif" w:hAnsi="Tenorite;sans-serif"/>
          <w:b/>
          <w:color w:val="000000"/>
          <w:sz w:val="20"/>
        </w:rPr>
      </w:pPr>
      <w:r>
        <w:rPr>
          <w:rFonts w:ascii="Tenorite;sans-serif" w:hAnsi="Tenorite;sans-serif"/>
          <w:b/>
          <w:color w:val="000000"/>
          <w:sz w:val="20"/>
        </w:rPr>
        <w:t>(Dollars in billions, except where noted)</w:t>
      </w:r>
    </w:p>
    <w:p>
      <w:pPr>
        <w:pStyle w:val="TextBody"/>
        <w:bidi w:val="0"/>
        <w:spacing w:lineRule="auto" w:line="288" w:before="0" w:after="240"/>
        <w:jc w:val="center"/>
        <w:rPr>
          <w:rFonts w:ascii="Tenorite;sans-serif" w:hAnsi="Tenorite;sans-serif"/>
          <w:b/>
          <w:color w:val="000000"/>
          <w:sz w:val="20"/>
        </w:rPr>
      </w:pPr>
      <w:r>
        <w:rPr>
          <w:rFonts w:ascii="Tenorite;sans-serif" w:hAnsi="Tenorite;sans-serif"/>
          <w:b/>
          <w:color w:val="000000"/>
          <w:sz w:val="20"/>
        </w:rPr>
        <w:t>(Unaudited)</w:t>
      </w:r>
    </w:p>
    <w:tbl>
      <w:tblPr>
        <w:tblW w:w="8689" w:type="dxa"/>
        <w:jc w:val="center"/>
        <w:tblInd w:w="0" w:type="dxa"/>
        <w:tblLayout w:type="fixed"/>
        <w:tblCellMar>
          <w:top w:w="28" w:type="dxa"/>
          <w:left w:w="28" w:type="dxa"/>
          <w:bottom w:w="28" w:type="dxa"/>
          <w:right w:w="28" w:type="dxa"/>
        </w:tblCellMar>
      </w:tblPr>
      <w:tblGrid>
        <w:gridCol w:w="1473"/>
        <w:gridCol w:w="1291"/>
        <w:gridCol w:w="1300"/>
        <w:gridCol w:w="226"/>
        <w:gridCol w:w="601"/>
        <w:gridCol w:w="109"/>
        <w:gridCol w:w="226"/>
        <w:gridCol w:w="601"/>
        <w:gridCol w:w="109"/>
        <w:gridCol w:w="295"/>
        <w:gridCol w:w="295"/>
        <w:gridCol w:w="296"/>
        <w:gridCol w:w="226"/>
        <w:gridCol w:w="601"/>
        <w:gridCol w:w="109"/>
        <w:gridCol w:w="272"/>
        <w:gridCol w:w="272"/>
        <w:gridCol w:w="387"/>
      </w:tblGrid>
      <w:tr>
        <w:trPr/>
        <w:tc>
          <w:tcPr>
            <w:tcW w:w="147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Q2 2026</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Q1 2026</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Change</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Q2 2025</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Change</w:t>
            </w:r>
          </w:p>
        </w:tc>
      </w:tr>
      <w:tr>
        <w:trPr/>
        <w:tc>
          <w:tcPr>
            <w:tcW w:w="406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color w:val="000000"/>
                <w:sz w:val="18"/>
              </w:rPr>
              <w:t>Organic Net New Assets (NNA)</w:t>
            </w:r>
            <w:r>
              <w:rPr>
                <w:rFonts w:ascii="Tenorite;sans-serif" w:hAnsi="Tenorite;sans-serif"/>
                <w:b/>
                <w:color w:val="000000"/>
                <w:sz w:val="12"/>
              </w:rPr>
              <w:t>(22)</w:t>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val="false"/>
                <w:color w:val="000000"/>
                <w:sz w:val="18"/>
              </w:rPr>
            </w:pPr>
            <w:r>
              <w:rPr>
                <w:rFonts w:ascii="Tenorite;sans-serif" w:hAnsi="Tenorite;sans-serif"/>
                <w:b w:val="false"/>
                <w:color w:val="000000"/>
                <w:sz w:val="18"/>
              </w:rPr>
              <w:t>Advisory</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r>
      <w:tr>
        <w:trPr/>
        <w:tc>
          <w:tcPr>
            <w:tcW w:w="406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val="false"/>
                <w:color w:val="000000"/>
                <w:sz w:val="18"/>
              </w:rPr>
            </w:pPr>
            <w:r>
              <w:rPr>
                <w:rFonts w:ascii="Tenorite;sans-serif" w:hAnsi="Tenorite;sans-serif"/>
                <w:b w:val="false"/>
                <w:color w:val="000000"/>
                <w:sz w:val="18"/>
              </w:rPr>
              <w:t>Brokerage</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enorite;sans-serif" w:hAnsi="Tenorite;sans-serif"/>
                <w:b/>
                <w:color w:val="000000"/>
                <w:sz w:val="18"/>
              </w:rPr>
              <w:t>Total Organic NNA</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23.1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21.4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20.5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r>
      <w:tr>
        <w:trPr/>
        <w:tc>
          <w:tcPr>
            <w:tcW w:w="40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color w:val="000000"/>
                <w:sz w:val="18"/>
              </w:rPr>
              <w:t>Acquired NNA</w:t>
            </w:r>
            <w:r>
              <w:rPr>
                <w:rFonts w:ascii="Tenorite;sans-serif" w:hAnsi="Tenorite;sans-serif"/>
                <w:b/>
                <w:color w:val="000000"/>
                <w:sz w:val="12"/>
              </w:rPr>
              <w:t>(22)</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val="false"/>
                <w:color w:val="000000"/>
                <w:sz w:val="18"/>
              </w:rPr>
            </w:pPr>
            <w:r>
              <w:rPr>
                <w:rFonts w:ascii="Tenorite;sans-serif" w:hAnsi="Tenorite;sans-serif"/>
                <w:b w:val="false"/>
                <w:color w:val="000000"/>
                <w:sz w:val="18"/>
              </w:rPr>
              <w:t>Advisory</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60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60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60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val="false"/>
                <w:color w:val="000000"/>
                <w:sz w:val="18"/>
              </w:rPr>
            </w:pPr>
            <w:r>
              <w:rPr>
                <w:rFonts w:ascii="Tenorite;sans-serif" w:hAnsi="Tenorite;sans-serif"/>
                <w:b w:val="false"/>
                <w:color w:val="000000"/>
                <w:sz w:val="18"/>
              </w:rPr>
              <w:t>Brokerage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r>
      <w:tr>
        <w:trPr/>
        <w:tc>
          <w:tcPr>
            <w:tcW w:w="406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enorite;sans-serif" w:hAnsi="Tenorite;sans-serif"/>
                <w:b/>
                <w:color w:val="000000"/>
                <w:sz w:val="18"/>
              </w:rPr>
              <w:t>Total Acquired NNA</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60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0.5</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60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60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color w:val="000000"/>
                <w:sz w:val="18"/>
              </w:rPr>
              <w:t>Total NNA</w:t>
            </w:r>
            <w:r>
              <w:rPr>
                <w:rFonts w:ascii="Tenorite;sans-serif" w:hAnsi="Tenorite;sans-serif"/>
                <w:b/>
                <w:color w:val="000000"/>
                <w:sz w:val="12"/>
              </w:rPr>
              <w:t>(22)</w:t>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val="false"/>
                <w:color w:val="000000"/>
                <w:sz w:val="18"/>
              </w:rPr>
            </w:pPr>
            <w:r>
              <w:rPr>
                <w:rFonts w:ascii="Tenorite;sans-serif" w:hAnsi="Tenorite;sans-serif"/>
                <w:b w:val="false"/>
                <w:color w:val="000000"/>
                <w:sz w:val="18"/>
              </w:rPr>
              <w:t>Advisory</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r>
      <w:tr>
        <w:trPr/>
        <w:tc>
          <w:tcPr>
            <w:tcW w:w="406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val="false"/>
                <w:color w:val="000000"/>
                <w:sz w:val="18"/>
              </w:rPr>
            </w:pPr>
            <w:r>
              <w:rPr>
                <w:rFonts w:ascii="Tenorite;sans-serif" w:hAnsi="Tenorite;sans-serif"/>
                <w:b w:val="false"/>
                <w:color w:val="000000"/>
                <w:sz w:val="18"/>
              </w:rPr>
              <w:t>Brokerage</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color w:val="000000"/>
                <w:sz w:val="18"/>
              </w:rPr>
            </w:pPr>
            <w:r>
              <w:rPr>
                <w:rFonts w:ascii="Tenorite;sans-serif" w:hAnsi="Tenorite;sans-serif"/>
                <w:b/>
                <w:color w:val="000000"/>
                <w:sz w:val="18"/>
              </w:rPr>
              <w:t>Total NNA</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23.6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21.4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20.5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r>
      <w:tr>
        <w:trPr/>
        <w:tc>
          <w:tcPr>
            <w:tcW w:w="40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val="false"/>
                <w:color w:val="000000"/>
                <w:sz w:val="18"/>
              </w:rPr>
              <w:t>Net brokerage to advisory conversions</w:t>
            </w:r>
            <w:r>
              <w:rPr>
                <w:rFonts w:ascii="Tenorite;sans-serif" w:hAnsi="Tenorite;sans-serif"/>
                <w:b w:val="false"/>
                <w:color w:val="000000"/>
                <w:sz w:val="12"/>
              </w:rPr>
              <w:t>(23)</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r>
      <w:tr>
        <w:trPr/>
        <w:tc>
          <w:tcPr>
            <w:tcW w:w="406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val="false"/>
                <w:color w:val="000000"/>
                <w:sz w:val="18"/>
              </w:rPr>
              <w:t>Organic advisory NNA annualized growth</w:t>
            </w:r>
            <w:r>
              <w:rPr>
                <w:rFonts w:ascii="Tenorite;sans-serif" w:hAnsi="Tenorite;sans-serif"/>
                <w:b w:val="false"/>
                <w:color w:val="000000"/>
                <w:sz w:val="12"/>
              </w:rPr>
              <w:t>(24)</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8.7%</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7.4%</w:t>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9.5%</w:t>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val="false"/>
                <w:color w:val="000000"/>
                <w:sz w:val="18"/>
              </w:rPr>
              <w:t>Total organic NNA annualized growth</w:t>
            </w:r>
            <w:r>
              <w:rPr>
                <w:rFonts w:ascii="Tenorite;sans-serif" w:hAnsi="Tenorite;sans-serif"/>
                <w:b w:val="false"/>
                <w:color w:val="000000"/>
                <w:sz w:val="12"/>
              </w:rPr>
              <w:t>(24)</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4.0%</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3.6%</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4.6%</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r>
      <w:tr>
        <w:trPr/>
        <w:tc>
          <w:tcPr>
            <w:tcW w:w="40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color w:val="000000"/>
                <w:sz w:val="18"/>
              </w:rPr>
              <w:t>Total Organic Advisory NNA</w:t>
            </w:r>
            <w:r>
              <w:rPr>
                <w:rFonts w:ascii="Tenorite;sans-serif" w:hAnsi="Tenorite;sans-serif"/>
                <w:b/>
                <w:color w:val="000000"/>
                <w:sz w:val="12"/>
              </w:rPr>
              <w:t>(22)</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enorite;sans-serif" w:hAnsi="Tenorite;sans-serif"/>
                <w:b w:val="false"/>
                <w:color w:val="000000"/>
                <w:sz w:val="18"/>
              </w:rPr>
            </w:pPr>
            <w:r>
              <w:rPr>
                <w:rFonts w:ascii="Tenorite;sans-serif" w:hAnsi="Tenorite;sans-serif"/>
                <w:b w:val="false"/>
                <w:color w:val="000000"/>
                <w:sz w:val="18"/>
              </w:rPr>
              <w:t>Organic corporate RIA advisory</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60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27.9 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60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22.3 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60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24.8 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enorite;sans-serif" w:hAnsi="Tenorite;sans-serif"/>
                <w:b w:val="false"/>
                <w:color w:val="000000"/>
                <w:sz w:val="18"/>
              </w:rPr>
            </w:pPr>
            <w:r>
              <w:rPr>
                <w:rFonts w:ascii="Tenorite;sans-serif" w:hAnsi="Tenorite;sans-serif"/>
                <w:b w:val="false"/>
                <w:color w:val="000000"/>
                <w:sz w:val="18"/>
              </w:rPr>
              <w:t>Organic independent RIA advisory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r>
      <w:tr>
        <w:trPr/>
        <w:tc>
          <w:tcPr>
            <w:tcW w:w="406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color w:val="000000"/>
                <w:sz w:val="18"/>
              </w:rPr>
            </w:pPr>
            <w:r>
              <w:rPr>
                <w:rFonts w:ascii="Tenorite;sans-serif" w:hAnsi="Tenorite;sans-serif"/>
                <w:b/>
                <w:color w:val="000000"/>
                <w:sz w:val="18"/>
              </w:rPr>
              <w:t>Total Organic Advisory NNA</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60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30.2</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60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25.8</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60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23.1</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val="false"/>
                <w:color w:val="000000"/>
                <w:sz w:val="18"/>
              </w:rPr>
              <w:t>Organic centrally managed NNA</w:t>
            </w:r>
            <w:r>
              <w:rPr>
                <w:rFonts w:ascii="Tenorite;sans-serif" w:hAnsi="Tenorite;sans-serif"/>
                <w:b w:val="false"/>
                <w:color w:val="000000"/>
                <w:sz w:val="12"/>
              </w:rPr>
              <w:t>(22)</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r>
      <w:tr>
        <w:trPr/>
        <w:tc>
          <w:tcPr>
            <w:tcW w:w="40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val="false"/>
                <w:color w:val="000000"/>
                <w:sz w:val="18"/>
              </w:rPr>
              <w:t>Net buy (sell) activity</w:t>
            </w:r>
            <w:r>
              <w:rPr>
                <w:rFonts w:ascii="Tenorite;sans-serif" w:hAnsi="Tenorite;sans-serif"/>
                <w:b w:val="false"/>
                <w:color w:val="000000"/>
                <w:sz w:val="12"/>
              </w:rPr>
              <w:t xml:space="preserve">(25)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r>
    </w:tbl>
    <w:p>
      <w:pPr>
        <w:pStyle w:val="TextBody"/>
        <w:bidi w:val="0"/>
        <w:spacing w:lineRule="auto" w:line="288" w:before="0" w:after="240"/>
        <w:jc w:val="left"/>
        <w:rPr>
          <w:rFonts w:ascii="Tenorite;sans-serif" w:hAnsi="Tenorite;sans-serif"/>
          <w:b w:val="false"/>
          <w:color w:val="000000"/>
          <w:sz w:val="18"/>
        </w:rPr>
      </w:pPr>
      <w:r>
        <w:rPr>
          <w:rFonts w:ascii="Tenorite;sans-serif" w:hAnsi="Tenorite;sans-serif"/>
          <w:b w:val="false"/>
          <w:color w:val="000000"/>
          <w:sz w:val="18"/>
        </w:rPr>
        <w:t>Note: Totals may not foot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14"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enorite;sans-serif" w:hAnsi="Tenorite;sans-serif"/>
          <w:b/>
          <w:color w:val="000000"/>
          <w:sz w:val="20"/>
        </w:rPr>
      </w:pPr>
      <w:r>
        <w:rPr>
          <w:rFonts w:ascii="Tenorite;sans-serif" w:hAnsi="Tenorite;sans-serif"/>
          <w:b/>
          <w:color w:val="000000"/>
          <w:sz w:val="20"/>
        </w:rPr>
        <w:t>LPL Financial Holdings Inc.</w:t>
      </w:r>
    </w:p>
    <w:p>
      <w:pPr>
        <w:pStyle w:val="TextBody"/>
        <w:bidi w:val="0"/>
        <w:spacing w:lineRule="auto" w:line="288" w:before="0" w:after="0"/>
        <w:jc w:val="center"/>
        <w:rPr>
          <w:rFonts w:ascii="Tenorite;sans-serif" w:hAnsi="Tenorite;sans-serif"/>
          <w:b/>
          <w:color w:val="000000"/>
          <w:sz w:val="20"/>
        </w:rPr>
      </w:pPr>
      <w:r>
        <w:rPr>
          <w:rFonts w:ascii="Tenorite;sans-serif" w:hAnsi="Tenorite;sans-serif"/>
          <w:b/>
          <w:color w:val="000000"/>
          <w:sz w:val="20"/>
        </w:rPr>
        <w:t>Client Cash Data</w:t>
      </w:r>
    </w:p>
    <w:p>
      <w:pPr>
        <w:pStyle w:val="TextBody"/>
        <w:bidi w:val="0"/>
        <w:spacing w:lineRule="auto" w:line="288" w:before="0" w:after="0"/>
        <w:jc w:val="center"/>
        <w:rPr>
          <w:rFonts w:ascii="Tenorite;sans-serif" w:hAnsi="Tenorite;sans-serif"/>
          <w:b/>
          <w:color w:val="000000"/>
          <w:sz w:val="20"/>
        </w:rPr>
      </w:pPr>
      <w:r>
        <w:rPr>
          <w:rFonts w:ascii="Tenorite;sans-serif" w:hAnsi="Tenorite;sans-serif"/>
          <w:b/>
          <w:color w:val="000000"/>
          <w:sz w:val="20"/>
        </w:rPr>
        <w:t>(Dollars in thousands, except where noted)</w:t>
      </w:r>
    </w:p>
    <w:p>
      <w:pPr>
        <w:pStyle w:val="TextBody"/>
        <w:bidi w:val="0"/>
        <w:spacing w:lineRule="auto" w:line="288" w:before="0" w:after="240"/>
        <w:jc w:val="center"/>
        <w:rPr>
          <w:rFonts w:ascii="Tenorite;sans-serif" w:hAnsi="Tenorite;sans-serif"/>
          <w:b/>
          <w:color w:val="000000"/>
          <w:sz w:val="20"/>
        </w:rPr>
      </w:pPr>
      <w:r>
        <w:rPr>
          <w:rFonts w:ascii="Tenorite;sans-serif" w:hAnsi="Tenorite;sans-serif"/>
          <w:b/>
          <w:color w:val="000000"/>
          <w:sz w:val="20"/>
        </w:rPr>
        <w:t>(Unaudited)</w:t>
      </w:r>
    </w:p>
    <w:tbl>
      <w:tblPr>
        <w:tblW w:w="9424" w:type="dxa"/>
        <w:jc w:val="center"/>
        <w:tblInd w:w="0" w:type="dxa"/>
        <w:tblLayout w:type="fixed"/>
        <w:tblCellMar>
          <w:top w:w="28" w:type="dxa"/>
          <w:left w:w="28" w:type="dxa"/>
          <w:bottom w:w="28" w:type="dxa"/>
          <w:right w:w="28" w:type="dxa"/>
        </w:tblCellMar>
      </w:tblPr>
      <w:tblGrid>
        <w:gridCol w:w="1739"/>
        <w:gridCol w:w="1528"/>
        <w:gridCol w:w="1532"/>
        <w:gridCol w:w="226"/>
        <w:gridCol w:w="601"/>
        <w:gridCol w:w="109"/>
        <w:gridCol w:w="226"/>
        <w:gridCol w:w="601"/>
        <w:gridCol w:w="109"/>
        <w:gridCol w:w="295"/>
        <w:gridCol w:w="295"/>
        <w:gridCol w:w="296"/>
        <w:gridCol w:w="226"/>
        <w:gridCol w:w="601"/>
        <w:gridCol w:w="109"/>
        <w:gridCol w:w="272"/>
        <w:gridCol w:w="272"/>
        <w:gridCol w:w="387"/>
      </w:tblGrid>
      <w:tr>
        <w:trPr/>
        <w:tc>
          <w:tcPr>
            <w:tcW w:w="1739"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Q2 2026</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Q1 2026</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Change</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Q2 2025</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Change</w:t>
            </w:r>
          </w:p>
        </w:tc>
      </w:tr>
      <w:tr>
        <w:trPr/>
        <w:tc>
          <w:tcPr>
            <w:tcW w:w="47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color w:val="000000"/>
                <w:sz w:val="18"/>
              </w:rPr>
              <w:t>Client Cash Balances (in billions)</w:t>
            </w:r>
            <w:r>
              <w:rPr>
                <w:rFonts w:ascii="Tenorite;sans-serif" w:hAnsi="Tenorite;sans-serif"/>
                <w:b/>
                <w:color w:val="000000"/>
                <w:sz w:val="12"/>
              </w:rPr>
              <w:t>(26)</w:t>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Insured cash account sweep</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(4%)</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center"/>
              <w:rPr>
                <w:rFonts w:ascii="Tenorite;sans-serif" w:hAnsi="Tenorite;sans-serif"/>
                <w:b w:val="false"/>
                <w:color w:val="000000"/>
                <w:sz w:val="18"/>
              </w:rPr>
            </w:pPr>
            <w:r>
              <w:rPr>
                <w:rFonts w:ascii="Tenorite;sans-serif" w:hAnsi="Tenorite;sans-serif"/>
                <w:b w:val="false"/>
                <w:color w:val="000000"/>
                <w:sz w:val="18"/>
              </w:rPr>
              <w:t>12%</w:t>
            </w:r>
          </w:p>
        </w:tc>
      </w:tr>
      <w:tr>
        <w:trPr/>
        <w:tc>
          <w:tcPr>
            <w:tcW w:w="47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Deposit cash account sweep</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15.6 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15.9 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(2%)</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ind w:left="0" w:right="0" w:firstLine="90"/>
              <w:jc w:val="center"/>
              <w:rPr>
                <w:rFonts w:ascii="Tenorite;sans-serif" w:hAnsi="Tenorite;sans-serif"/>
                <w:b w:val="false"/>
                <w:color w:val="000000"/>
                <w:sz w:val="18"/>
              </w:rPr>
            </w:pPr>
            <w:r>
              <w:rPr>
                <w:rFonts w:ascii="Tenorite;sans-serif" w:hAnsi="Tenorite;sans-serif"/>
                <w:b w:val="false"/>
                <w:color w:val="000000"/>
                <w:sz w:val="18"/>
              </w:rPr>
              <w:t>44%</w:t>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Total Bank Sweep</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54.1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55.7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(3%)</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44.9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center"/>
              <w:rPr>
                <w:rFonts w:ascii="Tenorite;sans-serif" w:hAnsi="Tenorite;sans-serif"/>
                <w:b w:val="false"/>
                <w:color w:val="000000"/>
                <w:sz w:val="18"/>
              </w:rPr>
            </w:pPr>
            <w:r>
              <w:rPr>
                <w:rFonts w:ascii="Tenorite;sans-serif" w:hAnsi="Tenorite;sans-serif"/>
                <w:b w:val="false"/>
                <w:color w:val="000000"/>
                <w:sz w:val="18"/>
              </w:rPr>
              <w:t>20%</w:t>
            </w:r>
          </w:p>
        </w:tc>
      </w:tr>
      <w:tr>
        <w:trPr/>
        <w:tc>
          <w:tcPr>
            <w:tcW w:w="47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Money market sweep</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(27%)</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ind w:left="0" w:right="0" w:firstLine="90"/>
              <w:jc w:val="center"/>
              <w:rPr>
                <w:rFonts w:ascii="Tenorite;sans-serif" w:hAnsi="Tenorite;sans-serif"/>
                <w:b w:val="false"/>
                <w:color w:val="000000"/>
                <w:sz w:val="18"/>
              </w:rPr>
            </w:pPr>
            <w:r>
              <w:rPr>
                <w:rFonts w:ascii="Tenorite;sans-serif" w:hAnsi="Tenorite;sans-serif"/>
                <w:b w:val="false"/>
                <w:color w:val="000000"/>
                <w:sz w:val="18"/>
              </w:rPr>
              <w:t>(70%)</w:t>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Total Client Cash Sweep Held by Third Parties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55.2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57.2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(3%)</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48.6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14%</w:t>
            </w:r>
          </w:p>
        </w:tc>
      </w:tr>
      <w:tr>
        <w:trPr/>
        <w:tc>
          <w:tcPr>
            <w:tcW w:w="4799"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enorite;sans-serif" w:hAnsi="Tenorite;sans-serif"/>
                <w:b w:val="false"/>
                <w:color w:val="000000"/>
                <w:sz w:val="18"/>
              </w:rPr>
            </w:pPr>
            <w:r>
              <w:rPr>
                <w:rFonts w:ascii="Tenorite;sans-serif" w:hAnsi="Tenorite;sans-serif"/>
                <w:b w:val="false"/>
                <w:color w:val="000000"/>
                <w:sz w:val="18"/>
              </w:rPr>
              <w:t>Client cash account (CCA)</w:t>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(15%)</w:t>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(15%)</w:t>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Total Client Cash Balances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56.9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59.1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(4%)</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50.6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center"/>
              <w:rPr>
                <w:rFonts w:ascii="Tenorite;sans-serif" w:hAnsi="Tenorite;sans-serif"/>
                <w:b w:val="false"/>
                <w:color w:val="000000"/>
                <w:sz w:val="18"/>
              </w:rPr>
            </w:pPr>
            <w:r>
              <w:rPr>
                <w:rFonts w:ascii="Tenorite;sans-serif" w:hAnsi="Tenorite;sans-serif"/>
                <w:b w:val="false"/>
                <w:color w:val="000000"/>
                <w:sz w:val="18"/>
              </w:rPr>
              <w:t>12%</w:t>
            </w:r>
          </w:p>
        </w:tc>
      </w:tr>
      <w:tr>
        <w:trPr/>
        <w:tc>
          <w:tcPr>
            <w:tcW w:w="47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Client Cash Balances as a % of Total Assets</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2.2%</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2.5%</w:t>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(30bps)</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2.6%</w:t>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(40bps)</w:t>
            </w:r>
          </w:p>
        </w:tc>
      </w:tr>
    </w:tbl>
    <w:p>
      <w:pPr>
        <w:pStyle w:val="TextBody"/>
        <w:bidi w:val="0"/>
        <w:spacing w:lineRule="auto" w:line="288" w:before="0" w:after="240"/>
        <w:jc w:val="left"/>
        <w:rPr>
          <w:rFonts w:ascii="Tenorite;sans-serif" w:hAnsi="Tenorite;sans-serif"/>
          <w:b w:val="false"/>
          <w:color w:val="000000"/>
          <w:sz w:val="18"/>
        </w:rPr>
      </w:pPr>
      <w:r>
        <w:rPr>
          <w:rFonts w:ascii="Tenorite;sans-serif" w:hAnsi="Tenorite;sans-serif"/>
          <w:b w:val="false"/>
          <w:color w:val="000000"/>
          <w:sz w:val="18"/>
        </w:rPr>
        <w:t>Note: Totals may not foot due to rounding.</w:t>
      </w:r>
    </w:p>
    <w:tbl>
      <w:tblPr>
        <w:tblW w:w="10490" w:type="dxa"/>
        <w:jc w:val="center"/>
        <w:tblInd w:w="0" w:type="dxa"/>
        <w:tblLayout w:type="fixed"/>
        <w:tblCellMar>
          <w:top w:w="28" w:type="dxa"/>
          <w:left w:w="28" w:type="dxa"/>
          <w:bottom w:w="28" w:type="dxa"/>
          <w:right w:w="28" w:type="dxa"/>
        </w:tblCellMar>
      </w:tblPr>
      <w:tblGrid>
        <w:gridCol w:w="593"/>
        <w:gridCol w:w="521"/>
        <w:gridCol w:w="522"/>
        <w:gridCol w:w="226"/>
        <w:gridCol w:w="586"/>
        <w:gridCol w:w="109"/>
        <w:gridCol w:w="226"/>
        <w:gridCol w:w="946"/>
        <w:gridCol w:w="109"/>
        <w:gridCol w:w="326"/>
        <w:gridCol w:w="200"/>
        <w:gridCol w:w="201"/>
        <w:gridCol w:w="226"/>
        <w:gridCol w:w="586"/>
        <w:gridCol w:w="109"/>
        <w:gridCol w:w="226"/>
        <w:gridCol w:w="946"/>
        <w:gridCol w:w="109"/>
        <w:gridCol w:w="326"/>
        <w:gridCol w:w="200"/>
        <w:gridCol w:w="201"/>
        <w:gridCol w:w="226"/>
        <w:gridCol w:w="586"/>
        <w:gridCol w:w="109"/>
        <w:gridCol w:w="226"/>
        <w:gridCol w:w="946"/>
        <w:gridCol w:w="109"/>
        <w:gridCol w:w="337"/>
        <w:gridCol w:w="189"/>
        <w:gridCol w:w="268"/>
      </w:tblGrid>
      <w:tr>
        <w:trPr/>
        <w:tc>
          <w:tcPr>
            <w:tcW w:w="593"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enorite;sans-serif" w:hAnsi="Tenorite;sans-serif"/>
                <w:b/>
                <w:color w:val="000000"/>
                <w:sz w:val="16"/>
              </w:rPr>
            </w:pPr>
            <w:r>
              <w:rPr>
                <w:rFonts w:ascii="Tenorite;sans-serif" w:hAnsi="Tenorite;sans-serif"/>
                <w:b/>
                <w:color w:val="000000"/>
                <w:sz w:val="16"/>
              </w:rPr>
              <w:t>Three Months Ended</w:t>
            </w:r>
          </w:p>
        </w:tc>
      </w:tr>
      <w:tr>
        <w:trPr/>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6"/>
              </w:rPr>
            </w:pPr>
            <w:r>
              <w:rPr>
                <w:rFonts w:ascii="Tenorite;sans-serif" w:hAnsi="Tenorite;sans-serif"/>
                <w:b/>
                <w:color w:val="000000"/>
                <w:sz w:val="16"/>
              </w:rPr>
              <w:t>June 30, 2026</w:t>
            </w:r>
          </w:p>
        </w:tc>
        <w:tc>
          <w:tcPr>
            <w:tcW w:w="29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6"/>
              </w:rPr>
            </w:pPr>
            <w:r>
              <w:rPr>
                <w:rFonts w:ascii="Tenorite;sans-serif" w:hAnsi="Tenorite;sans-serif"/>
                <w:b/>
                <w:color w:val="000000"/>
                <w:sz w:val="16"/>
              </w:rPr>
              <w:t>March 31, 2026</w:t>
            </w:r>
          </w:p>
        </w:tc>
        <w:tc>
          <w:tcPr>
            <w:tcW w:w="29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6"/>
              </w:rPr>
            </w:pPr>
            <w:r>
              <w:rPr>
                <w:rFonts w:ascii="Tenorite;sans-serif" w:hAnsi="Tenorite;sans-serif"/>
                <w:b/>
                <w:color w:val="000000"/>
                <w:sz w:val="16"/>
              </w:rPr>
              <w:t>June 30, 2025</w:t>
            </w:r>
          </w:p>
        </w:tc>
      </w:tr>
      <w:tr>
        <w:trPr/>
        <w:tc>
          <w:tcPr>
            <w:tcW w:w="16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color w:val="000000"/>
                <w:sz w:val="16"/>
              </w:rPr>
            </w:pPr>
            <w:r>
              <w:rPr>
                <w:rFonts w:ascii="Tenorite;sans-serif" w:hAnsi="Tenorite;sans-serif"/>
                <w:b/>
                <w:color w:val="000000"/>
                <w:sz w:val="16"/>
              </w:rPr>
              <w:t>Interest-Earning Assets</w:t>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6"/>
              </w:rPr>
            </w:pPr>
            <w:r>
              <w:rPr>
                <w:rFonts w:ascii="Tenorite;sans-serif" w:hAnsi="Tenorite;sans-serif"/>
                <w:b/>
                <w:color w:val="000000"/>
                <w:sz w:val="16"/>
              </w:rPr>
              <w:t xml:space="preserve">Average Balance </w:t>
              <w:br/>
              <w:t>(in billions)</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6"/>
              </w:rPr>
            </w:pPr>
            <w:r>
              <w:rPr>
                <w:rFonts w:ascii="Tenorite;sans-serif" w:hAnsi="Tenorite;sans-serif"/>
                <w:b/>
                <w:color w:val="000000"/>
                <w:sz w:val="16"/>
              </w:rPr>
              <w:t>Revenue</w:t>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enorite;sans-serif" w:hAnsi="Tenorite;sans-serif"/>
                <w:b/>
                <w:color w:val="000000"/>
                <w:sz w:val="16"/>
              </w:rPr>
              <w:t>Net Yield (bps)</w:t>
            </w:r>
            <w:r>
              <w:rPr>
                <w:rFonts w:ascii="Tenorite;sans-serif" w:hAnsi="Tenorite;sans-serif"/>
                <w:b/>
                <w:color w:val="000000"/>
                <w:sz w:val="10"/>
              </w:rPr>
              <w:t>(27)</w:t>
            </w:r>
            <w:r>
              <w:rPr>
                <w:color w:val="000000"/>
              </w:rPr>
              <w:t xml:space="preserve"> </w:t>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6"/>
              </w:rPr>
            </w:pPr>
            <w:r>
              <w:rPr>
                <w:rFonts w:ascii="Tenorite;sans-serif" w:hAnsi="Tenorite;sans-serif"/>
                <w:b/>
                <w:color w:val="000000"/>
                <w:sz w:val="16"/>
              </w:rPr>
              <w:t xml:space="preserve">Average Balance </w:t>
              <w:br/>
              <w:t>(in billions)</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6"/>
              </w:rPr>
            </w:pPr>
            <w:r>
              <w:rPr>
                <w:rFonts w:ascii="Tenorite;sans-serif" w:hAnsi="Tenorite;sans-serif"/>
                <w:b/>
                <w:color w:val="000000"/>
                <w:sz w:val="16"/>
              </w:rPr>
              <w:t>Revenue</w:t>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enorite;sans-serif" w:hAnsi="Tenorite;sans-serif"/>
                <w:b/>
                <w:color w:val="000000"/>
                <w:sz w:val="16"/>
              </w:rPr>
              <w:t>Net Yield (bps)</w:t>
            </w:r>
            <w:r>
              <w:rPr>
                <w:rFonts w:ascii="Tenorite;sans-serif" w:hAnsi="Tenorite;sans-serif"/>
                <w:b/>
                <w:color w:val="000000"/>
                <w:sz w:val="10"/>
              </w:rPr>
              <w:t>(27)</w:t>
            </w:r>
            <w:r>
              <w:rPr>
                <w:color w:val="000000"/>
              </w:rPr>
              <w:t xml:space="preserve"> </w:t>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6"/>
              </w:rPr>
            </w:pPr>
            <w:r>
              <w:rPr>
                <w:rFonts w:ascii="Tenorite;sans-serif" w:hAnsi="Tenorite;sans-serif"/>
                <w:b/>
                <w:color w:val="000000"/>
                <w:sz w:val="16"/>
              </w:rPr>
              <w:t xml:space="preserve">Average Balance </w:t>
              <w:br/>
              <w:t>(in billions)</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6"/>
              </w:rPr>
            </w:pPr>
            <w:r>
              <w:rPr>
                <w:rFonts w:ascii="Tenorite;sans-serif" w:hAnsi="Tenorite;sans-serif"/>
                <w:b/>
                <w:color w:val="000000"/>
                <w:sz w:val="16"/>
              </w:rPr>
              <w:t>Revenue</w:t>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enorite;sans-serif" w:hAnsi="Tenorite;sans-serif"/>
                <w:b/>
                <w:color w:val="000000"/>
                <w:sz w:val="16"/>
              </w:rPr>
              <w:t>Net Yield (bps)</w:t>
            </w:r>
            <w:r>
              <w:rPr>
                <w:rFonts w:ascii="Tenorite;sans-serif" w:hAnsi="Tenorite;sans-serif"/>
                <w:b/>
                <w:color w:val="000000"/>
                <w:sz w:val="10"/>
              </w:rPr>
              <w:t>(27)</w:t>
            </w:r>
            <w:r>
              <w:rPr>
                <w:color w:val="000000"/>
              </w:rPr>
              <w:t xml:space="preserve"> </w:t>
            </w:r>
          </w:p>
        </w:tc>
      </w:tr>
      <w:tr>
        <w:trPr/>
        <w:tc>
          <w:tcPr>
            <w:tcW w:w="16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6"/>
              </w:rPr>
            </w:pPr>
            <w:r>
              <w:rPr>
                <w:rFonts w:ascii="Tenorite;sans-serif" w:hAnsi="Tenorite;sans-serif"/>
                <w:b w:val="false"/>
                <w:color w:val="000000"/>
                <w:sz w:val="16"/>
              </w:rPr>
              <w:t>Insured cash account sweep</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6"/>
              </w:rPr>
            </w:pPr>
            <w:r>
              <w:rPr>
                <w:rFonts w:ascii="Tenorite;sans-serif" w:hAnsi="Tenorite;sans-serif"/>
                <w:b w:val="false"/>
                <w:color w:val="000000"/>
                <w:sz w:val="16"/>
              </w:rPr>
              <w:t>$</w:t>
            </w:r>
          </w:p>
        </w:tc>
        <w:tc>
          <w:tcPr>
            <w:tcW w:w="5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37.7 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6"/>
              </w:rPr>
            </w:pPr>
            <w:r>
              <w:rPr>
                <w:rFonts w:ascii="Tenorite;sans-serif" w:hAnsi="Tenorite;sans-serif"/>
                <w:b w:val="false"/>
                <w:color w:val="000000"/>
                <w:sz w:val="16"/>
              </w:rPr>
              <w:t>$</w:t>
            </w:r>
          </w:p>
        </w:tc>
        <w:tc>
          <w:tcPr>
            <w:tcW w:w="9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315,814 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336 </w:t>
            </w:r>
          </w:p>
        </w:tc>
        <w:tc>
          <w:tcPr>
            <w:tcW w:w="2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6"/>
              </w:rPr>
            </w:pPr>
            <w:r>
              <w:rPr>
                <w:rFonts w:ascii="Tenorite;sans-serif" w:hAnsi="Tenorite;sans-serif"/>
                <w:b w:val="false"/>
                <w:color w:val="000000"/>
                <w:sz w:val="16"/>
              </w:rPr>
              <w:t>$</w:t>
            </w:r>
          </w:p>
        </w:tc>
        <w:tc>
          <w:tcPr>
            <w:tcW w:w="5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38.8 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6"/>
              </w:rPr>
            </w:pPr>
            <w:r>
              <w:rPr>
                <w:rFonts w:ascii="Tenorite;sans-serif" w:hAnsi="Tenorite;sans-serif"/>
                <w:b w:val="false"/>
                <w:color w:val="000000"/>
                <w:sz w:val="16"/>
              </w:rPr>
              <w:t>$</w:t>
            </w:r>
          </w:p>
        </w:tc>
        <w:tc>
          <w:tcPr>
            <w:tcW w:w="9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321,639 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336 </w:t>
            </w:r>
          </w:p>
        </w:tc>
        <w:tc>
          <w:tcPr>
            <w:tcW w:w="2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6"/>
              </w:rPr>
            </w:pPr>
            <w:r>
              <w:rPr>
                <w:rFonts w:ascii="Tenorite;sans-serif" w:hAnsi="Tenorite;sans-serif"/>
                <w:b w:val="false"/>
                <w:color w:val="000000"/>
                <w:sz w:val="16"/>
              </w:rPr>
              <w:t>$</w:t>
            </w:r>
          </w:p>
        </w:tc>
        <w:tc>
          <w:tcPr>
            <w:tcW w:w="5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34.4 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6"/>
              </w:rPr>
            </w:pPr>
            <w:r>
              <w:rPr>
                <w:rFonts w:ascii="Tenorite;sans-serif" w:hAnsi="Tenorite;sans-serif"/>
                <w:b w:val="false"/>
                <w:color w:val="000000"/>
                <w:sz w:val="16"/>
              </w:rPr>
              <w:t>$</w:t>
            </w:r>
          </w:p>
        </w:tc>
        <w:tc>
          <w:tcPr>
            <w:tcW w:w="9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293,420 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342 </w:t>
            </w:r>
          </w:p>
        </w:tc>
        <w:tc>
          <w:tcPr>
            <w:tcW w:w="2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6"/>
              </w:rPr>
            </w:pPr>
            <w:r>
              <w:rPr>
                <w:rFonts w:ascii="Tenorite;sans-serif" w:hAnsi="Tenorite;sans-serif"/>
                <w:b w:val="false"/>
                <w:color w:val="000000"/>
                <w:sz w:val="16"/>
              </w:rPr>
              <w:t>Deposit cash account sweep</w:t>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14.9</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126,571 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341 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14.6</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122,080 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338 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10.7</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101,298 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381 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enorite;sans-serif" w:hAnsi="Tenorite;sans-serif"/>
                <w:b/>
                <w:color w:val="000000"/>
                <w:sz w:val="16"/>
              </w:rPr>
              <w:t>Total Bank Sweep</w:t>
            </w:r>
          </w:p>
        </w:tc>
        <w:tc>
          <w:tcPr>
            <w:tcW w:w="9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color w:val="000000"/>
                <w:sz w:val="16"/>
              </w:rPr>
            </w:pPr>
            <w:r>
              <w:rPr>
                <w:rFonts w:ascii="Tenorite;sans-serif" w:hAnsi="Tenorite;sans-serif"/>
                <w:b/>
                <w:color w:val="000000"/>
                <w:sz w:val="16"/>
              </w:rPr>
              <w:t>52.6</w:t>
            </w:r>
          </w:p>
        </w:tc>
        <w:tc>
          <w:tcPr>
            <w:tcW w:w="117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6"/>
              </w:rPr>
              <w:t>442,385</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6"/>
              </w:rPr>
              <w:t>337</w:t>
            </w:r>
            <w:r>
              <w:rPr>
                <w:color w:val="000000"/>
              </w:rPr>
              <w:t> </w:t>
            </w:r>
          </w:p>
        </w:tc>
        <w:tc>
          <w:tcPr>
            <w:tcW w:w="2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color w:val="000000"/>
                <w:sz w:val="16"/>
              </w:rPr>
            </w:pPr>
            <w:r>
              <w:rPr>
                <w:rFonts w:ascii="Tenorite;sans-serif" w:hAnsi="Tenorite;sans-serif"/>
                <w:b/>
                <w:color w:val="000000"/>
                <w:sz w:val="16"/>
              </w:rPr>
              <w:t>53.4</w:t>
            </w:r>
          </w:p>
        </w:tc>
        <w:tc>
          <w:tcPr>
            <w:tcW w:w="117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6"/>
              </w:rPr>
              <w:t>443,719</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6"/>
              </w:rPr>
              <w:t>337</w:t>
            </w:r>
            <w:r>
              <w:rPr>
                <w:color w:val="000000"/>
              </w:rPr>
              <w:t> </w:t>
            </w:r>
          </w:p>
        </w:tc>
        <w:tc>
          <w:tcPr>
            <w:tcW w:w="2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color w:val="000000"/>
                <w:sz w:val="16"/>
              </w:rPr>
            </w:pPr>
            <w:r>
              <w:rPr>
                <w:rFonts w:ascii="Tenorite;sans-serif" w:hAnsi="Tenorite;sans-serif"/>
                <w:b/>
                <w:color w:val="000000"/>
                <w:sz w:val="16"/>
              </w:rPr>
              <w:t>45.1</w:t>
            </w:r>
          </w:p>
        </w:tc>
        <w:tc>
          <w:tcPr>
            <w:tcW w:w="117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6"/>
              </w:rPr>
              <w:t>394,718</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6"/>
              </w:rPr>
              <w:t>351</w:t>
            </w:r>
            <w:r>
              <w:rPr>
                <w:color w:val="000000"/>
              </w:rPr>
              <w:t> </w:t>
            </w:r>
          </w:p>
        </w:tc>
        <w:tc>
          <w:tcPr>
            <w:tcW w:w="2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6"/>
              </w:rPr>
            </w:pPr>
            <w:r>
              <w:rPr>
                <w:rFonts w:ascii="Tenorite;sans-serif" w:hAnsi="Tenorite;sans-serif"/>
                <w:b w:val="false"/>
                <w:color w:val="000000"/>
                <w:sz w:val="16"/>
              </w:rPr>
              <w:t>Money market sweep</w:t>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1.3</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35 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2.1</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1,606 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31 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4.0</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2,614 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26 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enorite;sans-serif" w:hAnsi="Tenorite;sans-serif"/>
                <w:b/>
                <w:color w:val="000000"/>
                <w:sz w:val="16"/>
              </w:rPr>
              <w:t xml:space="preserve">Total Client Cash Held By </w:t>
              <w:br/>
              <w:t>  Third Parties</w:t>
            </w:r>
          </w:p>
        </w:tc>
        <w:tc>
          <w:tcPr>
            <w:tcW w:w="9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color w:val="000000"/>
                <w:sz w:val="16"/>
              </w:rPr>
            </w:pPr>
            <w:r>
              <w:rPr>
                <w:rFonts w:ascii="Tenorite;sans-serif" w:hAnsi="Tenorite;sans-serif"/>
                <w:b/>
                <w:color w:val="000000"/>
                <w:sz w:val="16"/>
              </w:rPr>
              <w:t>53.9</w:t>
            </w:r>
          </w:p>
        </w:tc>
        <w:tc>
          <w:tcPr>
            <w:tcW w:w="117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6"/>
              </w:rPr>
              <w:t>443,501</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6"/>
              </w:rPr>
              <w:t>330</w:t>
            </w:r>
            <w:r>
              <w:rPr>
                <w:color w:val="000000"/>
              </w:rPr>
              <w:t> </w:t>
            </w:r>
          </w:p>
        </w:tc>
        <w:tc>
          <w:tcPr>
            <w:tcW w:w="2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color w:val="000000"/>
                <w:sz w:val="16"/>
              </w:rPr>
            </w:pPr>
            <w:r>
              <w:rPr>
                <w:rFonts w:ascii="Tenorite;sans-serif" w:hAnsi="Tenorite;sans-serif"/>
                <w:b/>
                <w:color w:val="000000"/>
                <w:sz w:val="16"/>
              </w:rPr>
              <w:t>55.5</w:t>
            </w:r>
          </w:p>
        </w:tc>
        <w:tc>
          <w:tcPr>
            <w:tcW w:w="117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6"/>
              </w:rPr>
              <w:t>445,325</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6"/>
              </w:rPr>
              <w:t>325</w:t>
            </w:r>
            <w:r>
              <w:rPr>
                <w:color w:val="000000"/>
              </w:rPr>
              <w:t> </w:t>
            </w:r>
          </w:p>
        </w:tc>
        <w:tc>
          <w:tcPr>
            <w:tcW w:w="2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color w:val="000000"/>
                <w:sz w:val="16"/>
              </w:rPr>
            </w:pPr>
            <w:r>
              <w:rPr>
                <w:rFonts w:ascii="Tenorite;sans-serif" w:hAnsi="Tenorite;sans-serif"/>
                <w:b/>
                <w:color w:val="000000"/>
                <w:sz w:val="16"/>
              </w:rPr>
              <w:t>49.1</w:t>
            </w:r>
          </w:p>
        </w:tc>
        <w:tc>
          <w:tcPr>
            <w:tcW w:w="117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6"/>
              </w:rPr>
              <w:t>397,332</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6"/>
              </w:rPr>
              <w:t>325</w:t>
            </w:r>
            <w:r>
              <w:rPr>
                <w:color w:val="000000"/>
              </w:rPr>
              <w:t> </w:t>
            </w:r>
          </w:p>
        </w:tc>
        <w:tc>
          <w:tcPr>
            <w:tcW w:w="2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val="false"/>
                <w:color w:val="000000"/>
                <w:sz w:val="16"/>
              </w:rPr>
            </w:pPr>
            <w:r>
              <w:rPr>
                <w:rFonts w:ascii="Tenorite;sans-serif" w:hAnsi="Tenorite;sans-serif"/>
                <w:b w:val="false"/>
                <w:color w:val="000000"/>
                <w:sz w:val="16"/>
              </w:rPr>
              <w:t>Client cash account (CCA)</w:t>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1.8</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13,444 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303 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1.9</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14,328 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299 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1.7</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16,184 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378 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enorite;sans-serif" w:hAnsi="Tenorite;sans-serif"/>
                <w:b/>
                <w:color w:val="000000"/>
                <w:sz w:val="16"/>
              </w:rPr>
              <w:t>Total Client Cash</w:t>
            </w:r>
          </w:p>
        </w:tc>
        <w:tc>
          <w:tcPr>
            <w:tcW w:w="9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color w:val="000000"/>
                <w:sz w:val="16"/>
              </w:rPr>
            </w:pPr>
            <w:r>
              <w:rPr>
                <w:rFonts w:ascii="Tenorite;sans-serif" w:hAnsi="Tenorite;sans-serif"/>
                <w:b/>
                <w:color w:val="000000"/>
                <w:sz w:val="16"/>
              </w:rPr>
              <w:t>55.7</w:t>
            </w:r>
          </w:p>
        </w:tc>
        <w:tc>
          <w:tcPr>
            <w:tcW w:w="117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6"/>
              </w:rPr>
              <w:t>456,945</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6"/>
              </w:rPr>
              <w:t>329</w:t>
            </w:r>
            <w:r>
              <w:rPr>
                <w:color w:val="000000"/>
              </w:rPr>
              <w:t> </w:t>
            </w:r>
          </w:p>
        </w:tc>
        <w:tc>
          <w:tcPr>
            <w:tcW w:w="2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color w:val="000000"/>
                <w:sz w:val="16"/>
              </w:rPr>
            </w:pPr>
            <w:r>
              <w:rPr>
                <w:rFonts w:ascii="Tenorite;sans-serif" w:hAnsi="Tenorite;sans-serif"/>
                <w:b/>
                <w:color w:val="000000"/>
                <w:sz w:val="16"/>
              </w:rPr>
              <w:t>57.4</w:t>
            </w:r>
          </w:p>
        </w:tc>
        <w:tc>
          <w:tcPr>
            <w:tcW w:w="117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6"/>
              </w:rPr>
              <w:t>459,653</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6"/>
              </w:rPr>
              <w:t>324</w:t>
            </w:r>
            <w:r>
              <w:rPr>
                <w:color w:val="000000"/>
              </w:rPr>
              <w:t> </w:t>
            </w:r>
          </w:p>
        </w:tc>
        <w:tc>
          <w:tcPr>
            <w:tcW w:w="2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color w:val="000000"/>
                <w:sz w:val="16"/>
              </w:rPr>
            </w:pPr>
            <w:r>
              <w:rPr>
                <w:rFonts w:ascii="Tenorite;sans-serif" w:hAnsi="Tenorite;sans-serif"/>
                <w:b/>
                <w:color w:val="000000"/>
                <w:sz w:val="16"/>
              </w:rPr>
              <w:t>50.8</w:t>
            </w:r>
          </w:p>
        </w:tc>
        <w:tc>
          <w:tcPr>
            <w:tcW w:w="117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6"/>
              </w:rPr>
              <w:t>413,516</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6"/>
              </w:rPr>
              <w:t>326</w:t>
            </w:r>
            <w:r>
              <w:rPr>
                <w:color w:val="000000"/>
              </w:rPr>
              <w:t> </w:t>
            </w:r>
          </w:p>
        </w:tc>
        <w:tc>
          <w:tcPr>
            <w:tcW w:w="2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6"/>
              </w:rPr>
            </w:pPr>
            <w:r>
              <w:rPr>
                <w:rFonts w:ascii="Tenorite;sans-serif" w:hAnsi="Tenorite;sans-serif"/>
                <w:b w:val="false"/>
                <w:color w:val="000000"/>
                <w:sz w:val="16"/>
              </w:rPr>
              <w:t>Margin receivables</w:t>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0.8</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15,602 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796 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0.8</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14,786 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792 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0.6</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12,080 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807 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6"/>
              </w:rPr>
            </w:pPr>
            <w:r>
              <w:rPr>
                <w:rFonts w:ascii="Tenorite;sans-serif" w:hAnsi="Tenorite;sans-serif"/>
                <w:b w:val="false"/>
                <w:color w:val="000000"/>
                <w:sz w:val="16"/>
              </w:rPr>
              <w:t>Other interest revenue</w:t>
            </w:r>
          </w:p>
        </w:tc>
        <w:tc>
          <w:tcPr>
            <w:tcW w:w="9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1.4</w:t>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17,425 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514 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1.2</w:t>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16,049 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528 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4.4</w:t>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48,658 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6"/>
              </w:rPr>
            </w:pPr>
            <w:r>
              <w:rPr>
                <w:rFonts w:ascii="Tenorite;sans-serif" w:hAnsi="Tenorite;sans-serif"/>
                <w:b w:val="false"/>
                <w:color w:val="000000"/>
                <w:sz w:val="16"/>
              </w:rPr>
              <w:t>448 </w:t>
            </w:r>
          </w:p>
        </w:tc>
        <w:tc>
          <w:tcPr>
            <w:tcW w:w="2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enorite;sans-serif" w:hAnsi="Tenorite;sans-serif"/>
                <w:b/>
                <w:color w:val="000000"/>
                <w:sz w:val="16"/>
              </w:rPr>
              <w:t xml:space="preserve">Total Client Cash and </w:t>
              <w:br/>
              <w:t>  Interest Income, Net</w:t>
            </w:r>
          </w:p>
        </w:tc>
        <w:tc>
          <w:tcPr>
            <w:tcW w:w="2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color w:val="000000"/>
                <w:sz w:val="16"/>
              </w:rPr>
            </w:pPr>
            <w:r>
              <w:rPr>
                <w:rFonts w:ascii="Tenorite;sans-serif" w:hAnsi="Tenorite;sans-serif"/>
                <w:b/>
                <w:color w:val="000000"/>
                <w:sz w:val="16"/>
              </w:rPr>
              <w:t>$</w:t>
            </w:r>
          </w:p>
        </w:tc>
        <w:tc>
          <w:tcPr>
            <w:tcW w:w="58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enorite;sans-serif" w:hAnsi="Tenorite;sans-serif"/>
                <w:b/>
                <w:color w:val="000000"/>
                <w:sz w:val="16"/>
              </w:rPr>
              <w:t>57.9</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color w:val="000000"/>
                <w:sz w:val="16"/>
              </w:rPr>
            </w:pPr>
            <w:r>
              <w:rPr>
                <w:rFonts w:ascii="Tenorite;sans-serif" w:hAnsi="Tenorite;sans-serif"/>
                <w:b/>
                <w:color w:val="000000"/>
                <w:sz w:val="16"/>
              </w:rPr>
              <w:t>$</w:t>
            </w:r>
          </w:p>
        </w:tc>
        <w:tc>
          <w:tcPr>
            <w:tcW w:w="9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enorite;sans-serif" w:hAnsi="Tenorite;sans-serif"/>
                <w:b/>
                <w:color w:val="000000"/>
                <w:sz w:val="16"/>
              </w:rPr>
              <w:t>489,972</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enorite;sans-serif" w:hAnsi="Tenorite;sans-serif"/>
                <w:b/>
                <w:color w:val="000000"/>
                <w:sz w:val="16"/>
              </w:rPr>
              <w:t>340</w:t>
            </w:r>
            <w:r>
              <w:rPr>
                <w:color w:val="000000"/>
              </w:rPr>
              <w:t> </w:t>
            </w:r>
          </w:p>
        </w:tc>
        <w:tc>
          <w:tcPr>
            <w:tcW w:w="20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color w:val="000000"/>
                <w:sz w:val="16"/>
              </w:rPr>
            </w:pPr>
            <w:r>
              <w:rPr>
                <w:rFonts w:ascii="Tenorite;sans-serif" w:hAnsi="Tenorite;sans-serif"/>
                <w:b/>
                <w:color w:val="000000"/>
                <w:sz w:val="16"/>
              </w:rPr>
              <w:t>$</w:t>
            </w:r>
          </w:p>
        </w:tc>
        <w:tc>
          <w:tcPr>
            <w:tcW w:w="58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enorite;sans-serif" w:hAnsi="Tenorite;sans-serif"/>
                <w:b/>
                <w:color w:val="000000"/>
                <w:sz w:val="16"/>
              </w:rPr>
              <w:t>59.4</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color w:val="000000"/>
                <w:sz w:val="16"/>
              </w:rPr>
            </w:pPr>
            <w:r>
              <w:rPr>
                <w:rFonts w:ascii="Tenorite;sans-serif" w:hAnsi="Tenorite;sans-serif"/>
                <w:b/>
                <w:color w:val="000000"/>
                <w:sz w:val="16"/>
              </w:rPr>
              <w:t>$</w:t>
            </w:r>
          </w:p>
        </w:tc>
        <w:tc>
          <w:tcPr>
            <w:tcW w:w="9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enorite;sans-serif" w:hAnsi="Tenorite;sans-serif"/>
                <w:b/>
                <w:color w:val="000000"/>
                <w:sz w:val="16"/>
              </w:rPr>
              <w:t>490,488</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enorite;sans-serif" w:hAnsi="Tenorite;sans-serif"/>
                <w:b/>
                <w:color w:val="000000"/>
                <w:sz w:val="16"/>
              </w:rPr>
              <w:t>334</w:t>
            </w:r>
            <w:r>
              <w:rPr>
                <w:color w:val="000000"/>
              </w:rPr>
              <w:t> </w:t>
            </w:r>
          </w:p>
        </w:tc>
        <w:tc>
          <w:tcPr>
            <w:tcW w:w="20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color w:val="000000"/>
                <w:sz w:val="16"/>
              </w:rPr>
            </w:pPr>
            <w:r>
              <w:rPr>
                <w:rFonts w:ascii="Tenorite;sans-serif" w:hAnsi="Tenorite;sans-serif"/>
                <w:b/>
                <w:color w:val="000000"/>
                <w:sz w:val="16"/>
              </w:rPr>
              <w:t>$</w:t>
            </w:r>
          </w:p>
        </w:tc>
        <w:tc>
          <w:tcPr>
            <w:tcW w:w="58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enorite;sans-serif" w:hAnsi="Tenorite;sans-serif"/>
                <w:b/>
                <w:color w:val="000000"/>
                <w:sz w:val="16"/>
              </w:rPr>
              <w:t>55.8</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color w:val="000000"/>
                <w:sz w:val="16"/>
              </w:rPr>
            </w:pPr>
            <w:r>
              <w:rPr>
                <w:rFonts w:ascii="Tenorite;sans-serif" w:hAnsi="Tenorite;sans-serif"/>
                <w:b/>
                <w:color w:val="000000"/>
                <w:sz w:val="16"/>
              </w:rPr>
              <w:t>$</w:t>
            </w:r>
          </w:p>
        </w:tc>
        <w:tc>
          <w:tcPr>
            <w:tcW w:w="9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enorite;sans-serif" w:hAnsi="Tenorite;sans-serif"/>
                <w:b/>
                <w:color w:val="000000"/>
                <w:sz w:val="16"/>
              </w:rPr>
              <w:t>474,254</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enorite;sans-serif" w:hAnsi="Tenorite;sans-serif"/>
                <w:b/>
                <w:color w:val="000000"/>
                <w:sz w:val="16"/>
              </w:rPr>
              <w:t>341</w:t>
            </w:r>
            <w:r>
              <w:rPr>
                <w:color w:val="000000"/>
              </w:rPr>
              <w:t> </w:t>
            </w:r>
          </w:p>
        </w:tc>
        <w:tc>
          <w:tcPr>
            <w:tcW w:w="26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enorite;sans-serif" w:hAnsi="Tenorite;sans-serif"/>
          <w:b w:val="false"/>
          <w:color w:val="000000"/>
          <w:sz w:val="18"/>
        </w:rPr>
      </w:pPr>
      <w:r>
        <w:rPr>
          <w:rFonts w:ascii="Tenorite;sans-serif" w:hAnsi="Tenorite;sans-serif"/>
          <w:b w:val="false"/>
          <w:color w:val="000000"/>
          <w:sz w:val="18"/>
        </w:rPr>
        <w:t>Note: Totals may not foot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15"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enorite;sans-serif" w:hAnsi="Tenorite;sans-serif"/>
          <w:b/>
          <w:color w:val="000000"/>
          <w:sz w:val="20"/>
        </w:rPr>
      </w:pPr>
      <w:r>
        <w:rPr>
          <w:rFonts w:ascii="Tenorite;sans-serif" w:hAnsi="Tenorite;sans-serif"/>
          <w:b/>
          <w:color w:val="000000"/>
          <w:sz w:val="20"/>
        </w:rPr>
        <w:t>LPL Financial Holdings Inc.</w:t>
      </w:r>
    </w:p>
    <w:p>
      <w:pPr>
        <w:pStyle w:val="TextBody"/>
        <w:bidi w:val="0"/>
        <w:spacing w:lineRule="auto" w:line="288" w:before="0" w:after="0"/>
        <w:jc w:val="center"/>
        <w:rPr>
          <w:rFonts w:ascii="Tenorite;sans-serif" w:hAnsi="Tenorite;sans-serif"/>
          <w:b/>
          <w:color w:val="000000"/>
          <w:sz w:val="20"/>
        </w:rPr>
      </w:pPr>
      <w:r>
        <w:rPr>
          <w:rFonts w:ascii="Tenorite;sans-serif" w:hAnsi="Tenorite;sans-serif"/>
          <w:b/>
          <w:color w:val="000000"/>
          <w:sz w:val="20"/>
        </w:rPr>
        <w:t>Monthly Metrics</w:t>
      </w:r>
    </w:p>
    <w:p>
      <w:pPr>
        <w:pStyle w:val="TextBody"/>
        <w:bidi w:val="0"/>
        <w:spacing w:lineRule="auto" w:line="288" w:before="0" w:after="0"/>
        <w:jc w:val="center"/>
        <w:rPr>
          <w:rFonts w:ascii="Tenorite;sans-serif" w:hAnsi="Tenorite;sans-serif"/>
          <w:b/>
          <w:color w:val="000000"/>
          <w:sz w:val="20"/>
        </w:rPr>
      </w:pPr>
      <w:r>
        <w:rPr>
          <w:rFonts w:ascii="Tenorite;sans-serif" w:hAnsi="Tenorite;sans-serif"/>
          <w:b/>
          <w:color w:val="000000"/>
          <w:sz w:val="20"/>
        </w:rPr>
        <w:t>(Dollars in billions, except where noted)</w:t>
      </w:r>
    </w:p>
    <w:p>
      <w:pPr>
        <w:pStyle w:val="TextBody"/>
        <w:bidi w:val="0"/>
        <w:spacing w:lineRule="auto" w:line="288" w:before="0" w:after="240"/>
        <w:jc w:val="center"/>
        <w:rPr>
          <w:rFonts w:ascii="Tenorite;sans-serif" w:hAnsi="Tenorite;sans-serif"/>
          <w:b/>
          <w:color w:val="000000"/>
          <w:sz w:val="20"/>
        </w:rPr>
      </w:pPr>
      <w:r>
        <w:rPr>
          <w:rFonts w:ascii="Tenorite;sans-serif" w:hAnsi="Tenorite;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23"/>
        <w:gridCol w:w="1247"/>
        <w:gridCol w:w="1252"/>
        <w:gridCol w:w="226"/>
        <w:gridCol w:w="916"/>
        <w:gridCol w:w="109"/>
        <w:gridCol w:w="226"/>
        <w:gridCol w:w="916"/>
        <w:gridCol w:w="109"/>
        <w:gridCol w:w="295"/>
        <w:gridCol w:w="295"/>
        <w:gridCol w:w="296"/>
        <w:gridCol w:w="226"/>
        <w:gridCol w:w="916"/>
        <w:gridCol w:w="109"/>
        <w:gridCol w:w="226"/>
        <w:gridCol w:w="916"/>
        <w:gridCol w:w="402"/>
      </w:tblGrid>
      <w:tr>
        <w:trPr/>
        <w:tc>
          <w:tcPr>
            <w:tcW w:w="152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4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June 2026</w:t>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May 2026</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Change</w:t>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April 2026</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March 2026</w:t>
            </w:r>
          </w:p>
        </w:tc>
      </w:tr>
      <w:tr>
        <w:trPr/>
        <w:tc>
          <w:tcPr>
            <w:tcW w:w="402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color w:val="000000"/>
                <w:sz w:val="18"/>
              </w:rPr>
              <w:t>Client Assets</w:t>
            </w:r>
            <w:r>
              <w:rPr>
                <w:rFonts w:ascii="Tenorite;sans-serif" w:hAnsi="Tenorite;sans-serif"/>
                <w:b/>
                <w:color w:val="000000"/>
                <w:sz w:val="12"/>
              </w:rPr>
              <w:t>(19)</w:t>
            </w:r>
          </w:p>
        </w:tc>
        <w:tc>
          <w:tcPr>
            <w:tcW w:w="12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enorite;sans-serif" w:hAnsi="Tenorite;sans-serif"/>
                <w:b w:val="false"/>
                <w:color w:val="000000"/>
                <w:sz w:val="18"/>
              </w:rPr>
            </w:pPr>
            <w:r>
              <w:rPr>
                <w:rFonts w:ascii="Tenorite;sans-serif" w:hAnsi="Tenorite;sans-serif"/>
                <w:b w:val="false"/>
                <w:color w:val="000000"/>
                <w:sz w:val="18"/>
              </w:rPr>
              <w:t>Advisory</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1,548.4 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1,537.3 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1,482.7 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1,390.4 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2"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enorite;sans-serif" w:hAnsi="Tenorite;sans-serif"/>
                <w:b w:val="false"/>
                <w:color w:val="000000"/>
                <w:sz w:val="18"/>
              </w:rPr>
            </w:pPr>
            <w:r>
              <w:rPr>
                <w:rFonts w:ascii="Tenorite;sans-serif" w:hAnsi="Tenorite;sans-serif"/>
                <w:b w:val="false"/>
                <w:color w:val="000000"/>
                <w:sz w:val="18"/>
              </w:rPr>
              <w:t>Brokerage</w:t>
            </w:r>
          </w:p>
        </w:tc>
        <w:tc>
          <w:tcPr>
            <w:tcW w:w="11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1,014.3 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1,017.3 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enorite;sans-serif" w:hAnsi="Tenorite;sans-serif"/>
                <w:b w:val="false"/>
                <w:color w:val="000000"/>
                <w:sz w:val="18"/>
              </w:rPr>
              <w:t>%</w:t>
            </w:r>
          </w:p>
        </w:tc>
        <w:tc>
          <w:tcPr>
            <w:tcW w:w="11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995.0 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945.9 </w:t>
            </w:r>
          </w:p>
        </w:tc>
        <w:tc>
          <w:tcPr>
            <w:tcW w:w="4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enorite;sans-serif" w:hAnsi="Tenorite;sans-serif"/>
                <w:b/>
                <w:color w:val="000000"/>
                <w:sz w:val="18"/>
              </w:rPr>
            </w:pPr>
            <w:r>
              <w:rPr>
                <w:rFonts w:ascii="Tenorite;sans-serif" w:hAnsi="Tenorite;sans-serif"/>
                <w:b/>
                <w:color w:val="000000"/>
                <w:sz w:val="18"/>
              </w:rPr>
              <w:t>Total Client Assets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2,562.7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2,554.6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enorite;sans-serif" w:hAnsi="Tenorite;sans-serif"/>
                <w:b w:val="false"/>
                <w:color w:val="000000"/>
                <w:sz w:val="18"/>
              </w:rPr>
              <w:t>%</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2,477.7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2,336.3</w:t>
            </w:r>
            <w:r>
              <w:rPr>
                <w:color w:val="000000"/>
              </w:rPr>
              <w:t> </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color w:val="000000"/>
                <w:sz w:val="18"/>
              </w:rPr>
              <w:t>Organic NNA</w:t>
            </w:r>
            <w:r>
              <w:rPr>
                <w:rFonts w:ascii="Tenorite;sans-serif" w:hAnsi="Tenorite;sans-serif"/>
                <w:b/>
                <w:color w:val="000000"/>
                <w:sz w:val="12"/>
              </w:rPr>
              <w:t>(22)</w:t>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2"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enorite;sans-serif" w:hAnsi="Tenorite;sans-serif"/>
                <w:b w:val="false"/>
                <w:color w:val="000000"/>
                <w:sz w:val="18"/>
              </w:rPr>
            </w:pPr>
            <w:r>
              <w:rPr>
                <w:rFonts w:ascii="Tenorite;sans-serif" w:hAnsi="Tenorite;sans-serif"/>
                <w:b w:val="false"/>
                <w:color w:val="000000"/>
                <w:sz w:val="18"/>
              </w:rPr>
              <w:t>Advisory</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13.3 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9.7 </w:t>
            </w:r>
          </w:p>
        </w:tc>
        <w:tc>
          <w:tcPr>
            <w:tcW w:w="4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enorite;sans-serif" w:hAnsi="Tenorite;sans-serif"/>
                <w:b w:val="false"/>
                <w:color w:val="000000"/>
                <w:sz w:val="18"/>
              </w:rPr>
            </w:pPr>
            <w:r>
              <w:rPr>
                <w:rFonts w:ascii="Tenorite;sans-serif" w:hAnsi="Tenorite;sans-serif"/>
                <w:b w:val="false"/>
                <w:color w:val="000000"/>
                <w:sz w:val="18"/>
              </w:rPr>
              <w:t>Brokerage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(1.6)</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enorite;sans-serif" w:hAnsi="Tenorite;sans-serif"/>
                <w:b/>
                <w:color w:val="000000"/>
                <w:sz w:val="18"/>
              </w:rPr>
              <w:t>Total Organic NNA</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11.3</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8.8</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3.1</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8.1</w:t>
            </w:r>
            <w:r>
              <w:rPr>
                <w:color w:val="000000"/>
              </w:rPr>
              <w:t> </w:t>
            </w:r>
          </w:p>
        </w:tc>
        <w:tc>
          <w:tcPr>
            <w:tcW w:w="40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r>
      <w:tr>
        <w:trPr/>
        <w:tc>
          <w:tcPr>
            <w:tcW w:w="402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color w:val="000000"/>
                <w:sz w:val="18"/>
              </w:rPr>
              <w:t>Acquired NNA</w:t>
            </w:r>
            <w:r>
              <w:rPr>
                <w:rFonts w:ascii="Tenorite;sans-serif" w:hAnsi="Tenorite;sans-serif"/>
                <w:b/>
                <w:color w:val="000000"/>
                <w:sz w:val="12"/>
              </w:rPr>
              <w:t>(22)</w:t>
            </w:r>
          </w:p>
        </w:tc>
        <w:tc>
          <w:tcPr>
            <w:tcW w:w="12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enorite;sans-serif" w:hAnsi="Tenorite;sans-serif"/>
                <w:b w:val="false"/>
                <w:color w:val="000000"/>
                <w:sz w:val="18"/>
              </w:rPr>
            </w:pPr>
            <w:r>
              <w:rPr>
                <w:rFonts w:ascii="Tenorite;sans-serif" w:hAnsi="Tenorite;sans-serif"/>
                <w:b w:val="false"/>
                <w:color w:val="000000"/>
                <w:sz w:val="18"/>
              </w:rPr>
              <w:t>Advisory</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2"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enorite;sans-serif" w:hAnsi="Tenorite;sans-serif"/>
                <w:b w:val="false"/>
                <w:color w:val="000000"/>
                <w:sz w:val="18"/>
              </w:rPr>
            </w:pPr>
            <w:r>
              <w:rPr>
                <w:rFonts w:ascii="Tenorite;sans-serif" w:hAnsi="Tenorite;sans-serif"/>
                <w:b w:val="false"/>
                <w:color w:val="000000"/>
                <w:sz w:val="18"/>
              </w:rPr>
              <w:t>Brokerage</w:t>
            </w:r>
          </w:p>
        </w:tc>
        <w:tc>
          <w:tcPr>
            <w:tcW w:w="11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c>
          <w:tcPr>
            <w:tcW w:w="11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enorite;sans-serif" w:hAnsi="Tenorite;sans-serif"/>
                <w:b/>
                <w:color w:val="000000"/>
                <w:sz w:val="18"/>
              </w:rPr>
              <w:t>Total Acquired NNA</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color w:val="000000"/>
                <w:sz w:val="18"/>
              </w:rPr>
              <w:t>Total NNA</w:t>
            </w:r>
            <w:r>
              <w:rPr>
                <w:rFonts w:ascii="Tenorite;sans-serif" w:hAnsi="Tenorite;sans-serif"/>
                <w:b/>
                <w:color w:val="000000"/>
                <w:sz w:val="12"/>
              </w:rPr>
              <w:t>(22)</w:t>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2"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enorite;sans-serif" w:hAnsi="Tenorite;sans-serif"/>
                <w:b w:val="false"/>
                <w:color w:val="000000"/>
                <w:sz w:val="18"/>
              </w:rPr>
            </w:pPr>
            <w:r>
              <w:rPr>
                <w:rFonts w:ascii="Tenorite;sans-serif" w:hAnsi="Tenorite;sans-serif"/>
                <w:b w:val="false"/>
                <w:color w:val="000000"/>
                <w:sz w:val="18"/>
              </w:rPr>
              <w:t>Advisory</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9.7 </w:t>
            </w:r>
          </w:p>
        </w:tc>
        <w:tc>
          <w:tcPr>
            <w:tcW w:w="4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enorite;sans-serif" w:hAnsi="Tenorite;sans-serif"/>
                <w:b w:val="false"/>
                <w:color w:val="000000"/>
                <w:sz w:val="18"/>
              </w:rPr>
            </w:pPr>
            <w:r>
              <w:rPr>
                <w:rFonts w:ascii="Tenorite;sans-serif" w:hAnsi="Tenorite;sans-serif"/>
                <w:b w:val="false"/>
                <w:color w:val="000000"/>
                <w:sz w:val="18"/>
              </w:rPr>
              <w:t>Brokerage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(1.6)</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2"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enorite;sans-serif" w:hAnsi="Tenorite;sans-serif"/>
                <w:b/>
                <w:color w:val="000000"/>
                <w:sz w:val="18"/>
              </w:rPr>
            </w:pPr>
            <w:r>
              <w:rPr>
                <w:rFonts w:ascii="Tenorite;sans-serif" w:hAnsi="Tenorite;sans-serif"/>
                <w:b/>
                <w:color w:val="000000"/>
                <w:sz w:val="18"/>
              </w:rPr>
              <w:t>Total NNA</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11.8</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8.8</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3.1</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8.1</w:t>
            </w:r>
            <w:r>
              <w:rPr>
                <w:color w:val="000000"/>
              </w:rPr>
              <w:t> </w:t>
            </w:r>
          </w:p>
        </w:tc>
        <w:tc>
          <w:tcPr>
            <w:tcW w:w="40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enorite;sans-serif" w:hAnsi="Tenorite;sans-serif"/>
                <w:b w:val="false"/>
                <w:color w:val="000000"/>
                <w:sz w:val="18"/>
              </w:rPr>
              <w:t>Net brokerage to advisory conversions</w:t>
            </w:r>
            <w:r>
              <w:rPr>
                <w:rFonts w:ascii="Tenorite;sans-serif" w:hAnsi="Tenorite;sans-serif"/>
                <w:b w:val="false"/>
                <w:color w:val="000000"/>
                <w:sz w:val="12"/>
              </w:rPr>
              <w:t>(23)</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2.2 </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color w:val="000000"/>
                <w:sz w:val="18"/>
              </w:rPr>
              <w:t>Client Cash Balances</w:t>
            </w:r>
            <w:r>
              <w:rPr>
                <w:rFonts w:ascii="Tenorite;sans-serif" w:hAnsi="Tenorite;sans-serif"/>
                <w:b/>
                <w:color w:val="000000"/>
                <w:sz w:val="12"/>
              </w:rPr>
              <w:t>(26)</w:t>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0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Insured cash account sweep</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38.4 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37.0 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4%</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37.6 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39.8 </w:t>
            </w:r>
          </w:p>
        </w:tc>
        <w:tc>
          <w:tcPr>
            <w:tcW w:w="402" w:type="dxa"/>
            <w:tcBorders/>
            <w:shd w:fill="DBDBDB"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Deposit cash account sweep</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5%</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15.9 </w:t>
            </w:r>
          </w:p>
        </w:tc>
        <w:tc>
          <w:tcPr>
            <w:tcW w:w="402"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0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 xml:space="preserve">Total Bank Sweep </w:t>
            </w:r>
          </w:p>
        </w:tc>
        <w:tc>
          <w:tcPr>
            <w:tcW w:w="114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54.1</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51.9</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4%</w:t>
            </w:r>
          </w:p>
        </w:tc>
        <w:tc>
          <w:tcPr>
            <w:tcW w:w="114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52.3</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55.7</w:t>
            </w:r>
            <w:r>
              <w:rPr>
                <w:color w:val="000000"/>
              </w:rPr>
              <w:t> </w:t>
            </w:r>
          </w:p>
        </w:tc>
        <w:tc>
          <w:tcPr>
            <w:tcW w:w="40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Money market sweep</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(8%)</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1.5 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Total Client Cash Sweep Held by Third Parties</w:t>
            </w:r>
          </w:p>
        </w:tc>
        <w:tc>
          <w:tcPr>
            <w:tcW w:w="114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55.2</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53.1</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4%</w:t>
            </w:r>
          </w:p>
        </w:tc>
        <w:tc>
          <w:tcPr>
            <w:tcW w:w="114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53.6</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57.2</w:t>
            </w:r>
            <w:r>
              <w:rPr>
                <w:color w:val="000000"/>
              </w:rPr>
              <w:t> </w:t>
            </w:r>
          </w:p>
        </w:tc>
        <w:tc>
          <w:tcPr>
            <w:tcW w:w="40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enorite;sans-serif" w:hAnsi="Tenorite;sans-serif"/>
                <w:b w:val="false"/>
                <w:color w:val="000000"/>
                <w:sz w:val="18"/>
              </w:rPr>
            </w:pPr>
            <w:r>
              <w:rPr>
                <w:rFonts w:ascii="Tenorite;sans-serif" w:hAnsi="Tenorite;sans-serif"/>
                <w:b w:val="false"/>
                <w:color w:val="000000"/>
                <w:sz w:val="18"/>
              </w:rPr>
              <w:t>Client cash account (CCA)</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(6%)</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2.0 </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Total Client Cash Balances</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56.9</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54.8</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4%</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55.5</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59.1</w:t>
            </w:r>
            <w:r>
              <w:rPr>
                <w:color w:val="000000"/>
              </w:rPr>
              <w:t> </w:t>
            </w:r>
          </w:p>
        </w:tc>
        <w:tc>
          <w:tcPr>
            <w:tcW w:w="40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val="false"/>
                <w:color w:val="000000"/>
                <w:sz w:val="18"/>
              </w:rPr>
              <w:t>Net buy (sell) activity</w:t>
            </w:r>
            <w:r>
              <w:rPr>
                <w:rFonts w:ascii="Tenorite;sans-serif" w:hAnsi="Tenorite;sans-serif"/>
                <w:b w:val="false"/>
                <w:color w:val="000000"/>
                <w:sz w:val="12"/>
              </w:rPr>
              <w:t xml:space="preserve">(25) </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13.1 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12.9 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12.7 </w:t>
            </w:r>
          </w:p>
        </w:tc>
        <w:tc>
          <w:tcPr>
            <w:tcW w:w="4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Market Drivers</w:t>
            </w:r>
          </w:p>
        </w:tc>
        <w:tc>
          <w:tcPr>
            <w:tcW w:w="12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DBDBDB"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S&amp;P 500 Index (end of period)</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6,529 </w:t>
            </w:r>
          </w:p>
        </w:tc>
        <w:tc>
          <w:tcPr>
            <w:tcW w:w="402"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0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Russell 2000 Index (end of period)</w:t>
            </w:r>
          </w:p>
        </w:tc>
        <w:tc>
          <w:tcPr>
            <w:tcW w:w="11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3,024 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2,919 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4%</w:t>
            </w:r>
          </w:p>
        </w:tc>
        <w:tc>
          <w:tcPr>
            <w:tcW w:w="11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2,800 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2,496 </w:t>
            </w:r>
          </w:p>
        </w:tc>
        <w:tc>
          <w:tcPr>
            <w:tcW w:w="402" w:type="dxa"/>
            <w:tcBorders/>
            <w:shd w:fill="DBDBDB"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Fed Funds daily effective rate (average bps)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enorite;sans-serif" w:hAnsi="Tenorite;sans-serif"/>
                <w:b w:val="false"/>
                <w:color w:val="000000"/>
                <w:sz w:val="18"/>
              </w:rPr>
              <w:t>bps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364 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enorite;sans-serif" w:hAnsi="Tenorite;sans-serif"/>
          <w:b w:val="false"/>
          <w:color w:val="000000"/>
          <w:sz w:val="18"/>
        </w:rPr>
      </w:pPr>
      <w:r>
        <w:rPr>
          <w:rFonts w:ascii="Tenorite;sans-serif" w:hAnsi="Tenorite;sans-serif"/>
          <w:b w:val="false"/>
          <w:color w:val="000000"/>
          <w:sz w:val="18"/>
        </w:rPr>
        <w:t>Note: Totals may not foot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16"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enorite;sans-serif" w:hAnsi="Tenorite;sans-serif"/>
          <w:b/>
          <w:color w:val="000000"/>
          <w:sz w:val="20"/>
        </w:rPr>
      </w:pPr>
      <w:r>
        <w:rPr>
          <w:rFonts w:ascii="Tenorite;sans-serif" w:hAnsi="Tenorite;sans-serif"/>
          <w:b/>
          <w:color w:val="000000"/>
          <w:sz w:val="20"/>
        </w:rPr>
        <w:t>LPL Financial Holdings Inc.</w:t>
      </w:r>
    </w:p>
    <w:p>
      <w:pPr>
        <w:pStyle w:val="TextBody"/>
        <w:bidi w:val="0"/>
        <w:spacing w:lineRule="auto" w:line="288" w:before="0" w:after="0"/>
        <w:jc w:val="center"/>
        <w:rPr>
          <w:rFonts w:ascii="Tenorite;sans-serif" w:hAnsi="Tenorite;sans-serif"/>
          <w:b/>
          <w:color w:val="000000"/>
          <w:sz w:val="20"/>
        </w:rPr>
      </w:pPr>
      <w:r>
        <w:rPr>
          <w:rFonts w:ascii="Tenorite;sans-serif" w:hAnsi="Tenorite;sans-serif"/>
          <w:b/>
          <w:color w:val="000000"/>
          <w:sz w:val="20"/>
        </w:rPr>
        <w:t>Financial Measures</w:t>
      </w:r>
    </w:p>
    <w:p>
      <w:pPr>
        <w:pStyle w:val="TextBody"/>
        <w:bidi w:val="0"/>
        <w:spacing w:lineRule="auto" w:line="288" w:before="0" w:after="0"/>
        <w:jc w:val="center"/>
        <w:rPr>
          <w:rFonts w:ascii="Tenorite;sans-serif" w:hAnsi="Tenorite;sans-serif"/>
          <w:b/>
          <w:color w:val="000000"/>
          <w:sz w:val="20"/>
        </w:rPr>
      </w:pPr>
      <w:r>
        <w:rPr>
          <w:rFonts w:ascii="Tenorite;sans-serif" w:hAnsi="Tenorite;sans-serif"/>
          <w:b/>
          <w:color w:val="000000"/>
          <w:sz w:val="20"/>
        </w:rPr>
        <w:t>(Dollars in thousands, except where noted)</w:t>
      </w:r>
    </w:p>
    <w:p>
      <w:pPr>
        <w:pStyle w:val="TextBody"/>
        <w:bidi w:val="0"/>
        <w:spacing w:lineRule="auto" w:line="288" w:before="0" w:after="0"/>
        <w:jc w:val="center"/>
        <w:rPr>
          <w:rFonts w:ascii="Tenorite;sans-serif" w:hAnsi="Tenorite;sans-serif"/>
          <w:b/>
          <w:color w:val="000000"/>
          <w:sz w:val="20"/>
        </w:rPr>
      </w:pPr>
      <w:r>
        <w:rPr>
          <w:rFonts w:ascii="Tenorite;sans-serif" w:hAnsi="Tenorite;sans-serif"/>
          <w:b/>
          <w:color w:val="000000"/>
          <w:sz w:val="20"/>
        </w:rPr>
        <w:t>(Unaudited)</w:t>
      </w:r>
    </w:p>
    <w:p>
      <w:pPr>
        <w:pStyle w:val="TextBody"/>
        <w:bidi w:val="0"/>
        <w:spacing w:before="0" w:after="0"/>
        <w:jc w:val="center"/>
        <w:rPr/>
      </w:pPr>
      <w:r>
        <w:rPr/>
      </w:r>
    </w:p>
    <w:tbl>
      <w:tblPr>
        <w:tblW w:w="9769" w:type="dxa"/>
        <w:jc w:val="center"/>
        <w:tblInd w:w="0" w:type="dxa"/>
        <w:tblLayout w:type="fixed"/>
        <w:tblCellMar>
          <w:top w:w="28" w:type="dxa"/>
          <w:left w:w="28" w:type="dxa"/>
          <w:bottom w:w="28" w:type="dxa"/>
          <w:right w:w="28" w:type="dxa"/>
        </w:tblCellMar>
      </w:tblPr>
      <w:tblGrid>
        <w:gridCol w:w="1259"/>
        <w:gridCol w:w="1107"/>
        <w:gridCol w:w="1113"/>
        <w:gridCol w:w="226"/>
        <w:gridCol w:w="1156"/>
        <w:gridCol w:w="109"/>
        <w:gridCol w:w="226"/>
        <w:gridCol w:w="1156"/>
        <w:gridCol w:w="109"/>
        <w:gridCol w:w="295"/>
        <w:gridCol w:w="295"/>
        <w:gridCol w:w="296"/>
        <w:gridCol w:w="226"/>
        <w:gridCol w:w="1156"/>
        <w:gridCol w:w="109"/>
        <w:gridCol w:w="272"/>
        <w:gridCol w:w="272"/>
        <w:gridCol w:w="387"/>
      </w:tblGrid>
      <w:tr>
        <w:trPr/>
        <w:tc>
          <w:tcPr>
            <w:tcW w:w="125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Q2 2026</w:t>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Q1 2026</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Change</w:t>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Q2 2025</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Change</w:t>
            </w:r>
          </w:p>
        </w:tc>
      </w:tr>
      <w:tr>
        <w:trPr/>
        <w:tc>
          <w:tcPr>
            <w:tcW w:w="34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Commission Revenue by Product</w:t>
            </w:r>
          </w:p>
        </w:tc>
        <w:tc>
          <w:tcPr>
            <w:tcW w:w="149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Annuities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727,746 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690,577 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5%</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629,763 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16%</w:t>
            </w:r>
          </w:p>
        </w:tc>
      </w:tr>
      <w:tr>
        <w:trPr/>
        <w:tc>
          <w:tcPr>
            <w:tcW w:w="34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Mutual funds</w:t>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262,044 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266,056 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(2%)</w:t>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223,317 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17%</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Fixed income</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82,014 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85,323 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(4%)</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53,014 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55%</w:t>
            </w:r>
          </w:p>
        </w:tc>
      </w:tr>
      <w:tr>
        <w:trPr/>
        <w:tc>
          <w:tcPr>
            <w:tcW w:w="34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Equities</w:t>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58,751 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57,540 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2%</w:t>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47,811 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23%</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Other</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101,518 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92,538 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10%</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84,182 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21%</w:t>
            </w:r>
          </w:p>
        </w:tc>
      </w:tr>
      <w:tr>
        <w:trPr/>
        <w:tc>
          <w:tcPr>
            <w:tcW w:w="34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Total commission revenue</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1,232,073</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1,192,034</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3%</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1,038,087</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19%</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1"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Commission Revenue by Sales-based and Trailing</w:t>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Sales-based commissions</w:t>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Annuities</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444,791 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424,221 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5%</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393,654 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13%</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Fixed income</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82,014 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85,323 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(4%)</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53,014 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55%</w:t>
            </w:r>
          </w:p>
        </w:tc>
      </w:tr>
      <w:tr>
        <w:trPr/>
        <w:tc>
          <w:tcPr>
            <w:tcW w:w="34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Equities</w:t>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58,751 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57,540 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2%</w:t>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47,811 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23%</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Mutual funds</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53,993 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58,011 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(7%)</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52,301 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3%</w:t>
            </w:r>
          </w:p>
        </w:tc>
      </w:tr>
      <w:tr>
        <w:trPr/>
        <w:tc>
          <w:tcPr>
            <w:tcW w:w="34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Other</w:t>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88,606 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80,320 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10%</w:t>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73,012 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21%</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Total sales-based commissions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728,155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705,415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3%</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619,792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17%</w:t>
            </w:r>
          </w:p>
        </w:tc>
      </w:tr>
      <w:tr>
        <w:trPr/>
        <w:tc>
          <w:tcPr>
            <w:tcW w:w="34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Trailing commissions</w:t>
            </w:r>
          </w:p>
        </w:tc>
        <w:tc>
          <w:tcPr>
            <w:tcW w:w="14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Annuities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282,955 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266,356 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6%</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236,109 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20%</w:t>
            </w:r>
          </w:p>
        </w:tc>
      </w:tr>
      <w:tr>
        <w:trPr/>
        <w:tc>
          <w:tcPr>
            <w:tcW w:w="34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Mutual funds</w:t>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208,051 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208,045 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enorite;sans-serif" w:hAnsi="Tenorite;sans-serif"/>
                <w:b w:val="false"/>
                <w:color w:val="000000"/>
                <w:sz w:val="18"/>
              </w:rPr>
              <w:t>%</w:t>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171,016 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22%</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Other</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12,912 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12,218 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6%</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11,170 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16%</w:t>
            </w:r>
          </w:p>
        </w:tc>
      </w:tr>
      <w:tr>
        <w:trPr/>
        <w:tc>
          <w:tcPr>
            <w:tcW w:w="34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Total trailing commissions</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503,918</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486,619</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4%</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418,295</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20%</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Total commission revenue</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1,232,073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1,192,034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3%</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1,038,087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19%</w:t>
            </w:r>
          </w:p>
        </w:tc>
      </w:tr>
      <w:tr>
        <w:trPr/>
        <w:tc>
          <w:tcPr>
            <w:tcW w:w="34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color w:val="000000"/>
                <w:sz w:val="18"/>
              </w:rPr>
              <w:t>Payout Rate</w:t>
            </w:r>
            <w:r>
              <w:rPr>
                <w:rFonts w:ascii="Tenorite;sans-serif" w:hAnsi="Tenorite;sans-serif"/>
                <w:b/>
                <w:color w:val="000000"/>
                <w:sz w:val="12"/>
              </w:rPr>
              <w:t>(6)</w:t>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87.44%</w:t>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87.22%</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22bps</w:t>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87.33%</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11bps</w:t>
            </w:r>
          </w:p>
        </w:tc>
      </w:tr>
    </w:tbl>
    <w:p>
      <w:pPr>
        <w:pStyle w:val="TextBody"/>
        <w:bidi w:val="0"/>
        <w:spacing w:before="24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17"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Tenorite;sans-serif" w:hAnsi="Tenorite;sans-serif"/>
          <w:b/>
          <w:color w:val="000000"/>
          <w:sz w:val="20"/>
        </w:rPr>
      </w:pPr>
      <w:r>
        <w:rPr>
          <w:rFonts w:ascii="Tenorite;sans-serif" w:hAnsi="Tenorite;sans-serif"/>
          <w:b/>
          <w:color w:val="000000"/>
          <w:sz w:val="20"/>
        </w:rPr>
        <w:t>LPL Financial Holdings Inc.</w:t>
      </w:r>
    </w:p>
    <w:p>
      <w:pPr>
        <w:pStyle w:val="TextBody"/>
        <w:bidi w:val="0"/>
        <w:spacing w:lineRule="auto" w:line="288" w:before="0" w:after="0"/>
        <w:jc w:val="center"/>
        <w:rPr>
          <w:rFonts w:ascii="Tenorite;sans-serif" w:hAnsi="Tenorite;sans-serif"/>
          <w:b/>
          <w:color w:val="000000"/>
          <w:sz w:val="20"/>
        </w:rPr>
      </w:pPr>
      <w:r>
        <w:rPr>
          <w:rFonts w:ascii="Tenorite;sans-serif" w:hAnsi="Tenorite;sans-serif"/>
          <w:b/>
          <w:color w:val="000000"/>
          <w:sz w:val="20"/>
        </w:rPr>
        <w:t>Capital Management Measures</w:t>
      </w:r>
    </w:p>
    <w:p>
      <w:pPr>
        <w:pStyle w:val="TextBody"/>
        <w:bidi w:val="0"/>
        <w:spacing w:lineRule="auto" w:line="288" w:before="0" w:after="0"/>
        <w:jc w:val="center"/>
        <w:rPr>
          <w:rFonts w:ascii="Tenorite;sans-serif" w:hAnsi="Tenorite;sans-serif"/>
          <w:b/>
          <w:color w:val="000000"/>
          <w:sz w:val="20"/>
        </w:rPr>
      </w:pPr>
      <w:r>
        <w:rPr>
          <w:rFonts w:ascii="Tenorite;sans-serif" w:hAnsi="Tenorite;sans-serif"/>
          <w:b/>
          <w:color w:val="000000"/>
          <w:sz w:val="20"/>
        </w:rPr>
        <w:t>(Dollars in thousands, except where noted)</w:t>
      </w:r>
    </w:p>
    <w:p>
      <w:pPr>
        <w:pStyle w:val="TextBody"/>
        <w:bidi w:val="0"/>
        <w:spacing w:lineRule="auto" w:line="288" w:before="0" w:after="240"/>
        <w:jc w:val="center"/>
        <w:rPr>
          <w:rFonts w:ascii="Tenorite;sans-serif" w:hAnsi="Tenorite;sans-serif"/>
          <w:b/>
          <w:color w:val="000000"/>
          <w:sz w:val="20"/>
        </w:rPr>
      </w:pPr>
      <w:r>
        <w:rPr>
          <w:rFonts w:ascii="Tenorite;sans-serif" w:hAnsi="Tenorite;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059"/>
        <w:gridCol w:w="1810"/>
        <w:gridCol w:w="1817"/>
        <w:gridCol w:w="226"/>
        <w:gridCol w:w="1156"/>
        <w:gridCol w:w="109"/>
        <w:gridCol w:w="226"/>
        <w:gridCol w:w="1156"/>
        <w:gridCol w:w="109"/>
        <w:gridCol w:w="226"/>
        <w:gridCol w:w="1156"/>
        <w:gridCol w:w="155"/>
      </w:tblGrid>
      <w:tr>
        <w:trPr/>
        <w:tc>
          <w:tcPr>
            <w:tcW w:w="2059"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Q2 2026</w:t>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Q1 2026</w:t>
            </w:r>
          </w:p>
        </w:tc>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Q4 2025</w:t>
            </w:r>
          </w:p>
        </w:tc>
      </w:tr>
      <w:tr>
        <w:trPr/>
        <w:tc>
          <w:tcPr>
            <w:tcW w:w="56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Cash and equivalents</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1,275,690 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1,024,459 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1,037,378 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Cash at regulated subsidiaries</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(1,221,009)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(873,123)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(925,356)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Excess cash at regulated subsidiaries per the Credit Agreement</w:t>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375,379 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416,002 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357,693 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color w:val="000000"/>
                <w:sz w:val="18"/>
              </w:rPr>
              <w:t>Corporate Cash</w:t>
            </w:r>
            <w:r>
              <w:rPr>
                <w:rFonts w:ascii="Tenorite;sans-serif" w:hAnsi="Tenorite;sans-serif"/>
                <w:b/>
                <w:color w:val="000000"/>
                <w:sz w:val="12"/>
              </w:rPr>
              <w:t>(2)</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430,060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567,338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469,715</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color w:val="000000"/>
                <w:sz w:val="18"/>
              </w:rPr>
              <w:t>Corporate Cash</w:t>
            </w:r>
            <w:r>
              <w:rPr>
                <w:rFonts w:ascii="Tenorite;sans-serif" w:hAnsi="Tenorite;sans-serif"/>
                <w:b/>
                <w:color w:val="000000"/>
                <w:sz w:val="12"/>
              </w:rPr>
              <w:t>(2)</w:t>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val="false"/>
                <w:color w:val="000000"/>
                <w:sz w:val="18"/>
              </w:rPr>
            </w:pPr>
            <w:r>
              <w:rPr>
                <w:rFonts w:ascii="Tenorite;sans-serif" w:hAnsi="Tenorite;sans-serif"/>
                <w:b w:val="false"/>
                <w:color w:val="000000"/>
                <w:sz w:val="18"/>
              </w:rPr>
              <w:t>Cash at LPL Holdings, Inc.</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16,807 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24,107 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19,368 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Excess cash at regulated subsidiaries per the Credit Agreement</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375,379 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416,002 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357,693 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Cash at non-regulated subsidiaries</w:t>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37,874 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127,229 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92,654 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Corporate Cash</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430,060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567,338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469,715</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Leverage Ratio</w:t>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Total debt</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7,496,000 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7,220,000 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7,299,000 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Total corporate cash</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430,060 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567,338 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469,715 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Credit Agreement Net Debt</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7,065,940</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6,652,662</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6,829,285</w:t>
            </w:r>
            <w:r>
              <w:rPr>
                <w:color w:val="000000"/>
              </w:rPr>
              <w:t>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val="false"/>
                <w:color w:val="000000"/>
                <w:sz w:val="18"/>
              </w:rPr>
              <w:t>Credit Agreement EBITDA (trailing twelve months)</w:t>
            </w:r>
            <w:r>
              <w:rPr>
                <w:rFonts w:ascii="Tenorite;sans-serif" w:hAnsi="Tenorite;sans-serif"/>
                <w:b w:val="false"/>
                <w:color w:val="000000"/>
                <w:sz w:val="12"/>
              </w:rPr>
              <w:t>(28)</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3,695,539 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3,575,622 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3,501,832 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Leverage Ratio</w:t>
            </w:r>
          </w:p>
        </w:tc>
        <w:tc>
          <w:tcPr>
            <w:tcW w:w="1491" w:type="dxa"/>
            <w:gridSpan w:val="3"/>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1.91x</w:t>
            </w:r>
          </w:p>
        </w:tc>
        <w:tc>
          <w:tcPr>
            <w:tcW w:w="1491" w:type="dxa"/>
            <w:gridSpan w:val="3"/>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1.86x</w:t>
            </w:r>
          </w:p>
        </w:tc>
        <w:tc>
          <w:tcPr>
            <w:tcW w:w="1537" w:type="dxa"/>
            <w:gridSpan w:val="3"/>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1.95x</w:t>
            </w:r>
          </w:p>
        </w:tc>
      </w:tr>
    </w:tbl>
    <w:p>
      <w:pPr>
        <w:pStyle w:val="TextBody"/>
        <w:bidi w:val="0"/>
        <w:spacing w:before="24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168"/>
        <w:gridCol w:w="954"/>
        <w:gridCol w:w="923"/>
        <w:gridCol w:w="226"/>
        <w:gridCol w:w="1156"/>
        <w:gridCol w:w="109"/>
        <w:gridCol w:w="821"/>
        <w:gridCol w:w="821"/>
        <w:gridCol w:w="823"/>
        <w:gridCol w:w="360"/>
        <w:gridCol w:w="361"/>
        <w:gridCol w:w="749"/>
        <w:gridCol w:w="379"/>
        <w:gridCol w:w="379"/>
        <w:gridCol w:w="381"/>
        <w:gridCol w:w="109"/>
        <w:gridCol w:w="109"/>
        <w:gridCol w:w="109"/>
        <w:gridCol w:w="109"/>
        <w:gridCol w:w="159"/>
      </w:tblGrid>
      <w:tr>
        <w:trPr/>
        <w:tc>
          <w:tcPr>
            <w:tcW w:w="1168"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6" w:type="dxa"/>
            <w:gridSpan w:val="9"/>
            <w:tcBorders/>
            <w:tcMar>
              <w:top w:w="0" w:type="dxa"/>
              <w:left w:w="0" w:type="dxa"/>
              <w:bottom w:w="0" w:type="dxa"/>
              <w:right w:w="0" w:type="dxa"/>
            </w:tcMar>
            <w:vAlign w:val="center"/>
          </w:tcPr>
          <w:p>
            <w:pPr>
              <w:pStyle w:val="TableContents"/>
              <w:bidi w:val="0"/>
              <w:spacing w:lineRule="auto" w:line="225" w:before="0" w:after="283"/>
              <w:jc w:val="center"/>
              <w:rPr>
                <w:rFonts w:ascii="Tenorite;sans-serif" w:hAnsi="Tenorite;sans-serif"/>
                <w:b/>
                <w:color w:val="000000"/>
                <w:sz w:val="18"/>
              </w:rPr>
            </w:pPr>
            <w:r>
              <w:rPr>
                <w:rFonts w:ascii="Tenorite;sans-serif" w:hAnsi="Tenorite;sans-serif"/>
                <w:b/>
                <w:color w:val="000000"/>
                <w:sz w:val="18"/>
              </w:rPr>
              <w:t>June 30, 2026</w:t>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25" w:before="0" w:after="283"/>
              <w:jc w:val="left"/>
              <w:rPr>
                <w:rFonts w:ascii="Tenorite;sans-serif" w:hAnsi="Tenorite;sans-serif"/>
                <w:b/>
                <w:color w:val="000000"/>
                <w:sz w:val="18"/>
              </w:rPr>
            </w:pPr>
            <w:r>
              <w:rPr>
                <w:rFonts w:ascii="Tenorite;sans-serif" w:hAnsi="Tenorite;sans-serif"/>
                <w:b/>
                <w:color w:val="000000"/>
                <w:sz w:val="18"/>
              </w:rPr>
              <w:t>Total Debt</w:t>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283"/>
              <w:jc w:val="center"/>
              <w:rPr>
                <w:rFonts w:ascii="Tenorite;sans-serif" w:hAnsi="Tenorite;sans-serif"/>
                <w:b/>
                <w:color w:val="000000"/>
                <w:sz w:val="18"/>
              </w:rPr>
            </w:pPr>
            <w:r>
              <w:rPr>
                <w:rFonts w:ascii="Tenorite;sans-serif" w:hAnsi="Tenorite;sans-serif"/>
                <w:b/>
                <w:color w:val="000000"/>
                <w:sz w:val="18"/>
              </w:rPr>
              <w:t>Balance</w:t>
            </w:r>
          </w:p>
        </w:tc>
        <w:tc>
          <w:tcPr>
            <w:tcW w:w="2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283"/>
              <w:jc w:val="center"/>
              <w:rPr>
                <w:rFonts w:ascii="Tenorite;sans-serif" w:hAnsi="Tenorite;sans-serif"/>
                <w:b/>
                <w:color w:val="000000"/>
                <w:sz w:val="18"/>
              </w:rPr>
            </w:pPr>
            <w:r>
              <w:rPr>
                <w:rFonts w:ascii="Tenorite;sans-serif" w:hAnsi="Tenorite;sans-serif"/>
                <w:b/>
                <w:color w:val="000000"/>
                <w:sz w:val="18"/>
              </w:rPr>
              <w:t xml:space="preserve">Current Applicable </w:t>
              <w:br/>
              <w:t>Margin</w:t>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283"/>
              <w:jc w:val="center"/>
              <w:rPr>
                <w:rFonts w:ascii="Tenorite;sans-serif" w:hAnsi="Tenorite;sans-serif"/>
                <w:b/>
                <w:color w:val="000000"/>
                <w:sz w:val="18"/>
              </w:rPr>
            </w:pPr>
            <w:r>
              <w:rPr>
                <w:rFonts w:ascii="Tenorite;sans-serif" w:hAnsi="Tenorite;sans-serif"/>
                <w:b/>
                <w:color w:val="000000"/>
                <w:sz w:val="18"/>
              </w:rPr>
              <w:t>Interest Rate</w:t>
            </w:r>
          </w:p>
        </w:tc>
        <w:tc>
          <w:tcPr>
            <w:tcW w:w="1139" w:type="dxa"/>
            <w:gridSpan w:val="3"/>
            <w:tcBorders/>
            <w:tcMar>
              <w:top w:w="0" w:type="dxa"/>
              <w:left w:w="0" w:type="dxa"/>
              <w:bottom w:w="0" w:type="dxa"/>
              <w:right w:w="0" w:type="dxa"/>
            </w:tcMar>
            <w:vAlign w:val="center"/>
          </w:tcPr>
          <w:p>
            <w:pPr>
              <w:pStyle w:val="TableContents"/>
              <w:bidi w:val="0"/>
              <w:spacing w:lineRule="auto" w:line="225" w:before="0" w:after="283"/>
              <w:jc w:val="center"/>
              <w:rPr>
                <w:rFonts w:ascii="Tenorite;sans-serif" w:hAnsi="Tenorite;sans-serif"/>
                <w:b/>
                <w:color w:val="000000"/>
                <w:sz w:val="18"/>
              </w:rPr>
            </w:pPr>
            <w:r>
              <w:rPr>
                <w:rFonts w:ascii="Tenorite;sans-serif" w:hAnsi="Tenorite;sans-serif"/>
                <w:b/>
                <w:color w:val="000000"/>
                <w:sz w:val="18"/>
              </w:rPr>
              <w:t>Maturity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val="false"/>
                <w:color w:val="000000"/>
                <w:sz w:val="18"/>
              </w:rPr>
              <w:t>Revolving Credit Facility</w:t>
            </w:r>
            <w:r>
              <w:rPr>
                <w:rFonts w:ascii="Tenorite;sans-serif" w:hAnsi="Tenorite;sans-serif"/>
                <w:b w:val="false"/>
                <w:color w:val="000000"/>
                <w:sz w:val="12"/>
              </w:rPr>
              <w:t>(a)</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276,000 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Tenorite;sans-serif" w:hAnsi="Tenorite;sans-serif"/>
                <w:b w:val="false"/>
                <w:color w:val="000000"/>
                <w:sz w:val="16"/>
              </w:rPr>
            </w:pPr>
            <w:r>
              <w:rPr>
                <w:rFonts w:ascii="Tenorite;sans-serif" w:hAnsi="Tenorite;sans-serif"/>
                <w:b w:val="false"/>
                <w:color w:val="000000"/>
                <w:sz w:val="16"/>
              </w:rPr>
              <w:t>ABR+37.5 bps / SOFR+147.5 bps</w:t>
            </w:r>
          </w:p>
        </w:tc>
        <w:tc>
          <w:tcPr>
            <w:tcW w:w="7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5.099 </w:t>
            </w:r>
          </w:p>
        </w:tc>
        <w:tc>
          <w:tcPr>
            <w:tcW w:w="7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w:t>
            </w:r>
          </w:p>
        </w:tc>
        <w:tc>
          <w:tcPr>
            <w:tcW w:w="113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5/20/2029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Broker-Dealer Revolving Credit Facility</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enorite;sans-serif" w:hAnsi="Tenorite;sans-serif"/>
                <w:b w:val="false"/>
                <w:color w:val="000000"/>
                <w:sz w:val="18"/>
              </w:rPr>
            </w:pPr>
            <w:r>
              <w:rPr>
                <w:rFonts w:ascii="Tenorite;sans-serif" w:hAnsi="Tenorite;sans-serif"/>
                <w:b w:val="false"/>
                <w:color w:val="000000"/>
                <w:sz w:val="18"/>
              </w:rPr>
              <w:t>SOFR+125 bps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4.930 </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5/17/2027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val="false"/>
                <w:color w:val="000000"/>
                <w:sz w:val="18"/>
              </w:rPr>
            </w:pPr>
            <w:r>
              <w:rPr>
                <w:rFonts w:ascii="Tenorite;sans-serif" w:hAnsi="Tenorite;sans-serif"/>
                <w:b w:val="false"/>
                <w:color w:val="000000"/>
                <w:sz w:val="18"/>
              </w:rPr>
              <w:t>Senior Unsecured Term Loan A</w:t>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1,020,000 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Tenorite;sans-serif" w:hAnsi="Tenorite;sans-serif"/>
                <w:b w:val="false"/>
                <w:color w:val="000000"/>
                <w:sz w:val="18"/>
              </w:rPr>
              <w:t>SOFR+125 bps</w:t>
            </w:r>
            <w:r>
              <w:rPr>
                <w:rFonts w:ascii="Tenorite;sans-serif" w:hAnsi="Tenorite;sans-serif"/>
                <w:b w:val="false"/>
                <w:color w:val="000000"/>
                <w:sz w:val="12"/>
              </w:rPr>
              <w:t>(b)</w:t>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4.902 </w:t>
            </w:r>
          </w:p>
        </w:tc>
        <w:tc>
          <w:tcPr>
            <w:tcW w:w="74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w:t>
            </w:r>
          </w:p>
        </w:tc>
        <w:tc>
          <w:tcPr>
            <w:tcW w:w="11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12/5/2028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Senior Unsecured Notes</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5.700% Fixed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5.700 </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5/20/2027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Senior Unsecured Notes</w:t>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400,000 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4.625% Fixed</w:t>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4.625 </w:t>
            </w:r>
          </w:p>
        </w:tc>
        <w:tc>
          <w:tcPr>
            <w:tcW w:w="74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w:t>
            </w:r>
          </w:p>
        </w:tc>
        <w:tc>
          <w:tcPr>
            <w:tcW w:w="11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11/15/2027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Senior Unsecured Notes</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4.900% Fixed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4.900 </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4/3/2028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Senior Unsecured Notes</w:t>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750,000 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6.750% Fixed</w:t>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6.750 </w:t>
            </w:r>
          </w:p>
        </w:tc>
        <w:tc>
          <w:tcPr>
            <w:tcW w:w="74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w:t>
            </w:r>
          </w:p>
        </w:tc>
        <w:tc>
          <w:tcPr>
            <w:tcW w:w="11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11/17/2028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Senior Unsecured Notes</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4.000% Fixed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4.000 </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3/15/2029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Senior Unsecured Notes</w:t>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750,000 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Tenorite;sans-serif" w:hAnsi="Tenorite;sans-serif"/>
                <w:b w:val="false"/>
                <w:color w:val="000000"/>
                <w:sz w:val="18"/>
              </w:rPr>
            </w:pPr>
            <w:r>
              <w:rPr>
                <w:rFonts w:ascii="Tenorite;sans-serif" w:hAnsi="Tenorite;sans-serif"/>
                <w:b w:val="false"/>
                <w:color w:val="000000"/>
                <w:sz w:val="18"/>
              </w:rPr>
              <w:t>5.200% Fixed</w:t>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5.200 </w:t>
            </w:r>
          </w:p>
        </w:tc>
        <w:tc>
          <w:tcPr>
            <w:tcW w:w="74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w:t>
            </w:r>
          </w:p>
        </w:tc>
        <w:tc>
          <w:tcPr>
            <w:tcW w:w="11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3/15/2030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Senior Unsecured Notes</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5.150% Fixed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5.150 </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6/15/2030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Senior Unsecured Notes</w:t>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400,000 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4.375% Fixed</w:t>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4.375 </w:t>
            </w:r>
          </w:p>
        </w:tc>
        <w:tc>
          <w:tcPr>
            <w:tcW w:w="74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w:t>
            </w:r>
          </w:p>
        </w:tc>
        <w:tc>
          <w:tcPr>
            <w:tcW w:w="11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5/15/2031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Senior Unsecured Notes</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6.000% Fixed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6.000 </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5/20/2034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Senior Unsecured Notes</w:t>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500,000 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5.650% Fixed</w:t>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5.650 </w:t>
            </w:r>
          </w:p>
        </w:tc>
        <w:tc>
          <w:tcPr>
            <w:tcW w:w="74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w:t>
            </w:r>
          </w:p>
        </w:tc>
        <w:tc>
          <w:tcPr>
            <w:tcW w:w="11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3/15/2035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Senior Unsecured Notes</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5.750% Fixed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5.750 </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6/15/2035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Total / Weighted Average</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7,496,000</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5.222</w:t>
            </w:r>
            <w:r>
              <w:rPr>
                <w:color w:val="000000"/>
              </w:rPr>
              <w:t> </w:t>
            </w:r>
          </w:p>
        </w:tc>
        <w:tc>
          <w:tcPr>
            <w:tcW w:w="7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color w:val="000000"/>
                <w:sz w:val="18"/>
              </w:rPr>
            </w:pPr>
            <w:r>
              <w:rPr>
                <w:rFonts w:ascii="Tenorite;sans-serif" w:hAnsi="Tenorite;sans-serif"/>
                <w:b/>
                <w:color w:val="000000"/>
                <w:sz w:val="18"/>
              </w:rPr>
              <w:t>%</w:t>
            </w:r>
          </w:p>
        </w:tc>
        <w:tc>
          <w:tcPr>
            <w:tcW w:w="11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ind w:left="0" w:right="0" w:hanging="360"/>
        <w:jc w:val="left"/>
        <w:rPr>
          <w:rFonts w:ascii="Tenorite;sans-serif" w:hAnsi="Tenorite;sans-serif"/>
          <w:b w:val="false"/>
          <w:color w:val="000000"/>
          <w:sz w:val="20"/>
        </w:rPr>
      </w:pPr>
      <w:r>
        <w:rPr>
          <w:rFonts w:ascii="Tenorite;sans-serif" w:hAnsi="Tenorite;sans-serif"/>
          <w:b w:val="false"/>
          <w:color w:val="000000"/>
          <w:sz w:val="20"/>
        </w:rPr>
        <w:t>(a)Unsecured borrowing capacity of $2.25 billion at LPL Holdings, Inc.</w:t>
      </w:r>
    </w:p>
    <w:p>
      <w:pPr>
        <w:pStyle w:val="TextBody"/>
        <w:bidi w:val="0"/>
        <w:spacing w:lineRule="auto" w:line="288" w:before="0" w:after="0"/>
        <w:ind w:left="0" w:right="0" w:hanging="360"/>
        <w:jc w:val="left"/>
        <w:rPr>
          <w:rFonts w:ascii="Tenorite;sans-serif" w:hAnsi="Tenorite;sans-serif"/>
          <w:b w:val="false"/>
          <w:color w:val="000000"/>
          <w:sz w:val="20"/>
          <w:shd w:fill="FFFFFF" w:val="clear"/>
        </w:rPr>
      </w:pPr>
      <w:r>
        <w:rPr>
          <w:rFonts w:ascii="Tenorite;sans-serif" w:hAnsi="Tenorite;sans-serif"/>
          <w:b w:val="false"/>
          <w:color w:val="000000"/>
          <w:sz w:val="20"/>
          <w:shd w:fill="FFFFFF" w:val="clear"/>
        </w:rPr>
        <w:t>(b)The SOFR rate option is a one-month SOFR rate and subject to an interest rate floor of 0 bps.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7955"/>
                <wp:effectExtent l="0" t="0" r="0" b="0"/>
                <wp:wrapNone/>
                <wp:docPr id="18" name="Frame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Tenorite;sans-serif" w:hAnsi="Tenorite;sans-serif"/>
          <w:b/>
          <w:color w:val="000000"/>
          <w:sz w:val="20"/>
        </w:rPr>
      </w:pPr>
      <w:r>
        <w:rPr>
          <w:rFonts w:ascii="Tenorite;sans-serif" w:hAnsi="Tenorite;sans-serif"/>
          <w:b/>
          <w:color w:val="000000"/>
          <w:sz w:val="20"/>
        </w:rPr>
        <w:t>LPL Financial Holdings Inc.</w:t>
      </w:r>
    </w:p>
    <w:p>
      <w:pPr>
        <w:pStyle w:val="TextBody"/>
        <w:bidi w:val="0"/>
        <w:spacing w:lineRule="auto" w:line="288" w:before="0" w:after="0"/>
        <w:jc w:val="center"/>
        <w:rPr>
          <w:rFonts w:ascii="Tenorite;sans-serif" w:hAnsi="Tenorite;sans-serif"/>
          <w:b/>
          <w:color w:val="000000"/>
          <w:sz w:val="20"/>
        </w:rPr>
      </w:pPr>
      <w:r>
        <w:rPr>
          <w:rFonts w:ascii="Tenorite;sans-serif" w:hAnsi="Tenorite;sans-serif"/>
          <w:b/>
          <w:color w:val="000000"/>
          <w:sz w:val="20"/>
        </w:rPr>
        <w:t>Key Business and Financial Metrics</w:t>
      </w:r>
    </w:p>
    <w:p>
      <w:pPr>
        <w:pStyle w:val="TextBody"/>
        <w:bidi w:val="0"/>
        <w:spacing w:lineRule="auto" w:line="288" w:before="0" w:after="0"/>
        <w:jc w:val="center"/>
        <w:rPr>
          <w:rFonts w:ascii="Tenorite;sans-serif" w:hAnsi="Tenorite;sans-serif"/>
          <w:b/>
          <w:color w:val="000000"/>
          <w:sz w:val="20"/>
        </w:rPr>
      </w:pPr>
      <w:r>
        <w:rPr>
          <w:rFonts w:ascii="Tenorite;sans-serif" w:hAnsi="Tenorite;sans-serif"/>
          <w:b/>
          <w:color w:val="000000"/>
          <w:sz w:val="20"/>
        </w:rPr>
        <w:t>(Dollars in thousands, except where noted)</w:t>
      </w:r>
    </w:p>
    <w:p>
      <w:pPr>
        <w:pStyle w:val="TextBody"/>
        <w:bidi w:val="0"/>
        <w:spacing w:lineRule="auto" w:line="288" w:before="0" w:after="240"/>
        <w:jc w:val="center"/>
        <w:rPr>
          <w:rFonts w:ascii="Tenorite;sans-serif" w:hAnsi="Tenorite;sans-serif"/>
          <w:b/>
          <w:color w:val="000000"/>
          <w:sz w:val="20"/>
        </w:rPr>
      </w:pPr>
      <w:r>
        <w:rPr>
          <w:rFonts w:ascii="Tenorite;sans-serif" w:hAnsi="Tenorite;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03"/>
        <w:gridCol w:w="1670"/>
        <w:gridCol w:w="1675"/>
        <w:gridCol w:w="226"/>
        <w:gridCol w:w="721"/>
        <w:gridCol w:w="109"/>
        <w:gridCol w:w="226"/>
        <w:gridCol w:w="706"/>
        <w:gridCol w:w="109"/>
        <w:gridCol w:w="295"/>
        <w:gridCol w:w="295"/>
        <w:gridCol w:w="296"/>
        <w:gridCol w:w="226"/>
        <w:gridCol w:w="706"/>
        <w:gridCol w:w="109"/>
        <w:gridCol w:w="272"/>
        <w:gridCol w:w="272"/>
        <w:gridCol w:w="389"/>
      </w:tblGrid>
      <w:tr>
        <w:trPr/>
        <w:tc>
          <w:tcPr>
            <w:tcW w:w="1903"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5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Q2 2026</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Q1 2026</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Change</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Q2 2025</w:t>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Change</w:t>
            </w:r>
          </w:p>
        </w:tc>
      </w:tr>
      <w:tr>
        <w:trPr/>
        <w:tc>
          <w:tcPr>
            <w:tcW w:w="524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color w:val="000000"/>
                <w:sz w:val="18"/>
              </w:rPr>
            </w:pPr>
            <w:r>
              <w:rPr>
                <w:rFonts w:ascii="Tenorite;sans-serif" w:hAnsi="Tenorite;sans-serif"/>
                <w:b/>
                <w:color w:val="000000"/>
                <w:sz w:val="18"/>
              </w:rPr>
              <w:t>Business Metrics</w:t>
            </w:r>
          </w:p>
        </w:tc>
        <w:tc>
          <w:tcPr>
            <w:tcW w:w="105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Advisors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32,475 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32,144 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29,353 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11%</w:t>
            </w:r>
          </w:p>
        </w:tc>
      </w:tr>
      <w:tr>
        <w:trPr/>
        <w:tc>
          <w:tcPr>
            <w:tcW w:w="52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Net new advisors</w:t>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331 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(140)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r>
      <w:tr>
        <w:trPr/>
        <w:tc>
          <w:tcPr>
            <w:tcW w:w="52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val="false"/>
                <w:color w:val="000000"/>
                <w:sz w:val="18"/>
              </w:rPr>
              <w:t>Annualized advisory fees and commissions per advisor</w:t>
            </w:r>
            <w:r>
              <w:rPr>
                <w:rFonts w:ascii="Tenorite;sans-serif" w:hAnsi="Tenorite;sans-serif"/>
                <w:b w:val="false"/>
                <w:color w:val="000000"/>
                <w:sz w:val="12"/>
              </w:rPr>
              <w:t>(29)</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27%</w:t>
            </w:r>
          </w:p>
        </w:tc>
      </w:tr>
      <w:tr>
        <w:trPr/>
        <w:tc>
          <w:tcPr>
            <w:tcW w:w="524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val="false"/>
                <w:color w:val="000000"/>
                <w:sz w:val="18"/>
              </w:rPr>
              <w:t>Average total assets per advisor ($ in millions)</w:t>
            </w:r>
            <w:r>
              <w:rPr>
                <w:rFonts w:ascii="Tenorite;sans-serif" w:hAnsi="Tenorite;sans-serif"/>
                <w:b w:val="false"/>
                <w:color w:val="000000"/>
                <w:sz w:val="12"/>
              </w:rPr>
              <w:t>(30)</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78.9 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70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9%</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70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65.4 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21%</w:t>
            </w:r>
          </w:p>
        </w:tc>
      </w:tr>
      <w:tr>
        <w:trPr/>
        <w:tc>
          <w:tcPr>
            <w:tcW w:w="5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Total client accounts (in millions)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12%</w:t>
            </w:r>
          </w:p>
        </w:tc>
      </w:tr>
      <w:tr>
        <w:trPr/>
        <w:tc>
          <w:tcPr>
            <w:tcW w:w="524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val="false"/>
                <w:color w:val="000000"/>
                <w:sz w:val="18"/>
              </w:rPr>
            </w:pPr>
            <w:r>
              <w:rPr>
                <w:rFonts w:ascii="Tenorite;sans-serif" w:hAnsi="Tenorite;sans-serif"/>
                <w:b w:val="false"/>
                <w:color w:val="000000"/>
                <w:sz w:val="18"/>
              </w:rPr>
              <w:t>Recruited AUM ($ in billions)</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24.9 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70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43%</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70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18.4 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35%</w:t>
            </w:r>
          </w:p>
        </w:tc>
      </w:tr>
      <w:tr>
        <w:trPr/>
        <w:tc>
          <w:tcPr>
            <w:tcW w:w="5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val="false"/>
                <w:color w:val="000000"/>
                <w:sz w:val="18"/>
              </w:rPr>
            </w:pPr>
            <w:r>
              <w:rPr>
                <w:rFonts w:ascii="Tenorite;sans-serif" w:hAnsi="Tenorite;sans-serif"/>
                <w:b w:val="false"/>
                <w:color w:val="000000"/>
                <w:sz w:val="18"/>
              </w:rPr>
              <w:t>Employees</w:t>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10,081 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9,901 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2%</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9,389 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7%</w:t>
            </w:r>
          </w:p>
        </w:tc>
      </w:tr>
      <w:tr>
        <w:trPr/>
        <w:tc>
          <w:tcPr>
            <w:tcW w:w="5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enorite;sans-serif" w:hAnsi="Tenorite;sans-serif"/>
                <w:b w:val="false"/>
                <w:color w:val="000000"/>
                <w:sz w:val="18"/>
              </w:rPr>
              <w:t>AUM retention rate (quarterly annualized)</w:t>
            </w:r>
            <w:r>
              <w:rPr>
                <w:rFonts w:ascii="Tenorite;sans-serif" w:hAnsi="Tenorite;sans-serif"/>
                <w:b w:val="false"/>
                <w:color w:val="000000"/>
                <w:sz w:val="12"/>
              </w:rPr>
              <w:t>(31)</w:t>
            </w:r>
          </w:p>
        </w:tc>
        <w:tc>
          <w:tcPr>
            <w:tcW w:w="10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97.4%</w:t>
            </w:r>
          </w:p>
        </w:tc>
        <w:tc>
          <w:tcPr>
            <w:tcW w:w="10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98.2%</w:t>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(80bps)</w:t>
            </w:r>
          </w:p>
        </w:tc>
        <w:tc>
          <w:tcPr>
            <w:tcW w:w="10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97.6%</w:t>
            </w:r>
          </w:p>
        </w:tc>
        <w:tc>
          <w:tcPr>
            <w:tcW w:w="9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(20bps)</w:t>
            </w:r>
          </w:p>
        </w:tc>
      </w:tr>
      <w:tr>
        <w:trPr/>
        <w:tc>
          <w:tcPr>
            <w:tcW w:w="5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Capital Management</w:t>
            </w:r>
          </w:p>
        </w:tc>
        <w:tc>
          <w:tcPr>
            <w:tcW w:w="10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val="false"/>
                <w:color w:val="000000"/>
                <w:sz w:val="18"/>
              </w:rPr>
              <w:t>Capital expenditures ($ in millions)</w:t>
            </w:r>
            <w:r>
              <w:rPr>
                <w:rFonts w:ascii="Tenorite;sans-serif" w:hAnsi="Tenorite;sans-serif"/>
                <w:b w:val="false"/>
                <w:color w:val="000000"/>
                <w:sz w:val="12"/>
              </w:rPr>
              <w:t>(32)</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20%</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46%</w:t>
            </w:r>
          </w:p>
        </w:tc>
      </w:tr>
      <w:tr>
        <w:trPr/>
        <w:tc>
          <w:tcPr>
            <w:tcW w:w="524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val="false"/>
                <w:color w:val="000000"/>
                <w:sz w:val="18"/>
              </w:rPr>
              <w:t>Acquisitions, net ($ in millions)</w:t>
            </w:r>
            <w:r>
              <w:rPr>
                <w:rFonts w:ascii="Tenorite;sans-serif" w:hAnsi="Tenorite;sans-serif"/>
                <w:b w:val="false"/>
                <w:color w:val="000000"/>
                <w:sz w:val="12"/>
              </w:rPr>
              <w:t>(33)</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70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131.4 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(22%)</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70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102.8 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enorite;sans-serif" w:hAnsi="Tenorite;sans-serif"/>
                <w:b w:val="false"/>
                <w:color w:val="000000"/>
                <w:sz w:val="18"/>
              </w:rPr>
              <w:t>%</w:t>
            </w:r>
          </w:p>
        </w:tc>
      </w:tr>
      <w:tr>
        <w:trPr/>
        <w:tc>
          <w:tcPr>
            <w:tcW w:w="5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Share repurchases ($ in millions)</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309.5 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70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100%</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70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100%</w:t>
            </w:r>
          </w:p>
        </w:tc>
      </w:tr>
      <w:tr>
        <w:trPr/>
        <w:tc>
          <w:tcPr>
            <w:tcW w:w="5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Dividends ($ in millions)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enorite;sans-serif" w:hAnsi="Tenorite;sans-serif"/>
                <w:b w:val="false"/>
                <w:color w:val="000000"/>
                <w:sz w:val="18"/>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enorite;sans-serif" w:hAnsi="Tenorite;sans-serif"/>
                <w:b w:val="false"/>
                <w:color w:val="000000"/>
                <w:sz w:val="18"/>
              </w:rPr>
              <w:t>%</w:t>
            </w:r>
          </w:p>
        </w:tc>
      </w:tr>
      <w:tr>
        <w:trPr/>
        <w:tc>
          <w:tcPr>
            <w:tcW w:w="52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Total Capital Returned ($ in millions)</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333.5</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7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24.1</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7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24.0</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val="false"/>
                <w:color w:val="000000"/>
                <w:sz w:val="18"/>
              </w:rPr>
            </w:pPr>
            <w:r>
              <w:rPr>
                <w:rFonts w:ascii="Tenorite;sans-serif" w:hAnsi="Tenorite;sans-serif"/>
                <w:b w:val="false"/>
                <w:color w:val="000000"/>
                <w:sz w:val="18"/>
              </w:rPr>
              <w:t>n/m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enorite;sans-serif" w:hAnsi="Tenorite;sans-serif"/>
          <w:b/>
          <w:color w:val="000000"/>
          <w:sz w:val="20"/>
        </w:rPr>
      </w:pPr>
      <w:r>
        <w:rPr>
          <w:rFonts w:ascii="Tenorite;sans-serif" w:hAnsi="Tenorite;sans-serif"/>
          <w:b/>
          <w:color w:val="000000"/>
          <w:sz w:val="20"/>
        </w:rPr>
        <w:t>Non-GAAP Financial Measures</w:t>
      </w:r>
    </w:p>
    <w:p>
      <w:pPr>
        <w:pStyle w:val="TextBody"/>
        <w:bidi w:val="0"/>
        <w:spacing w:lineRule="auto" w:line="288" w:before="120" w:after="120"/>
        <w:jc w:val="left"/>
        <w:rPr>
          <w:rFonts w:ascii="Tenorite;sans-serif" w:hAnsi="Tenorite;sans-serif"/>
          <w:b w:val="false"/>
          <w:color w:val="000000"/>
          <w:sz w:val="20"/>
        </w:rPr>
      </w:pPr>
      <w:r>
        <w:rPr>
          <w:rFonts w:ascii="Tenorite;sans-serif" w:hAnsi="Tenorite;sans-serif"/>
          <w:b w:val="false"/>
          <w:color w:val="000000"/>
          <w:sz w:val="20"/>
        </w:rPr>
        <w:t>Management believes that presenting certain non-GAAP financial measures by excluding or including certain items can be helpful to investors and analysts who may wish to use this information to analyze the Company’s current performance, prospects and valuation. Management uses this non-GAAP information internally to evaluate operating performance and in formulating the budget for future periods. Management believes that the non-GAAP financial measures and metrics discussed below are appropriate for evaluating the performance of the Company.</w:t>
      </w:r>
    </w:p>
    <w:p>
      <w:pPr>
        <w:pStyle w:val="TextBody"/>
        <w:bidi w:val="0"/>
        <w:spacing w:lineRule="auto" w:line="288" w:before="120" w:after="120"/>
        <w:jc w:val="left"/>
        <w:rPr>
          <w:rFonts w:ascii="Tenorite;sans-serif" w:hAnsi="Tenorite;sans-serif"/>
          <w:b/>
          <w:color w:val="000000"/>
          <w:sz w:val="20"/>
        </w:rPr>
      </w:pPr>
      <w:r>
        <w:rPr>
          <w:rFonts w:ascii="Tenorite;sans-serif" w:hAnsi="Tenorite;sans-serif"/>
          <w:b/>
          <w:color w:val="000000"/>
          <w:sz w:val="20"/>
        </w:rPr>
        <w:t>Adjusted EPS and Adjusted net income</w:t>
      </w:r>
    </w:p>
    <w:p>
      <w:pPr>
        <w:pStyle w:val="TextBody"/>
        <w:bidi w:val="0"/>
        <w:spacing w:lineRule="auto" w:line="268" w:before="0" w:after="0"/>
        <w:jc w:val="left"/>
        <w:rPr/>
      </w:pPr>
      <w:r>
        <w:rPr>
          <w:rFonts w:ascii="Tenorite;sans-serif" w:hAnsi="Tenorite;sans-serif"/>
          <w:b w:val="false"/>
          <w:color w:val="000000"/>
          <w:sz w:val="20"/>
        </w:rPr>
        <w:t>Adjusted EPS</w:t>
      </w:r>
      <w:r>
        <w:rPr>
          <w:color w:val="000000"/>
        </w:rPr>
        <w:t xml:space="preserve"> </w:t>
      </w:r>
      <w:r>
        <w:rPr>
          <w:rFonts w:ascii="Tenorite;sans-serif" w:hAnsi="Tenorite;sans-serif"/>
          <w:b w:val="false"/>
          <w:color w:val="000000"/>
          <w:sz w:val="20"/>
        </w:rPr>
        <w:t>is defined as adjusted net income, a non-GAAP measure defined as net income plus the after-tax impact of amortization of other intangibles and acquisition costs, divided by the weighted average number of diluted shares outstanding for the applicable period. The Company presents adjusted net income and adjusted EPS because management believes that these metrics can provide investors with useful insight into the Company’s core operating performance by excluding non-cash items, and acquisition costs that management does not believe impact the Company’s ongoing operations. Adjusted net income and adjusted EPS are not measures of the Company's financial performance under GAAP and should not be considered as alternatives to net income, earnings per diluted share or any other performance measure derived in accordance with GAAP. For a reconciliation of net income and earnings per diluted share to adjusted net income and adjusted EPS, please see the endnote disclosures in this release.</w:t>
      </w:r>
    </w:p>
    <w:p>
      <w:pPr>
        <w:pStyle w:val="TextBody"/>
        <w:bidi w:val="0"/>
        <w:spacing w:lineRule="auto" w:line="288" w:before="120" w:after="120"/>
        <w:jc w:val="left"/>
        <w:rPr>
          <w:rFonts w:ascii="Tenorite;sans-serif" w:hAnsi="Tenorite;sans-serif"/>
          <w:b/>
          <w:color w:val="000000"/>
          <w:sz w:val="20"/>
        </w:rPr>
      </w:pPr>
      <w:r>
        <w:rPr>
          <w:rFonts w:ascii="Tenorite;sans-serif" w:hAnsi="Tenorite;sans-serif"/>
          <w:b/>
          <w:color w:val="000000"/>
          <w:sz w:val="20"/>
        </w:rPr>
        <w:t>Gross profit</w:t>
      </w:r>
    </w:p>
    <w:p>
      <w:pPr>
        <w:pStyle w:val="TextBody"/>
        <w:bidi w:val="0"/>
        <w:spacing w:lineRule="auto" w:line="288" w:before="120" w:after="120"/>
        <w:jc w:val="left"/>
        <w:rPr>
          <w:rFonts w:ascii="Tenorite;sans-serif" w:hAnsi="Tenorite;sans-serif"/>
          <w:b w:val="false"/>
          <w:color w:val="000000"/>
          <w:sz w:val="20"/>
        </w:rPr>
      </w:pPr>
      <w:r>
        <w:rPr>
          <w:rFonts w:ascii="Tenorite;sans-serif" w:hAnsi="Tenorite;sans-serif"/>
          <w:b w:val="false"/>
          <w:color w:val="000000"/>
          <w:sz w:val="20"/>
        </w:rPr>
        <w:t xml:space="preserve">Gross profit is calculated as total revenue less advisory and commission expense; brokerage, clearing and exchange expense; and market fluctuations on employee deferred compensation. All other expense categories, including depreciation and amortization of property and equipment and amortization of other intangibles, are considered general and administrative in nature. Because the Company’s gross profit amounts do not include any depreciation and amortization expense, the Company considers gross profit to be a non-GAAP financial measure that may not be comparable to similar measures used by others in its industry. Management believes that gross profit can provide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7955"/>
                <wp:effectExtent l="0" t="0" r="0" b="0"/>
                <wp:wrapNone/>
                <wp:docPr id="19" name="Frame1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15</w:t>
                      </w:r>
                    </w:p>
                  </w:txbxContent>
                </v:textbox>
                <w10:wrap type="none"/>
              </v:rect>
            </w:pict>
          </mc:Fallback>
        </mc:AlternateContent>
      </w:r>
    </w:p>
    <w:p>
      <w:pPr>
        <w:pStyle w:val="TextBody"/>
        <w:bidi w:val="0"/>
        <w:spacing w:lineRule="auto" w:line="288" w:before="120" w:after="120"/>
        <w:jc w:val="left"/>
        <w:rPr>
          <w:rFonts w:ascii="Tenorite;sans-serif" w:hAnsi="Tenorite;sans-serif"/>
          <w:b w:val="false"/>
          <w:color w:val="000000"/>
          <w:sz w:val="20"/>
        </w:rPr>
      </w:pPr>
      <w:r>
        <w:rPr>
          <w:rFonts w:ascii="Tenorite;sans-serif" w:hAnsi="Tenorite;sans-serif"/>
          <w:b w:val="false"/>
          <w:color w:val="000000"/>
          <w:sz w:val="20"/>
        </w:rPr>
        <w:t>investors with useful insight into the Company’s core operating performance before indirect costs that are general and administrative in nature. For a calculation of gross profit, please see the endnote disclosures in this release.</w:t>
      </w:r>
    </w:p>
    <w:p>
      <w:pPr>
        <w:pStyle w:val="TextBody"/>
        <w:bidi w:val="0"/>
        <w:spacing w:lineRule="auto" w:line="288" w:before="120" w:after="120"/>
        <w:jc w:val="left"/>
        <w:rPr>
          <w:rFonts w:ascii="Tenorite;sans-serif" w:hAnsi="Tenorite;sans-serif"/>
          <w:b/>
          <w:color w:val="000000"/>
          <w:sz w:val="20"/>
        </w:rPr>
      </w:pPr>
      <w:r>
        <w:rPr>
          <w:rFonts w:ascii="Tenorite;sans-serif" w:hAnsi="Tenorite;sans-serif"/>
          <w:b/>
          <w:color w:val="000000"/>
          <w:sz w:val="20"/>
        </w:rPr>
        <w:t>Core G&amp;A</w:t>
      </w:r>
    </w:p>
    <w:p>
      <w:pPr>
        <w:pStyle w:val="TextBody"/>
        <w:bidi w:val="0"/>
        <w:spacing w:lineRule="auto" w:line="288" w:before="0" w:after="0"/>
        <w:jc w:val="left"/>
        <w:rPr>
          <w:rFonts w:ascii="Tenorite;sans-serif" w:hAnsi="Tenorite;sans-serif"/>
          <w:b w:val="false"/>
          <w:color w:val="000000"/>
          <w:sz w:val="20"/>
        </w:rPr>
      </w:pPr>
      <w:r>
        <w:rPr>
          <w:rFonts w:ascii="Tenorite;sans-serif" w:hAnsi="Tenorite;sans-serif"/>
          <w:b w:val="false"/>
          <w:color w:val="000000"/>
          <w:sz w:val="20"/>
        </w:rPr>
        <w:t xml:space="preserve">Core G&amp;A consists of total expense less the following expenses: advisory and commission; depreciation and amortization; interest expense on borrowings; brokerage, clearing and exchange; amortization of other intangibles; market fluctuations on employee deferred compensation; transition assistance loan amortization; promotional (ongoing); acquisition costs excluding interest; employee share-based compensation; and regulatory charges. Management presents core G&amp;A because it believes core G&amp;A reflects the corporate expense categories over which management can generally exercise a measure of control, compared with expense items over which management either cannot exercise control, such as advisory and commission, or which management views as promotional expense necessary to support advisor growth and retention, including conferences and transition assistance. Core G&amp;A is not a measure of the Company’s total expense as calculated in accordance with GAAP. For a reconciliation of the Company's total expense to core G&amp;A, please see the endnote disclosures in this release. The Company does not provide an outlook for its total expense because it contains expense components, such as advisory and commission, that are market-driven and over which the Company cannot exercise control. Accordingly, a reconciliation of the Company’s outlook for total expense to an outlook for core G&amp;A cannot be made available without unreasonable effort. </w:t>
      </w:r>
    </w:p>
    <w:p>
      <w:pPr>
        <w:pStyle w:val="TextBody"/>
        <w:bidi w:val="0"/>
        <w:spacing w:lineRule="auto" w:line="288" w:before="120" w:after="120"/>
        <w:jc w:val="left"/>
        <w:rPr>
          <w:rFonts w:ascii="Tenorite;sans-serif" w:hAnsi="Tenorite;sans-serif"/>
          <w:b/>
          <w:color w:val="000000"/>
          <w:sz w:val="20"/>
        </w:rPr>
      </w:pPr>
      <w:r>
        <w:rPr>
          <w:rFonts w:ascii="Tenorite;sans-serif" w:hAnsi="Tenorite;sans-serif"/>
          <w:b/>
          <w:color w:val="000000"/>
          <w:sz w:val="20"/>
        </w:rPr>
        <w:t>EBITDA and Adjusted EBITDA</w:t>
      </w:r>
    </w:p>
    <w:p>
      <w:pPr>
        <w:pStyle w:val="TextBody"/>
        <w:bidi w:val="0"/>
        <w:spacing w:lineRule="auto" w:line="288" w:before="120" w:after="120"/>
        <w:jc w:val="left"/>
        <w:rPr>
          <w:rFonts w:ascii="Tenorite;sans-serif" w:hAnsi="Tenorite;sans-serif"/>
          <w:b w:val="false"/>
          <w:color w:val="000000"/>
          <w:sz w:val="20"/>
        </w:rPr>
      </w:pPr>
      <w:r>
        <w:rPr>
          <w:rFonts w:ascii="Tenorite;sans-serif" w:hAnsi="Tenorite;sans-serif"/>
          <w:b w:val="false"/>
          <w:color w:val="000000"/>
          <w:sz w:val="20"/>
        </w:rPr>
        <w:t>EBITDA is defined as net income plus interest expense on borrowings, provision for income taxes, depreciation and amortization, and amortization of other intangibles. Adjusted EBITDA is defined as EBITDA, a non-GAAP measure, plus acquisition costs excluding interest. The Company presents EBITDA and adjusted EBITDA because management believes that they can be useful financial metrics in understanding the Company’s earnings from operations. EBITDA and adjusted EBITDA are not measures of the Company's financial performance under GAAP and should not be considered as alternatives to net income or any other performance measure derived in accordance with GAAP. For a reconciliation of net income to EBITDA and adjusted EBITDA, please see the endnote disclosures in this release.</w:t>
      </w:r>
    </w:p>
    <w:p>
      <w:pPr>
        <w:pStyle w:val="TextBody"/>
        <w:bidi w:val="0"/>
        <w:spacing w:lineRule="auto" w:line="288" w:before="120" w:after="120"/>
        <w:jc w:val="left"/>
        <w:rPr>
          <w:rFonts w:ascii="Tenorite;sans-serif" w:hAnsi="Tenorite;sans-serif"/>
          <w:b/>
          <w:color w:val="000000"/>
          <w:sz w:val="20"/>
        </w:rPr>
      </w:pPr>
      <w:r>
        <w:rPr>
          <w:rFonts w:ascii="Tenorite;sans-serif" w:hAnsi="Tenorite;sans-serif"/>
          <w:b/>
          <w:color w:val="000000"/>
          <w:sz w:val="20"/>
        </w:rPr>
        <w:t>Adjusted pre-tax income</w:t>
      </w:r>
    </w:p>
    <w:p>
      <w:pPr>
        <w:pStyle w:val="TextBody"/>
        <w:bidi w:val="0"/>
        <w:spacing w:lineRule="auto" w:line="288" w:before="0" w:after="0"/>
        <w:jc w:val="left"/>
        <w:rPr>
          <w:rFonts w:ascii="Tenorite;sans-serif" w:hAnsi="Tenorite;sans-serif"/>
          <w:b w:val="false"/>
          <w:color w:val="000000"/>
          <w:sz w:val="20"/>
        </w:rPr>
      </w:pPr>
      <w:r>
        <w:rPr>
          <w:rFonts w:ascii="Tenorite;sans-serif" w:hAnsi="Tenorite;sans-serif"/>
          <w:b w:val="false"/>
          <w:color w:val="000000"/>
          <w:sz w:val="20"/>
        </w:rPr>
        <w:t>Adjusted pre-tax income is defined as income before provision for income taxes plus amortization of other intangibles and acquisition costs. The Company presents adjusted pre-tax income because management believes that it can provide investors with useful insight into the Company's core operating performance by excluding non-cash items, acquisition costs, and certain other charges that management does not believe impact the Company's ongoing operations. Adjusted pre-tax income is not a measure of the Company's financial performance under GAAP and should not be considered as an alternative to income before provision for income taxes or any other performance measure derived in accordance with GAAP. For a reconciliation of income before provision for income taxes to adjusted pre-tax income, please see the endnote disclosures in this release.</w:t>
      </w:r>
    </w:p>
    <w:p>
      <w:pPr>
        <w:pStyle w:val="TextBody"/>
        <w:bidi w:val="0"/>
        <w:spacing w:lineRule="auto" w:line="288" w:before="120" w:after="120"/>
        <w:jc w:val="left"/>
        <w:rPr>
          <w:rFonts w:ascii="Tenorite;sans-serif" w:hAnsi="Tenorite;sans-serif"/>
          <w:b/>
          <w:color w:val="000000"/>
          <w:sz w:val="20"/>
        </w:rPr>
      </w:pPr>
      <w:r>
        <w:rPr>
          <w:rFonts w:ascii="Tenorite;sans-serif" w:hAnsi="Tenorite;sans-serif"/>
          <w:b/>
          <w:color w:val="000000"/>
          <w:sz w:val="20"/>
        </w:rPr>
        <w:t>Credit Agreement EBITDA</w:t>
      </w:r>
    </w:p>
    <w:p>
      <w:pPr>
        <w:pStyle w:val="TextBody"/>
        <w:bidi w:val="0"/>
        <w:spacing w:lineRule="auto" w:line="288" w:before="0" w:after="0"/>
        <w:jc w:val="left"/>
        <w:rPr>
          <w:rFonts w:ascii="Tenorite;sans-serif" w:hAnsi="Tenorite;sans-serif"/>
          <w:b w:val="false"/>
          <w:color w:val="000000"/>
          <w:sz w:val="20"/>
        </w:rPr>
      </w:pPr>
      <w:r>
        <w:rPr>
          <w:rFonts w:ascii="Tenorite;sans-serif" w:hAnsi="Tenorite;sans-serif"/>
          <w:b w:val="false"/>
          <w:color w:val="000000"/>
          <w:sz w:val="20"/>
        </w:rPr>
        <w:t>Credit Agreement EBITDA is defined in, and calculated by management in accordance with, the Company's amended and restated credit agreement (“Credit Agreement”) as “Consolidated EBITDA,” which is Consolidated Net Income (as defined in the Credit Agreement) plus interest expense on borrowings, provision for income taxes, depreciation and amortization, and amortization of other intangibles, and is further adjusted to exclude certain non-cash charges and other adjustments, and to include future expected cost savings, operating expense reductions or other synergies from certain transactions. The Company presents Credit Agreement EBITDA because management believes that it can be a useful financial metric in understanding the Company’s debt capacity and covenant compliance under its Credit Agreement. Credit Agreement EBITDA is not a measure of the Company's financial performance under GAAP and should not be considered as an alternative to net income or any other performance measure derived in accordance with GAAP. For a reconciliation of net income to Credit Agreement EBITDA, please see the endnote disclosures in this release.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120"/>
        <w:jc w:val="left"/>
        <w:rPr>
          <w:rFonts w:ascii="Tenorite;sans-serif" w:hAnsi="Tenorite;sans-serif"/>
          <w:b/>
          <w:color w:val="000000"/>
          <w:sz w:val="20"/>
        </w:rPr>
      </w:pPr>
      <w:r>
        <w:rPr>
          <w:rFonts w:ascii="Tenorite;sans-serif" w:hAnsi="Tenorite;sans-serif"/>
          <w:b/>
          <w:color w:val="000000"/>
          <w:sz w:val="20"/>
        </w:rPr>
        <w:t>Endnote Disclosures</w:t>
      </w:r>
    </w:p>
    <w:p>
      <w:pPr>
        <w:pStyle w:val="TextBody"/>
        <w:bidi w:val="0"/>
        <w:spacing w:lineRule="auto" w:line="288" w:before="0" w:after="60"/>
        <w:ind w:left="0" w:right="0" w:hanging="540"/>
        <w:jc w:val="left"/>
        <w:rPr>
          <w:rFonts w:ascii="Tenorite;sans-serif" w:hAnsi="Tenorite;sans-serif"/>
          <w:b w:val="false"/>
          <w:color w:val="000000"/>
          <w:sz w:val="20"/>
        </w:rPr>
      </w:pPr>
      <w:r>
        <w:rPr>
          <w:rFonts w:ascii="Tenorite;sans-serif" w:hAnsi="Tenorite;sans-serif"/>
          <w:b w:val="false"/>
          <w:color w:val="000000"/>
          <w:sz w:val="20"/>
        </w:rPr>
        <w:t xml:space="preserve">(1) Represents the estimated total client assets expected to transition to the Company's primary broker-dealer subsidiary, LPL Financial, in connection with advisors who transferred their licenses to LPL Financial during the period. The estimate is based on prior business reported by the advisors, which has not been independently and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7955"/>
                <wp:effectExtent l="0" t="0" r="0" b="0"/>
                <wp:wrapNone/>
                <wp:docPr id="20" name="Frame1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16</w:t>
                      </w:r>
                    </w:p>
                  </w:txbxContent>
                </v:textbox>
                <w10:wrap type="none"/>
              </v:rect>
            </w:pict>
          </mc:Fallback>
        </mc:AlternateContent>
      </w:r>
    </w:p>
    <w:p>
      <w:pPr>
        <w:pStyle w:val="TextBody"/>
        <w:bidi w:val="0"/>
        <w:spacing w:lineRule="auto" w:line="288" w:before="0" w:after="60"/>
        <w:jc w:val="left"/>
        <w:rPr>
          <w:rFonts w:ascii="Tenorite;sans-serif" w:hAnsi="Tenorite;sans-serif"/>
          <w:b w:val="false"/>
          <w:color w:val="000000"/>
          <w:sz w:val="20"/>
        </w:rPr>
      </w:pPr>
      <w:r>
        <w:rPr>
          <w:rFonts w:ascii="Tenorite;sans-serif" w:hAnsi="Tenorite;sans-serif"/>
          <w:b w:val="false"/>
          <w:color w:val="000000"/>
          <w:sz w:val="20"/>
        </w:rPr>
        <w:t>fully verified by LPL Financial. The actual transition of client assets to LPL Financial generally occurs over several quarters and the actual amount transitioned may vary from the estimate.</w:t>
      </w:r>
    </w:p>
    <w:p>
      <w:pPr>
        <w:pStyle w:val="TextBody"/>
        <w:bidi w:val="0"/>
        <w:spacing w:lineRule="auto" w:line="288" w:before="0" w:after="60"/>
        <w:ind w:left="0" w:right="0" w:hanging="540"/>
        <w:jc w:val="left"/>
        <w:rPr>
          <w:rFonts w:ascii="Tenorite;sans-serif" w:hAnsi="Tenorite;sans-serif"/>
          <w:b w:val="false"/>
          <w:color w:val="000000"/>
          <w:sz w:val="20"/>
        </w:rPr>
      </w:pPr>
      <w:r>
        <w:rPr>
          <w:rFonts w:ascii="Tenorite;sans-serif" w:hAnsi="Tenorite;sans-serif"/>
          <w:b w:val="false"/>
          <w:color w:val="000000"/>
          <w:sz w:val="20"/>
        </w:rPr>
        <w:t xml:space="preserve">(2) Corporate cash, a component of cash and equivalents, is the sum of cash and equivalents from the following: (1) cash and equivalents held at LPL Holdings, Inc., (2) cash and equivalents held at regulated subsidiaries as defined by the Company's Credit Agreement, which include LPL Financial, LPL Enterprise, LLC, The Private Trust Company, N.A., and Commonwealth Equity Services, LLC ("CES"), in excess of the capital requirements of the Company's Credit Agreement and (3) cash and equivalents held at non-regulated subsidiaries. </w:t>
      </w:r>
    </w:p>
    <w:p>
      <w:pPr>
        <w:pStyle w:val="TextBody"/>
        <w:bidi w:val="0"/>
        <w:spacing w:lineRule="auto" w:line="288" w:before="0" w:after="60"/>
        <w:ind w:left="0" w:right="0" w:hanging="540"/>
        <w:jc w:val="left"/>
        <w:rPr>
          <w:rFonts w:ascii="Tenorite;sans-serif" w:hAnsi="Tenorite;sans-serif"/>
          <w:b w:val="false"/>
          <w:color w:val="000000"/>
          <w:sz w:val="20"/>
        </w:rPr>
      </w:pPr>
      <w:r>
        <w:rPr>
          <w:rFonts w:ascii="Tenorite;sans-serif" w:hAnsi="Tenorite;sans-serif"/>
          <w:b w:val="false"/>
          <w:color w:val="000000"/>
          <w:sz w:val="20"/>
        </w:rPr>
        <w:t>(3) Compliance with the Leverage Ratio is only required under the Company's revolving credit facility.</w:t>
      </w:r>
    </w:p>
    <w:p>
      <w:pPr>
        <w:pStyle w:val="TextBody"/>
        <w:bidi w:val="0"/>
        <w:spacing w:lineRule="auto" w:line="288" w:before="0" w:after="60"/>
        <w:ind w:left="0" w:right="0" w:hanging="540"/>
        <w:jc w:val="left"/>
        <w:rPr>
          <w:rFonts w:ascii="Tenorite;sans-serif" w:hAnsi="Tenorite;sans-serif"/>
          <w:b w:val="false"/>
          <w:color w:val="000000"/>
          <w:sz w:val="20"/>
        </w:rPr>
      </w:pPr>
      <w:r>
        <w:rPr>
          <w:rFonts w:ascii="Tenorite;sans-serif" w:hAnsi="Tenorite;sans-serif"/>
          <w:b w:val="false"/>
          <w:color w:val="000000"/>
          <w:sz w:val="20"/>
        </w:rPr>
        <w:t>(4)    The Company was named a Top RIA custodian (Cerulli Associates, 2025 U.S. RIA Marketplace Report); No. 1 Independent Broker-Dealer in the U.S. (based on total revenues, Financial Planning magazine 1996-2022); and, among third-party providers of brokerage services to banks and credit unions, No. 1 in AUM Growth from Financial Institutions; No. 1 in Market Share of AUM from Financial Institutions; No. 1 in Market Share of Revenue from Financial Institutions; No. 1 on Financial Institution Market Share; No. 1 on Share of Advisors (2021-2022 Kehrer Bielan Research and Consulting Annual TPM Report). Fortune 500 as of June 2021.</w:t>
      </w:r>
    </w:p>
    <w:p>
      <w:pPr>
        <w:pStyle w:val="TextBody"/>
        <w:bidi w:val="0"/>
        <w:spacing w:lineRule="auto" w:line="288" w:before="0" w:after="60"/>
        <w:ind w:left="0" w:right="0" w:hanging="540"/>
        <w:jc w:val="left"/>
        <w:rPr/>
      </w:pPr>
      <w:r>
        <w:rPr>
          <w:rFonts w:ascii="Tenorite;sans-serif" w:hAnsi="Tenorite;sans-serif"/>
          <w:b w:val="false"/>
          <w:color w:val="000000"/>
          <w:sz w:val="20"/>
        </w:rPr>
        <w:t xml:space="preserve">(5) Gross profit is a non-GAAP financial measure. Please see a description of gross profit under the </w:t>
      </w:r>
      <w:r>
        <w:rPr>
          <w:rFonts w:ascii="Tenorite;sans-serif" w:hAnsi="Tenorite;sans-serif"/>
          <w:b w:val="false"/>
          <w:i/>
          <w:color w:val="000000"/>
          <w:sz w:val="20"/>
        </w:rPr>
        <w:t xml:space="preserve">"Non-GAAP Financial Measures" </w:t>
      </w:r>
      <w:r>
        <w:rPr>
          <w:rFonts w:ascii="Tenorite;sans-serif" w:hAnsi="Tenorite;sans-serif"/>
          <w:b w:val="false"/>
          <w:color w:val="000000"/>
          <w:sz w:val="20"/>
        </w:rPr>
        <w:t>section of this release for additional information. Below is a calculation of gross profit for the periods presented (in thousands):</w:t>
      </w:r>
    </w:p>
    <w:tbl>
      <w:tblPr>
        <w:tblW w:w="8552" w:type="dxa"/>
        <w:jc w:val="left"/>
        <w:tblInd w:w="0" w:type="dxa"/>
        <w:tblLayout w:type="fixed"/>
        <w:tblCellMar>
          <w:top w:w="28" w:type="dxa"/>
          <w:left w:w="28" w:type="dxa"/>
          <w:bottom w:w="28" w:type="dxa"/>
          <w:right w:w="28" w:type="dxa"/>
        </w:tblCellMar>
      </w:tblPr>
      <w:tblGrid>
        <w:gridCol w:w="1461"/>
        <w:gridCol w:w="1282"/>
        <w:gridCol w:w="1291"/>
        <w:gridCol w:w="226"/>
        <w:gridCol w:w="1156"/>
        <w:gridCol w:w="109"/>
        <w:gridCol w:w="226"/>
        <w:gridCol w:w="1156"/>
        <w:gridCol w:w="109"/>
        <w:gridCol w:w="226"/>
        <w:gridCol w:w="1156"/>
        <w:gridCol w:w="154"/>
      </w:tblGrid>
      <w:tr>
        <w:trPr/>
        <w:tc>
          <w:tcPr>
            <w:tcW w:w="1461"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Q2 2026</w:t>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Q1 2026</w:t>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Q2 2025</w:t>
            </w:r>
          </w:p>
        </w:tc>
      </w:tr>
      <w:tr>
        <w:trPr/>
        <w:tc>
          <w:tcPr>
            <w:tcW w:w="403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val="false"/>
                <w:color w:val="000000"/>
                <w:sz w:val="18"/>
              </w:rPr>
            </w:pPr>
            <w:r>
              <w:rPr>
                <w:rFonts w:ascii="Tenorite;sans-serif" w:hAnsi="Tenorite;sans-serif"/>
                <w:b w:val="false"/>
                <w:color w:val="000000"/>
                <w:sz w:val="18"/>
              </w:rPr>
              <w:t>Total revenue</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5,186,623 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4,938,434 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3,835,025 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Advisory and commission expense</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3,507,164 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3,291,209 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2,483,165 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Brokerage, clearing and exchange expense</w:t>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52,018 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55,475 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43,290 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Employee deferred compensation</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9,178 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color w:val="000000"/>
                <w:sz w:val="18"/>
              </w:rPr>
            </w:pPr>
            <w:r>
              <w:rPr>
                <w:rFonts w:ascii="Tenorite;sans-serif" w:hAnsi="Tenorite;sans-serif"/>
                <w:b/>
                <w:color w:val="000000"/>
                <w:sz w:val="18"/>
              </w:rPr>
              <w:t>Gross profit</w:t>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1,618,263</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1,592,711</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1,304,277</w:t>
            </w:r>
            <w:r>
              <w:rPr>
                <w:color w:val="000000"/>
              </w:rPr>
              <w:t>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ind w:left="0" w:right="0" w:hanging="540"/>
        <w:jc w:val="left"/>
        <w:rPr>
          <w:rFonts w:ascii="Tenorite;sans-serif" w:hAnsi="Tenorite;sans-serif"/>
          <w:b w:val="false"/>
          <w:color w:val="000000"/>
          <w:sz w:val="20"/>
        </w:rPr>
      </w:pPr>
      <w:r>
        <w:rPr>
          <w:rFonts w:ascii="Tenorite;sans-serif" w:hAnsi="Tenorite;sans-serif"/>
          <w:b w:val="false"/>
          <w:color w:val="000000"/>
          <w:sz w:val="20"/>
        </w:rPr>
        <w:t>(6) Production-based payout is a financial measure calculated as advisory and commission expense plus (less) advisor deferred compensation. The payout rate is calculated by dividing the production-based payout by total advisory and commission revenue. Below is a reconciliation of the Company’s advisory and commission expense to the production-based payout and a calculation of the payout rate for the periods presented (in thousands, except payout rate):</w:t>
      </w:r>
    </w:p>
    <w:tbl>
      <w:tblPr>
        <w:tblW w:w="8537" w:type="dxa"/>
        <w:jc w:val="left"/>
        <w:tblInd w:w="0" w:type="dxa"/>
        <w:tblLayout w:type="fixed"/>
        <w:tblCellMar>
          <w:top w:w="28" w:type="dxa"/>
          <w:left w:w="28" w:type="dxa"/>
          <w:bottom w:w="28" w:type="dxa"/>
          <w:right w:w="28" w:type="dxa"/>
        </w:tblCellMar>
      </w:tblPr>
      <w:tblGrid>
        <w:gridCol w:w="1457"/>
        <w:gridCol w:w="1278"/>
        <w:gridCol w:w="1284"/>
        <w:gridCol w:w="226"/>
        <w:gridCol w:w="1156"/>
        <w:gridCol w:w="109"/>
        <w:gridCol w:w="226"/>
        <w:gridCol w:w="1156"/>
        <w:gridCol w:w="109"/>
        <w:gridCol w:w="226"/>
        <w:gridCol w:w="1156"/>
        <w:gridCol w:w="154"/>
      </w:tblGrid>
      <w:tr>
        <w:trPr/>
        <w:tc>
          <w:tcPr>
            <w:tcW w:w="1457"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Q2 2026</w:t>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Q1 2026</w:t>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Q2 2025</w:t>
            </w:r>
          </w:p>
        </w:tc>
      </w:tr>
      <w:tr>
        <w:trPr/>
        <w:tc>
          <w:tcPr>
            <w:tcW w:w="40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Advisory and commission expense</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3,507,164 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3,291,209 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2,483,165 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val="false"/>
                <w:color w:val="000000"/>
                <w:sz w:val="18"/>
              </w:rPr>
            </w:pPr>
            <w:r>
              <w:rPr>
                <w:rFonts w:ascii="Tenorite;sans-serif" w:hAnsi="Tenorite;sans-serif"/>
                <w:b w:val="false"/>
                <w:color w:val="000000"/>
                <w:sz w:val="18"/>
              </w:rPr>
              <w:t>Plus (Less): Advisor deferred compensation</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(128,203)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29,318 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(76,473)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Production-based payout</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3,378,961</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3,320,527</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2,406,692</w:t>
            </w:r>
            <w:r>
              <w:rPr>
                <w:color w:val="000000"/>
              </w:rPr>
              <w:t>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Advisory and commission revenue</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3,864,478 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3,807,081 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2,755,825 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Payout rate</w:t>
            </w:r>
          </w:p>
        </w:tc>
        <w:tc>
          <w:tcPr>
            <w:tcW w:w="14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87.44%</w:t>
            </w:r>
          </w:p>
        </w:tc>
        <w:tc>
          <w:tcPr>
            <w:tcW w:w="14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87.22%</w:t>
            </w:r>
          </w:p>
        </w:tc>
        <w:tc>
          <w:tcPr>
            <w:tcW w:w="15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87.33%</w:t>
            </w:r>
          </w:p>
        </w:tc>
      </w:tr>
    </w:tbl>
    <w:p>
      <w:pPr>
        <w:pStyle w:val="TextBody"/>
        <w:bidi w:val="0"/>
        <w:spacing w:lineRule="auto" w:line="288" w:before="60" w:after="60"/>
        <w:ind w:left="0" w:right="0" w:hanging="540"/>
        <w:jc w:val="left"/>
        <w:rPr>
          <w:rFonts w:ascii="Tenorite;sans-serif" w:hAnsi="Tenorite;sans-serif"/>
          <w:b w:val="false"/>
          <w:color w:val="000000"/>
          <w:sz w:val="20"/>
        </w:rPr>
      </w:pPr>
      <w:r>
        <w:rPr>
          <w:rFonts w:ascii="Tenorite;sans-serif" w:hAnsi="Tenorite;sans-serif"/>
          <w:b w:val="false"/>
          <w:color w:val="000000"/>
          <w:sz w:val="20"/>
        </w:rPr>
        <w:t>(7) Below is a reconciliation of client cash revenue per Management's Statements of Operations to client cash revenue, a component of asset-based revenue, on the Company's condensed consolidated statements of income for the periods presented (in thousands):</w:t>
      </w:r>
    </w:p>
    <w:tbl>
      <w:tblPr>
        <w:tblW w:w="10205" w:type="dxa"/>
        <w:jc w:val="left"/>
        <w:tblInd w:w="0" w:type="dxa"/>
        <w:tblLayout w:type="fixed"/>
        <w:tblCellMar>
          <w:top w:w="28" w:type="dxa"/>
          <w:left w:w="28" w:type="dxa"/>
          <w:bottom w:w="28" w:type="dxa"/>
          <w:right w:w="28" w:type="dxa"/>
        </w:tblCellMar>
      </w:tblPr>
      <w:tblGrid>
        <w:gridCol w:w="2274"/>
        <w:gridCol w:w="1996"/>
        <w:gridCol w:w="2000"/>
        <w:gridCol w:w="226"/>
        <w:gridCol w:w="961"/>
        <w:gridCol w:w="109"/>
        <w:gridCol w:w="226"/>
        <w:gridCol w:w="961"/>
        <w:gridCol w:w="109"/>
        <w:gridCol w:w="226"/>
        <w:gridCol w:w="961"/>
        <w:gridCol w:w="156"/>
      </w:tblGrid>
      <w:tr>
        <w:trPr/>
        <w:tc>
          <w:tcPr>
            <w:tcW w:w="2274"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Q2 2026</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Q1 2026</w:t>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Q2 2025</w:t>
            </w:r>
          </w:p>
        </w:tc>
      </w:tr>
      <w:tr>
        <w:trPr/>
        <w:tc>
          <w:tcPr>
            <w:tcW w:w="627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val="false"/>
                <w:color w:val="000000"/>
                <w:sz w:val="18"/>
              </w:rPr>
            </w:pPr>
            <w:r>
              <w:rPr>
                <w:rFonts w:ascii="Tenorite;sans-serif" w:hAnsi="Tenorite;sans-serif"/>
                <w:b w:val="false"/>
                <w:color w:val="000000"/>
                <w:sz w:val="18"/>
              </w:rPr>
              <w:t>Client cash on Management's Statements of Operations</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6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456,945 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6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459,653 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6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413,516 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val="false"/>
                <w:color w:val="000000"/>
                <w:sz w:val="18"/>
              </w:rPr>
              <w:t>Interest income on CCA balances segregated under federal or other regulations</w:t>
            </w:r>
            <w:r>
              <w:rPr>
                <w:rFonts w:ascii="Tenorite;sans-serif" w:hAnsi="Tenorite;sans-serif"/>
                <w:b w:val="false"/>
                <w:color w:val="000000"/>
                <w:sz w:val="12"/>
              </w:rPr>
              <w:t>(9)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(13,444)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(14,328)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(16,184)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color w:val="000000"/>
                <w:sz w:val="18"/>
              </w:rPr>
            </w:pPr>
            <w:r>
              <w:rPr>
                <w:rFonts w:ascii="Tenorite;sans-serif" w:hAnsi="Tenorite;sans-serif"/>
                <w:b/>
                <w:color w:val="000000"/>
                <w:sz w:val="18"/>
              </w:rPr>
              <w:t>Client cash on Condensed Consolidated Statements of Income</w:t>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6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443,501</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6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445,325</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6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397,332</w:t>
            </w:r>
            <w:r>
              <w:rPr>
                <w:color w:val="000000"/>
              </w:rPr>
              <w:t> </w:t>
            </w:r>
          </w:p>
        </w:tc>
        <w:tc>
          <w:tcPr>
            <w:tcW w:w="1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540"/>
        <w:jc w:val="left"/>
        <w:rPr>
          <w:rFonts w:ascii="Tenorite;sans-serif" w:hAnsi="Tenorite;sans-serif"/>
          <w:b w:val="false"/>
          <w:color w:val="000000"/>
          <w:sz w:val="20"/>
        </w:rPr>
      </w:pPr>
      <w:r>
        <w:rPr>
          <w:rFonts w:ascii="Tenorite;sans-serif" w:hAnsi="Tenorite;sans-serif"/>
          <w:b w:val="false"/>
          <w:color w:val="000000"/>
          <w:sz w:val="20"/>
        </w:rPr>
        <w:t xml:space="preserve">(8)     Consists of revenue from the Company's sponsorship programs with financial product manufacturers, omnibus processing and networking services but does not include fees from client cash programs.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7955"/>
                <wp:effectExtent l="0" t="0" r="0" b="0"/>
                <wp:wrapNone/>
                <wp:docPr id="21" name="Frame2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17</w:t>
                      </w:r>
                    </w:p>
                  </w:txbxContent>
                </v:textbox>
                <w10:wrap type="none"/>
              </v:rect>
            </w:pict>
          </mc:Fallback>
        </mc:AlternateContent>
      </w:r>
    </w:p>
    <w:p>
      <w:pPr>
        <w:pStyle w:val="TextBody"/>
        <w:bidi w:val="0"/>
        <w:spacing w:lineRule="auto" w:line="256" w:before="0" w:after="0"/>
        <w:ind w:left="0" w:right="0" w:hanging="540"/>
        <w:jc w:val="left"/>
        <w:rPr>
          <w:rFonts w:ascii="Tenorite;sans-serif" w:hAnsi="Tenorite;sans-serif"/>
          <w:b w:val="false"/>
          <w:color w:val="000000"/>
          <w:sz w:val="20"/>
        </w:rPr>
      </w:pPr>
      <w:r>
        <w:rPr>
          <w:rFonts w:ascii="Tenorite;sans-serif" w:hAnsi="Tenorite;sans-serif"/>
          <w:b w:val="false"/>
          <w:color w:val="000000"/>
          <w:sz w:val="20"/>
        </w:rPr>
        <w:t>(9)     Below is a reconciliation of interest income, net per Management's Statements of Operations to interest income, net on the Company's condensed consolidated statements of income for the periods presented (in thousands):</w:t>
      </w:r>
    </w:p>
    <w:tbl>
      <w:tblPr>
        <w:tblW w:w="10205" w:type="dxa"/>
        <w:jc w:val="center"/>
        <w:tblInd w:w="0" w:type="dxa"/>
        <w:tblLayout w:type="fixed"/>
        <w:tblCellMar>
          <w:top w:w="28" w:type="dxa"/>
          <w:left w:w="28" w:type="dxa"/>
          <w:bottom w:w="28" w:type="dxa"/>
          <w:right w:w="28" w:type="dxa"/>
        </w:tblCellMar>
      </w:tblPr>
      <w:tblGrid>
        <w:gridCol w:w="2404"/>
        <w:gridCol w:w="2111"/>
        <w:gridCol w:w="2116"/>
        <w:gridCol w:w="226"/>
        <w:gridCol w:w="841"/>
        <w:gridCol w:w="109"/>
        <w:gridCol w:w="226"/>
        <w:gridCol w:w="841"/>
        <w:gridCol w:w="109"/>
        <w:gridCol w:w="226"/>
        <w:gridCol w:w="841"/>
        <w:gridCol w:w="155"/>
      </w:tblGrid>
      <w:tr>
        <w:trPr/>
        <w:tc>
          <w:tcPr>
            <w:tcW w:w="2404"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Q2 2026</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Q1 2026</w:t>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Q2 2025</w:t>
            </w:r>
          </w:p>
        </w:tc>
      </w:tr>
      <w:tr>
        <w:trPr/>
        <w:tc>
          <w:tcPr>
            <w:tcW w:w="663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val="false"/>
                <w:color w:val="000000"/>
                <w:sz w:val="18"/>
              </w:rPr>
            </w:pPr>
            <w:r>
              <w:rPr>
                <w:rFonts w:ascii="Tenorite;sans-serif" w:hAnsi="Tenorite;sans-serif"/>
                <w:b w:val="false"/>
                <w:color w:val="000000"/>
                <w:sz w:val="18"/>
              </w:rPr>
              <w:t>Interest income, net on Management's Statements of Operations</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8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33,027 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8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30,835 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8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60,738 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val="false"/>
                <w:color w:val="000000"/>
                <w:sz w:val="18"/>
              </w:rPr>
              <w:t>Interest income on CCA balances segregated under federal or other regulations</w:t>
            </w:r>
            <w:r>
              <w:rPr>
                <w:rFonts w:ascii="Tenorite;sans-serif" w:hAnsi="Tenorite;sans-serif"/>
                <w:b w:val="false"/>
                <w:color w:val="000000"/>
                <w:sz w:val="12"/>
              </w:rPr>
              <w:t>(7)</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13,444 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14,328 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16,184 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val="false"/>
                <w:color w:val="000000"/>
                <w:sz w:val="18"/>
              </w:rPr>
              <w:t>Interest income on deferred compensation</w:t>
            </w:r>
            <w:r>
              <w:rPr>
                <w:rFonts w:ascii="Tenorite;sans-serif" w:hAnsi="Tenorite;sans-serif"/>
                <w:b w:val="false"/>
                <w:color w:val="000000"/>
                <w:sz w:val="12"/>
              </w:rPr>
              <w:t>(10)</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19 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color w:val="000000"/>
                <w:sz w:val="18"/>
              </w:rPr>
            </w:pPr>
            <w:r>
              <w:rPr>
                <w:rFonts w:ascii="Tenorite;sans-serif" w:hAnsi="Tenorite;sans-serif"/>
                <w:b/>
                <w:color w:val="000000"/>
                <w:sz w:val="18"/>
              </w:rPr>
              <w:t xml:space="preserve">Interest income, net on Condensed Consolidated Statements of Income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46,527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45,180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76,941</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ind w:left="0" w:right="0" w:hanging="540"/>
        <w:jc w:val="left"/>
        <w:rPr>
          <w:rFonts w:ascii="Tenorite;sans-serif" w:hAnsi="Tenorite;sans-serif"/>
          <w:b w:val="false"/>
          <w:color w:val="000000"/>
          <w:sz w:val="20"/>
        </w:rPr>
      </w:pPr>
      <w:r>
        <w:rPr>
          <w:rFonts w:ascii="Tenorite;sans-serif" w:hAnsi="Tenorite;sans-serif"/>
          <w:b w:val="false"/>
          <w:color w:val="000000"/>
          <w:sz w:val="20"/>
        </w:rPr>
        <w:t>(10) Below is a reconciliation of other revenue per Management's Statements of Operations to other revenue on the Company's condensed consolidated statements of income for the periods presented (in thousands):</w:t>
      </w:r>
    </w:p>
    <w:tbl>
      <w:tblPr>
        <w:tblW w:w="10205" w:type="dxa"/>
        <w:jc w:val="center"/>
        <w:tblInd w:w="0" w:type="dxa"/>
        <w:tblLayout w:type="fixed"/>
        <w:tblCellMar>
          <w:top w:w="28" w:type="dxa"/>
          <w:left w:w="28" w:type="dxa"/>
          <w:bottom w:w="28" w:type="dxa"/>
          <w:right w:w="28" w:type="dxa"/>
        </w:tblCellMar>
      </w:tblPr>
      <w:tblGrid>
        <w:gridCol w:w="2329"/>
        <w:gridCol w:w="2047"/>
        <w:gridCol w:w="2051"/>
        <w:gridCol w:w="226"/>
        <w:gridCol w:w="961"/>
        <w:gridCol w:w="109"/>
        <w:gridCol w:w="226"/>
        <w:gridCol w:w="924"/>
        <w:gridCol w:w="109"/>
        <w:gridCol w:w="226"/>
        <w:gridCol w:w="841"/>
        <w:gridCol w:w="156"/>
      </w:tblGrid>
      <w:tr>
        <w:trPr/>
        <w:tc>
          <w:tcPr>
            <w:tcW w:w="2329"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Q2 2026</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Q1 2026</w:t>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Q2 2025</w:t>
            </w:r>
          </w:p>
        </w:tc>
      </w:tr>
      <w:tr>
        <w:trPr/>
        <w:tc>
          <w:tcPr>
            <w:tcW w:w="642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val="false"/>
                <w:color w:val="000000"/>
                <w:sz w:val="18"/>
              </w:rPr>
            </w:pPr>
            <w:r>
              <w:rPr>
                <w:rFonts w:ascii="Tenorite;sans-serif" w:hAnsi="Tenorite;sans-serif"/>
                <w:b w:val="false"/>
                <w:color w:val="000000"/>
                <w:sz w:val="18"/>
              </w:rPr>
              <w:t>Other revenue on Management's Statements of Operations</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6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11,054 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2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4,138 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8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6,785 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val="false"/>
                <w:color w:val="000000"/>
                <w:sz w:val="18"/>
              </w:rPr>
              <w:t>Interest income on deferred compensation</w:t>
            </w:r>
            <w:r>
              <w:rPr>
                <w:rFonts w:ascii="Tenorite;sans-serif" w:hAnsi="Tenorite;sans-serif"/>
                <w:b w:val="false"/>
                <w:color w:val="000000"/>
                <w:sz w:val="12"/>
              </w:rPr>
              <w:t>(9)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 xml:space="preserve">Deferred compensation </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137,381 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(30,279)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80,766 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color w:val="000000"/>
                <w:sz w:val="18"/>
              </w:rPr>
            </w:pPr>
            <w:r>
              <w:rPr>
                <w:rFonts w:ascii="Tenorite;sans-serif" w:hAnsi="Tenorite;sans-serif"/>
                <w:b/>
                <w:color w:val="000000"/>
                <w:sz w:val="18"/>
              </w:rPr>
              <w:t xml:space="preserve">Other revenue on Condensed Consolidated Statements of Income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148,379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enorite;sans-serif" w:hAnsi="Tenorite;sans-serif"/>
                <w:b/>
                <w:color w:val="000000"/>
                <w:sz w:val="18"/>
              </w:rPr>
            </w:pPr>
            <w:r>
              <w:rPr>
                <w:rFonts w:ascii="Tenorite;sans-serif" w:hAnsi="Tenorite;sans-serif"/>
                <w:b/>
                <w:color w:val="000000"/>
                <w:sz w:val="18"/>
              </w:rPr>
              <w:t>(26,158)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87,532</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540"/>
        <w:jc w:val="left"/>
        <w:rPr/>
      </w:pPr>
      <w:r>
        <w:rPr>
          <w:rFonts w:ascii="Tenorite;sans-serif" w:hAnsi="Tenorite;sans-serif"/>
          <w:b w:val="false"/>
          <w:color w:val="000000"/>
          <w:sz w:val="20"/>
        </w:rPr>
        <w:t>(11)     Core G&amp;A is a non-GAAP financial measure. Please see a description of core G&amp;A under the “</w:t>
      </w:r>
      <w:r>
        <w:rPr>
          <w:rFonts w:ascii="Tenorite;sans-serif" w:hAnsi="Tenorite;sans-serif"/>
          <w:b w:val="false"/>
          <w:i/>
          <w:color w:val="000000"/>
          <w:sz w:val="20"/>
        </w:rPr>
        <w:t>Non-GAAP Financial Measures”</w:t>
      </w:r>
      <w:r>
        <w:rPr>
          <w:color w:val="000000"/>
        </w:rPr>
        <w:t xml:space="preserve"> </w:t>
      </w:r>
      <w:r>
        <w:rPr>
          <w:rFonts w:ascii="Tenorite;sans-serif" w:hAnsi="Tenorite;sans-serif"/>
          <w:b w:val="false"/>
          <w:color w:val="000000"/>
          <w:sz w:val="20"/>
        </w:rPr>
        <w:t>section of this release for additional information. Below is a reconciliation of the Company's total expense to core G&amp;A for the periods presented (in thousands):</w:t>
      </w:r>
    </w:p>
    <w:tbl>
      <w:tblPr>
        <w:tblW w:w="8439" w:type="dxa"/>
        <w:jc w:val="left"/>
        <w:tblInd w:w="0" w:type="dxa"/>
        <w:tblLayout w:type="fixed"/>
        <w:tblCellMar>
          <w:top w:w="28" w:type="dxa"/>
          <w:left w:w="28" w:type="dxa"/>
          <w:bottom w:w="28" w:type="dxa"/>
          <w:right w:w="28" w:type="dxa"/>
        </w:tblCellMar>
      </w:tblPr>
      <w:tblGrid>
        <w:gridCol w:w="1429"/>
        <w:gridCol w:w="1255"/>
        <w:gridCol w:w="1260"/>
        <w:gridCol w:w="226"/>
        <w:gridCol w:w="1126"/>
        <w:gridCol w:w="109"/>
        <w:gridCol w:w="226"/>
        <w:gridCol w:w="1126"/>
        <w:gridCol w:w="109"/>
        <w:gridCol w:w="226"/>
        <w:gridCol w:w="1126"/>
        <w:gridCol w:w="221"/>
      </w:tblGrid>
      <w:tr>
        <w:trPr/>
        <w:tc>
          <w:tcPr>
            <w:tcW w:w="1429"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Q2 2026</w:t>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Q1 2026</w:t>
            </w:r>
          </w:p>
        </w:tc>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Q2 2025</w:t>
            </w:r>
          </w:p>
        </w:tc>
      </w:tr>
      <w:tr>
        <w:trPr/>
        <w:tc>
          <w:tcPr>
            <w:tcW w:w="39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Core G&amp;A Reconciliation</w:t>
            </w:r>
          </w:p>
        </w:tc>
        <w:tc>
          <w:tcPr>
            <w:tcW w:w="14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Total expense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4,671,119 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4,453,850 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3,466,221 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9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Advisory and commission</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(3,507,164)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(3,291,209)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(2,483,165)</w:t>
            </w:r>
          </w:p>
        </w:tc>
        <w:tc>
          <w:tcPr>
            <w:tcW w:w="221" w:type="dxa"/>
            <w:tcBorders/>
            <w:shd w:fill="DBDBDB"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Depreciation and amortization</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(109,805)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(105,751)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(96,231)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enorite;sans-serif" w:hAnsi="Tenorite;sans-serif"/>
                <w:b w:val="false"/>
                <w:color w:val="000000"/>
                <w:sz w:val="18"/>
              </w:rPr>
              <w:t>Interest expense on borrowings</w:t>
            </w:r>
            <w:r>
              <w:rPr>
                <w:rFonts w:ascii="Tenorite;sans-serif" w:hAnsi="Tenorite;sans-serif"/>
                <w:b w:val="false"/>
                <w:color w:val="000000"/>
                <w:sz w:val="12"/>
              </w:rPr>
              <w:t>(16)</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(101,502)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(100,292)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(105,636)</w:t>
            </w:r>
          </w:p>
        </w:tc>
        <w:tc>
          <w:tcPr>
            <w:tcW w:w="221" w:type="dxa"/>
            <w:tcBorders/>
            <w:shd w:fill="DBDBDB"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Brokerage, clearing and exchange</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(52,018)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(55,475)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(43,290)</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9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Amortization of other intangibles</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(70,886)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(67,230)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(46,103)</w:t>
            </w:r>
          </w:p>
        </w:tc>
        <w:tc>
          <w:tcPr>
            <w:tcW w:w="2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enorite;sans-serif" w:hAnsi="Tenorite;sans-serif"/>
                <w:b w:val="false"/>
                <w:color w:val="000000"/>
                <w:sz w:val="18"/>
              </w:rPr>
            </w:pPr>
            <w:r>
              <w:rPr>
                <w:rFonts w:ascii="Tenorite;sans-serif" w:hAnsi="Tenorite;sans-serif"/>
                <w:b w:val="false"/>
                <w:color w:val="000000"/>
                <w:sz w:val="18"/>
              </w:rPr>
              <w:t>Employee deferred compensation</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(9,178)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(4,293)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Total G&amp;A</w:t>
            </w:r>
          </w:p>
        </w:tc>
        <w:tc>
          <w:tcPr>
            <w:tcW w:w="13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820,566</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834,854</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687,503</w:t>
            </w:r>
            <w:r>
              <w:rPr>
                <w:color w:val="000000"/>
              </w:rPr>
              <w:t> </w:t>
            </w:r>
          </w:p>
        </w:tc>
        <w:tc>
          <w:tcPr>
            <w:tcW w:w="22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enorite;sans-serif" w:hAnsi="Tenorite;sans-serif"/>
                <w:b w:val="false"/>
                <w:color w:val="000000"/>
                <w:sz w:val="18"/>
              </w:rPr>
              <w:t>Transition assistance loan amortization</w:t>
            </w:r>
            <w:r>
              <w:rPr>
                <w:rFonts w:ascii="Tenorite;sans-serif" w:hAnsi="Tenorite;sans-serif"/>
                <w:b w:val="false"/>
                <w:color w:val="000000"/>
                <w:sz w:val="12"/>
              </w:rPr>
              <w:t>(12)</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(142,335)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(135,982)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(89,423)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enorite;sans-serif" w:hAnsi="Tenorite;sans-serif"/>
                <w:b w:val="false"/>
                <w:color w:val="000000"/>
                <w:sz w:val="18"/>
              </w:rPr>
              <w:t>Promotional (ongoing)</w:t>
            </w:r>
            <w:r>
              <w:rPr>
                <w:rFonts w:ascii="Tenorite;sans-serif" w:hAnsi="Tenorite;sans-serif"/>
                <w:b w:val="false"/>
                <w:color w:val="000000"/>
                <w:sz w:val="12"/>
              </w:rPr>
              <w:t>(12)(13)(14)</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(79,123)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(75,888)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(74,152)</w:t>
            </w:r>
          </w:p>
        </w:tc>
        <w:tc>
          <w:tcPr>
            <w:tcW w:w="2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enorite;sans-serif" w:hAnsi="Tenorite;sans-serif"/>
                <w:b w:val="false"/>
                <w:color w:val="000000"/>
                <w:sz w:val="18"/>
              </w:rPr>
              <w:t>Acquisition costs excluding interest</w:t>
            </w:r>
            <w:r>
              <w:rPr>
                <w:rFonts w:ascii="Tenorite;sans-serif" w:hAnsi="Tenorite;sans-serif"/>
                <w:b w:val="false"/>
                <w:color w:val="000000"/>
                <w:sz w:val="12"/>
              </w:rPr>
              <w:t>(14)</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(48,977)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(61,216)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(71,562)</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9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Employee share-based compensation</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(22,701)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(22,218)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(19,504)</w:t>
            </w:r>
          </w:p>
        </w:tc>
        <w:tc>
          <w:tcPr>
            <w:tcW w:w="2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enorite;sans-serif" w:hAnsi="Tenorite;sans-serif"/>
                <w:b w:val="false"/>
                <w:color w:val="000000"/>
                <w:sz w:val="18"/>
              </w:rPr>
            </w:pPr>
            <w:r>
              <w:rPr>
                <w:rFonts w:ascii="Tenorite;sans-serif" w:hAnsi="Tenorite;sans-serif"/>
                <w:b w:val="false"/>
                <w:color w:val="000000"/>
                <w:sz w:val="18"/>
              </w:rPr>
              <w:t>Regulatory charges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(7,267)</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Core G&amp;A</w:t>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519,272</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532,049</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425,595</w:t>
            </w:r>
            <w:r>
              <w:rPr>
                <w:color w:val="000000"/>
              </w:rPr>
              <w:t> </w:t>
            </w:r>
          </w:p>
        </w:tc>
        <w:tc>
          <w:tcPr>
            <w:tcW w:w="2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7955"/>
                <wp:effectExtent l="0" t="0" r="0" b="0"/>
                <wp:wrapNone/>
                <wp:docPr id="22" name="Frame2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18</w:t>
                      </w:r>
                    </w:p>
                  </w:txbxContent>
                </v:textbox>
                <w10:wrap type="none"/>
              </v:rect>
            </w:pict>
          </mc:Fallback>
        </mc:AlternateContent>
      </w:r>
    </w:p>
    <w:p>
      <w:pPr>
        <w:pStyle w:val="TextBody"/>
        <w:bidi w:val="0"/>
        <w:spacing w:lineRule="auto" w:line="256" w:before="100" w:after="60"/>
        <w:ind w:left="0" w:right="0" w:hanging="540"/>
        <w:jc w:val="left"/>
        <w:rPr>
          <w:rFonts w:ascii="Tenorite;sans-serif" w:hAnsi="Tenorite;sans-serif"/>
          <w:b w:val="false"/>
          <w:color w:val="000000"/>
          <w:sz w:val="20"/>
        </w:rPr>
      </w:pPr>
      <w:r>
        <w:rPr>
          <w:rFonts w:ascii="Tenorite;sans-serif" w:hAnsi="Tenorite;sans-serif"/>
          <w:b w:val="false"/>
          <w:color w:val="000000"/>
          <w:sz w:val="20"/>
        </w:rPr>
        <w:t>(12) During the fourth quarter of 2025, the Company updated its definition of Promotional (ongoing) to exclude transition assistance loan amortization. As a result, transition assistance loan amortization is now disclosed as a separate line on Management's Statements of Operations and in the Core G&amp;A reconciliation. Prior period disclosures have been updated to reflect these changes as applicable.</w:t>
      </w:r>
    </w:p>
    <w:p>
      <w:pPr>
        <w:pStyle w:val="TextBody"/>
        <w:bidi w:val="0"/>
        <w:spacing w:lineRule="auto" w:line="256" w:before="100" w:after="60"/>
        <w:ind w:left="0" w:right="0" w:hanging="540"/>
        <w:jc w:val="left"/>
        <w:rPr>
          <w:rFonts w:ascii="Tenorite;sans-serif" w:hAnsi="Tenorite;sans-serif"/>
          <w:b w:val="false"/>
          <w:color w:val="000000"/>
          <w:sz w:val="20"/>
        </w:rPr>
      </w:pPr>
      <w:r>
        <w:rPr>
          <w:rFonts w:ascii="Tenorite;sans-serif" w:hAnsi="Tenorite;sans-serif"/>
          <w:b w:val="false"/>
          <w:color w:val="000000"/>
          <w:sz w:val="20"/>
        </w:rPr>
        <w:t xml:space="preserve">(13) Promotional (ongoing) includes $13.5 million, $16.9 million and $21.2 million for the three months ended June 30, 2026, March 31, 2026 and June 30, 2025, respectively, of support costs related to full-time employees that are classified within Compensation and benefits expense in the condensed consolidated statements of income and excludes costs that have been incurred as part of acquisitions that have been classified within acquisition costs. </w:t>
      </w:r>
    </w:p>
    <w:p>
      <w:pPr>
        <w:pStyle w:val="TextBody"/>
        <w:bidi w:val="0"/>
        <w:spacing w:lineRule="auto" w:line="256" w:before="0" w:after="0"/>
        <w:ind w:left="0" w:right="0" w:hanging="540"/>
        <w:jc w:val="left"/>
        <w:rPr>
          <w:rFonts w:ascii="Tenorite;sans-serif" w:hAnsi="Tenorite;sans-serif"/>
          <w:b w:val="false"/>
          <w:color w:val="000000"/>
          <w:sz w:val="20"/>
        </w:rPr>
      </w:pPr>
      <w:r>
        <w:rPr>
          <w:rFonts w:ascii="Tenorite;sans-serif" w:hAnsi="Tenorite;sans-serif"/>
          <w:b w:val="false"/>
          <w:color w:val="000000"/>
          <w:sz w:val="20"/>
        </w:rPr>
        <w:t>(14) Acquisition costs include the costs to setup, onboard and integrate acquired entities and other costs that were incurred as a result of the acquisitions. The below table summarizes the primary components of acquisition costs for the periods presented (in thousands):</w:t>
      </w:r>
    </w:p>
    <w:tbl>
      <w:tblPr>
        <w:tblW w:w="8439" w:type="dxa"/>
        <w:jc w:val="left"/>
        <w:tblInd w:w="0" w:type="dxa"/>
        <w:tblLayout w:type="fixed"/>
        <w:tblCellMar>
          <w:top w:w="28" w:type="dxa"/>
          <w:left w:w="28" w:type="dxa"/>
          <w:bottom w:w="28" w:type="dxa"/>
          <w:right w:w="28" w:type="dxa"/>
        </w:tblCellMar>
      </w:tblPr>
      <w:tblGrid>
        <w:gridCol w:w="1740"/>
        <w:gridCol w:w="1527"/>
        <w:gridCol w:w="1532"/>
        <w:gridCol w:w="226"/>
        <w:gridCol w:w="841"/>
        <w:gridCol w:w="109"/>
        <w:gridCol w:w="226"/>
        <w:gridCol w:w="841"/>
        <w:gridCol w:w="109"/>
        <w:gridCol w:w="226"/>
        <w:gridCol w:w="841"/>
        <w:gridCol w:w="221"/>
      </w:tblGrid>
      <w:tr>
        <w:trPr/>
        <w:tc>
          <w:tcPr>
            <w:tcW w:w="1740"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Q2 2026</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Q1 2026</w:t>
            </w:r>
          </w:p>
        </w:tc>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Q2 2025</w:t>
            </w:r>
          </w:p>
        </w:tc>
      </w:tr>
      <w:tr>
        <w:trPr/>
        <w:tc>
          <w:tcPr>
            <w:tcW w:w="47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Acquisition costs</w:t>
            </w:r>
          </w:p>
        </w:tc>
        <w:tc>
          <w:tcPr>
            <w:tcW w:w="11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enorite;sans-serif" w:hAnsi="Tenorite;sans-serif"/>
                <w:b w:val="false"/>
                <w:color w:val="000000"/>
                <w:sz w:val="18"/>
              </w:rPr>
            </w:pPr>
            <w:r>
              <w:rPr>
                <w:rFonts w:ascii="Tenorite;sans-serif" w:hAnsi="Tenorite;sans-serif"/>
                <w:b w:val="false"/>
                <w:color w:val="000000"/>
                <w:sz w:val="18"/>
              </w:rPr>
              <w:t>Compensation and benefits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20,231 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22,454 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16,054 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enorite;sans-serif" w:hAnsi="Tenorite;sans-serif"/>
                <w:b w:val="false"/>
                <w:color w:val="000000"/>
                <w:sz w:val="18"/>
              </w:rPr>
              <w:t>Promotional</w:t>
            </w:r>
            <w:r>
              <w:rPr>
                <w:rFonts w:ascii="Tenorite;sans-serif" w:hAnsi="Tenorite;sans-serif"/>
                <w:b w:val="false"/>
                <w:color w:val="000000"/>
                <w:sz w:val="12"/>
              </w:rPr>
              <w:t>(13)</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12,016 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13,430 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35,198 </w:t>
            </w:r>
          </w:p>
        </w:tc>
        <w:tc>
          <w:tcPr>
            <w:tcW w:w="221" w:type="dxa"/>
            <w:tcBorders/>
            <w:shd w:fill="DBDBDB"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Professional services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11,593 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11,057 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enorite;sans-serif" w:hAnsi="Tenorite;sans-serif"/>
                <w:b w:val="false"/>
                <w:color w:val="000000"/>
                <w:sz w:val="18"/>
              </w:rPr>
              <w:t>Change in fair value of contingent consideration</w:t>
            </w:r>
            <w:r>
              <w:rPr>
                <w:rFonts w:ascii="Tenorite;sans-serif" w:hAnsi="Tenorite;sans-serif"/>
                <w:b w:val="false"/>
                <w:color w:val="000000"/>
                <w:sz w:val="12"/>
              </w:rPr>
              <w:t>(34)</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(2,794)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7,523 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309 </w:t>
            </w:r>
          </w:p>
        </w:tc>
        <w:tc>
          <w:tcPr>
            <w:tcW w:w="221" w:type="dxa"/>
            <w:tcBorders/>
            <w:shd w:fill="DBDBDB"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8,944 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color w:val="000000"/>
                <w:sz w:val="18"/>
              </w:rPr>
            </w:pPr>
            <w:r>
              <w:rPr>
                <w:rFonts w:ascii="Tenorite;sans-serif" w:hAnsi="Tenorite;sans-serif"/>
                <w:b/>
                <w:color w:val="000000"/>
                <w:sz w:val="18"/>
              </w:rPr>
              <w:t>Acquisition costs excluding interest</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8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48,977</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8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61,216</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8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71,562</w:t>
            </w:r>
            <w:r>
              <w:rPr>
                <w:color w:val="000000"/>
              </w:rPr>
              <w:t> </w:t>
            </w:r>
          </w:p>
        </w:tc>
        <w:tc>
          <w:tcPr>
            <w:tcW w:w="22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enorite;sans-serif" w:hAnsi="Tenorite;sans-serif"/>
                <w:b w:val="false"/>
                <w:color w:val="000000"/>
                <w:sz w:val="18"/>
              </w:rPr>
              <w:t>Interest</w:t>
            </w:r>
            <w:r>
              <w:rPr>
                <w:rFonts w:ascii="Tenorite;sans-serif" w:hAnsi="Tenorite;sans-serif"/>
                <w:b w:val="false"/>
                <w:color w:val="000000"/>
                <w:sz w:val="12"/>
              </w:rPr>
              <w:t>(16)</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3,313 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color w:val="000000"/>
                <w:sz w:val="18"/>
              </w:rPr>
            </w:pPr>
            <w:r>
              <w:rPr>
                <w:rFonts w:ascii="Tenorite;sans-serif" w:hAnsi="Tenorite;sans-serif"/>
                <w:b/>
                <w:color w:val="000000"/>
                <w:sz w:val="18"/>
              </w:rPr>
              <w:t>Acquisition Cost</w:t>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8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48,977</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8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61,216</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8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74,875</w:t>
            </w:r>
            <w:r>
              <w:rPr>
                <w:color w:val="000000"/>
              </w:rPr>
              <w:t> </w:t>
            </w:r>
          </w:p>
        </w:tc>
        <w:tc>
          <w:tcPr>
            <w:tcW w:w="2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hanging="540"/>
        <w:jc w:val="left"/>
        <w:rPr/>
      </w:pPr>
      <w:r>
        <w:rPr/>
      </w:r>
    </w:p>
    <w:p>
      <w:pPr>
        <w:pStyle w:val="TextBody"/>
        <w:bidi w:val="0"/>
        <w:spacing w:lineRule="auto" w:line="288" w:before="0" w:after="60"/>
        <w:ind w:left="0" w:right="0" w:hanging="540"/>
        <w:jc w:val="left"/>
        <w:rPr/>
      </w:pPr>
      <w:r>
        <w:rPr>
          <w:rFonts w:ascii="Tenorite;sans-serif" w:hAnsi="Tenorite;sans-serif"/>
          <w:b w:val="false"/>
          <w:color w:val="000000"/>
          <w:sz w:val="20"/>
        </w:rPr>
        <w:t xml:space="preserve">(15) EBITDA and adjusted EBITDA are non-GAAP financial measures. Please see a description of EBITDA and adjusted EBITDA under the </w:t>
      </w:r>
      <w:r>
        <w:rPr>
          <w:rFonts w:ascii="Tenorite;sans-serif" w:hAnsi="Tenorite;sans-serif"/>
          <w:b w:val="false"/>
          <w:i/>
          <w:color w:val="000000"/>
          <w:sz w:val="20"/>
        </w:rPr>
        <w:t>"Non-GAAP Financial Measures</w:t>
      </w:r>
      <w:r>
        <w:rPr>
          <w:rFonts w:ascii="Tenorite;sans-serif" w:hAnsi="Tenorite;sans-serif"/>
          <w:b w:val="false"/>
          <w:color w:val="000000"/>
          <w:sz w:val="20"/>
        </w:rPr>
        <w:t>" section of this release for additional information. Below is a reconciliation of net income to EBITDA and adjusted EBITDA for the periods presented (in thousands):</w:t>
      </w:r>
    </w:p>
    <w:tbl>
      <w:tblPr>
        <w:tblW w:w="8605" w:type="dxa"/>
        <w:jc w:val="left"/>
        <w:tblInd w:w="0" w:type="dxa"/>
        <w:tblLayout w:type="fixed"/>
        <w:tblCellMar>
          <w:top w:w="28" w:type="dxa"/>
          <w:left w:w="28" w:type="dxa"/>
          <w:bottom w:w="28" w:type="dxa"/>
          <w:right w:w="28" w:type="dxa"/>
        </w:tblCellMar>
      </w:tblPr>
      <w:tblGrid>
        <w:gridCol w:w="1635"/>
        <w:gridCol w:w="1437"/>
        <w:gridCol w:w="1443"/>
        <w:gridCol w:w="226"/>
        <w:gridCol w:w="961"/>
        <w:gridCol w:w="109"/>
        <w:gridCol w:w="226"/>
        <w:gridCol w:w="961"/>
        <w:gridCol w:w="109"/>
        <w:gridCol w:w="226"/>
        <w:gridCol w:w="961"/>
        <w:gridCol w:w="311"/>
      </w:tblGrid>
      <w:tr>
        <w:trPr/>
        <w:tc>
          <w:tcPr>
            <w:tcW w:w="1635"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Q2 2026</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Q1 2026</w:t>
            </w:r>
          </w:p>
        </w:tc>
        <w:tc>
          <w:tcPr>
            <w:tcW w:w="1498"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90"/>
              <w:jc w:val="center"/>
              <w:rPr>
                <w:rFonts w:ascii="Tenorite;sans-serif" w:hAnsi="Tenorite;sans-serif"/>
                <w:b/>
                <w:color w:val="000000"/>
                <w:sz w:val="18"/>
              </w:rPr>
            </w:pPr>
            <w:r>
              <w:rPr>
                <w:rFonts w:ascii="Tenorite;sans-serif" w:hAnsi="Tenorite;sans-serif"/>
                <w:b/>
                <w:color w:val="000000"/>
                <w:sz w:val="18"/>
              </w:rPr>
              <w:t>Q2 2025</w:t>
            </w:r>
          </w:p>
        </w:tc>
      </w:tr>
      <w:tr>
        <w:trPr/>
        <w:tc>
          <w:tcPr>
            <w:tcW w:w="45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EBITDA and adjusted EBITDA Reconciliation</w:t>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enorite;sans-serif" w:hAnsi="Tenorite;sans-serif"/>
                <w:b w:val="false"/>
                <w:color w:val="000000"/>
                <w:sz w:val="18"/>
              </w:rPr>
            </w:pPr>
            <w:r>
              <w:rPr>
                <w:rFonts w:ascii="Tenorite;sans-serif" w:hAnsi="Tenorite;sans-serif"/>
                <w:b w:val="false"/>
                <w:color w:val="000000"/>
                <w:sz w:val="18"/>
              </w:rPr>
              <w:t>Net income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379,261 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356,404 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273,249 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enorite;sans-serif" w:hAnsi="Tenorite;sans-serif"/>
                <w:b w:val="false"/>
                <w:color w:val="000000"/>
                <w:sz w:val="18"/>
              </w:rPr>
              <w:t>Interest expense on borrowings</w:t>
            </w:r>
            <w:r>
              <w:rPr>
                <w:rFonts w:ascii="Tenorite;sans-serif" w:hAnsi="Tenorite;sans-serif"/>
                <w:b w:val="false"/>
                <w:color w:val="000000"/>
                <w:sz w:val="12"/>
              </w:rPr>
              <w:t>(16)</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101,502 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100,292 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105,636 </w:t>
            </w:r>
          </w:p>
        </w:tc>
        <w:tc>
          <w:tcPr>
            <w:tcW w:w="3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enorite;sans-serif" w:hAnsi="Tenorite;sans-serif"/>
                <w:b w:val="false"/>
                <w:color w:val="000000"/>
                <w:sz w:val="18"/>
              </w:rPr>
            </w:pPr>
            <w:r>
              <w:rPr>
                <w:rFonts w:ascii="Tenorite;sans-serif" w:hAnsi="Tenorite;sans-serif"/>
                <w:b w:val="false"/>
                <w:color w:val="000000"/>
                <w:sz w:val="18"/>
              </w:rPr>
              <w:t>Provision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136,243 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128,180 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95,555 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5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Depreciation and amortization</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109,805 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105,751 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96,231 </w:t>
            </w:r>
          </w:p>
        </w:tc>
        <w:tc>
          <w:tcPr>
            <w:tcW w:w="311" w:type="dxa"/>
            <w:tcBorders/>
            <w:shd w:fill="DBDBDB"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Amortization of other intangibles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70,886 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67,230 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46,103 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5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EBITDA</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6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797,697</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6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757,857</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6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616,774</w:t>
            </w:r>
            <w:r>
              <w:rPr>
                <w:color w:val="000000"/>
              </w:rPr>
              <w:t> </w:t>
            </w:r>
          </w:p>
        </w:tc>
        <w:tc>
          <w:tcPr>
            <w:tcW w:w="3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enorite;sans-serif" w:hAnsi="Tenorite;sans-serif"/>
                <w:b w:val="false"/>
                <w:color w:val="000000"/>
                <w:sz w:val="18"/>
              </w:rPr>
              <w:t>Acquisition costs excluding interest</w:t>
            </w:r>
            <w:r>
              <w:rPr>
                <w:rFonts w:ascii="Tenorite;sans-serif" w:hAnsi="Tenorite;sans-serif"/>
                <w:b w:val="false"/>
                <w:color w:val="000000"/>
                <w:sz w:val="12"/>
              </w:rPr>
              <w:t>(14)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48,977 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61,216 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71,562 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ind w:left="0" w:right="0" w:firstLine="90"/>
              <w:jc w:val="left"/>
              <w:rPr>
                <w:sz w:val="4"/>
                <w:szCs w:val="4"/>
              </w:rPr>
            </w:pPr>
            <w:r>
              <w:rPr>
                <w:sz w:val="4"/>
                <w:szCs w:val="4"/>
              </w:rPr>
            </w:r>
          </w:p>
        </w:tc>
      </w:tr>
      <w:tr>
        <w:trPr/>
        <w:tc>
          <w:tcPr>
            <w:tcW w:w="45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Adjusted EBITDA</w:t>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6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846,674</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6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819,073</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6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688,336</w:t>
            </w:r>
            <w:r>
              <w:rPr>
                <w:color w:val="000000"/>
              </w:rPr>
              <w:t> </w:t>
            </w:r>
          </w:p>
        </w:tc>
        <w:tc>
          <w:tcPr>
            <w:tcW w:w="3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540"/>
        <w:jc w:val="left"/>
        <w:rPr>
          <w:rFonts w:ascii="Tenorite;sans-serif" w:hAnsi="Tenorite;sans-serif"/>
          <w:b w:val="false"/>
          <w:color w:val="000000"/>
          <w:sz w:val="20"/>
        </w:rPr>
      </w:pPr>
      <w:r>
        <w:rPr>
          <w:rFonts w:ascii="Tenorite;sans-serif" w:hAnsi="Tenorite;sans-serif"/>
          <w:b w:val="false"/>
          <w:color w:val="000000"/>
          <w:sz w:val="20"/>
        </w:rPr>
        <w:t>(16) Below is a reconciliation of interest expense on borrowings per Management's Statements of Operations to interest expense on borrowings on the Company's condensed consolidated statements of income for the periods presented (in thousands):</w:t>
      </w:r>
    </w:p>
    <w:tbl>
      <w:tblPr>
        <w:tblW w:w="10205" w:type="dxa"/>
        <w:jc w:val="center"/>
        <w:tblInd w:w="0" w:type="dxa"/>
        <w:tblLayout w:type="fixed"/>
        <w:tblCellMar>
          <w:top w:w="28" w:type="dxa"/>
          <w:left w:w="28" w:type="dxa"/>
          <w:bottom w:w="28" w:type="dxa"/>
          <w:right w:w="28" w:type="dxa"/>
        </w:tblCellMar>
      </w:tblPr>
      <w:tblGrid>
        <w:gridCol w:w="2291"/>
        <w:gridCol w:w="1988"/>
        <w:gridCol w:w="1992"/>
        <w:gridCol w:w="226"/>
        <w:gridCol w:w="961"/>
        <w:gridCol w:w="109"/>
        <w:gridCol w:w="226"/>
        <w:gridCol w:w="961"/>
        <w:gridCol w:w="109"/>
        <w:gridCol w:w="226"/>
        <w:gridCol w:w="961"/>
        <w:gridCol w:w="155"/>
      </w:tblGrid>
      <w:tr>
        <w:trPr/>
        <w:tc>
          <w:tcPr>
            <w:tcW w:w="2291"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Q2 2026</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Q1 2026</w:t>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Q2 2025</w:t>
            </w:r>
          </w:p>
        </w:tc>
      </w:tr>
      <w:tr>
        <w:trPr/>
        <w:tc>
          <w:tcPr>
            <w:tcW w:w="6271" w:type="dxa"/>
            <w:gridSpan w:val="3"/>
            <w:tcBorders/>
            <w:shd w:fill="DBDBDB" w:val="clear"/>
            <w:tcMar>
              <w:top w:w="0" w:type="dxa"/>
              <w:left w:w="0" w:type="dxa"/>
              <w:bottom w:w="0" w:type="dxa"/>
              <w:right w:w="0" w:type="dxa"/>
            </w:tcMar>
            <w:vAlign w:val="center"/>
          </w:tcPr>
          <w:p>
            <w:pPr>
              <w:pStyle w:val="TableContents"/>
              <w:bidi w:val="0"/>
              <w:spacing w:lineRule="auto" w:line="240" w:before="60" w:after="60"/>
              <w:jc w:val="left"/>
              <w:rPr>
                <w:rFonts w:ascii="Tenorite;sans-serif" w:hAnsi="Tenorite;sans-serif"/>
                <w:b w:val="false"/>
                <w:color w:val="000000"/>
                <w:sz w:val="18"/>
              </w:rPr>
            </w:pPr>
            <w:r>
              <w:rPr>
                <w:rFonts w:ascii="Tenorite;sans-serif" w:hAnsi="Tenorite;sans-serif"/>
                <w:b w:val="false"/>
                <w:color w:val="000000"/>
                <w:sz w:val="18"/>
              </w:rPr>
              <w:t>Interest expense on borrowings on Management's Statements of Operations</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6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101,502 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6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100,292 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6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102,323 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val="false"/>
                <w:color w:val="000000"/>
                <w:sz w:val="18"/>
              </w:rPr>
              <w:t>Cost of debt issuance related to Commonwealth acquisition</w:t>
            </w:r>
            <w:r>
              <w:rPr>
                <w:rFonts w:ascii="Tenorite;sans-serif" w:hAnsi="Tenorite;sans-serif"/>
                <w:b w:val="false"/>
                <w:color w:val="000000"/>
                <w:sz w:val="12"/>
              </w:rPr>
              <w:t>(14)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3,313 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DBDBDB" w:val="clear"/>
            <w:tcMar>
              <w:top w:w="0" w:type="dxa"/>
              <w:left w:w="0" w:type="dxa"/>
              <w:bottom w:w="0" w:type="dxa"/>
              <w:right w:w="0" w:type="dxa"/>
            </w:tcMar>
            <w:vAlign w:val="center"/>
          </w:tcPr>
          <w:p>
            <w:pPr>
              <w:pStyle w:val="TableContents"/>
              <w:bidi w:val="0"/>
              <w:spacing w:lineRule="auto" w:line="240" w:before="60" w:after="60"/>
              <w:jc w:val="left"/>
              <w:rPr>
                <w:rFonts w:ascii="Tenorite;sans-serif" w:hAnsi="Tenorite;sans-serif"/>
                <w:b/>
                <w:color w:val="000000"/>
                <w:sz w:val="18"/>
              </w:rPr>
            </w:pPr>
            <w:r>
              <w:rPr>
                <w:rFonts w:ascii="Tenorite;sans-serif" w:hAnsi="Tenorite;sans-serif"/>
                <w:b/>
                <w:color w:val="000000"/>
                <w:sz w:val="18"/>
              </w:rPr>
              <w:t xml:space="preserve">Interest expense on borrowings on Condensed Consolidated Statements of Income </w:t>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6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101,502</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6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100,292</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6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105,636</w:t>
            </w:r>
            <w:r>
              <w:rPr>
                <w:color w:val="000000"/>
              </w:rPr>
              <w:t> </w:t>
            </w:r>
          </w:p>
        </w:tc>
        <w:tc>
          <w:tcPr>
            <w:tcW w:w="15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7955"/>
                <wp:effectExtent l="0" t="0" r="0" b="0"/>
                <wp:wrapNone/>
                <wp:docPr id="23" name="Frame2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19</w:t>
                      </w:r>
                    </w:p>
                  </w:txbxContent>
                </v:textbox>
                <w10:wrap type="none"/>
              </v:rect>
            </w:pict>
          </mc:Fallback>
        </mc:AlternateContent>
      </w:r>
    </w:p>
    <w:p>
      <w:pPr>
        <w:pStyle w:val="TextBody"/>
        <w:bidi w:val="0"/>
        <w:spacing w:lineRule="auto" w:line="288" w:before="60" w:after="60"/>
        <w:ind w:left="0" w:right="0" w:hanging="540"/>
        <w:jc w:val="left"/>
        <w:rPr/>
      </w:pPr>
      <w:r>
        <w:rPr>
          <w:rFonts w:ascii="Tenorite;sans-serif" w:hAnsi="Tenorite;sans-serif"/>
          <w:b w:val="false"/>
          <w:color w:val="000000"/>
          <w:sz w:val="20"/>
        </w:rPr>
        <w:t>(17)    Adjusted pre-tax income is a non-GAAP financial measure. Please see a description of adjusted pre-tax income under the "</w:t>
      </w:r>
      <w:r>
        <w:rPr>
          <w:rFonts w:ascii="Tenorite;sans-serif" w:hAnsi="Tenorite;sans-serif"/>
          <w:b w:val="false"/>
          <w:i/>
          <w:color w:val="000000"/>
          <w:sz w:val="20"/>
        </w:rPr>
        <w:t>Non-GAAP Financial Measures</w:t>
      </w:r>
      <w:r>
        <w:rPr>
          <w:rFonts w:ascii="Tenorite;sans-serif" w:hAnsi="Tenorite;sans-serif"/>
          <w:b w:val="false"/>
          <w:color w:val="000000"/>
          <w:sz w:val="20"/>
        </w:rPr>
        <w:t>" section of this release for additional information. Below is a reconciliation of income before provision for income taxes to adjusted pre-tax income for the periods presented (in thousands):</w:t>
      </w:r>
    </w:p>
    <w:tbl>
      <w:tblPr>
        <w:tblW w:w="8124" w:type="dxa"/>
        <w:jc w:val="left"/>
        <w:tblInd w:w="0" w:type="dxa"/>
        <w:tblLayout w:type="fixed"/>
        <w:tblCellMar>
          <w:top w:w="28" w:type="dxa"/>
          <w:left w:w="28" w:type="dxa"/>
          <w:bottom w:w="28" w:type="dxa"/>
          <w:right w:w="28" w:type="dxa"/>
        </w:tblCellMar>
      </w:tblPr>
      <w:tblGrid>
        <w:gridCol w:w="1460"/>
        <w:gridCol w:w="1285"/>
        <w:gridCol w:w="1289"/>
        <w:gridCol w:w="226"/>
        <w:gridCol w:w="961"/>
        <w:gridCol w:w="109"/>
        <w:gridCol w:w="226"/>
        <w:gridCol w:w="961"/>
        <w:gridCol w:w="109"/>
        <w:gridCol w:w="226"/>
        <w:gridCol w:w="961"/>
        <w:gridCol w:w="311"/>
      </w:tblGrid>
      <w:tr>
        <w:trPr/>
        <w:tc>
          <w:tcPr>
            <w:tcW w:w="146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Q2 2026</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Q1 2026</w:t>
            </w:r>
          </w:p>
        </w:tc>
        <w:tc>
          <w:tcPr>
            <w:tcW w:w="1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Q2 2025</w:t>
            </w:r>
          </w:p>
        </w:tc>
      </w:tr>
      <w:tr>
        <w:trPr/>
        <w:tc>
          <w:tcPr>
            <w:tcW w:w="4034"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enorite;sans-serif" w:hAnsi="Tenorite;sans-serif"/>
                <w:b w:val="false"/>
                <w:color w:val="000000"/>
                <w:sz w:val="18"/>
              </w:rPr>
            </w:pPr>
            <w:r>
              <w:rPr>
                <w:rFonts w:ascii="Tenorite;sans-serif" w:hAnsi="Tenorite;sans-serif"/>
                <w:b w:val="false"/>
                <w:color w:val="000000"/>
                <w:sz w:val="18"/>
              </w:rPr>
              <w:t>Income before provision for income taxes</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6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515,504 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6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484,584 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6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368,804 </w:t>
            </w:r>
          </w:p>
        </w:tc>
        <w:tc>
          <w:tcPr>
            <w:tcW w:w="3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Amortization of other intangibles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70,886 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67,230 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46,103 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enorite;sans-serif" w:hAnsi="Tenorite;sans-serif"/>
                <w:b w:val="false"/>
                <w:color w:val="000000"/>
                <w:sz w:val="18"/>
              </w:rPr>
              <w:t>Acquisition costs</w:t>
            </w:r>
            <w:r>
              <w:rPr>
                <w:rFonts w:ascii="Tenorite;sans-serif" w:hAnsi="Tenorite;sans-serif"/>
                <w:b w:val="false"/>
                <w:color w:val="000000"/>
                <w:sz w:val="12"/>
              </w:rPr>
              <w:t>(14)</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48,977 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61,216 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74,875 </w:t>
            </w:r>
          </w:p>
        </w:tc>
        <w:tc>
          <w:tcPr>
            <w:tcW w:w="3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ind w:left="0" w:right="0" w:firstLine="90"/>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Adjusted pre-tax income</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635,367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613,030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489,782</w:t>
            </w:r>
            <w:r>
              <w:rPr>
                <w:color w:val="000000"/>
              </w:rPr>
              <w:t>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enorite;sans-serif" w:hAnsi="Tenorite;sans-serif"/>
                <w:b/>
                <w:color w:val="000000"/>
                <w:sz w:val="18"/>
              </w:rPr>
              <w:t>Adjusted pre-tax margin</w:t>
            </w:r>
            <w:r>
              <w:rPr>
                <w:rFonts w:ascii="Tenorite;sans-serif" w:hAnsi="Tenorite;sans-serif"/>
                <w:b/>
                <w:color w:val="000000"/>
                <w:sz w:val="12"/>
              </w:rPr>
              <w:t>(a)</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39.3%</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38.5%</w:t>
            </w:r>
          </w:p>
        </w:tc>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37.6%</w:t>
            </w:r>
          </w:p>
        </w:tc>
      </w:tr>
    </w:tbl>
    <w:p>
      <w:pPr>
        <w:pStyle w:val="TextBody"/>
        <w:bidi w:val="0"/>
        <w:spacing w:lineRule="auto" w:line="288" w:before="100" w:after="60"/>
        <w:ind w:left="0" w:right="0" w:hanging="270"/>
        <w:jc w:val="left"/>
        <w:rPr>
          <w:rFonts w:ascii="Tenorite;sans-serif" w:hAnsi="Tenorite;sans-serif"/>
          <w:b w:val="false"/>
          <w:color w:val="000000"/>
          <w:sz w:val="16"/>
        </w:rPr>
      </w:pPr>
      <w:r>
        <w:rPr>
          <w:rFonts w:ascii="Tenorite;sans-serif" w:hAnsi="Tenorite;sans-serif"/>
          <w:b w:val="false"/>
          <w:color w:val="000000"/>
          <w:sz w:val="16"/>
        </w:rPr>
        <w:t>(a)Calculated by dividing adjusted pre-tax income by gross profit.</w:t>
      </w:r>
    </w:p>
    <w:p>
      <w:pPr>
        <w:pStyle w:val="TextBody"/>
        <w:bidi w:val="0"/>
        <w:spacing w:lineRule="auto" w:line="288" w:before="60" w:after="60"/>
        <w:ind w:left="0" w:right="0" w:hanging="540"/>
        <w:jc w:val="left"/>
        <w:rPr/>
      </w:pPr>
      <w:r>
        <w:rPr>
          <w:rFonts w:ascii="Tenorite;sans-serif" w:hAnsi="Tenorite;sans-serif"/>
          <w:b w:val="false"/>
          <w:color w:val="000000"/>
          <w:sz w:val="20"/>
        </w:rPr>
        <w:t>(18) Adjusted net income and adjusted EPS are non-GAAP financial measures. Please see a description of adjusted net income and adjusted EPS under the “</w:t>
      </w:r>
      <w:r>
        <w:rPr>
          <w:rFonts w:ascii="Tenorite;sans-serif" w:hAnsi="Tenorite;sans-serif"/>
          <w:b w:val="false"/>
          <w:i/>
          <w:color w:val="000000"/>
          <w:sz w:val="20"/>
        </w:rPr>
        <w:t>Non-GAAP Financial Measures”</w:t>
      </w:r>
      <w:r>
        <w:rPr>
          <w:color w:val="000000"/>
        </w:rPr>
        <w:t xml:space="preserve"> </w:t>
      </w:r>
      <w:r>
        <w:rPr>
          <w:rFonts w:ascii="Tenorite;sans-serif" w:hAnsi="Tenorite;sans-serif"/>
          <w:b w:val="false"/>
          <w:color w:val="000000"/>
          <w:sz w:val="20"/>
        </w:rPr>
        <w:t>section of this release for additional information. Below is a reconciliation of net income and earnings per diluted share to adjusted net income and adjusted EPS for the periods presented (in thousands, except per share data):</w:t>
      </w:r>
    </w:p>
    <w:tbl>
      <w:tblPr>
        <w:tblW w:w="10205" w:type="dxa"/>
        <w:jc w:val="left"/>
        <w:tblInd w:w="0" w:type="dxa"/>
        <w:tblLayout w:type="fixed"/>
        <w:tblCellMar>
          <w:top w:w="28" w:type="dxa"/>
          <w:left w:w="28" w:type="dxa"/>
          <w:bottom w:w="28" w:type="dxa"/>
          <w:right w:w="28" w:type="dxa"/>
        </w:tblCellMar>
      </w:tblPr>
      <w:tblGrid>
        <w:gridCol w:w="1186"/>
        <w:gridCol w:w="977"/>
        <w:gridCol w:w="980"/>
        <w:gridCol w:w="226"/>
        <w:gridCol w:w="946"/>
        <w:gridCol w:w="109"/>
        <w:gridCol w:w="257"/>
        <w:gridCol w:w="668"/>
        <w:gridCol w:w="124"/>
        <w:gridCol w:w="226"/>
        <w:gridCol w:w="946"/>
        <w:gridCol w:w="109"/>
        <w:gridCol w:w="257"/>
        <w:gridCol w:w="668"/>
        <w:gridCol w:w="124"/>
        <w:gridCol w:w="226"/>
        <w:gridCol w:w="946"/>
        <w:gridCol w:w="109"/>
        <w:gridCol w:w="243"/>
        <w:gridCol w:w="633"/>
        <w:gridCol w:w="245"/>
      </w:tblGrid>
      <w:tr>
        <w:trPr/>
        <w:tc>
          <w:tcPr>
            <w:tcW w:w="118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Q2 2026</w:t>
            </w:r>
          </w:p>
        </w:tc>
        <w:tc>
          <w:tcPr>
            <w:tcW w:w="233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Q1 2026</w:t>
            </w:r>
          </w:p>
        </w:tc>
        <w:tc>
          <w:tcPr>
            <w:tcW w:w="24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Q2 2025</w:t>
            </w:r>
          </w:p>
        </w:tc>
      </w:tr>
      <w:tr>
        <w:trPr/>
        <w:tc>
          <w:tcPr>
            <w:tcW w:w="3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Amount</w:t>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Per Share</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Amount</w:t>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Per Share</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Amount</w:t>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Per Share</w:t>
            </w:r>
          </w:p>
        </w:tc>
      </w:tr>
      <w:tr>
        <w:trPr/>
        <w:tc>
          <w:tcPr>
            <w:tcW w:w="314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enorite;sans-serif" w:hAnsi="Tenorite;sans-serif"/>
                <w:b w:val="false"/>
                <w:color w:val="000000"/>
                <w:sz w:val="18"/>
              </w:rPr>
            </w:pPr>
            <w:r>
              <w:rPr>
                <w:rFonts w:ascii="Tenorite;sans-serif" w:hAnsi="Tenorite;sans-serif"/>
                <w:b w:val="false"/>
                <w:color w:val="000000"/>
                <w:sz w:val="18"/>
              </w:rPr>
              <w:t>Net income / earnings per diluted share</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379,261 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6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4.74 </w:t>
            </w:r>
          </w:p>
        </w:tc>
        <w:tc>
          <w:tcPr>
            <w:tcW w:w="1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356,404 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6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4.43 </w:t>
            </w:r>
          </w:p>
        </w:tc>
        <w:tc>
          <w:tcPr>
            <w:tcW w:w="1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273,249 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63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3.40 </w:t>
            </w:r>
          </w:p>
        </w:tc>
        <w:tc>
          <w:tcPr>
            <w:tcW w:w="24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Amortization of other intangibles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70,886 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0.89 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67,230 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0.84 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46,103 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0.57 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val="false"/>
                <w:color w:val="000000"/>
                <w:sz w:val="18"/>
              </w:rPr>
              <w:t>Acquisition costs</w:t>
            </w:r>
            <w:r>
              <w:rPr>
                <w:rFonts w:ascii="Tenorite;sans-serif" w:hAnsi="Tenorite;sans-serif"/>
                <w:b w:val="false"/>
                <w:color w:val="000000"/>
                <w:sz w:val="12"/>
              </w:rPr>
              <w:t>(14)</w:t>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48,977 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0.61 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61,216 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0.76 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74,875 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0.93 </w:t>
            </w:r>
          </w:p>
        </w:tc>
        <w:tc>
          <w:tcPr>
            <w:tcW w:w="2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3"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3143"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3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Tax benefit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(31,442)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(0.39)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(34,013)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(0.42)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(31,433)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(0.39)</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Adjusted net income / adjusted EPS</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467,682 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6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5.84 </w:t>
            </w:r>
          </w:p>
        </w:tc>
        <w:tc>
          <w:tcPr>
            <w:tcW w:w="1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450,837 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6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5.60 </w:t>
            </w:r>
          </w:p>
        </w:tc>
        <w:tc>
          <w:tcPr>
            <w:tcW w:w="1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9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362,794 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63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4.51 </w:t>
            </w:r>
          </w:p>
        </w:tc>
        <w:tc>
          <w:tcPr>
            <w:tcW w:w="24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Diluted share count</w:t>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80,032 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80,446 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80,373 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Note: Totals may not foot due to rounding.</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540"/>
        <w:jc w:val="left"/>
        <w:rPr>
          <w:rFonts w:ascii="Tenorite;sans-serif" w:hAnsi="Tenorite;sans-serif"/>
          <w:b w:val="false"/>
          <w:color w:val="000000"/>
          <w:sz w:val="20"/>
        </w:rPr>
      </w:pPr>
      <w:r>
        <w:rPr>
          <w:rFonts w:ascii="Tenorite;sans-serif" w:hAnsi="Tenorite;sans-serif"/>
          <w:b w:val="false"/>
          <w:color w:val="000000"/>
          <w:sz w:val="20"/>
        </w:rPr>
        <w:t>(19) Consists of total assets under custody at the Company's primary broker-dealer subsidiary, LPL Financial, as well as assets under custody of a third-party custodian related to CES and Atria Wealth Solution’s introducing broker-dealer subsidiaries.</w:t>
      </w:r>
    </w:p>
    <w:p>
      <w:pPr>
        <w:pStyle w:val="TextBody"/>
        <w:bidi w:val="0"/>
        <w:spacing w:lineRule="auto" w:line="288" w:before="0" w:after="60"/>
        <w:ind w:left="0" w:right="0" w:hanging="540"/>
        <w:jc w:val="left"/>
        <w:rPr>
          <w:rFonts w:ascii="Tenorite;sans-serif" w:hAnsi="Tenorite;sans-serif"/>
          <w:b w:val="false"/>
          <w:color w:val="000000"/>
          <w:sz w:val="20"/>
        </w:rPr>
      </w:pPr>
      <w:r>
        <w:rPr>
          <w:rFonts w:ascii="Tenorite;sans-serif" w:hAnsi="Tenorite;sans-serif"/>
          <w:b w:val="false"/>
          <w:color w:val="000000"/>
          <w:sz w:val="20"/>
        </w:rPr>
        <w:t>(20) Assets on the Company's corporate RIA advisory platform are serviced by investment advisor representatives of LPL Financial. Assets on the Company's independent RIA advisory platform are serviced by investment advisor representatives of separate registered investment advisor firms rather than representatives of LPL Financial.</w:t>
      </w:r>
    </w:p>
    <w:p>
      <w:pPr>
        <w:pStyle w:val="TextBody"/>
        <w:bidi w:val="0"/>
        <w:spacing w:lineRule="auto" w:line="288" w:before="0" w:after="60"/>
        <w:ind w:left="0" w:right="0" w:hanging="540"/>
        <w:jc w:val="left"/>
        <w:rPr>
          <w:rFonts w:ascii="Tenorite;sans-serif" w:hAnsi="Tenorite;sans-serif"/>
          <w:b w:val="false"/>
          <w:color w:val="000000"/>
          <w:sz w:val="20"/>
        </w:rPr>
      </w:pPr>
      <w:r>
        <w:rPr>
          <w:rFonts w:ascii="Tenorite;sans-serif" w:hAnsi="Tenorite;sans-serif"/>
          <w:b w:val="false"/>
          <w:color w:val="000000"/>
          <w:sz w:val="20"/>
        </w:rPr>
        <w:t>(21) Consists of advisory assets in LPL Financial’s Model Wealth Portfolios, Optimum Market Portfolios, Personal Wealth Portfolios and Guided Wealth Portfolios platforms.</w:t>
      </w:r>
    </w:p>
    <w:p>
      <w:pPr>
        <w:pStyle w:val="TextBody"/>
        <w:bidi w:val="0"/>
        <w:spacing w:lineRule="auto" w:line="288" w:before="0" w:after="60"/>
        <w:ind w:left="0" w:right="0" w:hanging="540"/>
        <w:jc w:val="left"/>
        <w:rPr>
          <w:rFonts w:ascii="Tenorite;sans-serif" w:hAnsi="Tenorite;sans-serif"/>
          <w:b w:val="false"/>
          <w:color w:val="000000"/>
          <w:sz w:val="20"/>
        </w:rPr>
      </w:pPr>
      <w:r>
        <w:rPr>
          <w:rFonts w:ascii="Tenorite;sans-serif" w:hAnsi="Tenorite;sans-serif"/>
          <w:b w:val="false"/>
          <w:color w:val="000000"/>
          <w:sz w:val="20"/>
        </w:rPr>
        <w:t>(22) Consists of total client deposits into advisory or brokerage accounts less total client withdrawals from advisory or brokerage accounts, plus dividends, plus interest, minus advisory fees. The Company considers conversions from and to brokerage or advisory accounts as deposits and withdrawals, respectively.</w:t>
      </w:r>
    </w:p>
    <w:p>
      <w:pPr>
        <w:pStyle w:val="TextBody"/>
        <w:bidi w:val="0"/>
        <w:spacing w:lineRule="auto" w:line="288" w:before="0" w:after="60"/>
        <w:ind w:left="0" w:right="0" w:hanging="540"/>
        <w:jc w:val="left"/>
        <w:rPr>
          <w:rFonts w:ascii="Tenorite;sans-serif" w:hAnsi="Tenorite;sans-serif"/>
          <w:b w:val="false"/>
          <w:color w:val="000000"/>
          <w:sz w:val="20"/>
        </w:rPr>
      </w:pPr>
      <w:r>
        <w:rPr>
          <w:rFonts w:ascii="Tenorite;sans-serif" w:hAnsi="Tenorite;sans-serif"/>
          <w:b w:val="false"/>
          <w:color w:val="000000"/>
          <w:sz w:val="20"/>
        </w:rPr>
        <w:t>(23) Consists of existing custodied assets that converted from brokerage to advisory, less existing custodied assets that converted from advisory to brokerage.</w:t>
      </w:r>
    </w:p>
    <w:p>
      <w:pPr>
        <w:pStyle w:val="TextBody"/>
        <w:bidi w:val="0"/>
        <w:spacing w:lineRule="auto" w:line="288" w:before="0" w:after="60"/>
        <w:ind w:left="0" w:right="0" w:hanging="540"/>
        <w:jc w:val="left"/>
        <w:rPr>
          <w:rFonts w:ascii="Tenorite;sans-serif" w:hAnsi="Tenorite;sans-serif"/>
          <w:b w:val="false"/>
          <w:color w:val="000000"/>
          <w:sz w:val="20"/>
        </w:rPr>
      </w:pPr>
      <w:r>
        <w:rPr>
          <w:rFonts w:ascii="Tenorite;sans-serif" w:hAnsi="Tenorite;sans-serif"/>
          <w:b w:val="false"/>
          <w:color w:val="000000"/>
          <w:sz w:val="20"/>
        </w:rPr>
        <w:t>(24) Calculated as annualized current period organic net new assets divided by preceding period assets in their respective categories of advisory assets or total assets.</w:t>
      </w:r>
    </w:p>
    <w:p>
      <w:pPr>
        <w:pStyle w:val="TextBody"/>
        <w:bidi w:val="0"/>
        <w:spacing w:lineRule="auto" w:line="288" w:before="0" w:after="60"/>
        <w:ind w:left="0" w:right="0" w:hanging="540"/>
        <w:jc w:val="left"/>
        <w:rPr>
          <w:rFonts w:ascii="Tenorite;sans-serif" w:hAnsi="Tenorite;sans-serif"/>
          <w:b w:val="false"/>
          <w:color w:val="000000"/>
          <w:sz w:val="20"/>
        </w:rPr>
      </w:pPr>
      <w:r>
        <w:rPr>
          <w:rFonts w:ascii="Tenorite;sans-serif" w:hAnsi="Tenorite;sans-serif"/>
          <w:b w:val="false"/>
          <w:color w:val="000000"/>
          <w:sz w:val="20"/>
        </w:rPr>
        <w:t>(25) Represents the amount of securities purchased less the amount of securities sold in client accounts custodied with LPL Financial.</w:t>
      </w:r>
    </w:p>
    <w:p>
      <w:pPr>
        <w:pStyle w:val="TextBody"/>
        <w:bidi w:val="0"/>
        <w:spacing w:lineRule="auto" w:line="288" w:before="0" w:after="60"/>
        <w:ind w:left="0" w:right="0" w:hanging="540"/>
        <w:jc w:val="left"/>
        <w:rPr>
          <w:rFonts w:ascii="Tenorite;sans-serif" w:hAnsi="Tenorite;sans-serif"/>
          <w:b w:val="false"/>
          <w:color w:val="000000"/>
          <w:sz w:val="20"/>
        </w:rPr>
      </w:pPr>
      <w:r>
        <w:rPr>
          <w:rFonts w:ascii="Tenorite;sans-serif" w:hAnsi="Tenorite;sans-serif"/>
          <w:b w:val="false"/>
          <w:color w:val="000000"/>
          <w:sz w:val="20"/>
        </w:rPr>
        <w:t>(26) Client cash balances include CCA and exclude purchased money market funds. CCA balances include cash that clients have deposited with LPL Financial that is included in Client payables in the condensed consolidated balance sheets. The following table presents purchased money market funds for the periods presented (in billions):</w:t>
      </w:r>
    </w:p>
    <w:tbl>
      <w:tblPr>
        <w:tblW w:w="5823" w:type="dxa"/>
        <w:jc w:val="left"/>
        <w:tblInd w:w="0" w:type="dxa"/>
        <w:tblLayout w:type="fixed"/>
        <w:tblCellMar>
          <w:top w:w="28" w:type="dxa"/>
          <w:left w:w="28" w:type="dxa"/>
          <w:bottom w:w="28" w:type="dxa"/>
          <w:right w:w="28" w:type="dxa"/>
        </w:tblCellMar>
      </w:tblPr>
      <w:tblGrid>
        <w:gridCol w:w="1092"/>
        <w:gridCol w:w="959"/>
        <w:gridCol w:w="964"/>
        <w:gridCol w:w="226"/>
        <w:gridCol w:w="586"/>
        <w:gridCol w:w="109"/>
        <w:gridCol w:w="226"/>
        <w:gridCol w:w="586"/>
        <w:gridCol w:w="109"/>
        <w:gridCol w:w="226"/>
        <w:gridCol w:w="586"/>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Q2 2026</w:t>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Q1 2026</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Q2 2025</w:t>
            </w:r>
          </w:p>
        </w:tc>
      </w:tr>
      <w:tr>
        <w:trPr/>
        <w:tc>
          <w:tcPr>
            <w:tcW w:w="30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Purchased money market funds</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5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49.2 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5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50.1 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5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47.0 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7955"/>
                <wp:effectExtent l="0" t="0" r="0" b="0"/>
                <wp:wrapNone/>
                <wp:docPr id="24" name="Frame2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20</w:t>
                      </w:r>
                    </w:p>
                  </w:txbxContent>
                </v:textbox>
                <w10:wrap type="none"/>
              </v:rect>
            </w:pict>
          </mc:Fallback>
        </mc:AlternateContent>
      </w:r>
    </w:p>
    <w:p>
      <w:pPr>
        <w:pStyle w:val="TextBody"/>
        <w:bidi w:val="0"/>
        <w:spacing w:lineRule="auto" w:line="288" w:before="0" w:after="60"/>
        <w:ind w:left="0" w:right="0" w:hanging="540"/>
        <w:jc w:val="left"/>
        <w:rPr>
          <w:rFonts w:ascii="Tenorite;sans-serif" w:hAnsi="Tenorite;sans-serif"/>
          <w:b w:val="false"/>
          <w:color w:val="000000"/>
          <w:sz w:val="20"/>
        </w:rPr>
      </w:pPr>
      <w:r>
        <w:rPr>
          <w:rFonts w:ascii="Tenorite;sans-serif" w:hAnsi="Tenorite;sans-serif"/>
          <w:b w:val="false"/>
          <w:color w:val="000000"/>
          <w:sz w:val="20"/>
        </w:rPr>
        <w:t>(27) Calculated by dividing revenue for the period by the average balance during the period.</w:t>
      </w:r>
    </w:p>
    <w:p>
      <w:pPr>
        <w:pStyle w:val="TextBody"/>
        <w:bidi w:val="0"/>
        <w:spacing w:lineRule="auto" w:line="288" w:before="0" w:after="60"/>
        <w:ind w:left="0" w:right="0" w:hanging="540"/>
        <w:jc w:val="left"/>
        <w:rPr/>
      </w:pPr>
      <w:r>
        <w:rPr>
          <w:rFonts w:ascii="Tenorite;sans-serif" w:hAnsi="Tenorite;sans-serif"/>
          <w:b w:val="false"/>
          <w:color w:val="000000"/>
          <w:sz w:val="20"/>
        </w:rPr>
        <w:t xml:space="preserve">(28) EBITDA and Credit Agreement EBITDA are non-GAAP financial measures. Please see a description of EBITDA and Credit Agreement EBITDA under the </w:t>
      </w:r>
      <w:r>
        <w:rPr>
          <w:color w:val="000000"/>
        </w:rPr>
        <w:t>“</w:t>
      </w:r>
      <w:r>
        <w:rPr>
          <w:rFonts w:ascii="Tenorite;sans-serif" w:hAnsi="Tenorite;sans-serif"/>
          <w:b w:val="false"/>
          <w:i/>
          <w:color w:val="000000"/>
          <w:sz w:val="20"/>
        </w:rPr>
        <w:t xml:space="preserve">Non-GAAP Financial Measures” </w:t>
      </w:r>
      <w:r>
        <w:rPr>
          <w:rFonts w:ascii="Tenorite;sans-serif" w:hAnsi="Tenorite;sans-serif"/>
          <w:b w:val="false"/>
          <w:color w:val="000000"/>
          <w:sz w:val="20"/>
        </w:rPr>
        <w:t xml:space="preserve">section of this release for additional information. Under the Credit Agreement, management calculates Credit Agreement EBITDA for a trailing twelve month period at the end of each fiscal quarter and in doing so may make further adjustments to prior quarters. Below are reconciliations of trailing twelve month net income to trailing twelve month EBITDA and Credit Agreement EBITDA for the periods presented (in thousands): </w:t>
      </w:r>
    </w:p>
    <w:tbl>
      <w:tblPr>
        <w:tblW w:w="10205" w:type="dxa"/>
        <w:jc w:val="left"/>
        <w:tblInd w:w="0" w:type="dxa"/>
        <w:tblLayout w:type="fixed"/>
        <w:tblCellMar>
          <w:top w:w="28" w:type="dxa"/>
          <w:left w:w="28" w:type="dxa"/>
          <w:bottom w:w="28" w:type="dxa"/>
          <w:right w:w="28" w:type="dxa"/>
        </w:tblCellMar>
      </w:tblPr>
      <w:tblGrid>
        <w:gridCol w:w="1996"/>
        <w:gridCol w:w="1755"/>
        <w:gridCol w:w="1758"/>
        <w:gridCol w:w="226"/>
        <w:gridCol w:w="1156"/>
        <w:gridCol w:w="109"/>
        <w:gridCol w:w="226"/>
        <w:gridCol w:w="1156"/>
        <w:gridCol w:w="109"/>
        <w:gridCol w:w="226"/>
        <w:gridCol w:w="1156"/>
        <w:gridCol w:w="109"/>
        <w:gridCol w:w="223"/>
      </w:tblGrid>
      <w:tr>
        <w:trPr/>
        <w:tc>
          <w:tcPr>
            <w:tcW w:w="1996"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Q2 2026</w:t>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Q1 2026</w:t>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enorite;sans-serif" w:hAnsi="Tenorite;sans-serif"/>
                <w:b/>
                <w:color w:val="000000"/>
                <w:sz w:val="18"/>
              </w:rPr>
            </w:pPr>
            <w:r>
              <w:rPr>
                <w:rFonts w:ascii="Tenorite;sans-serif" w:hAnsi="Tenorite;sans-serif"/>
                <w:b/>
                <w:color w:val="000000"/>
                <w:sz w:val="18"/>
              </w:rPr>
              <w:t>Q4 2025</w:t>
            </w:r>
          </w:p>
        </w:tc>
        <w:tc>
          <w:tcPr>
            <w:tcW w:w="223"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EBITDA and Credit Agreement EBITDA Reconciliations</w:t>
            </w:r>
          </w:p>
        </w:tc>
        <w:tc>
          <w:tcPr>
            <w:tcW w:w="149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Net income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1,006,867 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900,855 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863,024 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Interest expense on borrowings</w:t>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413,702 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417,836 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403,406 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Provision for income taxes</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356,671 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315,983 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286,483 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Depreciation and amortization</w:t>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420,403 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406,829 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393,434 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Amortization of other intangibles</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285,070 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260,287 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236,578 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enorite;sans-serif" w:hAnsi="Tenorite;sans-serif"/>
                <w:b/>
                <w:color w:val="000000"/>
                <w:sz w:val="18"/>
              </w:rPr>
              <w:t>EBITDA</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2,482,713</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2,301,790</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2,182,925</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ind w:left="0" w:right="0" w:firstLine="90"/>
              <w:jc w:val="left"/>
              <w:rPr>
                <w:sz w:val="4"/>
                <w:szCs w:val="4"/>
              </w:rPr>
            </w:pPr>
            <w:r>
              <w:rPr>
                <w:sz w:val="4"/>
                <w:szCs w:val="4"/>
              </w:rPr>
            </w:r>
          </w:p>
        </w:tc>
      </w:tr>
      <w:tr>
        <w:trPr/>
        <w:tc>
          <w:tcPr>
            <w:tcW w:w="5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Credit Agreement Adjustments:</w:t>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val="false"/>
                <w:color w:val="000000"/>
                <w:sz w:val="18"/>
              </w:rPr>
              <w:t>Acquisition costs and other</w:t>
            </w:r>
            <w:r>
              <w:rPr>
                <w:rFonts w:ascii="Tenorite;sans-serif" w:hAnsi="Tenorite;sans-serif"/>
                <w:b w:val="false"/>
                <w:color w:val="000000"/>
                <w:sz w:val="12"/>
              </w:rPr>
              <w:t>(14)(35)</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766,866 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796,403 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w:t>
            </w:r>
          </w:p>
        </w:tc>
        <w:tc>
          <w:tcPr>
            <w:tcW w:w="11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777,299 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Employee share-based compensation</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83,005 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79,808 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75,956 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enorite;sans-serif" w:hAnsi="Tenorite;sans-serif"/>
                <w:b w:val="false"/>
                <w:color w:val="000000"/>
                <w:sz w:val="18"/>
              </w:rPr>
              <w:t>M&amp;A accretion</w:t>
            </w:r>
            <w:r>
              <w:rPr>
                <w:rFonts w:ascii="Tenorite;sans-serif" w:hAnsi="Tenorite;sans-serif"/>
                <w:b w:val="false"/>
                <w:color w:val="000000"/>
                <w:sz w:val="12"/>
              </w:rPr>
              <w:t>(36)</w:t>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359,895 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394,614 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462,597 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val="false"/>
                <w:color w:val="000000"/>
                <w:sz w:val="18"/>
              </w:rPr>
            </w:pPr>
            <w:r>
              <w:rPr>
                <w:rFonts w:ascii="Tenorite;sans-serif" w:hAnsi="Tenorite;sans-serif"/>
                <w:b w:val="false"/>
                <w:color w:val="000000"/>
                <w:sz w:val="18"/>
              </w:rPr>
              <w:t>Advisor share-based compensation</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enorite;sans-serif" w:hAnsi="Tenorite;sans-serif"/>
                <w:b w:val="false"/>
                <w:color w:val="000000"/>
                <w:sz w:val="18"/>
              </w:rPr>
            </w:pPr>
            <w:r>
              <w:rPr>
                <w:rFonts w:ascii="Tenorite;sans-serif" w:hAnsi="Tenorite;sans-serif"/>
                <w:b w:val="false"/>
                <w:color w:val="000000"/>
                <w:sz w:val="18"/>
              </w:rPr>
              <w:t>3,055 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Credit Agreement EBITDA</w:t>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3,695,539</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3,575,622</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enorite;sans-serif" w:hAnsi="Tenorite;sans-serif"/>
                <w:b/>
                <w:color w:val="000000"/>
                <w:sz w:val="18"/>
              </w:rPr>
            </w:pPr>
            <w:r>
              <w:rPr>
                <w:rFonts w:ascii="Tenorite;sans-serif" w:hAnsi="Tenorite;sans-serif"/>
                <w:b/>
                <w:color w:val="000000"/>
                <w:sz w:val="18"/>
              </w:rPr>
              <w:t>$</w:t>
            </w:r>
          </w:p>
        </w:tc>
        <w:tc>
          <w:tcPr>
            <w:tcW w:w="11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enorite;sans-serif" w:hAnsi="Tenorite;sans-serif"/>
                <w:b/>
                <w:color w:val="000000"/>
                <w:sz w:val="18"/>
              </w:rPr>
              <w:t>3,501,832</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540"/>
        <w:jc w:val="left"/>
        <w:rPr>
          <w:rFonts w:ascii="Tenorite;sans-serif" w:hAnsi="Tenorite;sans-serif"/>
          <w:b w:val="false"/>
          <w:color w:val="000000"/>
          <w:sz w:val="20"/>
        </w:rPr>
      </w:pPr>
      <w:r>
        <w:rPr>
          <w:rFonts w:ascii="Tenorite;sans-serif" w:hAnsi="Tenorite;sans-serif"/>
          <w:b w:val="false"/>
          <w:color w:val="000000"/>
          <w:sz w:val="20"/>
        </w:rPr>
        <w:t>(29) Calculated based on the average advisor count from the current period and prior periods.</w:t>
      </w:r>
    </w:p>
    <w:p>
      <w:pPr>
        <w:pStyle w:val="TextBody"/>
        <w:bidi w:val="0"/>
        <w:spacing w:lineRule="auto" w:line="276" w:before="0" w:after="60"/>
        <w:ind w:left="0" w:right="0" w:hanging="540"/>
        <w:jc w:val="left"/>
        <w:rPr>
          <w:rFonts w:ascii="Tenorite;sans-serif" w:hAnsi="Tenorite;sans-serif"/>
          <w:b w:val="false"/>
          <w:color w:val="000000"/>
          <w:sz w:val="20"/>
        </w:rPr>
      </w:pPr>
      <w:r>
        <w:rPr>
          <w:rFonts w:ascii="Tenorite;sans-serif" w:hAnsi="Tenorite;sans-serif"/>
          <w:b w:val="false"/>
          <w:color w:val="000000"/>
          <w:sz w:val="20"/>
        </w:rPr>
        <w:t>(30)    Calculated based on the end of period total assets divided by end of period advisor count.</w:t>
      </w:r>
    </w:p>
    <w:p>
      <w:pPr>
        <w:pStyle w:val="TextBody"/>
        <w:bidi w:val="0"/>
        <w:spacing w:lineRule="auto" w:line="288" w:before="0" w:after="60"/>
        <w:ind w:left="0" w:right="0" w:hanging="540"/>
        <w:jc w:val="left"/>
        <w:rPr>
          <w:rFonts w:ascii="Tenorite;sans-serif" w:hAnsi="Tenorite;sans-serif"/>
          <w:b w:val="false"/>
          <w:color w:val="000000"/>
          <w:sz w:val="20"/>
        </w:rPr>
      </w:pPr>
      <w:r>
        <w:rPr>
          <w:rFonts w:ascii="Tenorite;sans-serif" w:hAnsi="Tenorite;sans-serif"/>
          <w:b w:val="false"/>
          <w:color w:val="000000"/>
          <w:sz w:val="20"/>
        </w:rPr>
        <w:t xml:space="preserve">(31) Reflects retention of total assets, calculated by deducting quarterly annualized attrition from total assets, divided by the prior quarter total assets. </w:t>
      </w:r>
    </w:p>
    <w:p>
      <w:pPr>
        <w:pStyle w:val="TextBody"/>
        <w:bidi w:val="0"/>
        <w:spacing w:lineRule="auto" w:line="288" w:before="0" w:after="60"/>
        <w:ind w:left="0" w:right="0" w:hanging="540"/>
        <w:jc w:val="left"/>
        <w:rPr>
          <w:rFonts w:ascii="Tenorite;sans-serif" w:hAnsi="Tenorite;sans-serif"/>
          <w:b w:val="false"/>
          <w:color w:val="000000"/>
          <w:sz w:val="20"/>
        </w:rPr>
      </w:pPr>
      <w:r>
        <w:rPr>
          <w:rFonts w:ascii="Tenorite;sans-serif" w:hAnsi="Tenorite;sans-serif"/>
          <w:b w:val="false"/>
          <w:color w:val="000000"/>
          <w:sz w:val="20"/>
        </w:rPr>
        <w:t>(32) Capital expenditures represent cash payments for property and equipment during the period.</w:t>
      </w:r>
    </w:p>
    <w:p>
      <w:pPr>
        <w:pStyle w:val="TextBody"/>
        <w:bidi w:val="0"/>
        <w:spacing w:lineRule="auto" w:line="288" w:before="0" w:after="60"/>
        <w:ind w:left="0" w:right="0" w:hanging="540"/>
        <w:jc w:val="left"/>
        <w:rPr>
          <w:rFonts w:ascii="Tenorite;sans-serif" w:hAnsi="Tenorite;sans-serif"/>
          <w:b w:val="false"/>
          <w:color w:val="000000"/>
          <w:sz w:val="20"/>
        </w:rPr>
      </w:pPr>
      <w:r>
        <w:rPr>
          <w:rFonts w:ascii="Tenorite;sans-serif" w:hAnsi="Tenorite;sans-serif"/>
          <w:b w:val="false"/>
          <w:color w:val="000000"/>
          <w:sz w:val="20"/>
        </w:rPr>
        <w:t>(33) Acquisitions, net represent cash paid for acquisitions, net of cash acquired during the period.</w:t>
      </w:r>
    </w:p>
    <w:p>
      <w:pPr>
        <w:pStyle w:val="TextBody"/>
        <w:bidi w:val="0"/>
        <w:spacing w:lineRule="auto" w:line="288" w:before="0" w:after="60"/>
        <w:ind w:left="0" w:right="0" w:hanging="540"/>
        <w:jc w:val="left"/>
        <w:rPr>
          <w:rFonts w:ascii="Tenorite;sans-serif" w:hAnsi="Tenorite;sans-serif"/>
          <w:b w:val="false"/>
          <w:color w:val="000000"/>
          <w:sz w:val="20"/>
        </w:rPr>
      </w:pPr>
      <w:r>
        <w:rPr>
          <w:rFonts w:ascii="Tenorite;sans-serif" w:hAnsi="Tenorite;sans-serif"/>
          <w:b w:val="false"/>
          <w:color w:val="000000"/>
          <w:sz w:val="20"/>
        </w:rPr>
        <w:t xml:space="preserve">(34) Represents a fair value adjustment to our contingent consideration liabilities that is reflected in other expense in the condensed consolidated statements of income. </w:t>
      </w:r>
    </w:p>
    <w:p>
      <w:pPr>
        <w:pStyle w:val="TextBody"/>
        <w:bidi w:val="0"/>
        <w:spacing w:lineRule="auto" w:line="288" w:before="0" w:after="60"/>
        <w:ind w:left="0" w:right="0" w:hanging="540"/>
        <w:jc w:val="left"/>
        <w:rPr>
          <w:rFonts w:ascii="Tenorite;sans-serif" w:hAnsi="Tenorite;sans-serif"/>
          <w:b w:val="false"/>
          <w:color w:val="000000"/>
          <w:sz w:val="20"/>
        </w:rPr>
      </w:pPr>
      <w:r>
        <w:rPr>
          <w:rFonts w:ascii="Tenorite;sans-serif" w:hAnsi="Tenorite;sans-serif"/>
          <w:b w:val="false"/>
          <w:color w:val="000000"/>
          <w:sz w:val="20"/>
        </w:rPr>
        <w:t>(35) Acquisition costs and other primarily include costs related to acquisitions and costs incurred related to the integration of the strategic relationship with Prudential Advisors.</w:t>
      </w:r>
    </w:p>
    <w:p>
      <w:pPr>
        <w:pStyle w:val="TextBody"/>
        <w:bidi w:val="0"/>
        <w:spacing w:lineRule="auto" w:line="288" w:before="0" w:after="60"/>
        <w:ind w:left="0" w:right="0" w:hanging="540"/>
        <w:jc w:val="left"/>
        <w:rPr>
          <w:rFonts w:ascii="Tenorite;sans-serif" w:hAnsi="Tenorite;sans-serif"/>
          <w:b w:val="false"/>
          <w:color w:val="000000"/>
          <w:sz w:val="20"/>
        </w:rPr>
      </w:pPr>
      <w:r>
        <w:rPr>
          <w:rFonts w:ascii="Tenorite;sans-serif" w:hAnsi="Tenorite;sans-serif"/>
          <w:b w:val="false"/>
          <w:color w:val="000000"/>
          <w:sz w:val="20"/>
        </w:rPr>
        <w:t>(36)    M&amp;A accretion is an adjustment to reflect the annualized expected run rate EBITDA of an acquisition as permitted by the Credit Agreement for up to eight fiscal quarters following the close of such acquisition.</w:t>
      </w:r>
    </w:p>
    <w:p>
      <w:pPr>
        <w:pStyle w:val="TextBody"/>
        <w:bidi w:val="0"/>
        <w:spacing w:before="0" w:after="60"/>
        <w:ind w:left="0" w:right="0" w:hanging="5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7955"/>
                <wp:effectExtent l="0" t="0" r="0" b="0"/>
                <wp:wrapNone/>
                <wp:docPr id="25" name="Frame2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enorite;sans-serif" w:hAnsi="Tenorite;sans-serif"/>
                          <w:b w:val="false"/>
                          <w:color w:val="000000"/>
                          <w:sz w:val="20"/>
                        </w:rPr>
                      </w:pPr>
                      <w:r>
                        <w:rPr>
                          <w:rFonts w:ascii="Tenorite;sans-serif" w:hAnsi="Tenorite;sans-serif"/>
                          <w:b w:val="false"/>
                          <w:color w:val="000000"/>
                          <w:sz w:val="20"/>
                        </w:rPr>
                        <w:t>21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enorite">
    <w:altName w:val="sans-serif"/>
    <w:charset w:val="01"/>
    <w:family w:val="auto"/>
    <w:pitch w:val="default"/>
  </w:font>
  <w:font w:name="Georgia">
    <w:altName w:val="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8402</Words>
  <Characters>46957</Characters>
  <CharactersWithSpaces>53751</CharactersWithSpaces>
  <Paragraphs>2671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