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One)</w:t>
      </w:r>
    </w:p>
    <w:tbl>
      <w:tblPr>
        <w:tblW w:w="8996" w:type="dxa"/>
        <w:jc w:val="left"/>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 xml:space="preserve">Commission File Number: 001-34963 </w:t>
      </w:r>
    </w:p>
    <w:p>
      <w:pPr>
        <w:pStyle w:val="TextBody"/>
        <w:bidi w:val="0"/>
        <w:spacing w:lineRule="auto" w:line="288" w:before="0" w:after="60"/>
        <w:jc w:val="center"/>
        <w:rPr/>
      </w:pPr>
      <w:r>
        <w:rPr>
          <w:rFonts w:ascii="Arial;sans-serif" w:hAnsi="Arial;sans-serif"/>
          <w:b/>
          <w:color w:val="000000"/>
          <w:sz w:val="48"/>
        </w:rPr>
        <w:t>LPL Financial Holdings Inc.</w:t>
      </w:r>
      <w:r>
        <w:rPr>
          <w:color w:val="000000"/>
        </w:rPr>
        <w:t xml:space="preserve"> </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registrant as specified in its charter)</w:t>
      </w:r>
    </w:p>
    <w:tbl>
      <w:tblPr>
        <w:tblW w:w="7799" w:type="dxa"/>
        <w:jc w:val="center"/>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20-3717839</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tbl>
      <w:tblPr>
        <w:tblW w:w="4905" w:type="dxa"/>
        <w:jc w:val="center"/>
        <w:tblInd w:w="0" w:type="dxa"/>
        <w:tblLayout w:type="fixed"/>
        <w:tblCellMar>
          <w:top w:w="28" w:type="dxa"/>
          <w:left w:w="28" w:type="dxa"/>
          <w:bottom w:w="28" w:type="dxa"/>
          <w:right w:w="28" w:type="dxa"/>
        </w:tblCellMar>
      </w:tblPr>
      <w:tblGrid>
        <w:gridCol w:w="761"/>
        <w:gridCol w:w="668"/>
        <w:gridCol w:w="670"/>
        <w:gridCol w:w="374"/>
        <w:gridCol w:w="374"/>
        <w:gridCol w:w="376"/>
        <w:gridCol w:w="335"/>
        <w:gridCol w:w="335"/>
        <w:gridCol w:w="336"/>
        <w:gridCol w:w="198"/>
        <w:gridCol w:w="198"/>
        <w:gridCol w:w="280"/>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4707 Executive Drive,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San Diego,</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California</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92121</w:t>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(Address of principal executive offices) (Zip Code)</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(800)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877-7210</w:t>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657" w:type="dxa"/>
        <w:jc w:val="left"/>
        <w:tblInd w:w="0" w:type="dxa"/>
        <w:tblLayout w:type="fixed"/>
        <w:tblCellMar>
          <w:top w:w="28" w:type="dxa"/>
          <w:left w:w="28" w:type="dxa"/>
          <w:bottom w:w="28" w:type="dxa"/>
          <w:right w:w="28" w:type="dxa"/>
        </w:tblCellMar>
      </w:tblPr>
      <w:tblGrid>
        <w:gridCol w:w="1433"/>
        <w:gridCol w:w="1256"/>
        <w:gridCol w:w="1270"/>
        <w:gridCol w:w="564"/>
        <w:gridCol w:w="564"/>
        <w:gridCol w:w="566"/>
        <w:gridCol w:w="1170"/>
        <w:gridCol w:w="1170"/>
        <w:gridCol w:w="1664"/>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Name of each exchange on which registered</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 - $0.001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LPLA</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The Nasdaq Global Select Market</w:t>
            </w:r>
          </w:p>
        </w:tc>
      </w:tr>
    </w:tbl>
    <w:p>
      <w:pPr>
        <w:pStyle w:val="TextBody"/>
        <w:bidi w:val="0"/>
        <w:spacing w:lineRule="auto" w:line="288" w:before="120" w:after="283"/>
        <w:jc w:val="left"/>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No</w:t>
      </w:r>
    </w:p>
    <w:p>
      <w:pPr>
        <w:pStyle w:val="TextBody"/>
        <w:bidi w:val="0"/>
        <w:spacing w:lineRule="auto" w:line="288" w:before="120" w:after="120"/>
        <w:jc w:val="left"/>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No</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w:t>
      </w:r>
    </w:p>
    <w:p>
      <w:pPr>
        <w:pStyle w:val="TextBody"/>
        <w:bidi w:val="0"/>
        <w:spacing w:lineRule="auto" w:line="288" w:before="0" w:after="120"/>
        <w:jc w:val="left"/>
        <w:rPr/>
      </w:pPr>
      <w:r>
        <w:rPr>
          <w:color w:val="000000"/>
        </w:rPr>
        <w:t xml:space="preserve">☐ </w:t>
      </w:r>
      <w:r>
        <w:rPr>
          <w:rFonts w:ascii="Arial;sans-serif" w:hAnsi="Arial;sans-serif"/>
          <w:b w:val="false"/>
          <w:color w:val="000000"/>
          <w:sz w:val="20"/>
        </w:rPr>
        <w:t>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No</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number of shares of Common Stock, par value $0.001 per share, outstanding as of July 30, 2026 was 78,742,290.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880" w:type="dxa"/>
        <w:jc w:val="left"/>
        <w:tblInd w:w="0" w:type="dxa"/>
        <w:tblLayout w:type="fixed"/>
        <w:tblCellMar>
          <w:top w:w="28" w:type="dxa"/>
          <w:left w:w="28" w:type="dxa"/>
          <w:bottom w:w="28" w:type="dxa"/>
          <w:right w:w="28" w:type="dxa"/>
        </w:tblCellMar>
      </w:tblPr>
      <w:tblGrid>
        <w:gridCol w:w="3002"/>
        <w:gridCol w:w="2642"/>
        <w:gridCol w:w="2650"/>
        <w:gridCol w:w="171"/>
        <w:gridCol w:w="171"/>
        <w:gridCol w:w="244"/>
      </w:tblGrid>
      <w:tr>
        <w:trPr/>
        <w:tc>
          <w:tcPr>
            <w:tcW w:w="300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18"/>
              </w:rPr>
            </w:pPr>
            <w:r>
              <w:rPr>
                <w:rFonts w:ascii="Arial;sans-serif" w:hAnsi="Arial;sans-serif"/>
                <w:b/>
                <w:color w:val="000000"/>
                <w:sz w:val="18"/>
              </w:rPr>
              <w:t>TABLE OF CONTENTS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
              <w:r>
                <w:rPr>
                  <w:rStyle w:val="InternetLink"/>
                  <w:rFonts w:ascii="Arial;sans-serif" w:hAnsi="Arial;sans-serif"/>
                  <w:b/>
                  <w:strike w:val="false"/>
                  <w:dstrike w:val="false"/>
                  <w:color w:val="0E32E1"/>
                  <w:sz w:val="18"/>
                  <w:u w:val="none"/>
                  <w:effect w:val="none"/>
                </w:rPr>
                <w:t>WHERE YOU CAN FIND MORE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
              <w:r>
                <w:rPr>
                  <w:rStyle w:val="InternetLink"/>
                  <w:rFonts w:ascii="Arial;sans-serif" w:hAnsi="Arial;sans-serif"/>
                  <w:b w:val="false"/>
                  <w:strike w:val="false"/>
                  <w:dstrike w:val="false"/>
                  <w:color w:val="0E32E1"/>
                  <w:sz w:val="18"/>
                  <w:u w:val="none"/>
                  <w:effect w:val="none"/>
                </w:rPr>
                <w:t>i</w:t>
              </w:r>
            </w:hyperlink>
            <w:r>
              <w:rPr>
                <w:rFonts w:ascii="Arial;sans-serif" w:hAnsi="Arial;sans-serif"/>
                <w:b w:val="false"/>
                <w:color w:val="0E32E1"/>
                <w:sz w:val="18"/>
              </w:rPr>
              <w:t>i</w:t>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
              <w:r>
                <w:rPr>
                  <w:rStyle w:val="InternetLink"/>
                  <w:rFonts w:ascii="Arial;sans-serif" w:hAnsi="Arial;sans-serif"/>
                  <w:b/>
                  <w:strike w:val="false"/>
                  <w:dstrike w:val="false"/>
                  <w:color w:val="0E32E1"/>
                  <w:sz w:val="18"/>
                  <w:u w:val="none"/>
                  <w:effect w:val="none"/>
                </w:rPr>
                <w:t>SPECIAL NOTE REGARDING FORWARD-LOOKING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
              <w:r>
                <w:rPr>
                  <w:rStyle w:val="InternetLink"/>
                  <w:rFonts w:ascii="Arial;sans-serif" w:hAnsi="Arial;sans-serif"/>
                  <w:b w:val="false"/>
                  <w:strike w:val="false"/>
                  <w:dstrike w:val="false"/>
                  <w:color w:val="0E32E1"/>
                  <w:sz w:val="18"/>
                  <w:u w:val="none"/>
                  <w:effect w:val="none"/>
                </w:rPr>
                <w:t>i</w:t>
              </w:r>
            </w:hyperlink>
            <w:r>
              <w:rPr>
                <w:rFonts w:ascii="Arial;sans-serif" w:hAnsi="Arial;sans-serif"/>
                <w:b w:val="false"/>
                <w:color w:val="0E32E1"/>
                <w:sz w:val="18"/>
              </w:rPr>
              <w:t>i</w:t>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3">
              <w:r>
                <w:rPr>
                  <w:rStyle w:val="InternetLink"/>
                  <w:rFonts w:ascii="Arial;sans-serif" w:hAnsi="Arial;sans-serif"/>
                  <w:b/>
                  <w:strike w:val="false"/>
                  <w:dstrike w:val="false"/>
                  <w:color w:val="0E32E1"/>
                  <w:sz w:val="18"/>
                  <w:u w:val="none"/>
                  <w:effect w:val="none"/>
                </w:rPr>
                <w:t>Glossary of Terms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3">
              <w:r>
                <w:rPr>
                  <w:rStyle w:val="InternetLink"/>
                  <w:rFonts w:ascii="Arial;sans-serif" w:hAnsi="Arial;sans-serif"/>
                  <w:b w:val="false"/>
                  <w:strike w:val="false"/>
                  <w:dstrike w:val="false"/>
                  <w:color w:val="0E32E1"/>
                  <w:sz w:val="18"/>
                  <w:u w:val="none"/>
                  <w:effect w:val="none"/>
                </w:rPr>
                <w:t>iv</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6">
              <w:r>
                <w:rPr>
                  <w:rStyle w:val="InternetLink"/>
                  <w:rFonts w:ascii="Arial;sans-serif" w:hAnsi="Arial;sans-serif"/>
                  <w:b/>
                  <w:strike w:val="false"/>
                  <w:dstrike w:val="false"/>
                  <w:color w:val="0E32E1"/>
                  <w:sz w:val="18"/>
                  <w:u w:val="none"/>
                  <w:effect w:val="none"/>
                </w:rPr>
                <w:t>PART I — FINANCIAL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6">
              <w:r>
                <w:rPr>
                  <w:rStyle w:val="InternetLink"/>
                  <w:rFonts w:ascii="Arial;sans-serif" w:hAnsi="Arial;sans-serif"/>
                  <w:b w:val="false"/>
                  <w:strike w:val="false"/>
                  <w:dstrike w:val="false"/>
                  <w:color w:val="0E32E1"/>
                  <w:sz w:val="18"/>
                  <w:u w:val="none"/>
                  <w:effect w:val="none"/>
                </w:rPr>
                <w:t>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67">
              <w:r>
                <w:rPr>
                  <w:rStyle w:val="InternetLink"/>
                  <w:rFonts w:ascii="Arial;sans-serif" w:hAnsi="Arial;sans-serif"/>
                  <w:b/>
                  <w:strike w:val="false"/>
                  <w:dstrike w:val="false"/>
                  <w:color w:val="0E32E1"/>
                  <w:sz w:val="18"/>
                  <w:u w:val="none"/>
                  <w:effect w:val="none"/>
                </w:rPr>
                <w:t>1. 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67">
              <w:r>
                <w:rPr>
                  <w:rStyle w:val="InternetLink"/>
                  <w:rFonts w:ascii="Arial;sans-serif" w:hAnsi="Arial;sans-serif"/>
                  <w:b w:val="false"/>
                  <w:strike w:val="false"/>
                  <w:dstrike w:val="false"/>
                  <w:color w:val="0E32E1"/>
                  <w:sz w:val="18"/>
                  <w:u w:val="none"/>
                  <w:effect w:val="none"/>
                </w:rPr>
                <w:t>19</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0">
              <w:r>
                <w:rPr>
                  <w:rStyle w:val="InternetLink"/>
                  <w:rFonts w:ascii="Arial;sans-serif" w:hAnsi="Arial;sans-serif"/>
                  <w:b w:val="false"/>
                  <w:strike w:val="false"/>
                  <w:dstrike w:val="false"/>
                  <w:color w:val="0E32E1"/>
                  <w:sz w:val="18"/>
                  <w:u w:val="none"/>
                  <w:effect w:val="none"/>
                </w:rPr>
                <w:t>Condensed Consolidated Statements of Income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70">
              <w:r>
                <w:rPr>
                  <w:rStyle w:val="InternetLink"/>
                  <w:rFonts w:ascii="Arial;sans-serif" w:hAnsi="Arial;sans-serif"/>
                  <w:b w:val="false"/>
                  <w:strike w:val="false"/>
                  <w:dstrike w:val="false"/>
                  <w:color w:val="0E32E1"/>
                  <w:sz w:val="18"/>
                  <w:u w:val="none"/>
                  <w:effect w:val="none"/>
                </w:rPr>
                <w:t>19</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3">
              <w:r>
                <w:rPr>
                  <w:rStyle w:val="InternetLink"/>
                  <w:rFonts w:ascii="Arial;sans-serif" w:hAnsi="Arial;sans-serif"/>
                  <w:b w:val="false"/>
                  <w:strike w:val="false"/>
                  <w:dstrike w:val="false"/>
                  <w:color w:val="0E32E1"/>
                  <w:sz w:val="18"/>
                  <w:u w:val="none"/>
                  <w:effect w:val="none"/>
                </w:rPr>
                <w:t>Condensed Consolidated Statements of Financial Condition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73">
              <w:r>
                <w:rPr>
                  <w:rStyle w:val="InternetLink"/>
                  <w:rFonts w:ascii="Arial;sans-serif" w:hAnsi="Arial;sans-serif"/>
                  <w:b w:val="false"/>
                  <w:strike w:val="false"/>
                  <w:dstrike w:val="false"/>
                  <w:color w:val="0E32E1"/>
                  <w:sz w:val="18"/>
                  <w:u w:val="none"/>
                  <w:effect w:val="none"/>
                </w:rPr>
                <w:t>20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6">
              <w:r>
                <w:rPr>
                  <w:rStyle w:val="InternetLink"/>
                  <w:rFonts w:ascii="Arial;sans-serif" w:hAnsi="Arial;sans-serif"/>
                  <w:b w:val="false"/>
                  <w:strike w:val="false"/>
                  <w:dstrike w:val="false"/>
                  <w:color w:val="0E32E1"/>
                  <w:sz w:val="18"/>
                  <w:u w:val="none"/>
                  <w:effect w:val="none"/>
                </w:rPr>
                <w:t>Condensed Consolidated Statements of Stockholders’ Equity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76">
              <w:r>
                <w:rPr>
                  <w:rStyle w:val="InternetLink"/>
                  <w:rFonts w:ascii="Arial;sans-serif" w:hAnsi="Arial;sans-serif"/>
                  <w:b w:val="false"/>
                  <w:strike w:val="false"/>
                  <w:dstrike w:val="false"/>
                  <w:color w:val="0E32E1"/>
                  <w:sz w:val="18"/>
                  <w:u w:val="none"/>
                  <w:effect w:val="none"/>
                </w:rPr>
                <w:t>21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9">
              <w:r>
                <w:rPr>
                  <w:rStyle w:val="InternetLink"/>
                  <w:rFonts w:ascii="Arial;sans-serif" w:hAnsi="Arial;sans-serif"/>
                  <w:b w:val="false"/>
                  <w:strike w:val="false"/>
                  <w:dstrike w:val="false"/>
                  <w:color w:val="0E32E1"/>
                  <w:sz w:val="18"/>
                  <w:u w:val="none"/>
                  <w:effect w:val="none"/>
                </w:rPr>
                <w:t>Condensed Consolidated Statements of Cash Flows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79">
              <w:r>
                <w:rPr>
                  <w:rStyle w:val="InternetLink"/>
                  <w:rFonts w:ascii="Arial;sans-serif" w:hAnsi="Arial;sans-serif"/>
                  <w:b w:val="false"/>
                  <w:strike w:val="false"/>
                  <w:dstrike w:val="false"/>
                  <w:color w:val="0E32E1"/>
                  <w:sz w:val="18"/>
                  <w:u w:val="none"/>
                  <w:effect w:val="none"/>
                </w:rPr>
                <w:t>22</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82">
              <w:r>
                <w:rPr>
                  <w:rStyle w:val="InternetLink"/>
                  <w:rFonts w:ascii="Arial;sans-serif" w:hAnsi="Arial;sans-serif"/>
                  <w:b w:val="false"/>
                  <w:strike w:val="false"/>
                  <w:dstrike w:val="false"/>
                  <w:color w:val="0E32E1"/>
                  <w:sz w:val="18"/>
                  <w:u w:val="none"/>
                  <w:effect w:val="none"/>
                </w:rPr>
                <w:t>Notes to Condensed Consolidated 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82">
              <w:r>
                <w:rPr>
                  <w:rStyle w:val="InternetLink"/>
                  <w:rFonts w:ascii="Arial;sans-serif" w:hAnsi="Arial;sans-serif"/>
                  <w:b w:val="false"/>
                  <w:strike w:val="false"/>
                  <w:dstrike w:val="false"/>
                  <w:color w:val="0E32E1"/>
                  <w:sz w:val="18"/>
                  <w:u w:val="none"/>
                  <w:effect w:val="none"/>
                </w:rPr>
                <w:t>24</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85">
              <w:r>
                <w:rPr>
                  <w:rStyle w:val="InternetLink"/>
                  <w:rFonts w:ascii="Arial;sans-serif" w:hAnsi="Arial;sans-serif"/>
                  <w:b w:val="false"/>
                  <w:strike w:val="false"/>
                  <w:dstrike w:val="false"/>
                  <w:color w:val="0E32E1"/>
                  <w:sz w:val="18"/>
                  <w:u w:val="none"/>
                  <w:effect w:val="none"/>
                </w:rPr>
                <w:t>1 - Or</w:t>
              </w:r>
            </w:hyperlink>
            <w:r>
              <w:rPr>
                <w:rFonts w:ascii="Arial;sans-serif" w:hAnsi="Arial;sans-serif"/>
                <w:b w:val="false"/>
                <w:color w:val="0E32E1"/>
                <w:sz w:val="18"/>
              </w:rPr>
              <w:t>ganization and Description of the Company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85">
              <w:r>
                <w:rPr>
                  <w:rStyle w:val="InternetLink"/>
                  <w:rFonts w:ascii="Arial;sans-serif" w:hAnsi="Arial;sans-serif"/>
                  <w:b w:val="false"/>
                  <w:strike w:val="false"/>
                  <w:dstrike w:val="false"/>
                  <w:color w:val="0E32E1"/>
                  <w:sz w:val="18"/>
                  <w:u w:val="none"/>
                  <w:effect w:val="none"/>
                </w:rPr>
                <w:t>24</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88">
              <w:r>
                <w:rPr>
                  <w:rStyle w:val="InternetLink"/>
                  <w:rFonts w:ascii="Arial;sans-serif" w:hAnsi="Arial;sans-serif"/>
                  <w:b w:val="false"/>
                  <w:strike w:val="false"/>
                  <w:dstrike w:val="false"/>
                  <w:color w:val="0E32E1"/>
                  <w:sz w:val="18"/>
                  <w:u w:val="none"/>
                  <w:effect w:val="none"/>
                </w:rPr>
                <w:t>2 - S</w:t>
              </w:r>
            </w:hyperlink>
            <w:r>
              <w:rPr>
                <w:rFonts w:ascii="Arial;sans-serif" w:hAnsi="Arial;sans-serif"/>
                <w:b w:val="false"/>
                <w:color w:val="0E32E1"/>
                <w:sz w:val="18"/>
              </w:rPr>
              <w:t>ummary of Significant Accounting Policies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88">
              <w:r>
                <w:rPr>
                  <w:rStyle w:val="InternetLink"/>
                  <w:rFonts w:ascii="Arial;sans-serif" w:hAnsi="Arial;sans-serif"/>
                  <w:b w:val="false"/>
                  <w:strike w:val="false"/>
                  <w:dstrike w:val="false"/>
                  <w:color w:val="0E32E1"/>
                  <w:sz w:val="18"/>
                  <w:u w:val="none"/>
                  <w:effect w:val="none"/>
                </w:rPr>
                <w:t>25</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91">
              <w:r>
                <w:rPr>
                  <w:rStyle w:val="InternetLink"/>
                  <w:rFonts w:ascii="Arial;sans-serif" w:hAnsi="Arial;sans-serif"/>
                  <w:b w:val="false"/>
                  <w:strike w:val="false"/>
                  <w:dstrike w:val="false"/>
                  <w:color w:val="0E32E1"/>
                  <w:sz w:val="18"/>
                  <w:u w:val="none"/>
                  <w:effect w:val="none"/>
                </w:rPr>
                <w:t>Note 3 - R</w:t>
              </w:r>
            </w:hyperlink>
            <w:r>
              <w:rPr>
                <w:rFonts w:ascii="Arial;sans-serif" w:hAnsi="Arial;sans-serif"/>
                <w:b w:val="false"/>
                <w:color w:val="0E32E1"/>
                <w:sz w:val="18"/>
              </w:rPr>
              <w:t>evenue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91">
              <w:r>
                <w:rPr>
                  <w:rStyle w:val="InternetLink"/>
                  <w:rFonts w:ascii="Arial;sans-serif" w:hAnsi="Arial;sans-serif"/>
                  <w:b w:val="false"/>
                  <w:strike w:val="false"/>
                  <w:dstrike w:val="false"/>
                  <w:color w:val="0E32E1"/>
                  <w:sz w:val="18"/>
                  <w:u w:val="none"/>
                  <w:effect w:val="none"/>
                </w:rPr>
                <w:t>26</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94">
              <w:r>
                <w:rPr>
                  <w:rStyle w:val="InternetLink"/>
                  <w:rFonts w:ascii="Arial;sans-serif" w:hAnsi="Arial;sans-serif"/>
                  <w:b w:val="false"/>
                  <w:strike w:val="false"/>
                  <w:dstrike w:val="false"/>
                  <w:color w:val="0E32E1"/>
                  <w:sz w:val="18"/>
                  <w:u w:val="none"/>
                  <w:effect w:val="none"/>
                </w:rPr>
                <w:t xml:space="preserve">Note 4 - </w:t>
              </w:r>
            </w:hyperlink>
            <w:r>
              <w:rPr>
                <w:rFonts w:ascii="Arial;sans-serif" w:hAnsi="Arial;sans-serif"/>
                <w:b w:val="false"/>
                <w:color w:val="0E32E1"/>
                <w:sz w:val="18"/>
              </w:rPr>
              <w:t>Acquisitions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94">
              <w:r>
                <w:rPr>
                  <w:rStyle w:val="InternetLink"/>
                  <w:rFonts w:ascii="Arial;sans-serif" w:hAnsi="Arial;sans-serif"/>
                  <w:b w:val="false"/>
                  <w:strike w:val="false"/>
                  <w:dstrike w:val="false"/>
                  <w:color w:val="0E32E1"/>
                  <w:sz w:val="18"/>
                  <w:u w:val="none"/>
                  <w:effect w:val="none"/>
                </w:rPr>
                <w:t>27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0">
              <w:r>
                <w:rPr>
                  <w:rStyle w:val="InternetLink"/>
                  <w:rFonts w:ascii="Arial;sans-serif" w:hAnsi="Arial;sans-serif"/>
                  <w:b w:val="false"/>
                  <w:strike w:val="false"/>
                  <w:dstrike w:val="false"/>
                  <w:color w:val="0E32E1"/>
                  <w:sz w:val="18"/>
                  <w:u w:val="none"/>
                  <w:effect w:val="none"/>
                </w:rPr>
                <w:t>Note 5 - F</w:t>
              </w:r>
            </w:hyperlink>
            <w:r>
              <w:rPr>
                <w:rFonts w:ascii="Arial;sans-serif" w:hAnsi="Arial;sans-serif"/>
                <w:b w:val="false"/>
                <w:color w:val="0E32E1"/>
                <w:sz w:val="18"/>
              </w:rPr>
              <w:t>air Value Measurements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0">
              <w:r>
                <w:rPr>
                  <w:rStyle w:val="InternetLink"/>
                  <w:rFonts w:ascii="Arial;sans-serif" w:hAnsi="Arial;sans-serif"/>
                  <w:b w:val="false"/>
                  <w:strike w:val="false"/>
                  <w:dstrike w:val="false"/>
                  <w:color w:val="0E32E1"/>
                  <w:sz w:val="18"/>
                  <w:u w:val="none"/>
                  <w:effect w:val="none"/>
                </w:rPr>
                <w:t>31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3">
              <w:r>
                <w:rPr>
                  <w:rStyle w:val="InternetLink"/>
                  <w:rFonts w:ascii="Arial;sans-serif" w:hAnsi="Arial;sans-serif"/>
                  <w:b w:val="false"/>
                  <w:strike w:val="false"/>
                  <w:dstrike w:val="false"/>
                  <w:color w:val="0E32E1"/>
                  <w:sz w:val="18"/>
                  <w:u w:val="none"/>
                  <w:effect w:val="none"/>
                </w:rPr>
                <w:t xml:space="preserve">Note 6 - </w:t>
              </w:r>
            </w:hyperlink>
            <w:r>
              <w:rPr>
                <w:rFonts w:ascii="Arial;sans-serif" w:hAnsi="Arial;sans-serif"/>
                <w:b w:val="false"/>
                <w:color w:val="0E32E1"/>
                <w:sz w:val="18"/>
              </w:rPr>
              <w:t xml:space="preserve">Investment Securities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3">
              <w:r>
                <w:rPr>
                  <w:rStyle w:val="InternetLink"/>
                  <w:rFonts w:ascii="Arial;sans-serif" w:hAnsi="Arial;sans-serif"/>
                  <w:b w:val="false"/>
                  <w:strike w:val="false"/>
                  <w:dstrike w:val="false"/>
                  <w:color w:val="0E32E1"/>
                  <w:sz w:val="18"/>
                  <w:u w:val="none"/>
                  <w:effect w:val="none"/>
                </w:rPr>
                <w:t>37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6">
              <w:r>
                <w:rPr>
                  <w:rStyle w:val="InternetLink"/>
                  <w:rFonts w:ascii="Arial;sans-serif" w:hAnsi="Arial;sans-serif"/>
                  <w:b w:val="false"/>
                  <w:strike w:val="false"/>
                  <w:dstrike w:val="false"/>
                  <w:color w:val="0E32E1"/>
                  <w:sz w:val="18"/>
                  <w:u w:val="none"/>
                  <w:effect w:val="none"/>
                </w:rPr>
                <w:t>Note 7 - G</w:t>
              </w:r>
            </w:hyperlink>
            <w:r>
              <w:rPr>
                <w:rFonts w:ascii="Arial;sans-serif" w:hAnsi="Arial;sans-serif"/>
                <w:b w:val="false"/>
                <w:color w:val="0E32E1"/>
                <w:sz w:val="18"/>
              </w:rPr>
              <w:t>oodwill and Other Intangibles, Net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6">
              <w:r>
                <w:rPr>
                  <w:rStyle w:val="InternetLink"/>
                  <w:rFonts w:ascii="Arial;sans-serif" w:hAnsi="Arial;sans-serif"/>
                  <w:b w:val="false"/>
                  <w:strike w:val="false"/>
                  <w:dstrike w:val="false"/>
                  <w:color w:val="0E32E1"/>
                  <w:sz w:val="18"/>
                  <w:u w:val="none"/>
                  <w:effect w:val="none"/>
                </w:rPr>
                <w:t>37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09">
              <w:r>
                <w:rPr>
                  <w:rStyle w:val="InternetLink"/>
                  <w:rFonts w:ascii="Arial;sans-serif" w:hAnsi="Arial;sans-serif"/>
                  <w:b w:val="false"/>
                  <w:strike w:val="false"/>
                  <w:dstrike w:val="false"/>
                  <w:color w:val="0E32E1"/>
                  <w:sz w:val="18"/>
                  <w:u w:val="none"/>
                  <w:effect w:val="none"/>
                </w:rPr>
                <w:t>Note 8 - Other Assets and Other Liabilities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09">
              <w:r>
                <w:rPr>
                  <w:rStyle w:val="InternetLink"/>
                  <w:rFonts w:ascii="Arial;sans-serif" w:hAnsi="Arial;sans-serif"/>
                  <w:b w:val="false"/>
                  <w:strike w:val="false"/>
                  <w:dstrike w:val="false"/>
                  <w:color w:val="0E32E1"/>
                  <w:sz w:val="18"/>
                  <w:u w:val="none"/>
                  <w:effect w:val="none"/>
                </w:rPr>
                <w:t>39</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E32E1"/>
                <w:sz w:val="18"/>
              </w:rPr>
            </w:pPr>
            <w:r>
              <w:rPr>
                <w:rFonts w:ascii="Arial;sans-serif" w:hAnsi="Arial;sans-serif"/>
                <w:b w:val="false"/>
                <w:color w:val="0E32E1"/>
                <w:sz w:val="18"/>
              </w:rPr>
              <w:t>Note 9 - Corporate Debt and Other Borrowings, Net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12">
              <w:r>
                <w:rPr>
                  <w:rStyle w:val="InternetLink"/>
                  <w:rFonts w:ascii="Arial;sans-serif" w:hAnsi="Arial;sans-serif"/>
                  <w:b w:val="false"/>
                  <w:strike w:val="false"/>
                  <w:dstrike w:val="false"/>
                  <w:color w:val="0E32E1"/>
                  <w:sz w:val="18"/>
                  <w:u w:val="none"/>
                  <w:effect w:val="none"/>
                </w:rPr>
                <w:t>40</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Note 10</w:t>
            </w:r>
            <w:hyperlink w:anchor="iae8f48717fd04492ad8096c1671c1583_115">
              <w:r>
                <w:rPr>
                  <w:rStyle w:val="InternetLink"/>
                  <w:rFonts w:ascii="Arial;sans-serif" w:hAnsi="Arial;sans-serif"/>
                  <w:b w:val="false"/>
                  <w:strike w:val="false"/>
                  <w:dstrike w:val="false"/>
                  <w:color w:val="0E32E1"/>
                  <w:sz w:val="18"/>
                  <w:u w:val="none"/>
                  <w:effect w:val="none"/>
                </w:rPr>
                <w:t xml:space="preserve"> - </w:t>
              </w:r>
            </w:hyperlink>
            <w:r>
              <w:rPr>
                <w:rFonts w:ascii="Arial;sans-serif" w:hAnsi="Arial;sans-serif"/>
                <w:b w:val="false"/>
                <w:color w:val="0E32E1"/>
                <w:sz w:val="18"/>
              </w:rPr>
              <w:t>Commitments and Contingencies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15">
              <w:r>
                <w:rPr>
                  <w:rStyle w:val="InternetLink"/>
                  <w:rFonts w:ascii="Arial;sans-serif" w:hAnsi="Arial;sans-serif"/>
                  <w:b w:val="false"/>
                  <w:strike w:val="false"/>
                  <w:dstrike w:val="false"/>
                  <w:color w:val="0E32E1"/>
                  <w:sz w:val="18"/>
                  <w:u w:val="none"/>
                  <w:effect w:val="none"/>
                </w:rPr>
                <w:t>42</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118">
              <w:r>
                <w:rPr>
                  <w:rStyle w:val="InternetLink"/>
                  <w:rFonts w:ascii="Arial;sans-serif" w:hAnsi="Arial;sans-serif"/>
                  <w:b w:val="false"/>
                  <w:strike w:val="false"/>
                  <w:dstrike w:val="false"/>
                  <w:color w:val="0E32E1"/>
                  <w:sz w:val="18"/>
                  <w:u w:val="none"/>
                  <w:effect w:val="none"/>
                </w:rPr>
                <w:t>11 - S</w:t>
              </w:r>
            </w:hyperlink>
            <w:r>
              <w:rPr>
                <w:rFonts w:ascii="Arial;sans-serif" w:hAnsi="Arial;sans-serif"/>
                <w:b w:val="false"/>
                <w:color w:val="0E32E1"/>
                <w:sz w:val="18"/>
              </w:rPr>
              <w:t>tockholders’ Equity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18">
              <w:r>
                <w:rPr>
                  <w:rStyle w:val="InternetLink"/>
                  <w:rFonts w:ascii="Arial;sans-serif" w:hAnsi="Arial;sans-serif"/>
                  <w:b w:val="false"/>
                  <w:strike w:val="false"/>
                  <w:dstrike w:val="false"/>
                  <w:color w:val="0E32E1"/>
                  <w:sz w:val="18"/>
                  <w:u w:val="none"/>
                  <w:effect w:val="none"/>
                </w:rPr>
                <w:t>44</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121">
              <w:r>
                <w:rPr>
                  <w:rStyle w:val="InternetLink"/>
                  <w:rFonts w:ascii="Arial;sans-serif" w:hAnsi="Arial;sans-serif"/>
                  <w:b w:val="false"/>
                  <w:strike w:val="false"/>
                  <w:dstrike w:val="false"/>
                  <w:color w:val="0E32E1"/>
                  <w:sz w:val="18"/>
                  <w:u w:val="none"/>
                  <w:effect w:val="none"/>
                </w:rPr>
                <w:t>12 - S</w:t>
              </w:r>
            </w:hyperlink>
            <w:r>
              <w:rPr>
                <w:rFonts w:ascii="Arial;sans-serif" w:hAnsi="Arial;sans-serif"/>
                <w:b w:val="false"/>
                <w:color w:val="0E32E1"/>
                <w:sz w:val="18"/>
              </w:rPr>
              <w:t>hare-based Compensation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21">
              <w:r>
                <w:rPr>
                  <w:rStyle w:val="InternetLink"/>
                  <w:rFonts w:ascii="Arial;sans-serif" w:hAnsi="Arial;sans-serif"/>
                  <w:b w:val="false"/>
                  <w:strike w:val="false"/>
                  <w:dstrike w:val="false"/>
                  <w:color w:val="0E32E1"/>
                  <w:sz w:val="18"/>
                  <w:u w:val="none"/>
                  <w:effect w:val="none"/>
                </w:rPr>
                <w:t>44</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124">
              <w:r>
                <w:rPr>
                  <w:rStyle w:val="InternetLink"/>
                  <w:rFonts w:ascii="Arial;sans-serif" w:hAnsi="Arial;sans-serif"/>
                  <w:b w:val="false"/>
                  <w:strike w:val="false"/>
                  <w:dstrike w:val="false"/>
                  <w:color w:val="0E32E1"/>
                  <w:sz w:val="18"/>
                  <w:u w:val="none"/>
                  <w:effect w:val="none"/>
                </w:rPr>
                <w:t>13 - E</w:t>
              </w:r>
            </w:hyperlink>
            <w:r>
              <w:rPr>
                <w:rFonts w:ascii="Arial;sans-serif" w:hAnsi="Arial;sans-serif"/>
                <w:b w:val="false"/>
                <w:color w:val="0E32E1"/>
                <w:sz w:val="18"/>
              </w:rPr>
              <w:t>arnings per Share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24">
              <w:r>
                <w:rPr>
                  <w:rStyle w:val="InternetLink"/>
                  <w:rFonts w:ascii="Arial;sans-serif" w:hAnsi="Arial;sans-serif"/>
                  <w:b w:val="false"/>
                  <w:strike w:val="false"/>
                  <w:dstrike w:val="false"/>
                  <w:color w:val="0E32E1"/>
                  <w:sz w:val="18"/>
                  <w:u w:val="none"/>
                  <w:effect w:val="none"/>
                </w:rPr>
                <w:t>46</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127">
              <w:r>
                <w:rPr>
                  <w:rStyle w:val="InternetLink"/>
                  <w:rFonts w:ascii="Arial;sans-serif" w:hAnsi="Arial;sans-serif"/>
                  <w:b w:val="false"/>
                  <w:strike w:val="false"/>
                  <w:dstrike w:val="false"/>
                  <w:color w:val="0E32E1"/>
                  <w:sz w:val="18"/>
                  <w:u w:val="none"/>
                  <w:effect w:val="none"/>
                </w:rPr>
                <w:t>14 - N</w:t>
              </w:r>
            </w:hyperlink>
            <w:r>
              <w:rPr>
                <w:rFonts w:ascii="Arial;sans-serif" w:hAnsi="Arial;sans-serif"/>
                <w:b w:val="false"/>
                <w:color w:val="0E32E1"/>
                <w:sz w:val="18"/>
              </w:rPr>
              <w:t>et Capital and Regulatory Requirements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27">
              <w:r>
                <w:rPr>
                  <w:rStyle w:val="InternetLink"/>
                  <w:rFonts w:ascii="Arial;sans-serif" w:hAnsi="Arial;sans-serif"/>
                  <w:b w:val="false"/>
                  <w:strike w:val="false"/>
                  <w:dstrike w:val="false"/>
                  <w:color w:val="0E32E1"/>
                  <w:sz w:val="18"/>
                  <w:u w:val="none"/>
                  <w:effect w:val="none"/>
                </w:rPr>
                <w:t>46</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E32E1"/>
                <w:sz w:val="18"/>
              </w:rPr>
              <w:t xml:space="preserve">Note </w:t>
            </w:r>
            <w:hyperlink w:anchor="iae8f48717fd04492ad8096c1671c1583_130">
              <w:r>
                <w:rPr>
                  <w:rStyle w:val="InternetLink"/>
                  <w:rFonts w:ascii="Arial;sans-serif" w:hAnsi="Arial;sans-serif"/>
                  <w:b w:val="false"/>
                  <w:strike w:val="false"/>
                  <w:dstrike w:val="false"/>
                  <w:color w:val="0E32E1"/>
                  <w:sz w:val="18"/>
                  <w:u w:val="none"/>
                  <w:effect w:val="none"/>
                </w:rPr>
                <w:t>15 - Fi</w:t>
              </w:r>
            </w:hyperlink>
            <w:r>
              <w:rPr>
                <w:rFonts w:ascii="Arial;sans-serif" w:hAnsi="Arial;sans-serif"/>
                <w:b w:val="false"/>
                <w:color w:val="0E32E1"/>
                <w:sz w:val="18"/>
              </w:rPr>
              <w:t>nancial Instruments with Off-Balance Sheet Credit Risk and Concentrations of Credit Risk</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30">
              <w:r>
                <w:rPr>
                  <w:rStyle w:val="InternetLink"/>
                  <w:rFonts w:ascii="Arial;sans-serif" w:hAnsi="Arial;sans-serif"/>
                  <w:b w:val="false"/>
                  <w:strike w:val="false"/>
                  <w:dstrike w:val="false"/>
                  <w:color w:val="0E32E1"/>
                  <w:sz w:val="18"/>
                  <w:u w:val="none"/>
                  <w:effect w:val="none"/>
                </w:rPr>
                <w:t>47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33">
              <w:r>
                <w:rPr>
                  <w:rStyle w:val="InternetLink"/>
                  <w:rFonts w:ascii="Arial;sans-serif" w:hAnsi="Arial;sans-serif"/>
                  <w:b w:val="false"/>
                  <w:strike w:val="false"/>
                  <w:dstrike w:val="false"/>
                  <w:color w:val="0E32E1"/>
                  <w:sz w:val="18"/>
                  <w:u w:val="none"/>
                  <w:effect w:val="none"/>
                </w:rPr>
                <w:t>Note 16 - Segment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33">
              <w:r>
                <w:rPr>
                  <w:rStyle w:val="InternetLink"/>
                  <w:rFonts w:ascii="Arial;sans-serif" w:hAnsi="Arial;sans-serif"/>
                  <w:b w:val="false"/>
                  <w:strike w:val="false"/>
                  <w:dstrike w:val="false"/>
                  <w:color w:val="0E32E1"/>
                  <w:sz w:val="18"/>
                  <w:u w:val="none"/>
                  <w:effect w:val="none"/>
                </w:rPr>
                <w:t>47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36">
              <w:r>
                <w:rPr>
                  <w:rStyle w:val="InternetLink"/>
                  <w:rFonts w:ascii="Arial;sans-serif" w:hAnsi="Arial;sans-serif"/>
                  <w:b w:val="false"/>
                  <w:strike w:val="false"/>
                  <w:dstrike w:val="false"/>
                  <w:color w:val="0E32E1"/>
                  <w:sz w:val="18"/>
                  <w:u w:val="none"/>
                  <w:effect w:val="none"/>
                </w:rPr>
                <w:t>Note 17 - Subsequent Events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36">
              <w:r>
                <w:rPr>
                  <w:rStyle w:val="InternetLink"/>
                  <w:rFonts w:ascii="Arial;sans-serif" w:hAnsi="Arial;sans-serif"/>
                  <w:b w:val="false"/>
                  <w:strike w:val="false"/>
                  <w:dstrike w:val="false"/>
                  <w:color w:val="0E32E1"/>
                  <w:sz w:val="18"/>
                  <w:u w:val="none"/>
                  <w:effect w:val="none"/>
                </w:rPr>
                <w:t>47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9">
              <w:r>
                <w:rPr>
                  <w:rStyle w:val="InternetLink"/>
                  <w:rFonts w:ascii="Arial;sans-serif" w:hAnsi="Arial;sans-serif"/>
                  <w:b/>
                  <w:strike w:val="false"/>
                  <w:dstrike w:val="false"/>
                  <w:color w:val="0E32E1"/>
                  <w:sz w:val="18"/>
                  <w:u w:val="none"/>
                  <w:effect w:val="none"/>
                </w:rPr>
                <w:t>2. 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9">
              <w:r>
                <w:rPr>
                  <w:rStyle w:val="InternetLink"/>
                  <w:rFonts w:ascii="Arial;sans-serif" w:hAnsi="Arial;sans-serif"/>
                  <w:b w:val="false"/>
                  <w:strike w:val="false"/>
                  <w:dstrike w:val="false"/>
                  <w:color w:val="0E32E1"/>
                  <w:sz w:val="18"/>
                  <w:u w:val="none"/>
                  <w:effect w:val="none"/>
                </w:rPr>
                <w:t>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22">
              <w:r>
                <w:rPr>
                  <w:rStyle w:val="InternetLink"/>
                  <w:rFonts w:ascii="Arial;sans-serif" w:hAnsi="Arial;sans-serif"/>
                  <w:b w:val="false"/>
                  <w:strike w:val="false"/>
                  <w:dstrike w:val="false"/>
                  <w:color w:val="0E32E1"/>
                  <w:sz w:val="18"/>
                  <w:u w:val="none"/>
                  <w:effect w:val="none"/>
                </w:rPr>
                <w:t>Business Overview</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22">
              <w:r>
                <w:rPr>
                  <w:rStyle w:val="InternetLink"/>
                  <w:rFonts w:ascii="Arial;sans-serif" w:hAnsi="Arial;sans-serif"/>
                  <w:b w:val="false"/>
                  <w:strike w:val="false"/>
                  <w:dstrike w:val="false"/>
                  <w:color w:val="0E32E1"/>
                  <w:sz w:val="18"/>
                  <w:u w:val="none"/>
                  <w:effect w:val="none"/>
                </w:rPr>
                <w:t>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25">
              <w:r>
                <w:rPr>
                  <w:rStyle w:val="InternetLink"/>
                  <w:rFonts w:ascii="Arial;sans-serif" w:hAnsi="Arial;sans-serif"/>
                  <w:b w:val="false"/>
                  <w:strike w:val="false"/>
                  <w:dstrike w:val="false"/>
                  <w:color w:val="0E32E1"/>
                  <w:sz w:val="18"/>
                  <w:u w:val="none"/>
                  <w:effect w:val="none"/>
                </w:rPr>
                <w:t>Our Sources of Revenue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25">
              <w:r>
                <w:rPr>
                  <w:rStyle w:val="InternetLink"/>
                  <w:rFonts w:ascii="Arial;sans-serif" w:hAnsi="Arial;sans-serif"/>
                  <w:b w:val="false"/>
                  <w:strike w:val="false"/>
                  <w:dstrike w:val="false"/>
                  <w:color w:val="0E32E1"/>
                  <w:sz w:val="18"/>
                  <w:u w:val="none"/>
                  <w:effect w:val="none"/>
                </w:rPr>
                <w:t>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28">
              <w:r>
                <w:rPr>
                  <w:rStyle w:val="InternetLink"/>
                  <w:rFonts w:ascii="Arial;sans-serif" w:hAnsi="Arial;sans-serif"/>
                  <w:b w:val="false"/>
                  <w:strike w:val="false"/>
                  <w:dstrike w:val="false"/>
                  <w:color w:val="0E32E1"/>
                  <w:sz w:val="18"/>
                  <w:u w:val="none"/>
                  <w:effect w:val="none"/>
                </w:rPr>
                <w:t>Significant Events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28">
              <w:r>
                <w:rPr>
                  <w:rStyle w:val="InternetLink"/>
                  <w:rFonts w:ascii="Arial;sans-serif" w:hAnsi="Arial;sans-serif"/>
                  <w:b w:val="false"/>
                  <w:strike w:val="false"/>
                  <w:dstrike w:val="false"/>
                  <w:color w:val="0E32E1"/>
                  <w:sz w:val="18"/>
                  <w:u w:val="none"/>
                  <w:effect w:val="none"/>
                </w:rPr>
                <w:t>2</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31">
              <w:r>
                <w:rPr>
                  <w:rStyle w:val="InternetLink"/>
                  <w:rFonts w:ascii="Arial;sans-serif" w:hAnsi="Arial;sans-serif"/>
                  <w:b w:val="false"/>
                  <w:strike w:val="false"/>
                  <w:dstrike w:val="false"/>
                  <w:color w:val="0E32E1"/>
                  <w:sz w:val="18"/>
                  <w:u w:val="none"/>
                  <w:effect w:val="none"/>
                </w:rPr>
                <w:t>Executive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31">
              <w:r>
                <w:rPr>
                  <w:rStyle w:val="InternetLink"/>
                  <w:rFonts w:ascii="Arial;sans-serif" w:hAnsi="Arial;sans-serif"/>
                  <w:b w:val="false"/>
                  <w:strike w:val="false"/>
                  <w:dstrike w:val="false"/>
                  <w:color w:val="0E32E1"/>
                  <w:sz w:val="18"/>
                  <w:u w:val="none"/>
                  <w:effect w:val="none"/>
                </w:rPr>
                <w:t>2</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34">
              <w:r>
                <w:rPr>
                  <w:rStyle w:val="InternetLink"/>
                  <w:rFonts w:ascii="Arial;sans-serif" w:hAnsi="Arial;sans-serif"/>
                  <w:b w:val="false"/>
                  <w:strike w:val="false"/>
                  <w:dstrike w:val="false"/>
                  <w:color w:val="0E32E1"/>
                  <w:sz w:val="18"/>
                  <w:u w:val="none"/>
                  <w:effect w:val="none"/>
                </w:rPr>
                <w:t>Key Performance Metrics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34">
              <w:r>
                <w:rPr>
                  <w:rStyle w:val="InternetLink"/>
                  <w:rFonts w:ascii="Arial;sans-serif" w:hAnsi="Arial;sans-serif"/>
                  <w:b w:val="false"/>
                  <w:strike w:val="false"/>
                  <w:dstrike w:val="false"/>
                  <w:color w:val="0E32E1"/>
                  <w:sz w:val="18"/>
                  <w:u w:val="none"/>
                  <w:effect w:val="none"/>
                </w:rPr>
                <w:t>3</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37">
              <w:r>
                <w:rPr>
                  <w:rStyle w:val="InternetLink"/>
                  <w:rFonts w:ascii="Arial;sans-serif" w:hAnsi="Arial;sans-serif"/>
                  <w:b w:val="false"/>
                  <w:strike w:val="false"/>
                  <w:dstrike w:val="false"/>
                  <w:color w:val="0E32E1"/>
                  <w:sz w:val="18"/>
                  <w:u w:val="none"/>
                  <w:effect w:val="none"/>
                </w:rPr>
                <w:t>Legal and Regulatory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37">
              <w:r>
                <w:rPr>
                  <w:rStyle w:val="InternetLink"/>
                  <w:rFonts w:ascii="Arial;sans-serif" w:hAnsi="Arial;sans-serif"/>
                  <w:b w:val="false"/>
                  <w:strike w:val="false"/>
                  <w:dstrike w:val="false"/>
                  <w:color w:val="0E32E1"/>
                  <w:sz w:val="18"/>
                  <w:u w:val="none"/>
                  <w:effect w:val="none"/>
                </w:rPr>
                <w:t>7</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40">
              <w:r>
                <w:rPr>
                  <w:rStyle w:val="InternetLink"/>
                  <w:rFonts w:ascii="Arial;sans-serif" w:hAnsi="Arial;sans-serif"/>
                  <w:b w:val="false"/>
                  <w:strike w:val="false"/>
                  <w:dstrike w:val="false"/>
                  <w:color w:val="000080"/>
                  <w:sz w:val="18"/>
                  <w:u w:val="single"/>
                  <w:effect w:val="none"/>
                </w:rPr>
                <w:t>Economic Overview</w:t>
              </w:r>
            </w:hyperlink>
            <w:hyperlink w:anchor="iae8f48717fd04492ad8096c1671c1583_40">
              <w:r>
                <w:rPr>
                  <w:rStyle w:val="InternetLink"/>
                  <w:rFonts w:ascii="Arial;sans-serif" w:hAnsi="Arial;sans-serif"/>
                  <w:b w:val="false"/>
                  <w:strike w:val="false"/>
                  <w:dstrike w:val="false"/>
                  <w:color w:val="000080"/>
                  <w:sz w:val="18"/>
                  <w:u w:val="single"/>
                  <w:effect w:val="none"/>
                </w:rPr>
                <w:t xml:space="preserve"> and Impact of Financial Market Events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40">
              <w:r>
                <w:rPr>
                  <w:rStyle w:val="InternetLink"/>
                  <w:rFonts w:ascii="Arial;sans-serif" w:hAnsi="Arial;sans-serif"/>
                  <w:b w:val="false"/>
                  <w:strike w:val="false"/>
                  <w:dstrike w:val="false"/>
                  <w:color w:val="0E32E1"/>
                  <w:sz w:val="18"/>
                  <w:u w:val="none"/>
                  <w:effect w:val="none"/>
                </w:rPr>
                <w:t>7</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43">
              <w:r>
                <w:rPr>
                  <w:rStyle w:val="InternetLink"/>
                  <w:rFonts w:ascii="Arial;sans-serif" w:hAnsi="Arial;sans-serif"/>
                  <w:b w:val="false"/>
                  <w:strike w:val="false"/>
                  <w:dstrike w:val="false"/>
                  <w:color w:val="0E32E1"/>
                  <w:sz w:val="18"/>
                  <w:u w:val="none"/>
                  <w:effect w:val="none"/>
                </w:rPr>
                <w:t>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43">
              <w:r>
                <w:rPr>
                  <w:rStyle w:val="InternetLink"/>
                  <w:rFonts w:ascii="Arial;sans-serif" w:hAnsi="Arial;sans-serif"/>
                  <w:b w:val="false"/>
                  <w:strike w:val="false"/>
                  <w:dstrike w:val="false"/>
                  <w:color w:val="0E32E1"/>
                  <w:sz w:val="18"/>
                  <w:u w:val="none"/>
                  <w:effect w:val="none"/>
                </w:rPr>
                <w:t>8</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52">
              <w:r>
                <w:rPr>
                  <w:rStyle w:val="InternetLink"/>
                  <w:rFonts w:ascii="Arial;sans-serif" w:hAnsi="Arial;sans-serif"/>
                  <w:b w:val="false"/>
                  <w:strike w:val="false"/>
                  <w:dstrike w:val="false"/>
                  <w:color w:val="0E32E1"/>
                  <w:sz w:val="18"/>
                  <w:u w:val="none"/>
                  <w:effect w:val="none"/>
                </w:rPr>
                <w:t>Liquidity and Capital Resources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52">
              <w:r>
                <w:rPr>
                  <w:rStyle w:val="InternetLink"/>
                  <w:rFonts w:ascii="Arial;sans-serif" w:hAnsi="Arial;sans-serif"/>
                  <w:b w:val="false"/>
                  <w:strike w:val="false"/>
                  <w:dstrike w:val="false"/>
                  <w:color w:val="0E32E1"/>
                  <w:sz w:val="18"/>
                  <w:u w:val="none"/>
                  <w:effect w:val="none"/>
                </w:rPr>
                <w:t>13</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55">
              <w:r>
                <w:rPr>
                  <w:rStyle w:val="InternetLink"/>
                  <w:rFonts w:ascii="Arial;sans-serif" w:hAnsi="Arial;sans-serif"/>
                  <w:b w:val="false"/>
                  <w:strike w:val="false"/>
                  <w:dstrike w:val="false"/>
                  <w:color w:val="0E32E1"/>
                  <w:sz w:val="18"/>
                  <w:u w:val="none"/>
                  <w:effect w:val="none"/>
                </w:rPr>
                <w:t>Debt and Related Covenants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55">
              <w:r>
                <w:rPr>
                  <w:rStyle w:val="InternetLink"/>
                  <w:rFonts w:ascii="Arial;sans-serif" w:hAnsi="Arial;sans-serif"/>
                  <w:b w:val="false"/>
                  <w:strike w:val="false"/>
                  <w:dstrike w:val="false"/>
                  <w:color w:val="0E32E1"/>
                  <w:sz w:val="18"/>
                  <w:u w:val="none"/>
                  <w:effect w:val="none"/>
                </w:rPr>
                <w:t>17</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58">
              <w:r>
                <w:rPr>
                  <w:rStyle w:val="InternetLink"/>
                  <w:rFonts w:ascii="Arial;sans-serif" w:hAnsi="Arial;sans-serif"/>
                  <w:b w:val="false"/>
                  <w:strike w:val="false"/>
                  <w:dstrike w:val="false"/>
                  <w:color w:val="0E32E1"/>
                  <w:sz w:val="18"/>
                  <w:u w:val="none"/>
                  <w:effect w:val="none"/>
                </w:rPr>
                <w:t>Contractual Obligations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58">
              <w:r>
                <w:rPr>
                  <w:rStyle w:val="InternetLink"/>
                  <w:rFonts w:ascii="Arial;sans-serif" w:hAnsi="Arial;sans-serif"/>
                  <w:b w:val="false"/>
                  <w:strike w:val="false"/>
                  <w:dstrike w:val="false"/>
                  <w:color w:val="0E32E1"/>
                  <w:sz w:val="18"/>
                  <w:u w:val="none"/>
                  <w:effect w:val="none"/>
                </w:rPr>
                <w:t>17</w:t>
              </w:r>
            </w:hyperlink>
          </w:p>
        </w:tc>
      </w:tr>
      <w:tr>
        <w:trPr/>
        <w:tc>
          <w:tcPr>
            <w:tcW w:w="829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61">
              <w:r>
                <w:rPr>
                  <w:rStyle w:val="InternetLink"/>
                  <w:rFonts w:ascii="Arial;sans-serif" w:hAnsi="Arial;sans-serif"/>
                  <w:b w:val="false"/>
                  <w:strike w:val="false"/>
                  <w:dstrike w:val="false"/>
                  <w:color w:val="0E32E1"/>
                  <w:sz w:val="18"/>
                  <w:u w:val="none"/>
                  <w:effect w:val="none"/>
                </w:rPr>
                <w:t>Risk Management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61">
              <w:r>
                <w:rPr>
                  <w:rStyle w:val="InternetLink"/>
                  <w:rFonts w:ascii="Arial;sans-serif" w:hAnsi="Arial;sans-serif"/>
                  <w:b w:val="false"/>
                  <w:strike w:val="false"/>
                  <w:dstrike w:val="false"/>
                  <w:color w:val="0E32E1"/>
                  <w:sz w:val="18"/>
                  <w:u w:val="none"/>
                  <w:effect w:val="none"/>
                </w:rPr>
                <w:t>18</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64">
              <w:r>
                <w:rPr>
                  <w:rStyle w:val="InternetLink"/>
                  <w:rFonts w:ascii="Arial;sans-serif" w:hAnsi="Arial;sans-serif"/>
                  <w:b w:val="false"/>
                  <w:strike w:val="false"/>
                  <w:dstrike w:val="false"/>
                  <w:color w:val="0E32E1"/>
                  <w:sz w:val="18"/>
                  <w:u w:val="none"/>
                  <w:effect w:val="none"/>
                </w:rPr>
                <w:t>Critical Accounting Policies and Estimates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64">
              <w:r>
                <w:rPr>
                  <w:rStyle w:val="InternetLink"/>
                  <w:rFonts w:ascii="Arial;sans-serif" w:hAnsi="Arial;sans-serif"/>
                  <w:b w:val="false"/>
                  <w:strike w:val="false"/>
                  <w:dstrike w:val="false"/>
                  <w:color w:val="0E32E1"/>
                  <w:sz w:val="18"/>
                  <w:u w:val="none"/>
                  <w:effect w:val="none"/>
                </w:rPr>
                <w:t>18</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39">
              <w:r>
                <w:rPr>
                  <w:rStyle w:val="InternetLink"/>
                  <w:rFonts w:ascii="Arial;sans-serif" w:hAnsi="Arial;sans-serif"/>
                  <w:b/>
                  <w:strike w:val="false"/>
                  <w:dstrike w:val="false"/>
                  <w:color w:val="0E32E1"/>
                  <w:sz w:val="18"/>
                  <w:u w:val="none"/>
                  <w:effect w:val="none"/>
                </w:rPr>
                <w:t>3. 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39">
              <w:r>
                <w:rPr>
                  <w:rStyle w:val="InternetLink"/>
                  <w:rFonts w:ascii="Arial;sans-serif" w:hAnsi="Arial;sans-serif"/>
                  <w:b w:val="false"/>
                  <w:strike w:val="false"/>
                  <w:dstrike w:val="false"/>
                  <w:color w:val="0E32E1"/>
                  <w:sz w:val="18"/>
                  <w:u w:val="none"/>
                  <w:effect w:val="none"/>
                </w:rPr>
                <w:t>48</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42">
              <w:r>
                <w:rPr>
                  <w:rStyle w:val="InternetLink"/>
                  <w:rFonts w:ascii="Arial;sans-serif" w:hAnsi="Arial;sans-serif"/>
                  <w:b/>
                  <w:strike w:val="false"/>
                  <w:dstrike w:val="false"/>
                  <w:color w:val="0E32E1"/>
                  <w:sz w:val="18"/>
                  <w:u w:val="none"/>
                  <w:effect w:val="none"/>
                </w:rPr>
                <w:t>4.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42">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45">
              <w:r>
                <w:rPr>
                  <w:rStyle w:val="InternetLink"/>
                  <w:rFonts w:ascii="Arial;sans-serif" w:hAnsi="Arial;sans-serif"/>
                  <w:b/>
                  <w:strike w:val="false"/>
                  <w:dstrike w:val="false"/>
                  <w:color w:val="0E32E1"/>
                  <w:sz w:val="18"/>
                  <w:u w:val="none"/>
                  <w:effect w:val="none"/>
                </w:rPr>
                <w:t>PART II —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45">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48">
              <w:r>
                <w:rPr>
                  <w:rStyle w:val="InternetLink"/>
                  <w:rFonts w:ascii="Arial;sans-serif" w:hAnsi="Arial;sans-serif"/>
                  <w:b/>
                  <w:strike w:val="false"/>
                  <w:dstrike w:val="false"/>
                  <w:color w:val="0E32E1"/>
                  <w:sz w:val="18"/>
                  <w:u w:val="none"/>
                  <w:effect w:val="none"/>
                </w:rPr>
                <w:t>1. 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48">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51">
              <w:r>
                <w:rPr>
                  <w:rStyle w:val="InternetLink"/>
                  <w:rFonts w:ascii="Arial;sans-serif" w:hAnsi="Arial;sans-serif"/>
                  <w:b/>
                  <w:strike w:val="false"/>
                  <w:dstrike w:val="false"/>
                  <w:color w:val="0E32E1"/>
                  <w:sz w:val="18"/>
                  <w:u w:val="none"/>
                  <w:effect w:val="none"/>
                </w:rPr>
                <w:t>1A. 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51">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54">
              <w:r>
                <w:rPr>
                  <w:rStyle w:val="InternetLink"/>
                  <w:rFonts w:ascii="Arial;sans-serif" w:hAnsi="Arial;sans-serif"/>
                  <w:b/>
                  <w:strike w:val="false"/>
                  <w:dstrike w:val="false"/>
                  <w:color w:val="0E32E1"/>
                  <w:sz w:val="18"/>
                  <w:u w:val="none"/>
                  <w:effect w:val="none"/>
                </w:rPr>
                <w:t>2. 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54">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57">
              <w:r>
                <w:rPr>
                  <w:rStyle w:val="InternetLink"/>
                  <w:rFonts w:ascii="Arial;sans-serif" w:hAnsi="Arial;sans-serif"/>
                  <w:b/>
                  <w:strike w:val="false"/>
                  <w:dstrike w:val="false"/>
                  <w:color w:val="0E32E1"/>
                  <w:sz w:val="18"/>
                  <w:u w:val="none"/>
                  <w:effect w:val="none"/>
                </w:rPr>
                <w:t>3. 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57">
              <w:r>
                <w:rPr>
                  <w:rStyle w:val="InternetLink"/>
                  <w:rFonts w:ascii="Arial;sans-serif" w:hAnsi="Arial;sans-serif"/>
                  <w:b w:val="false"/>
                  <w:strike w:val="false"/>
                  <w:dstrike w:val="false"/>
                  <w:color w:val="0E32E1"/>
                  <w:sz w:val="18"/>
                  <w:u w:val="none"/>
                  <w:effect w:val="none"/>
                </w:rPr>
                <w:t>50</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60">
              <w:r>
                <w:rPr>
                  <w:rStyle w:val="InternetLink"/>
                  <w:rFonts w:ascii="Arial;sans-serif" w:hAnsi="Arial;sans-serif"/>
                  <w:b/>
                  <w:strike w:val="false"/>
                  <w:dstrike w:val="false"/>
                  <w:color w:val="0E32E1"/>
                  <w:sz w:val="18"/>
                  <w:u w:val="none"/>
                  <w:effect w:val="none"/>
                </w:rPr>
                <w:t>4. 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60">
              <w:r>
                <w:rPr>
                  <w:rStyle w:val="InternetLink"/>
                  <w:rFonts w:ascii="Arial;sans-serif" w:hAnsi="Arial;sans-serif"/>
                  <w:b w:val="false"/>
                  <w:strike w:val="false"/>
                  <w:dstrike w:val="false"/>
                  <w:color w:val="0E32E1"/>
                  <w:sz w:val="18"/>
                  <w:u w:val="none"/>
                  <w:effect w:val="none"/>
                </w:rPr>
                <w:t>51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63">
              <w:r>
                <w:rPr>
                  <w:rStyle w:val="InternetLink"/>
                  <w:rFonts w:ascii="Arial;sans-serif" w:hAnsi="Arial;sans-serif"/>
                  <w:b/>
                  <w:strike w:val="false"/>
                  <w:dstrike w:val="false"/>
                  <w:color w:val="0E32E1"/>
                  <w:sz w:val="18"/>
                  <w:u w:val="none"/>
                  <w:effect w:val="none"/>
                </w:rPr>
                <w:t>5.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63">
              <w:r>
                <w:rPr>
                  <w:rStyle w:val="InternetLink"/>
                  <w:rFonts w:ascii="Arial;sans-serif" w:hAnsi="Arial;sans-serif"/>
                  <w:b w:val="false"/>
                  <w:strike w:val="false"/>
                  <w:dstrike w:val="false"/>
                  <w:color w:val="0E32E1"/>
                  <w:sz w:val="18"/>
                  <w:u w:val="none"/>
                  <w:effect w:val="none"/>
                </w:rPr>
                <w:t>51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66">
              <w:r>
                <w:rPr>
                  <w:rStyle w:val="InternetLink"/>
                  <w:rFonts w:ascii="Arial;sans-serif" w:hAnsi="Arial;sans-serif"/>
                  <w:b/>
                  <w:strike w:val="false"/>
                  <w:dstrike w:val="false"/>
                  <w:color w:val="0E32E1"/>
                  <w:sz w:val="18"/>
                  <w:u w:val="none"/>
                  <w:effect w:val="none"/>
                </w:rPr>
                <w:t>6. 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66">
              <w:r>
                <w:rPr>
                  <w:rStyle w:val="InternetLink"/>
                  <w:rFonts w:ascii="Arial;sans-serif" w:hAnsi="Arial;sans-serif"/>
                  <w:b w:val="false"/>
                  <w:strike w:val="false"/>
                  <w:dstrike w:val="false"/>
                  <w:color w:val="0E32E1"/>
                  <w:sz w:val="18"/>
                  <w:u w:val="none"/>
                  <w:effect w:val="none"/>
                </w:rPr>
                <w:t>51</w:t>
              </w:r>
            </w:hyperlink>
          </w:p>
        </w:tc>
      </w:tr>
      <w:tr>
        <w:trPr/>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169">
              <w:r>
                <w:rPr>
                  <w:rStyle w:val="InternetLink"/>
                  <w:rFonts w:ascii="Arial;sans-serif" w:hAnsi="Arial;sans-serif"/>
                  <w:b/>
                  <w:strike w:val="false"/>
                  <w:dstrike w:val="false"/>
                  <w:color w:val="0E32E1"/>
                  <w:sz w:val="18"/>
                  <w:u w:val="none"/>
                  <w:effect w:val="none"/>
                </w:rPr>
                <w:t>SIGNATURES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8f48717fd04492ad8096c1671c1583_169">
              <w:r>
                <w:rPr>
                  <w:rStyle w:val="InternetLink"/>
                  <w:rFonts w:ascii="Arial;sans-serif" w:hAnsi="Arial;sans-serif"/>
                  <w:b w:val="false"/>
                  <w:strike w:val="false"/>
                  <w:dstrike w:val="false"/>
                  <w:color w:val="0E32E1"/>
                  <w:sz w:val="18"/>
                  <w:u w:val="none"/>
                  <w:effect w:val="non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lineRule="auto" w:line="288" w:before="120" w:after="120"/>
        <w:jc w:val="left"/>
        <w:rPr/>
      </w:pPr>
      <w:r>
        <w:rPr>
          <w:rFonts w:ascii="Arial;sans-serif" w:hAnsi="Arial;sans-serif"/>
          <w:b w:val="false"/>
          <w:color w:val="000000"/>
          <w:sz w:val="20"/>
        </w:rPr>
        <w:t>We file annual, quarterly and current reports, proxy statements and other information required by the Securities Exchange Act of 1934, as amended (the “Exchange Act</w:t>
      </w:r>
      <w:r>
        <w:rPr>
          <w:color w:val="000000"/>
        </w:rPr>
        <w:t>”</w:t>
      </w:r>
      <w:r>
        <w:rPr>
          <w:rFonts w:ascii="Arial;sans-serif" w:hAnsi="Arial;sans-serif"/>
          <w:b w:val="false"/>
          <w:color w:val="000000"/>
          <w:sz w:val="20"/>
        </w:rPr>
        <w:t xml:space="preserve">), with the Securities and Exchange Commission (“SEC”). Our SEC filings are available to the public on the SEC’s website at </w:t>
      </w:r>
      <w:r>
        <w:rPr>
          <w:rFonts w:ascii="Arial;sans-serif" w:hAnsi="Arial;sans-serif"/>
          <w:b w:val="false"/>
          <w:color w:val="000000"/>
          <w:sz w:val="20"/>
          <w:u w:val="single"/>
        </w:rPr>
        <w:t>sec.gov</w:t>
      </w:r>
      <w:r>
        <w:rPr>
          <w:rFonts w:ascii="Arial;sans-serif" w:hAnsi="Arial;sans-serif"/>
          <w:b w:val="false"/>
          <w:i/>
          <w:color w:val="000000"/>
          <w:sz w:val="20"/>
        </w:rPr>
        <w: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post the following filings to our website at lpl.com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Quarterly Report on Form 10-Q.</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pStyle w:val="TextBody"/>
        <w:bidi w:val="0"/>
        <w:spacing w:lineRule="auto" w:line="288" w:before="120" w:after="240"/>
        <w:jc w:val="left"/>
        <w:rPr/>
      </w:pPr>
      <w:r>
        <w:rPr>
          <w:rFonts w:ascii="Arial;sans-serif" w:hAnsi="Arial;sans-serif"/>
          <w:b w:val="false"/>
          <w:i/>
          <w:color w:val="000000"/>
          <w:sz w:val="20"/>
        </w:rPr>
        <w:t>When we use the terms “LPLFH,” “LPL,” “we,” “us,” “our” and “the Company,” we mean LPL</w:t>
      </w:r>
      <w:r>
        <w:rPr>
          <w:color w:val="000000"/>
        </w:rPr>
        <w:t xml:space="preserve"> </w:t>
      </w:r>
      <w:r>
        <w:rPr>
          <w:rFonts w:ascii="Arial;sans-serif" w:hAnsi="Arial;sans-serif"/>
          <w:b w:val="false"/>
          <w:i/>
          <w:color w:val="000000"/>
          <w:sz w:val="20"/>
        </w:rPr>
        <w:t>Financial Holdings Inc., a Delaware corporation, and its consolidated subsidiaries,</w:t>
      </w:r>
      <w:r>
        <w:rPr>
          <w:color w:val="000000"/>
        </w:rPr>
        <w:t xml:space="preserve"> </w:t>
      </w:r>
      <w:r>
        <w:rPr>
          <w:rFonts w:ascii="Arial;sans-serif" w:hAnsi="Arial;sans-serif"/>
          <w:b w:val="false"/>
          <w:i/>
          <w:color w:val="000000"/>
          <w:sz w:val="20"/>
        </w:rPr>
        <w:t>taken as a whole, unless the context otherwise</w:t>
      </w:r>
      <w:r>
        <w:rPr>
          <w:color w:val="000000"/>
        </w:rPr>
        <w:t xml:space="preserve"> </w:t>
      </w:r>
      <w:r>
        <w:rPr>
          <w:rFonts w:ascii="Arial;sans-serif" w:hAnsi="Arial;sans-serif"/>
          <w:b w:val="false"/>
          <w:i/>
          <w:color w:val="000000"/>
          <w:sz w:val="20"/>
        </w:rPr>
        <w:t>indicates.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120" w:after="120"/>
        <w:jc w:val="left"/>
        <w:rPr/>
      </w:pPr>
      <w:r>
        <w:rPr>
          <w:rFonts w:ascii="Arial;sans-serif" w:hAnsi="Arial;sans-serif"/>
          <w:b w:val="false"/>
          <w:color w:val="000000"/>
          <w:sz w:val="20"/>
        </w:rPr>
        <w:t xml:space="preserve">Statements in Part I, </w:t>
      </w:r>
      <w:r>
        <w:rPr>
          <w:rFonts w:ascii="Arial;sans-serif" w:hAnsi="Arial;sans-serif"/>
          <w:b w:val="false"/>
          <w:i/>
          <w:color w:val="000000"/>
          <w:sz w:val="20"/>
        </w:rPr>
        <w:t>Item 2. “Management’s Discussion and Analysis of Financial Condition and Results of Operations”</w:t>
      </w:r>
      <w:r>
        <w:rPr>
          <w:color w:val="000000"/>
        </w:rPr>
        <w:t xml:space="preserve"> </w:t>
      </w:r>
      <w:r>
        <w:rPr>
          <w:rFonts w:ascii="Arial;sans-serif" w:hAnsi="Arial;sans-serif"/>
          <w:b w:val="false"/>
          <w:color w:val="000000"/>
          <w:sz w:val="20"/>
        </w:rPr>
        <w:t>and other sections of this Quarterly Report on Form 10-Q regarding: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Company’s future financial and operating results, outlook, growth, plans, business strategies, liquidity, future share repurchases and dividends, including statements regarding future resolution of regulatory matters, legal proceedings and related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Company’s future revenue and expense;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future affiliation models and capabilities;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expected conversion, transition and onboarding of advisors, institutions and assets in connection with our acquisition and recruitment activity, including the conversion of assets of the broker-dealer and investment advisors acquired in connection with our acquisition of Commonwealth Financial Network (“Commonwealth”);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and macroeconomic trends, including the effects of inflation and the interest rate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projected savings and anticipated improvements to the Company’s operating model, services and technologies as a result of its investments, initiatives, programs and acquisitions;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other statements that are not related to present facts or current conditions, or that are not purely historical, constitute forward-looking statements. </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20"/>
        </w:rPr>
        <w:t>These forward-looking statements reflect the Company’s expectations and objectives as o</w:t>
      </w:r>
      <w:r>
        <w:rPr>
          <w:rFonts w:ascii="Arial;sans-serif" w:hAnsi="Arial;sans-serif"/>
          <w:b w:val="false"/>
          <w:color w:val="000000"/>
          <w:sz w:val="20"/>
          <w:shd w:fill="FFFFFF" w:val="clear"/>
        </w:rPr>
        <w:t xml:space="preserve">f </w:t>
      </w:r>
      <w:r>
        <w:rPr>
          <w:rFonts w:ascii="Arial;sans-serif" w:hAnsi="Arial;sans-serif"/>
          <w:b w:val="false"/>
          <w:color w:val="000000"/>
          <w:sz w:val="20"/>
        </w:rPr>
        <w:t xml:space="preserve">August 3, 2026.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general economic and financial market conditions, including retail investor sentiment;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and fees payable by banks participating in the Company’s client cash programs, including the Company’s success in negotiating agreements with current or additional counterparties;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Company’s strategy and success in managing client cash program fees;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the levels of advisory and brokerage assets, including net new assets, and the related impact on revenue;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effects of competition in the financial services industry and the success of the Company in attracting and retaining financial advisors and institutions, and their ability to provide financial products and services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whether retail investors served by newly-recruited advisors choose to move their respective assets to new accounts at the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and delays in onboarding the assets of acquired, recruited or transitioned advisors, including the receipt and timing of regulatory approvals that may be required;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in the businesses of the Company that could make it more difficult to maintain relationships with advisors and their clients;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choice by clients of acquired, recruited or transitioned advisors not to open brokerage and/or advisory accounts at the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the growth and profitability of the Company’s fee-based offerings and asset-based revenues;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effect of current, pending and future legislation, regulation and regulatory actions, including disciplinary actions imposed by federal and state regulators and self-regulatory organizations;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defending, settling and remediating issues related to regulatory matters or legal proceedings, including civil monetary penalties or actual costs of reimbursing customers for losses in excess of our reserves or insurance;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made to the Company’s services and pricing, including in response to competitive developments and current, pending and future legislation, regulation and regulatory actions, and the effect that such changes may have on the Company’s gross profit streams and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strategic acquisitions and investments, including pursuant to the Company’s Liquidity &amp; Succession solution, and the effect that such acquisitions and investments may have on the Company’s capital management plans and liquidity;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price, availability and trading volumes of shares of the Company’s common stock, which will affect the timing and size of future share repurchases by the Company, if 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execution of the Company’s plans and its success in realizing the synergies, expense savings, service improvements or efficiencies expected to result from its investments, initiatives and acquisitions, expense plans and technology initiatives;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advisors affiliated with Commonwealth will transition registration to the Company and whether assets reported as serviced by such financial advisors will translate into assets of the Company;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 xml:space="preserve">the performance of third-party service providers to which business processes have been transitioned;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Company’s ability to control operating risks, information technology systems risks, cybersecurity risks and sourcing risks; </w:t>
      </w:r>
      <w:r>
        <w:rPr>
          <w:rFonts w:ascii="Arial;sans-serif" w:hAnsi="Arial;sans-serif"/>
          <w:b w:val="false"/>
          <w:color w:val="000000"/>
          <w:sz w:val="20"/>
          <w:shd w:fill="FFFFFF" w:val="clear"/>
        </w:rPr>
        <w:t xml:space="preserve">and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 xml:space="preserve">the other factors set forth in the Company’s </w:t>
      </w:r>
      <w:r>
        <w:rPr>
          <w:rFonts w:ascii="Arial;sans-serif" w:hAnsi="Arial;sans-serif"/>
          <w:b w:val="false"/>
          <w:color w:val="000000"/>
          <w:sz w:val="20"/>
          <w:shd w:fill="FFFFFF" w:val="clear"/>
        </w:rPr>
        <w:t xml:space="preserve">most recent </w:t>
      </w:r>
      <w:r>
        <w:rPr>
          <w:rFonts w:ascii="Arial;sans-serif" w:hAnsi="Arial;sans-serif"/>
          <w:b w:val="false"/>
          <w:color w:val="000000"/>
          <w:sz w:val="20"/>
        </w:rPr>
        <w:t>Annual Report on Form 10-K, as may be amended or updated in the Company’s Quarterly Reports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required by law, the Company specifically disclaims any obligation to update any forward-looking statements as a result of developments occurring after the date of this Quarterly Report on Form 10-Q, and you should not rely on statements contained herein as representing the Company’s view as of any date subsequent to the date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GLOSSARY OF TERMS</w:t>
      </w:r>
    </w:p>
    <w:p>
      <w:pPr>
        <w:pStyle w:val="TextBody"/>
        <w:bidi w:val="0"/>
        <w:spacing w:lineRule="auto" w:line="288" w:before="0" w:after="240"/>
        <w:jc w:val="left"/>
        <w:rPr/>
      </w:pPr>
      <w:r>
        <w:rPr>
          <w:rFonts w:ascii="Arial;sans-serif" w:hAnsi="Arial;sans-serif"/>
          <w:b/>
          <w:color w:val="000000"/>
          <w:sz w:val="20"/>
          <w:shd w:fill="FFFFFF" w:val="clear"/>
        </w:rPr>
        <w:t xml:space="preserve">Acquisition Costs: </w:t>
      </w:r>
      <w:r>
        <w:rPr>
          <w:rFonts w:ascii="Arial;sans-serif" w:hAnsi="Arial;sans-serif"/>
          <w:b w:val="false"/>
          <w:color w:val="000000"/>
          <w:sz w:val="20"/>
          <w:shd w:fill="FFFFFF" w:val="clear"/>
        </w:rPr>
        <w:t>Expenses that include the costs to setup, onboard and integrate acquired entities and other costs that were incurred as a result of the acquisitions.</w:t>
      </w:r>
    </w:p>
    <w:p>
      <w:pPr>
        <w:pStyle w:val="TextBody"/>
        <w:bidi w:val="0"/>
        <w:spacing w:lineRule="auto" w:line="288" w:before="0" w:after="240"/>
        <w:jc w:val="left"/>
        <w:rPr/>
      </w:pPr>
      <w:r>
        <w:rPr>
          <w:rFonts w:ascii="Arial;sans-serif" w:hAnsi="Arial;sans-serif"/>
          <w:b/>
          <w:color w:val="000000"/>
          <w:sz w:val="20"/>
          <w:shd w:fill="FFFFFF" w:val="clear"/>
        </w:rPr>
        <w:t xml:space="preserve">Adjusted EBITDA: </w:t>
      </w:r>
      <w:r>
        <w:rPr>
          <w:rFonts w:ascii="Arial;sans-serif" w:hAnsi="Arial;sans-serif"/>
          <w:b w:val="false"/>
          <w:color w:val="000000"/>
          <w:sz w:val="20"/>
          <w:shd w:fill="FFFFFF" w:val="clear"/>
        </w:rPr>
        <w:t>A non-GAAP financial measure defined as EBITDA plus acquisition costs excluding interest.</w:t>
      </w:r>
    </w:p>
    <w:p>
      <w:pPr>
        <w:pStyle w:val="TextBody"/>
        <w:bidi w:val="0"/>
        <w:spacing w:lineRule="auto" w:line="288" w:before="60" w:after="120"/>
        <w:jc w:val="left"/>
        <w:rPr/>
      </w:pPr>
      <w:r>
        <w:rPr>
          <w:rFonts w:ascii="Arial;sans-serif" w:hAnsi="Arial;sans-serif"/>
          <w:b/>
          <w:color w:val="000000"/>
          <w:sz w:val="20"/>
        </w:rPr>
        <w:t>Adjusted EPS:</w:t>
      </w:r>
      <w:r>
        <w:rPr>
          <w:color w:val="000000"/>
        </w:rPr>
        <w:t xml:space="preserve"> </w:t>
      </w:r>
      <w:r>
        <w:rPr>
          <w:rFonts w:ascii="Arial;sans-serif" w:hAnsi="Arial;sans-serif"/>
          <w:b w:val="false"/>
          <w:color w:val="000000"/>
          <w:sz w:val="20"/>
        </w:rPr>
        <w:t>A non-GAAP financial measure defined as Adjusted Net Income divided by the weighted average number of diluted shares outstanding for the applicable period.</w:t>
      </w:r>
    </w:p>
    <w:p>
      <w:pPr>
        <w:pStyle w:val="TextBody"/>
        <w:bidi w:val="0"/>
        <w:spacing w:lineRule="auto" w:line="288" w:before="60" w:after="120"/>
        <w:jc w:val="left"/>
        <w:rPr/>
      </w:pPr>
      <w:r>
        <w:rPr>
          <w:rFonts w:ascii="Arial;sans-serif" w:hAnsi="Arial;sans-serif"/>
          <w:b/>
          <w:color w:val="000000"/>
          <w:sz w:val="20"/>
        </w:rPr>
        <w:t>Adjusted Net Income:</w:t>
      </w:r>
      <w:r>
        <w:rPr>
          <w:color w:val="000000"/>
        </w:rPr>
        <w:t xml:space="preserve"> </w:t>
      </w:r>
      <w:r>
        <w:rPr>
          <w:rFonts w:ascii="Arial;sans-serif" w:hAnsi="Arial;sans-serif"/>
          <w:b w:val="false"/>
          <w:color w:val="000000"/>
          <w:sz w:val="20"/>
        </w:rPr>
        <w:t>A non-GAAP financial measure defined as net income plus the after-tax impact of amortization of other intangibles and acquisition costs.</w:t>
      </w:r>
    </w:p>
    <w:p>
      <w:pPr>
        <w:pStyle w:val="TextBody"/>
        <w:bidi w:val="0"/>
        <w:spacing w:lineRule="auto" w:line="288" w:before="0" w:after="120"/>
        <w:jc w:val="left"/>
        <w:rPr/>
      </w:pPr>
      <w:r>
        <w:rPr>
          <w:rFonts w:ascii="Arial;sans-serif" w:hAnsi="Arial;sans-serif"/>
          <w:b/>
          <w:color w:val="000000"/>
          <w:sz w:val="20"/>
        </w:rPr>
        <w:t>Basis Point:</w:t>
      </w:r>
      <w:r>
        <w:rPr>
          <w:color w:val="000000"/>
        </w:rPr>
        <w:t xml:space="preserve"> </w:t>
      </w:r>
      <w:r>
        <w:rPr>
          <w:rFonts w:ascii="Arial;sans-serif" w:hAnsi="Arial;sans-serif"/>
          <w:b w:val="false"/>
          <w:color w:val="000000"/>
          <w:sz w:val="20"/>
        </w:rPr>
        <w:t>One basis point equals 1/100th of 1%.</w:t>
      </w:r>
    </w:p>
    <w:p>
      <w:pPr>
        <w:pStyle w:val="TextBody"/>
        <w:bidi w:val="0"/>
        <w:spacing w:lineRule="auto" w:line="288" w:before="60" w:after="120"/>
        <w:jc w:val="left"/>
        <w:rPr/>
      </w:pPr>
      <w:r>
        <w:rPr>
          <w:rFonts w:ascii="Arial;sans-serif" w:hAnsi="Arial;sans-serif"/>
          <w:b/>
          <w:color w:val="000000"/>
          <w:sz w:val="20"/>
        </w:rPr>
        <w:t>Core G&amp;A:</w:t>
      </w:r>
      <w:r>
        <w:rPr>
          <w:color w:val="000000"/>
        </w:rPr>
        <w:t xml:space="preserve"> </w:t>
      </w:r>
      <w:r>
        <w:rPr>
          <w:rFonts w:ascii="Arial;sans-serif" w:hAnsi="Arial;sans-serif"/>
          <w:b w:val="false"/>
          <w:color w:val="000000"/>
          <w:sz w:val="20"/>
        </w:rPr>
        <w:t>A non-GAAP financial measure defined as total expense excluding the following expenses: advisory and commission; depreciation and amortization; interest expense on borrowings; brokerage, clearing and exchange; amortization of other intangibles; market fluctuations on employee deferred compensation; promotional (ongoing); employee share-based compensation; regulatory charges; acquisition costs excluding interest; and transition assistance loan amortization.</w:t>
      </w:r>
    </w:p>
    <w:p>
      <w:pPr>
        <w:pStyle w:val="TextBody"/>
        <w:bidi w:val="0"/>
        <w:spacing w:lineRule="auto" w:line="288" w:before="0" w:after="120"/>
        <w:jc w:val="left"/>
        <w:rPr/>
      </w:pPr>
      <w:r>
        <w:rPr>
          <w:rFonts w:ascii="Arial;sans-serif" w:hAnsi="Arial;sans-serif"/>
          <w:b/>
          <w:color w:val="000000"/>
          <w:sz w:val="20"/>
        </w:rPr>
        <w:t>Corporate Cash:</w:t>
      </w:r>
      <w:r>
        <w:rPr>
          <w:color w:val="000000"/>
        </w:rPr>
        <w:t xml:space="preserve"> </w:t>
      </w:r>
      <w:r>
        <w:rPr>
          <w:rFonts w:ascii="Arial;sans-serif" w:hAnsi="Arial;sans-serif"/>
          <w:b w:val="false"/>
          <w:color w:val="000000"/>
          <w:sz w:val="20"/>
        </w:rPr>
        <w:t>A component of cash and equivalents that includes the sum of cash and equivalents from the following: (1) cash and equivalents held at LPL Holdings, Inc., (2) cash and equivalents held at regulated subsidiaries as defined by the Company’s Credit Agreement, which include LPL Financial LLC, LPL Enterprise, LLC, The Private Trust Company, N.A., and Commonwealth Equity Services, LLC (“CES”), in excess of the capital requirements of the Company’s Credit Agreement and (3) cash and equivalents held at non-regulated subsidiaries.</w:t>
      </w:r>
    </w:p>
    <w:p>
      <w:pPr>
        <w:pStyle w:val="TextBody"/>
        <w:bidi w:val="0"/>
        <w:spacing w:lineRule="auto" w:line="288" w:before="120" w:after="120"/>
        <w:jc w:val="left"/>
        <w:rPr/>
      </w:pPr>
      <w:r>
        <w:rPr>
          <w:rFonts w:ascii="Arial;sans-serif" w:hAnsi="Arial;sans-serif"/>
          <w:b/>
          <w:color w:val="000000"/>
          <w:sz w:val="20"/>
        </w:rPr>
        <w:t>Credit Agreement:</w:t>
      </w:r>
      <w:r>
        <w:rPr>
          <w:color w:val="000000"/>
        </w:rPr>
        <w:t xml:space="preserve"> </w:t>
      </w:r>
      <w:r>
        <w:rPr>
          <w:rFonts w:ascii="Arial;sans-serif" w:hAnsi="Arial;sans-serif"/>
          <w:b w:val="false"/>
          <w:color w:val="000000"/>
          <w:sz w:val="20"/>
        </w:rPr>
        <w:t>The Company’s amended and restated credit agreement.</w:t>
      </w:r>
    </w:p>
    <w:p>
      <w:pPr>
        <w:pStyle w:val="TextBody"/>
        <w:bidi w:val="0"/>
        <w:spacing w:lineRule="auto" w:line="288" w:before="0" w:after="120"/>
        <w:jc w:val="left"/>
        <w:rPr/>
      </w:pPr>
      <w:r>
        <w:rPr>
          <w:rFonts w:ascii="Arial;sans-serif" w:hAnsi="Arial;sans-serif"/>
          <w:b/>
          <w:color w:val="000000"/>
          <w:sz w:val="20"/>
        </w:rPr>
        <w:t>Credit Agreement EBITDA:</w:t>
      </w:r>
      <w:r>
        <w:rPr>
          <w:color w:val="000000"/>
        </w:rPr>
        <w:t xml:space="preserve"> </w:t>
      </w:r>
      <w:r>
        <w:rPr>
          <w:rFonts w:ascii="Arial;sans-serif" w:hAnsi="Arial;sans-serif"/>
          <w:b w:val="false"/>
          <w:color w:val="000000"/>
          <w:sz w:val="20"/>
        </w:rPr>
        <w:t>A non-GAAP financial measure defined in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pStyle w:val="TextBody"/>
        <w:bidi w:val="0"/>
        <w:spacing w:lineRule="auto" w:line="288" w:before="60" w:after="120"/>
        <w:jc w:val="left"/>
        <w:rPr/>
      </w:pPr>
      <w:r>
        <w:rPr>
          <w:rFonts w:ascii="Arial;sans-serif" w:hAnsi="Arial;sans-serif"/>
          <w:b/>
          <w:color w:val="000000"/>
          <w:sz w:val="20"/>
          <w:shd w:fill="FFFFFF" w:val="clear"/>
        </w:rPr>
        <w:t>EBITDA:</w:t>
      </w:r>
      <w:r>
        <w:rPr>
          <w:color w:val="000000"/>
          <w:shd w:fill="FFFFFF" w:val="clear"/>
        </w:rPr>
        <w:t xml:space="preserve"> </w:t>
      </w:r>
      <w:r>
        <w:rPr>
          <w:rFonts w:ascii="Arial;sans-serif" w:hAnsi="Arial;sans-serif"/>
          <w:b w:val="false"/>
          <w:color w:val="000000"/>
          <w:sz w:val="20"/>
          <w:shd w:fill="FFFFFF" w:val="clear"/>
        </w:rPr>
        <w:t>A non-GAAP financial measure defined as net income plus interest expense on borrowings, provision for income taxes, depreciation and amortization, and amortization of other intangibles.</w:t>
      </w:r>
    </w:p>
    <w:p>
      <w:pPr>
        <w:pStyle w:val="TextBody"/>
        <w:bidi w:val="0"/>
        <w:spacing w:lineRule="auto" w:line="288" w:before="0" w:after="120"/>
        <w:jc w:val="left"/>
        <w:rPr/>
      </w:pPr>
      <w:r>
        <w:rPr>
          <w:rFonts w:ascii="Arial;sans-serif" w:hAnsi="Arial;sans-serif"/>
          <w:b/>
          <w:color w:val="000000"/>
          <w:sz w:val="20"/>
        </w:rPr>
        <w:t>FINRA:</w:t>
      </w:r>
      <w:r>
        <w:rPr>
          <w:color w:val="000000"/>
        </w:rPr>
        <w:t xml:space="preserve"> </w:t>
      </w:r>
      <w:r>
        <w:rPr>
          <w:rFonts w:ascii="Arial;sans-serif" w:hAnsi="Arial;sans-serif"/>
          <w:b w:val="false"/>
          <w:color w:val="000000"/>
          <w:sz w:val="20"/>
        </w:rPr>
        <w:t>The Financial Industry Regulatory Authority.</w:t>
      </w:r>
    </w:p>
    <w:p>
      <w:pPr>
        <w:pStyle w:val="TextBody"/>
        <w:bidi w:val="0"/>
        <w:spacing w:lineRule="auto" w:line="288" w:before="60" w:after="120"/>
        <w:jc w:val="left"/>
        <w:rPr/>
      </w:pPr>
      <w:r>
        <w:rPr>
          <w:rFonts w:ascii="Arial;sans-serif" w:hAnsi="Arial;sans-serif"/>
          <w:b/>
          <w:color w:val="000000"/>
          <w:sz w:val="20"/>
        </w:rPr>
        <w:t>GAAP:</w:t>
      </w:r>
      <w:r>
        <w:rPr>
          <w:color w:val="000000"/>
        </w:rPr>
        <w:t xml:space="preserve"> </w:t>
      </w:r>
      <w:r>
        <w:rPr>
          <w:rFonts w:ascii="Arial;sans-serif" w:hAnsi="Arial;sans-serif"/>
          <w:b w:val="false"/>
          <w:color w:val="000000"/>
          <w:sz w:val="20"/>
        </w:rPr>
        <w:t>Accounting principles generally accepted in the United States of America.</w:t>
      </w:r>
    </w:p>
    <w:p>
      <w:pPr>
        <w:pStyle w:val="TextBody"/>
        <w:bidi w:val="0"/>
        <w:spacing w:lineRule="auto" w:line="288" w:before="60" w:after="120"/>
        <w:jc w:val="left"/>
        <w:rPr/>
      </w:pPr>
      <w:r>
        <w:rPr>
          <w:rFonts w:ascii="Arial;sans-serif" w:hAnsi="Arial;sans-serif"/>
          <w:b/>
          <w:color w:val="000000"/>
          <w:sz w:val="20"/>
        </w:rPr>
        <w:t>Gross Profit:</w:t>
      </w:r>
      <w:r>
        <w:rPr>
          <w:color w:val="000000"/>
        </w:rPr>
        <w:t xml:space="preserve"> </w:t>
      </w:r>
      <w:r>
        <w:rPr>
          <w:rFonts w:ascii="Arial;sans-serif" w:hAnsi="Arial;sans-serif"/>
          <w:b w:val="false"/>
          <w:color w:val="000000"/>
          <w:sz w:val="20"/>
        </w:rPr>
        <w:t>A non-GAAP financial measure defined as total revenue less advisory and commission expense; brokerage, clearing and exchange expense; and market fluctuations on employee deferred compensation.</w:t>
      </w:r>
    </w:p>
    <w:p>
      <w:pPr>
        <w:pStyle w:val="TextBody"/>
        <w:bidi w:val="0"/>
        <w:spacing w:lineRule="auto" w:line="288" w:before="60" w:after="120"/>
        <w:jc w:val="left"/>
        <w:rPr/>
      </w:pPr>
      <w:r>
        <w:rPr>
          <w:rFonts w:ascii="Arial;sans-serif" w:hAnsi="Arial;sans-serif"/>
          <w:b/>
          <w:color w:val="000000"/>
          <w:sz w:val="20"/>
        </w:rPr>
        <w:t>Indentures:</w:t>
      </w:r>
      <w:r>
        <w:rPr>
          <w:color w:val="000000"/>
        </w:rPr>
        <w:t xml:space="preserve"> </w:t>
      </w:r>
      <w:r>
        <w:rPr>
          <w:rFonts w:ascii="Arial;sans-serif" w:hAnsi="Arial;sans-serif"/>
          <w:b w:val="false"/>
          <w:color w:val="000000"/>
          <w:sz w:val="20"/>
        </w:rPr>
        <w:t>The indentures governing the Company’s senior unsecured notes.</w:t>
      </w:r>
    </w:p>
    <w:p>
      <w:pPr>
        <w:pStyle w:val="TextBody"/>
        <w:bidi w:val="0"/>
        <w:spacing w:lineRule="auto" w:line="288" w:before="60" w:after="120"/>
        <w:jc w:val="left"/>
        <w:rPr/>
      </w:pPr>
      <w:r>
        <w:rPr>
          <w:rFonts w:ascii="Arial;sans-serif" w:hAnsi="Arial;sans-serif"/>
          <w:b/>
          <w:color w:val="000000"/>
          <w:sz w:val="20"/>
        </w:rPr>
        <w:t xml:space="preserve">Leverage Ratio: </w:t>
      </w:r>
      <w:r>
        <w:rPr>
          <w:rFonts w:ascii="Arial;sans-serif" w:hAnsi="Arial;sans-serif"/>
          <w:b w:val="false"/>
          <w:color w:val="000000"/>
          <w:sz w:val="20"/>
        </w:rPr>
        <w:t>A financial metric from our Credit Agreement that is calculated by dividing Credit Agreement net debt, which equals consolidated total debt less Corporate Cash, by Credit Agreement EBITDA.</w:t>
      </w:r>
    </w:p>
    <w:p>
      <w:pPr>
        <w:pStyle w:val="TextBody"/>
        <w:bidi w:val="0"/>
        <w:spacing w:lineRule="auto" w:line="288" w:before="0" w:after="120"/>
        <w:jc w:val="left"/>
        <w:rPr/>
      </w:pPr>
      <w:r>
        <w:rPr>
          <w:rFonts w:ascii="Arial;sans-serif" w:hAnsi="Arial;sans-serif"/>
          <w:b/>
          <w:color w:val="000000"/>
          <w:sz w:val="20"/>
        </w:rPr>
        <w:t xml:space="preserve">NFA: </w:t>
      </w:r>
      <w:r>
        <w:rPr>
          <w:rFonts w:ascii="Arial;sans-serif" w:hAnsi="Arial;sans-serif"/>
          <w:b w:val="false"/>
          <w:color w:val="000000"/>
          <w:sz w:val="20"/>
        </w:rPr>
        <w:t>The National Futures Association.</w:t>
      </w:r>
    </w:p>
    <w:p>
      <w:pPr>
        <w:pStyle w:val="TextBody"/>
        <w:bidi w:val="0"/>
        <w:spacing w:lineRule="auto" w:line="288" w:before="0" w:after="120"/>
        <w:jc w:val="left"/>
        <w:rPr/>
      </w:pPr>
      <w:r>
        <w:rPr>
          <w:rFonts w:ascii="Arial;sans-serif" w:hAnsi="Arial;sans-serif"/>
          <w:b/>
          <w:color w:val="000000"/>
          <w:sz w:val="20"/>
        </w:rPr>
        <w:t>OCC:</w:t>
      </w:r>
      <w:r>
        <w:rPr>
          <w:color w:val="000000"/>
        </w:rPr>
        <w:t xml:space="preserve"> </w:t>
      </w:r>
      <w:r>
        <w:rPr>
          <w:rFonts w:ascii="Arial;sans-serif" w:hAnsi="Arial;sans-serif"/>
          <w:b w:val="false"/>
          <w:color w:val="000000"/>
          <w:sz w:val="20"/>
        </w:rPr>
        <w:t>The Office of the Comptroller of the Currency.</w:t>
      </w:r>
    </w:p>
    <w:p>
      <w:pPr>
        <w:pStyle w:val="TextBody"/>
        <w:bidi w:val="0"/>
        <w:spacing w:lineRule="auto" w:line="288" w:before="0" w:after="120"/>
        <w:jc w:val="left"/>
        <w:rPr/>
      </w:pPr>
      <w:r>
        <w:rPr>
          <w:rFonts w:ascii="Arial;sans-serif" w:hAnsi="Arial;sans-serif"/>
          <w:b/>
          <w:color w:val="000000"/>
          <w:sz w:val="20"/>
        </w:rPr>
        <w:t>RIA:</w:t>
      </w:r>
      <w:r>
        <w:rPr>
          <w:color w:val="000000"/>
        </w:rPr>
        <w:t xml:space="preserve"> </w:t>
      </w:r>
      <w:r>
        <w:rPr>
          <w:rFonts w:ascii="Arial;sans-serif" w:hAnsi="Arial;sans-serif"/>
          <w:b w:val="false"/>
          <w:color w:val="000000"/>
          <w:sz w:val="20"/>
        </w:rPr>
        <w:t>Registered investment adviser.</w:t>
      </w:r>
    </w:p>
    <w:p>
      <w:pPr>
        <w:pStyle w:val="TextBody"/>
        <w:bidi w:val="0"/>
        <w:spacing w:lineRule="auto" w:line="288" w:before="120" w:after="120"/>
        <w:jc w:val="left"/>
        <w:rPr/>
      </w:pPr>
      <w:r>
        <w:rPr>
          <w:rFonts w:ascii="Arial;sans-serif" w:hAnsi="Arial;sans-serif"/>
          <w:b/>
          <w:color w:val="000000"/>
          <w:sz w:val="20"/>
        </w:rPr>
        <w:t>SEC:</w:t>
      </w:r>
      <w:r>
        <w:rPr>
          <w:color w:val="000000"/>
        </w:rPr>
        <w:t xml:space="preserve"> </w:t>
      </w:r>
      <w:r>
        <w:rPr>
          <w:rFonts w:ascii="Arial;sans-serif" w:hAnsi="Arial;sans-serif"/>
          <w:b w:val="false"/>
          <w:color w:val="000000"/>
          <w:sz w:val="20"/>
        </w:rPr>
        <w:t xml:space="preserve">The U.S. Securities and Exchange Commission. </w:t>
      </w:r>
    </w:p>
    <w:p>
      <w:pPr>
        <w:pStyle w:val="TextBody"/>
        <w:bidi w:val="0"/>
        <w:spacing w:lineRule="auto" w:line="288" w:before="0" w:after="120"/>
        <w:jc w:val="left"/>
        <w:rPr/>
      </w:pPr>
      <w:r>
        <w:rPr>
          <w:rFonts w:ascii="Arial;sans-serif" w:hAnsi="Arial;sans-serif"/>
          <w:b/>
          <w:color w:val="000000"/>
          <w:sz w:val="20"/>
        </w:rPr>
        <w:t xml:space="preserve">Uniform Net Capital Rule: </w:t>
      </w:r>
      <w:r>
        <w:rPr>
          <w:rFonts w:ascii="Arial;sans-serif" w:hAnsi="Arial;sans-serif"/>
          <w:b w:val="false"/>
          <w:color w:val="000000"/>
          <w:sz w:val="20"/>
        </w:rPr>
        <w:t>Refers to Rule 15c3-1 under the Exchange Act, which specifies minimum capital requirements that are intended to ensure the general financial soundness and liquidity of broker-dealers.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Arial;sans-serif" w:hAnsi="Arial;sans-serif"/>
          <w:b/>
          <w:color w:val="000000"/>
          <w:sz w:val="20"/>
        </w:rPr>
        <w:t>Item 2.</w:t>
      </w:r>
      <w:r>
        <w:rPr>
          <w:color w:val="000000"/>
        </w:rPr>
        <w:t> </w:t>
      </w:r>
      <w:r>
        <w:rPr>
          <w:rFonts w:ascii="Arial;sans-serif" w:hAnsi="Arial;sans-serif"/>
          <w:b/>
          <w:color w:val="000000"/>
          <w:sz w:val="20"/>
        </w:rPr>
        <w:t>Management’s Discussion and Analysis of Financial Condition and</w:t>
      </w:r>
      <w:r>
        <w:rPr>
          <w:color w:val="000000"/>
        </w:rPr>
        <w:t xml:space="preserve"> </w:t>
      </w:r>
      <w:r>
        <w:rPr>
          <w:rFonts w:ascii="Arial;sans-serif" w:hAnsi="Arial;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LPL serves the financial advisor-mediated marketplace as the nation’s largest independent broker-dealer, a leading investment advisory firm and a top custodian. We support more than 32,000 financial advisors, and the wealth management practices of approximately 1,100 financial institutions, servicing and custodying approximately $2.6 trillion in brokerage and advisory assets. The firm provides a wide range of advisor affiliation models, investment solutions, fintech tools and practice management services, ensuring that advisors and institutions have the flexibility to choose the business model, services, and technology resources they need to run successful businesses.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Our Sources of Revenue</w:t>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tbl>
      <w:tblPr>
        <w:tblW w:w="5935" w:type="dxa"/>
        <w:jc w:val="center"/>
        <w:tblInd w:w="0" w:type="dxa"/>
        <w:tblLayout w:type="fixed"/>
        <w:tblCellMar>
          <w:top w:w="28" w:type="dxa"/>
          <w:left w:w="28" w:type="dxa"/>
          <w:bottom w:w="28" w:type="dxa"/>
          <w:right w:w="28" w:type="dxa"/>
        </w:tblCellMar>
      </w:tblPr>
      <w:tblGrid>
        <w:gridCol w:w="954"/>
        <w:gridCol w:w="841"/>
        <w:gridCol w:w="844"/>
        <w:gridCol w:w="109"/>
        <w:gridCol w:w="109"/>
        <w:gridCol w:w="109"/>
        <w:gridCol w:w="867"/>
        <w:gridCol w:w="867"/>
        <w:gridCol w:w="1235"/>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Retirement Plan Products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Separately Managed Accounts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Exchange Traded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Structured Products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Insurance Based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Unit Investment Trusts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Arial;sans-serif" w:hAnsi="Arial;sans-serif"/>
                <w:b w:val="false"/>
                <w:color w:val="000000"/>
                <w:sz w:val="20"/>
              </w:rPr>
              <w:t>Mutual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condensed consolidated statements of income. A portion of our revenue is not asset-based or correlated with the equity financial markets.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Significant Events</w:t>
      </w:r>
    </w:p>
    <w:p>
      <w:pPr>
        <w:pStyle w:val="TextBody"/>
        <w:bidi w:val="0"/>
        <w:spacing w:lineRule="auto" w:line="268" w:before="120" w:after="180"/>
        <w:jc w:val="left"/>
        <w:rPr>
          <w:rFonts w:ascii="Arial;sans-serif" w:hAnsi="Arial;sans-serif"/>
          <w:b/>
          <w:i/>
          <w:color w:val="000000"/>
          <w:sz w:val="20"/>
        </w:rPr>
      </w:pPr>
      <w:r>
        <w:rPr>
          <w:rFonts w:ascii="Arial;sans-serif" w:hAnsi="Arial;sans-serif"/>
          <w:b/>
          <w:i/>
          <w:color w:val="000000"/>
          <w:sz w:val="20"/>
        </w:rPr>
        <w:t xml:space="preserve">Resumed share repurchases and approved additional share repurchase program </w:t>
      </w:r>
    </w:p>
    <w:p>
      <w:pPr>
        <w:pStyle w:val="TextBody"/>
        <w:bidi w:val="0"/>
        <w:spacing w:lineRule="auto" w:line="268" w:before="120" w:after="180"/>
        <w:jc w:val="left"/>
        <w:rPr/>
      </w:pPr>
      <w:r>
        <w:rPr>
          <w:rFonts w:ascii="Arial;sans-serif" w:hAnsi="Arial;sans-serif"/>
          <w:b w:val="false"/>
          <w:color w:val="000000"/>
          <w:sz w:val="20"/>
          <w:shd w:fill="FFFFFF" w:val="clear"/>
        </w:rPr>
        <w:t xml:space="preserve">During the second quarter we resumed our share repurchase program, with </w:t>
      </w:r>
      <w:r>
        <w:rPr>
          <w:rFonts w:ascii="Arial;sans-serif" w:hAnsi="Arial;sans-serif"/>
          <w:b w:val="false"/>
          <w:color w:val="000000"/>
          <w:sz w:val="20"/>
        </w:rPr>
        <w:t>$309.5 million</w:t>
      </w:r>
      <w:r>
        <w:rPr>
          <w:color w:val="000000"/>
          <w:shd w:fill="FFFFFF" w:val="clear"/>
        </w:rPr>
        <w:t xml:space="preserve"> </w:t>
      </w:r>
      <w:r>
        <w:rPr>
          <w:rFonts w:ascii="Arial;sans-serif" w:hAnsi="Arial;sans-serif"/>
          <w:b w:val="false"/>
          <w:color w:val="000000"/>
          <w:sz w:val="20"/>
          <w:shd w:fill="FFFFFF" w:val="clear"/>
        </w:rPr>
        <w:t xml:space="preserve">repurchased during the second quarter and approximately </w:t>
      </w:r>
      <w:r>
        <w:rPr>
          <w:rFonts w:ascii="Arial;sans-serif" w:hAnsi="Arial;sans-serif"/>
          <w:b w:val="false"/>
          <w:color w:val="000000"/>
          <w:sz w:val="20"/>
        </w:rPr>
        <w:t xml:space="preserve">$300 million </w:t>
      </w:r>
      <w:r>
        <w:rPr>
          <w:rFonts w:ascii="Arial;sans-serif" w:hAnsi="Arial;sans-serif"/>
          <w:b w:val="false"/>
          <w:color w:val="000000"/>
          <w:sz w:val="20"/>
          <w:shd w:fill="FFFFFF" w:val="clear"/>
        </w:rPr>
        <w:t xml:space="preserve">of repurchases planned for the third quarter. </w:t>
      </w:r>
      <w:r>
        <w:rPr>
          <w:rFonts w:ascii="Arial;sans-serif" w:hAnsi="Arial;sans-serif"/>
          <w:b w:val="false"/>
          <w:color w:val="000000"/>
          <w:sz w:val="20"/>
        </w:rPr>
        <w:t xml:space="preserve">From July 1, 2026 through July 30, 2026, the Company has repurchased 420,464 outstanding shares for a total of $134.3 million. On </w:t>
      </w:r>
      <w:r>
        <w:rPr>
          <w:rFonts w:ascii="Arial;sans-serif" w:hAnsi="Arial;sans-serif"/>
          <w:b w:val="false"/>
          <w:color w:val="000000"/>
          <w:sz w:val="20"/>
          <w:shd w:fill="FFFFFF" w:val="clear"/>
        </w:rPr>
        <w:t xml:space="preserve">July 23, 2026, the Board authorized a new repurchase program that increases the amount available for repurchases of the Company’s issued and outstanding common shares by $2.5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Financial Highlights</w:t>
      </w:r>
    </w:p>
    <w:p>
      <w:pPr>
        <w:pStyle w:val="TextBody"/>
        <w:bidi w:val="0"/>
        <w:spacing w:lineRule="auto" w:line="288" w:before="120" w:after="120"/>
        <w:jc w:val="left"/>
        <w:rPr/>
      </w:pPr>
      <w:r>
        <w:rPr>
          <w:rFonts w:ascii="Arial;sans-serif" w:hAnsi="Arial;sans-serif"/>
          <w:b w:val="false"/>
          <w:color w:val="000000"/>
          <w:sz w:val="20"/>
          <w:shd w:fill="FFFFFF" w:val="clear"/>
        </w:rPr>
        <w:t xml:space="preserve">Results for the second quarter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included net income</w:t>
      </w:r>
      <w:r>
        <w:rPr>
          <w:color w:val="000000"/>
        </w:rPr>
        <w:t xml:space="preserve"> </w:t>
      </w:r>
      <w:r>
        <w:rPr>
          <w:rFonts w:ascii="Arial;sans-serif" w:hAnsi="Arial;sans-serif"/>
          <w:b w:val="false"/>
          <w:color w:val="000000"/>
          <w:sz w:val="20"/>
        </w:rPr>
        <w:t xml:space="preserve">of $379.3 million, or $4.74 per </w:t>
      </w:r>
      <w:r>
        <w:rPr>
          <w:rFonts w:ascii="Arial;sans-serif" w:hAnsi="Arial;sans-serif"/>
          <w:b w:val="false"/>
          <w:color w:val="000000"/>
          <w:sz w:val="20"/>
          <w:shd w:fill="FFFFFF" w:val="clear"/>
        </w:rPr>
        <w:t xml:space="preserve">diluted share, which compares to net income of </w:t>
      </w:r>
      <w:r>
        <w:rPr>
          <w:rFonts w:ascii="Arial;sans-serif" w:hAnsi="Arial;sans-serif"/>
          <w:b w:val="false"/>
          <w:color w:val="000000"/>
          <w:sz w:val="20"/>
        </w:rPr>
        <w:t>$273.2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$3.40</w:t>
      </w:r>
      <w:r>
        <w:rPr>
          <w:color w:val="000000"/>
          <w:shd w:fill="FFFFFF" w:val="clear"/>
        </w:rPr>
        <w:t xml:space="preserve"> </w:t>
      </w:r>
      <w:r>
        <w:rPr>
          <w:rFonts w:ascii="Arial;sans-serif" w:hAnsi="Arial;sans-serif"/>
          <w:b w:val="false"/>
          <w:color w:val="000000"/>
          <w:sz w:val="20"/>
          <w:shd w:fill="FFFFFF" w:val="clear"/>
        </w:rPr>
        <w:t xml:space="preserve">per diluted share, for the second quarter of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p>
      <w:pPr>
        <w:pStyle w:val="TextBody"/>
        <w:bidi w:val="0"/>
        <w:spacing w:lineRule="auto" w:line="288" w:before="18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Asset Trends</w:t>
      </w:r>
    </w:p>
    <w:p>
      <w:pPr>
        <w:pStyle w:val="TextBody"/>
        <w:bidi w:val="0"/>
        <w:spacing w:lineRule="auto" w:line="288" w:before="120" w:after="120"/>
        <w:jc w:val="left"/>
        <w:rPr/>
      </w:pPr>
      <w:r>
        <w:rPr>
          <w:rFonts w:ascii="Arial;sans-serif" w:hAnsi="Arial;sans-serif"/>
          <w:b w:val="false"/>
          <w:color w:val="000000"/>
          <w:sz w:val="20"/>
          <w:shd w:fill="FFFFFF" w:val="clear"/>
        </w:rPr>
        <w:t xml:space="preserve">Total advisory and brokerage assets served </w:t>
      </w:r>
      <w:r>
        <w:rPr>
          <w:rFonts w:ascii="Arial;sans-serif" w:hAnsi="Arial;sans-serif"/>
          <w:b w:val="false"/>
          <w:color w:val="000000"/>
          <w:sz w:val="20"/>
        </w:rPr>
        <w:t>were $2.6 trillion at June 30, 2026, compared to $1.9 trillion at June 30, 2025</w:t>
      </w:r>
      <w:r>
        <w:rPr>
          <w:rFonts w:ascii="Arial;sans-serif" w:hAnsi="Arial;sans-serif"/>
          <w:b w:val="false"/>
          <w:color w:val="000000"/>
          <w:sz w:val="20"/>
          <w:shd w:fill="FFFFFF" w:val="clear"/>
        </w:rPr>
        <w:t>. Total net new assets wer</w:t>
      </w:r>
      <w:r>
        <w:rPr>
          <w:rFonts w:ascii="Arial;sans-serif" w:hAnsi="Arial;sans-serif"/>
          <w:b w:val="false"/>
          <w:color w:val="000000"/>
          <w:sz w:val="20"/>
        </w:rPr>
        <w:t>e $23.6 billion</w:t>
      </w:r>
      <w:r>
        <w:rPr>
          <w:color w:val="000000"/>
          <w:shd w:fill="FFFFFF" w:val="clear"/>
        </w:rPr>
        <w:t xml:space="preserve"> </w:t>
      </w:r>
      <w:r>
        <w:rPr>
          <w:rFonts w:ascii="Arial;sans-serif" w:hAnsi="Arial;sans-serif"/>
          <w:b w:val="false"/>
          <w:color w:val="000000"/>
          <w:sz w:val="20"/>
        </w:rPr>
        <w:t>fo</w:t>
      </w:r>
      <w:r>
        <w:rPr>
          <w:rFonts w:ascii="Arial;sans-serif" w:hAnsi="Arial;sans-serif"/>
          <w:b w:val="false"/>
          <w:color w:val="000000"/>
          <w:sz w:val="20"/>
          <w:shd w:fill="FFFFFF" w:val="clear"/>
        </w:rPr>
        <w:t xml:space="preserve">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compared to </w:t>
      </w:r>
      <w:r>
        <w:rPr>
          <w:rFonts w:ascii="Arial;sans-serif" w:hAnsi="Arial;sans-serif"/>
          <w:b w:val="false"/>
          <w:color w:val="000000"/>
          <w:sz w:val="20"/>
        </w:rPr>
        <w:t>$20.5 billion</w:t>
      </w:r>
      <w:r>
        <w:rPr>
          <w:color w:val="000000"/>
          <w:shd w:fill="FFFFFF" w:val="clear"/>
        </w:rPr>
        <w:t xml:space="preserve"> </w:t>
      </w:r>
      <w:r>
        <w:rPr>
          <w:rFonts w:ascii="Arial;sans-serif" w:hAnsi="Arial;sans-serif"/>
          <w:b w:val="false"/>
          <w:color w:val="000000"/>
          <w:sz w:val="20"/>
          <w:shd w:fill="FFFFFF" w:val="clear"/>
        </w:rPr>
        <w:t xml:space="preserve">for the same period in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lineRule="auto" w:line="288" w:before="120" w:after="120"/>
        <w:jc w:val="left"/>
        <w:rPr/>
      </w:pPr>
      <w:r>
        <w:rPr>
          <w:rFonts w:ascii="Arial;sans-serif" w:hAnsi="Arial;sans-serif"/>
          <w:b w:val="false"/>
          <w:color w:val="000000"/>
          <w:sz w:val="20"/>
          <w:shd w:fill="FFFFFF" w:val="clear"/>
        </w:rPr>
        <w:t>Net new advisory assets wer</w:t>
      </w:r>
      <w:r>
        <w:rPr>
          <w:rFonts w:ascii="Arial;sans-serif" w:hAnsi="Arial;sans-serif"/>
          <w:b w:val="false"/>
          <w:color w:val="000000"/>
          <w:sz w:val="20"/>
        </w:rPr>
        <w:t>e $30.7 billion</w:t>
      </w:r>
      <w:r>
        <w:rPr>
          <w:color w:val="000000"/>
          <w:shd w:fill="FFFFFF" w:val="clear"/>
        </w:rPr>
        <w:t xml:space="preserve"> </w:t>
      </w:r>
      <w:r>
        <w:rPr>
          <w:rFonts w:ascii="Arial;sans-serif" w:hAnsi="Arial;sans-serif"/>
          <w:b w:val="false"/>
          <w:color w:val="000000"/>
          <w:sz w:val="20"/>
        </w:rPr>
        <w:t>fo</w:t>
      </w:r>
      <w:r>
        <w:rPr>
          <w:rFonts w:ascii="Arial;sans-serif" w:hAnsi="Arial;sans-serif"/>
          <w:b w:val="false"/>
          <w:color w:val="000000"/>
          <w:sz w:val="20"/>
          <w:shd w:fill="FFFFFF" w:val="clear"/>
        </w:rPr>
        <w:t>r the three</w:t>
      </w:r>
      <w:r>
        <w:rPr>
          <w:color w:val="000000"/>
        </w:rPr>
        <w:t xml:space="preserve"> </w:t>
      </w:r>
      <w:r>
        <w:rPr>
          <w:rFonts w:ascii="Arial;sans-serif" w:hAnsi="Arial;sans-serif"/>
          <w:b w:val="false"/>
          <w:color w:val="000000"/>
          <w:sz w:val="20"/>
        </w:rPr>
        <w:t>months ended June 30, 2026, compared to $23.1 billion for the same period in 2025. Advisory assets were $1.5 trillion, or 60% of total advisory a</w:t>
      </w:r>
      <w:r>
        <w:rPr>
          <w:rFonts w:ascii="Arial;sans-serif" w:hAnsi="Arial;sans-serif"/>
          <w:b w:val="false"/>
          <w:color w:val="000000"/>
          <w:sz w:val="20"/>
          <w:shd w:fill="FFFFFF" w:val="clear"/>
        </w:rPr>
        <w:t xml:space="preserve">nd brokerage assets served, at </w:t>
      </w:r>
      <w:r>
        <w:rPr>
          <w:rFonts w:ascii="Arial;sans-serif" w:hAnsi="Arial;sans-serif"/>
          <w:b w:val="false"/>
          <w:color w:val="000000"/>
          <w:sz w:val="20"/>
        </w:rPr>
        <w:t>June 30, 2026, up 46% from $1.1 trillion at June 30,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new brokerage assets were an outflow of $7.1 billion for the three months ended June 30, 2026, compared to an outflow of $2.6 billion for the same period in 2025. Brokerage assets were $1.0 trillion at June 30, 2026, up 18% from $858.5 billion at June 30, 2025.</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Gross Profit Trend</w:t>
      </w:r>
    </w:p>
    <w:p>
      <w:pPr>
        <w:pStyle w:val="TextBody"/>
        <w:bidi w:val="0"/>
        <w:spacing w:lineRule="auto" w:line="288" w:before="120" w:after="120"/>
        <w:jc w:val="left"/>
        <w:rPr/>
      </w:pPr>
      <w:r>
        <w:rPr>
          <w:rFonts w:ascii="Arial;sans-serif" w:hAnsi="Arial;sans-serif"/>
          <w:b w:val="false"/>
          <w:color w:val="000000"/>
          <w:sz w:val="20"/>
        </w:rPr>
        <w:t xml:space="preserve">Gross profit, a non-GAAP financial measure, was $1.6 billion for the three months ended June 30, 2026, an increase of 24% from $1.3 billion for the three months ended June 30, 2025. See the </w:t>
      </w:r>
      <w:r>
        <w:rPr>
          <w:color w:val="000000"/>
        </w:rPr>
        <w:t>“</w:t>
      </w:r>
      <w:r>
        <w:rPr>
          <w:rFonts w:ascii="Arial;sans-serif" w:hAnsi="Arial;sans-serif"/>
          <w:b w:val="false"/>
          <w:i/>
          <w:color w:val="000000"/>
          <w:sz w:val="20"/>
        </w:rPr>
        <w:t>Key Performance Metrics”</w:t>
      </w:r>
      <w:r>
        <w:rPr>
          <w:color w:val="000000"/>
        </w:rPr>
        <w:t xml:space="preserve"> </w:t>
      </w:r>
      <w:r>
        <w:rPr>
          <w:rFonts w:ascii="Arial;sans-serif" w:hAnsi="Arial;sans-serif"/>
          <w:b w:val="false"/>
          <w:color w:val="000000"/>
          <w:sz w:val="20"/>
        </w:rPr>
        <w:t>section for additional information on gross profit.</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Common Stock Dividends and Share Repurchases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we paid stockholders cash dividends of $24.0 million and repurchased approximately 1.1 million of our outstanding shares for a total of $309.5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18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Key Performance Metrics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focus on several key metrics in evaluating the success of our business relationships and our resulting financial position and operating performance. Our key operating, business and financial metrics are as follows:</w:t>
      </w:r>
    </w:p>
    <w:tbl>
      <w:tblPr>
        <w:tblW w:w="7961" w:type="dxa"/>
        <w:jc w:val="left"/>
        <w:tblInd w:w="0" w:type="dxa"/>
        <w:tblLayout w:type="fixed"/>
        <w:tblCellMar>
          <w:top w:w="28" w:type="dxa"/>
          <w:left w:w="28" w:type="dxa"/>
          <w:bottom w:w="28" w:type="dxa"/>
          <w:right w:w="28" w:type="dxa"/>
        </w:tblCellMar>
      </w:tblPr>
      <w:tblGrid>
        <w:gridCol w:w="1667"/>
        <w:gridCol w:w="1466"/>
        <w:gridCol w:w="1471"/>
        <w:gridCol w:w="211"/>
        <w:gridCol w:w="784"/>
        <w:gridCol w:w="109"/>
        <w:gridCol w:w="211"/>
        <w:gridCol w:w="784"/>
        <w:gridCol w:w="109"/>
        <w:gridCol w:w="211"/>
        <w:gridCol w:w="784"/>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 Three Months Ended</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8"/>
              </w:rPr>
              <w:t>Operating Metrics (dollars in billions)</w:t>
            </w:r>
            <w:r>
              <w:rPr>
                <w:rFonts w:ascii="Arial;sans-serif" w:hAnsi="Arial;sans-serif"/>
                <w:b/>
                <w:i/>
                <w:color w:val="000000"/>
                <w:sz w:val="12"/>
              </w:rPr>
              <w:t>(1)</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Advisory and Brokerage Assets</w:t>
            </w:r>
            <w:r>
              <w:rPr>
                <w:rFonts w:ascii="Arial;sans-serif" w:hAnsi="Arial;sans-serif"/>
                <w:b/>
                <w:color w:val="000000"/>
                <w:sz w:val="12"/>
              </w:rPr>
              <w:t>(</w:t>
            </w:r>
            <w:r>
              <w:rPr>
                <w:rFonts w:ascii="Arial;sans-serif" w:hAnsi="Arial;sans-serif"/>
                <w:b/>
                <w:color w:val="000000"/>
                <w:sz w:val="12"/>
                <w:u w:val="single"/>
              </w:rPr>
              <w:t>2</w:t>
            </w:r>
            <w:r>
              <w:rPr>
                <w:rFonts w:ascii="Arial;sans-serif" w:hAnsi="Arial;sans-serif"/>
                <w:b/>
                <w:color w:val="000000"/>
                <w:sz w:val="12"/>
              </w:rPr>
              <w:t>)</w:t>
            </w:r>
          </w:p>
        </w:tc>
        <w:tc>
          <w:tcPr>
            <w:tcW w:w="11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assets</w:t>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Advisory and Brokerage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as a % of total Advisory and Brokerage Assets</w:t>
            </w:r>
          </w:p>
        </w:tc>
        <w:tc>
          <w:tcPr>
            <w:tcW w:w="11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11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11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Net New Assets</w:t>
            </w:r>
            <w:r>
              <w:rPr>
                <w:rFonts w:ascii="Arial;sans-serif" w:hAnsi="Arial;sans-serif"/>
                <w:b/>
                <w:color w:val="000000"/>
                <w:sz w:val="12"/>
              </w:rPr>
              <w:t>(</w:t>
            </w:r>
            <w:r>
              <w:rPr>
                <w:rFonts w:ascii="Arial;sans-serif" w:hAnsi="Arial;sans-serif"/>
                <w:b/>
                <w:color w:val="000000"/>
                <w:sz w:val="12"/>
                <w:u w:val="single"/>
              </w:rPr>
              <w:t>3</w:t>
            </w:r>
            <w:r>
              <w:rPr>
                <w:rFonts w:ascii="Arial;sans-serif" w:hAnsi="Arial;sans-serif"/>
                <w:b/>
                <w:color w:val="000000"/>
                <w:sz w:val="12"/>
              </w:rPr>
              <w:t>)</w:t>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new advisory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new brokerage assets</w:t>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New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Organic Net New Assets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new advisory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new brokerage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Organic Net New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Organic advisory net new assets annualized growth</w:t>
            </w:r>
            <w:r>
              <w:rPr>
                <w:rFonts w:ascii="Arial;sans-serif" w:hAnsi="Arial;sans-serif"/>
                <w:b w:val="false"/>
                <w:color w:val="000000"/>
                <w:sz w:val="12"/>
              </w:rPr>
              <w:t>(4)</w:t>
            </w:r>
          </w:p>
        </w:tc>
        <w:tc>
          <w:tcPr>
            <w:tcW w:w="11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1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1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organic net new assets annualized growth</w:t>
            </w:r>
            <w:r>
              <w:rPr>
                <w:rFonts w:ascii="Arial;sans-serif" w:hAnsi="Arial;sans-serif"/>
                <w:b w:val="false"/>
                <w:color w:val="000000"/>
                <w:sz w:val="12"/>
              </w:rPr>
              <w:t>(4)</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Client Cash Balances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Insured cash account sweep</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cash account sweep</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Bank Sweep</w:t>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44.9</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Money market sweep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Client Cash Sweep Held by Third Parties</w:t>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48.6</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cash account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Client Cash Balances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50.6</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 Balances as a % of Total Assets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buy (sell) activity</w:t>
            </w:r>
            <w:r>
              <w:rPr>
                <w:rFonts w:ascii="Arial;sans-serif" w:hAnsi="Arial;sans-serif"/>
                <w:b w:val="false"/>
                <w:color w:val="000000"/>
                <w:sz w:val="12"/>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34" w:type="dxa"/>
        <w:jc w:val="left"/>
        <w:tblInd w:w="0" w:type="dxa"/>
        <w:tblLayout w:type="fixed"/>
        <w:tblCellMar>
          <w:top w:w="28" w:type="dxa"/>
          <w:left w:w="28" w:type="dxa"/>
          <w:bottom w:w="28" w:type="dxa"/>
          <w:right w:w="28" w:type="dxa"/>
        </w:tblCellMar>
      </w:tblPr>
      <w:tblGrid>
        <w:gridCol w:w="1607"/>
        <w:gridCol w:w="1411"/>
        <w:gridCol w:w="1421"/>
        <w:gridCol w:w="269"/>
        <w:gridCol w:w="786"/>
        <w:gridCol w:w="139"/>
        <w:gridCol w:w="269"/>
        <w:gridCol w:w="652"/>
        <w:gridCol w:w="139"/>
        <w:gridCol w:w="269"/>
        <w:gridCol w:w="652"/>
        <w:gridCol w:w="139"/>
        <w:gridCol w:w="109"/>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8"/>
              </w:rPr>
            </w:pPr>
            <w:r>
              <w:rPr>
                <w:rFonts w:ascii="Arial;sans-serif" w:hAnsi="Arial;sans-serif"/>
                <w:b/>
                <w:color w:val="000000"/>
                <w:sz w:val="18"/>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Business and Financial Metrics (dollars in millions)</w:t>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Advisors</w:t>
            </w:r>
          </w:p>
        </w:tc>
        <w:tc>
          <w:tcPr>
            <w:tcW w:w="10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32,475 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32,144 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29,353 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total assets per advisor</w:t>
            </w:r>
            <w:r>
              <w:rPr>
                <w:rFonts w:ascii="Arial;sans-serif" w:hAnsi="Arial;sans-serif"/>
                <w:b w:val="false"/>
                <w:color w:val="000000"/>
                <w:sz w:val="12"/>
              </w:rPr>
              <w:t>(6)</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Leverage ratio</w:t>
            </w:r>
            <w:r>
              <w:rPr>
                <w:rFonts w:ascii="Arial;sans-serif" w:hAnsi="Arial;sans-serif"/>
                <w:b w:val="false"/>
                <w:color w:val="000000"/>
                <w:sz w:val="12"/>
              </w:rPr>
              <w:t>(7)</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51"/>
        <w:gridCol w:w="1594"/>
        <w:gridCol w:w="1600"/>
        <w:gridCol w:w="245"/>
        <w:gridCol w:w="891"/>
        <w:gridCol w:w="126"/>
        <w:gridCol w:w="245"/>
        <w:gridCol w:w="891"/>
        <w:gridCol w:w="126"/>
        <w:gridCol w:w="219"/>
        <w:gridCol w:w="907"/>
        <w:gridCol w:w="112"/>
        <w:gridCol w:w="219"/>
        <w:gridCol w:w="798"/>
        <w:gridCol w:w="112"/>
        <w:gridCol w:w="109"/>
        <w:gridCol w:w="160"/>
      </w:tblGrid>
      <w:tr>
        <w:trPr/>
        <w:tc>
          <w:tcPr>
            <w:tcW w:w="185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367"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Financial Metrics (dollars in millions, except per share data)</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5,186.6 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3,835.0 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10,125.1 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7,505.0 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 (“EPS”), diluted</w:t>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Non-GAAP Financial Metrics (dollars in millions, except per share data)</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EPS</w:t>
            </w:r>
            <w:r>
              <w:rPr>
                <w:rFonts w:ascii="Arial;sans-serif" w:hAnsi="Arial;sans-serif"/>
                <w:b w:val="false"/>
                <w:color w:val="000000"/>
                <w:sz w:val="12"/>
              </w:rPr>
              <w:t>(8)</w:t>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Gross profit</w:t>
            </w:r>
            <w:r>
              <w:rPr>
                <w:rFonts w:ascii="Arial;sans-serif" w:hAnsi="Arial;sans-serif"/>
                <w:b w:val="false"/>
                <w:color w:val="000000"/>
                <w:sz w:val="12"/>
              </w:rPr>
              <w:t>(9)</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w:t>
            </w:r>
            <w:r>
              <w:rPr>
                <w:rFonts w:ascii="Arial;sans-serif" w:hAnsi="Arial;sans-serif"/>
                <w:b w:val="false"/>
                <w:color w:val="000000"/>
                <w:sz w:val="12"/>
              </w:rPr>
              <w:t>(10)</w:t>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846.7 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Core G&amp;A</w:t>
            </w:r>
            <w:r>
              <w:rPr>
                <w:rFonts w:ascii="Arial;sans-serif" w:hAnsi="Arial;sans-serif"/>
                <w:b w:val="false"/>
                <w:color w:val="000000"/>
                <w:sz w:val="12"/>
              </w:rPr>
              <w:t>(11)</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(1)Totals may not foot due to rounding.</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(2)Consists of total advisory and brokerage assets under custody at the Company’s primary broker-dealer subsidiary, LPL Financial LLC (“LPL Financial”), as well as assets under custody of a third-party custodian related to Commonwealth Equity Services, LLC (“CES”) and Atria Wealth Solutions, Inc.’s (“Atria”) introducing broker-dealer subsidiaries. Please consult the </w:t>
      </w:r>
      <w:r>
        <w:rPr>
          <w:color w:val="000000"/>
        </w:rPr>
        <w:t>“</w:t>
      </w:r>
      <w:r>
        <w:rPr>
          <w:rFonts w:ascii="Arial;sans-serif" w:hAnsi="Arial;sans-serif"/>
          <w:b w:val="false"/>
          <w:i/>
          <w:color w:val="000000"/>
          <w:sz w:val="16"/>
        </w:rPr>
        <w:t xml:space="preserve">Results of Operations” </w:t>
      </w:r>
      <w:r>
        <w:rPr>
          <w:rFonts w:ascii="Arial;sans-serif" w:hAnsi="Arial;sans-serif"/>
          <w:b w:val="false"/>
          <w:color w:val="000000"/>
          <w:sz w:val="16"/>
        </w:rPr>
        <w:t xml:space="preserve">section for a tabular presentation of advisory and brokerage assets. </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(3)Consists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pStyle w:val="TextBody"/>
        <w:bidi w:val="0"/>
        <w:spacing w:lineRule="auto" w:line="259" w:before="60" w:after="60"/>
        <w:ind w:left="0" w:right="0" w:hanging="540"/>
        <w:jc w:val="left"/>
        <w:rPr/>
      </w:pPr>
      <w:r>
        <w:rPr>
          <w:rFonts w:ascii="Arial;sans-serif" w:hAnsi="Arial;sans-serif"/>
          <w:b w:val="false"/>
          <w:color w:val="000000"/>
          <w:sz w:val="16"/>
          <w:shd w:fill="FFFFFF" w:val="clear"/>
        </w:rPr>
        <w:t>(4)</w:t>
      </w:r>
      <w:r>
        <w:rPr>
          <w:rFonts w:ascii="Arial;sans-serif" w:hAnsi="Arial;sans-serif"/>
          <w:b w:val="false"/>
          <w:color w:val="000000"/>
          <w:sz w:val="16"/>
        </w:rPr>
        <w:t>Calculated as annualized current period organic net new assets divided by preceding period assets in their respective categories of advisory assets or total advisory and brokerage assets.</w:t>
      </w:r>
    </w:p>
    <w:p>
      <w:pPr>
        <w:pStyle w:val="TextBody"/>
        <w:bidi w:val="0"/>
        <w:spacing w:lineRule="auto" w:line="259" w:before="60" w:after="60"/>
        <w:ind w:left="0" w:right="0" w:hanging="540"/>
        <w:jc w:val="left"/>
        <w:rPr>
          <w:rFonts w:ascii="Arial;sans-serif" w:hAnsi="Arial;sans-serif"/>
          <w:b w:val="false"/>
          <w:color w:val="000000"/>
          <w:sz w:val="16"/>
        </w:rPr>
      </w:pPr>
      <w:r>
        <w:rPr>
          <w:rFonts w:ascii="Arial;sans-serif" w:hAnsi="Arial;sans-serif"/>
          <w:b w:val="false"/>
          <w:color w:val="000000"/>
          <w:sz w:val="16"/>
        </w:rPr>
        <w:t xml:space="preserve">(5)Represents the amount of securities purchased less the amount of securities sold in client accounts custodied with LPL Financial. </w:t>
      </w:r>
    </w:p>
    <w:p>
      <w:pPr>
        <w:pStyle w:val="TextBody"/>
        <w:bidi w:val="0"/>
        <w:spacing w:lineRule="auto" w:line="259" w:before="60" w:after="60"/>
        <w:ind w:left="0" w:right="0" w:hanging="540"/>
        <w:jc w:val="left"/>
        <w:rPr>
          <w:rFonts w:ascii="Arial;sans-serif" w:hAnsi="Arial;sans-serif"/>
          <w:b w:val="false"/>
          <w:color w:val="000000"/>
          <w:sz w:val="16"/>
        </w:rPr>
      </w:pPr>
      <w:r>
        <w:rPr>
          <w:rFonts w:ascii="Arial;sans-serif" w:hAnsi="Arial;sans-serif"/>
          <w:b w:val="false"/>
          <w:color w:val="000000"/>
          <w:sz w:val="16"/>
        </w:rPr>
        <w:t>(6)Calculated based on the end of period total advisory and brokerage assets divided by the end of period advisor count.</w:t>
      </w:r>
    </w:p>
    <w:p>
      <w:pPr>
        <w:pStyle w:val="TextBody"/>
        <w:bidi w:val="0"/>
        <w:spacing w:lineRule="auto" w:line="259" w:before="60" w:after="60"/>
        <w:ind w:left="0" w:right="0" w:hanging="540"/>
        <w:jc w:val="left"/>
        <w:rPr/>
      </w:pPr>
      <w:r>
        <w:rPr>
          <w:rFonts w:ascii="Arial;sans-serif" w:hAnsi="Arial;sans-serif"/>
          <w:b w:val="false"/>
          <w:color w:val="000000"/>
          <w:sz w:val="16"/>
        </w:rPr>
        <w:t xml:space="preserve">(7)The leverage ratio is a financial metric from our Credit Agreement and is calculated by dividing Credit Agreement net debt, which equals consolidated total debt less Corporate Cash, by Credit Agreement EBITDA. Credit Agreement EBITDA, a non-GAAP financial measure, is defined in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Please consult the </w:t>
      </w:r>
      <w:r>
        <w:rPr>
          <w:color w:val="000000"/>
        </w:rPr>
        <w:t>“</w:t>
      </w:r>
      <w:r>
        <w:rPr>
          <w:rFonts w:ascii="Arial;sans-serif" w:hAnsi="Arial;sans-serif"/>
          <w:b w:val="false"/>
          <w:i/>
          <w:color w:val="000000"/>
          <w:sz w:val="16"/>
        </w:rPr>
        <w:t>Debt and Related Covenants”</w:t>
      </w:r>
      <w:r>
        <w:rPr>
          <w:color w:val="000000"/>
        </w:rPr>
        <w:t xml:space="preserve"> </w:t>
      </w:r>
      <w:r>
        <w:rPr>
          <w:rFonts w:ascii="Arial;sans-serif" w:hAnsi="Arial;sans-serif"/>
          <w:b w:val="false"/>
          <w:color w:val="000000"/>
          <w:sz w:val="16"/>
        </w:rPr>
        <w:t xml:space="preserve">section for more information. Below are reconciliations of corporate debt and other borrowings to Credit Agreement net debt as of the dates below and net income to EBITDA and Credit Agreement EBITDA for the </w:t>
      </w:r>
      <w:r>
        <w:rPr>
          <w:rFonts w:ascii="Arial;sans-serif" w:hAnsi="Arial;sans-serif"/>
          <w:b w:val="false"/>
          <w:color w:val="000000"/>
          <w:sz w:val="16"/>
          <w:shd w:fill="FFFFFF" w:val="clear"/>
        </w:rPr>
        <w:t>trailing twelve-month</w:t>
      </w:r>
      <w:r>
        <w:rPr>
          <w:color w:val="000000"/>
        </w:rPr>
        <w:t xml:space="preserve"> </w:t>
      </w:r>
      <w:r>
        <w:rPr>
          <w:rFonts w:ascii="Arial;sans-serif" w:hAnsi="Arial;sans-serif"/>
          <w:b w:val="false"/>
          <w:color w:val="000000"/>
          <w:sz w:val="16"/>
        </w:rPr>
        <w:t>periods presented (in millions):</w:t>
      </w:r>
    </w:p>
    <w:tbl>
      <w:tblPr>
        <w:tblW w:w="7442" w:type="dxa"/>
        <w:jc w:val="left"/>
        <w:tblInd w:w="0" w:type="dxa"/>
        <w:tblLayout w:type="fixed"/>
        <w:tblCellMar>
          <w:top w:w="28" w:type="dxa"/>
          <w:left w:w="28" w:type="dxa"/>
          <w:bottom w:w="28" w:type="dxa"/>
          <w:right w:w="28" w:type="dxa"/>
        </w:tblCellMar>
      </w:tblPr>
      <w:tblGrid>
        <w:gridCol w:w="1582"/>
        <w:gridCol w:w="1387"/>
        <w:gridCol w:w="1395"/>
        <w:gridCol w:w="196"/>
        <w:gridCol w:w="706"/>
        <w:gridCol w:w="109"/>
        <w:gridCol w:w="196"/>
        <w:gridCol w:w="706"/>
        <w:gridCol w:w="109"/>
        <w:gridCol w:w="196"/>
        <w:gridCol w:w="706"/>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Agreement Net Debt Reconciliation</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and other borrowings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Corporate Cash</w:t>
            </w:r>
            <w:r>
              <w:rPr>
                <w:rFonts w:ascii="Arial;sans-serif" w:hAnsi="Arial;sans-serif"/>
                <w:b w:val="false"/>
                <w:color w:val="000000"/>
                <w:sz w:val="10"/>
              </w:rPr>
              <w:t>(12)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Credit Agreement Net Debt</w:t>
            </w:r>
            <w:r>
              <w:rPr>
                <w:rFonts w:ascii="Arial;sans-serif" w:hAnsi="Arial;sans-serif"/>
                <w:b/>
                <w:color w:val="000000"/>
                <w:sz w:val="10"/>
              </w:rPr>
              <w: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7,065.9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6,652.7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3,603.0</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 and Credit Agreement EBITDA Reconciliation</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EBITDA</w:t>
            </w:r>
            <w:r>
              <w:rPr>
                <w:rFonts w:ascii="Arial;sans-serif" w:hAnsi="Arial;sans-serif"/>
                <w:b/>
                <w:color w:val="000000"/>
                <w:sz w:val="10"/>
              </w:rPr>
              <w: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Agreement Adjustments:</w:t>
            </w:r>
          </w:p>
        </w:tc>
        <w:tc>
          <w:tcPr>
            <w:tcW w:w="10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 and other</w:t>
            </w:r>
            <w:r>
              <w:rPr>
                <w:rFonts w:ascii="Arial;sans-serif" w:hAnsi="Arial;sans-serif"/>
                <w:b w:val="false"/>
                <w:color w:val="000000"/>
                <w:sz w:val="10"/>
              </w:rPr>
              <w:t>(13)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share-based compensation</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M&amp;A accretion</w:t>
            </w:r>
            <w:r>
              <w:rPr>
                <w:rFonts w:ascii="Arial;sans-serif" w:hAnsi="Arial;sans-serif"/>
                <w:b w:val="false"/>
                <w:color w:val="000000"/>
                <w:sz w:val="10"/>
              </w:rPr>
              <w:t>(14)</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 share-based compensation</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Credit Agreement EBITDA</w:t>
            </w:r>
            <w:r>
              <w:rPr>
                <w:rFonts w:ascii="Arial;sans-serif" w:hAnsi="Arial;sans-serif"/>
                <w:b/>
                <w:color w:val="000000"/>
                <w:sz w:val="10"/>
              </w:rPr>
              <w: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3,695.5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3,575.6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2,922.4</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Leverage Ratio</w:t>
            </w:r>
          </w:p>
        </w:tc>
        <w:tc>
          <w:tcPr>
            <w:tcW w:w="90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0"/>
        <w:ind w:left="0" w:right="0" w:firstLine="18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59" w:before="120" w:after="120"/>
        <w:ind w:left="0" w:right="0" w:hanging="540"/>
        <w:jc w:val="left"/>
        <w:rPr>
          <w:rFonts w:ascii="Arial;sans-serif" w:hAnsi="Arial;sans-serif"/>
          <w:b w:val="false"/>
          <w:color w:val="000000"/>
          <w:sz w:val="16"/>
        </w:rPr>
      </w:pPr>
      <w:r>
        <w:rPr>
          <w:rFonts w:ascii="Arial;sans-serif" w:hAnsi="Arial;sans-serif"/>
          <w:b w:val="false"/>
          <w:color w:val="000000"/>
          <w:sz w:val="16"/>
        </w:rPr>
        <w:t>(8)Adjusted EPS is a non-GAAP financial measure defined as adjusted net income, a non-GAAP financial measure defined as net income plus the after-tax impact of amortization of other intangibles and acquisition costs,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and acquisition costs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Below is a reconciliation of net income and earnings per diluted share to adjusted net income and adjusted EPS for the periods presented (in millions, except per share data):</w:t>
      </w:r>
    </w:p>
    <w:tbl>
      <w:tblPr>
        <w:tblW w:w="10205" w:type="dxa"/>
        <w:jc w:val="left"/>
        <w:tblInd w:w="0" w:type="dxa"/>
        <w:tblLayout w:type="fixed"/>
        <w:tblCellMar>
          <w:top w:w="28" w:type="dxa"/>
          <w:left w:w="28" w:type="dxa"/>
          <w:bottom w:w="28" w:type="dxa"/>
          <w:right w:w="28" w:type="dxa"/>
        </w:tblCellMar>
      </w:tblPr>
      <w:tblGrid>
        <w:gridCol w:w="1103"/>
        <w:gridCol w:w="886"/>
        <w:gridCol w:w="890"/>
        <w:gridCol w:w="196"/>
        <w:gridCol w:w="571"/>
        <w:gridCol w:w="109"/>
        <w:gridCol w:w="204"/>
        <w:gridCol w:w="502"/>
        <w:gridCol w:w="113"/>
        <w:gridCol w:w="196"/>
        <w:gridCol w:w="571"/>
        <w:gridCol w:w="109"/>
        <w:gridCol w:w="204"/>
        <w:gridCol w:w="502"/>
        <w:gridCol w:w="113"/>
        <w:gridCol w:w="196"/>
        <w:gridCol w:w="571"/>
        <w:gridCol w:w="109"/>
        <w:gridCol w:w="196"/>
        <w:gridCol w:w="571"/>
        <w:gridCol w:w="109"/>
        <w:gridCol w:w="196"/>
        <w:gridCol w:w="571"/>
        <w:gridCol w:w="109"/>
        <w:gridCol w:w="204"/>
        <w:gridCol w:w="502"/>
        <w:gridCol w:w="113"/>
        <w:gridCol w:w="109"/>
        <w:gridCol w:w="109"/>
        <w:gridCol w:w="109"/>
        <w:gridCol w:w="162"/>
      </w:tblGrid>
      <w:tr>
        <w:trPr/>
        <w:tc>
          <w:tcPr>
            <w:tcW w:w="11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44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0" w:type="dxa"/>
            <w:gridSpan w:val="3"/>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6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7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6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 Adjusted EPS Reconciliation</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 earnings per diluted share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Amortization of other intangibles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w:t>
            </w:r>
            <w:r>
              <w:rPr>
                <w:rFonts w:ascii="Arial;sans-serif" w:hAnsi="Arial;sans-serif"/>
                <w:b w:val="false"/>
                <w:color w:val="000000"/>
                <w:sz w:val="10"/>
              </w:rPr>
              <w:t>(15)</w:t>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benefit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Net Income / Adjusted EPS</w:t>
            </w:r>
            <w:r>
              <w:rPr>
                <w:rFonts w:ascii="Arial;sans-serif" w:hAnsi="Arial;sans-serif"/>
                <w:b/>
                <w:color w:val="000000"/>
                <w:sz w:val="10"/>
              </w:rPr>
              <w: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467.7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w:t>
            </w:r>
            <w:r>
              <w:rPr>
                <w:color w:val="000000"/>
              </w:rPr>
              <w:t>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918.5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w:t>
            </w:r>
            <w:r>
              <w:rPr>
                <w:color w:val="000000"/>
              </w:rPr>
              <w:t>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diluted</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59" w:before="120" w:after="120"/>
        <w:ind w:left="0" w:right="0" w:hanging="540"/>
        <w:jc w:val="left"/>
        <w:rPr>
          <w:rFonts w:ascii="Arial;sans-serif" w:hAnsi="Arial;sans-serif"/>
          <w:b w:val="false"/>
          <w:color w:val="000000"/>
          <w:sz w:val="16"/>
        </w:rPr>
      </w:pPr>
      <w:r>
        <w:rPr>
          <w:rFonts w:ascii="Arial;sans-serif" w:hAnsi="Arial;sans-serif"/>
          <w:b w:val="false"/>
          <w:color w:val="000000"/>
          <w:sz w:val="16"/>
        </w:rPr>
        <w:t>(9)Gross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 (in millions):</w:t>
      </w:r>
    </w:p>
    <w:tbl>
      <w:tblPr>
        <w:tblW w:w="8269" w:type="dxa"/>
        <w:jc w:val="left"/>
        <w:tblInd w:w="0" w:type="dxa"/>
        <w:tblLayout w:type="fixed"/>
        <w:tblCellMar>
          <w:top w:w="28" w:type="dxa"/>
          <w:left w:w="28" w:type="dxa"/>
          <w:bottom w:w="28" w:type="dxa"/>
          <w:right w:w="28" w:type="dxa"/>
        </w:tblCellMar>
      </w:tblPr>
      <w:tblGrid>
        <w:gridCol w:w="1192"/>
        <w:gridCol w:w="1048"/>
        <w:gridCol w:w="1059"/>
        <w:gridCol w:w="238"/>
        <w:gridCol w:w="859"/>
        <w:gridCol w:w="132"/>
        <w:gridCol w:w="238"/>
        <w:gridCol w:w="859"/>
        <w:gridCol w:w="132"/>
        <w:gridCol w:w="210"/>
        <w:gridCol w:w="838"/>
        <w:gridCol w:w="117"/>
        <w:gridCol w:w="210"/>
        <w:gridCol w:w="757"/>
        <w:gridCol w:w="117"/>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49"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Profit</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5,186.6 </w:t>
            </w:r>
          </w:p>
        </w:tc>
        <w:tc>
          <w:tcPr>
            <w:tcW w:w="1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3,835.0 </w:t>
            </w:r>
          </w:p>
        </w:tc>
        <w:tc>
          <w:tcPr>
            <w:tcW w:w="1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10,125.1 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7,505.0 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Advisory and commission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clearing and exchange expense</w:t>
            </w:r>
          </w:p>
        </w:tc>
        <w:tc>
          <w:tcPr>
            <w:tcW w:w="10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Employee deferred compensation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Gross Profit</w:t>
            </w:r>
            <w:r>
              <w:rPr>
                <w:rFonts w:ascii="Arial;sans-serif" w:hAnsi="Arial;sans-serif"/>
                <w:b/>
                <w:color w:val="000000"/>
                <w:sz w:val="10"/>
              </w:rPr>
              <w:t>(†)</w:t>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1,618.3</w:t>
            </w:r>
            <w:r>
              <w:rPr>
                <w:color w:val="000000"/>
              </w:rPr>
              <w:t> </w:t>
            </w:r>
          </w:p>
        </w:tc>
        <w:tc>
          <w:tcPr>
            <w:tcW w:w="1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1,304.3</w:t>
            </w:r>
            <w:r>
              <w:rPr>
                <w:color w:val="000000"/>
              </w:rPr>
              <w:t> </w:t>
            </w:r>
          </w:p>
        </w:tc>
        <w:tc>
          <w:tcPr>
            <w:tcW w:w="1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3,211.0</w:t>
            </w:r>
            <w:r>
              <w:rPr>
                <w:color w:val="000000"/>
              </w:rPr>
              <w:t> </w:t>
            </w:r>
          </w:p>
        </w:tc>
        <w:tc>
          <w:tcPr>
            <w:tcW w:w="1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2,576.9</w:t>
            </w:r>
            <w:r>
              <w:rPr>
                <w:color w:val="000000"/>
              </w:rPr>
              <w:t> </w:t>
            </w:r>
          </w:p>
        </w:tc>
        <w:tc>
          <w:tcPr>
            <w:tcW w:w="1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59" w:before="120" w:after="120"/>
        <w:ind w:left="0" w:right="0" w:hanging="54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(10)EBITDA and adjusted EBITDA are non-GAAP financial measures. EBITDA is defined as net income plus interest expense on borrowings, provision for income taxes, depreciation and amortization, and amortization of other intangibles. Adjusted EBITDA is defined as EBITDA plus acquisition costs excluding interest.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alternatives to net income or any other performance measure derived in accordance with GAAP. Below is a reconciliation of net income to EBITDA and adjusted EBITDA for the periods presented (in millions):</w:t>
      </w:r>
    </w:p>
    <w:tbl>
      <w:tblPr>
        <w:tblW w:w="7821" w:type="dxa"/>
        <w:jc w:val="left"/>
        <w:tblInd w:w="0" w:type="dxa"/>
        <w:tblLayout w:type="fixed"/>
        <w:tblCellMar>
          <w:top w:w="28" w:type="dxa"/>
          <w:left w:w="28" w:type="dxa"/>
          <w:bottom w:w="28" w:type="dxa"/>
          <w:right w:w="28" w:type="dxa"/>
        </w:tblCellMar>
      </w:tblPr>
      <w:tblGrid>
        <w:gridCol w:w="1034"/>
        <w:gridCol w:w="906"/>
        <w:gridCol w:w="910"/>
        <w:gridCol w:w="275"/>
        <w:gridCol w:w="802"/>
        <w:gridCol w:w="153"/>
        <w:gridCol w:w="275"/>
        <w:gridCol w:w="802"/>
        <w:gridCol w:w="153"/>
        <w:gridCol w:w="218"/>
        <w:gridCol w:w="785"/>
        <w:gridCol w:w="121"/>
        <w:gridCol w:w="218"/>
        <w:gridCol w:w="785"/>
        <w:gridCol w:w="121"/>
        <w:gridCol w:w="109"/>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48"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 Reconciliation</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379.3 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591.8 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EBITDA</w:t>
            </w:r>
            <w:r>
              <w:rPr>
                <w:rFonts w:ascii="Arial;sans-serif" w:hAnsi="Arial;sans-serif"/>
                <w:b/>
                <w:color w:val="000000"/>
                <w:sz w:val="10"/>
              </w:rPr>
              <w:t>(†)</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797.7</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1,555.6</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1,255.8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 excluding interest</w:t>
            </w:r>
            <w:r>
              <w:rPr>
                <w:rFonts w:ascii="Arial;sans-serif" w:hAnsi="Arial;sans-serif"/>
                <w:b w:val="false"/>
                <w:color w:val="000000"/>
                <w:sz w:val="10"/>
              </w:rPr>
              <w:t>(15)</w:t>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EBITDA</w:t>
            </w:r>
            <w:r>
              <w:rPr>
                <w:rFonts w:ascii="Arial;sans-serif" w:hAnsi="Arial;sans-serif"/>
                <w:b/>
                <w:color w:val="000000"/>
                <w:sz w:val="10"/>
              </w:rPr>
              <w: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846.7</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688.3</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1,665.7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1,370.7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120" w:after="120"/>
        <w:ind w:left="0" w:right="0" w:hanging="54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59" w:before="120" w:after="120"/>
        <w:ind w:left="0" w:right="0" w:hanging="540"/>
        <w:jc w:val="left"/>
        <w:rPr>
          <w:rFonts w:ascii="Arial;sans-serif" w:hAnsi="Arial;sans-serif"/>
          <w:b w:val="false"/>
          <w:color w:val="000000"/>
          <w:sz w:val="16"/>
        </w:rPr>
      </w:pPr>
      <w:r>
        <w:rPr>
          <w:rFonts w:ascii="Arial;sans-serif" w:hAnsi="Arial;sans-serif"/>
          <w:b w:val="false"/>
          <w:color w:val="000000"/>
          <w:sz w:val="16"/>
        </w:rPr>
        <w:t>(11)Core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promotional (ongoing); transition assistance loan amortization; acquisition costs excluding interest;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 (in millions):</w:t>
      </w:r>
    </w:p>
    <w:tbl>
      <w:tblPr>
        <w:tblW w:w="7886" w:type="dxa"/>
        <w:jc w:val="left"/>
        <w:tblInd w:w="0" w:type="dxa"/>
        <w:tblLayout w:type="fixed"/>
        <w:tblCellMar>
          <w:top w:w="28" w:type="dxa"/>
          <w:left w:w="28" w:type="dxa"/>
          <w:bottom w:w="28" w:type="dxa"/>
          <w:right w:w="28" w:type="dxa"/>
        </w:tblCellMar>
      </w:tblPr>
      <w:tblGrid>
        <w:gridCol w:w="1137"/>
        <w:gridCol w:w="997"/>
        <w:gridCol w:w="1001"/>
        <w:gridCol w:w="242"/>
        <w:gridCol w:w="853"/>
        <w:gridCol w:w="134"/>
        <w:gridCol w:w="242"/>
        <w:gridCol w:w="853"/>
        <w:gridCol w:w="134"/>
        <w:gridCol w:w="219"/>
        <w:gridCol w:w="789"/>
        <w:gridCol w:w="121"/>
        <w:gridCol w:w="219"/>
        <w:gridCol w:w="773"/>
        <w:gridCol w:w="172"/>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G&amp;A Reconciliation</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color w:val="000000"/>
                <w:sz w:val="16"/>
              </w:rPr>
            </w:pPr>
            <w:r>
              <w:rPr>
                <w:rFonts w:ascii="Arial;sans-serif" w:hAnsi="Arial;sans-serif"/>
                <w:b/>
                <w:color w:val="000000"/>
                <w:sz w:val="16"/>
              </w:rPr>
              <w:t>2025</w:t>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4,671.1 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3,466.2 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9,125.0 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6,719.0 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Advisory and commission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clearing and exchange</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Employee deferred compensation</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G&amp;A</w:t>
            </w:r>
            <w:r>
              <w:rPr>
                <w:rFonts w:ascii="Arial;sans-serif" w:hAnsi="Arial;sans-serif"/>
                <w:b/>
                <w:color w:val="000000"/>
                <w:sz w:val="10"/>
              </w:rPr>
              <w:t>(†)</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820.6</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687.5</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1,655.4</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1,321.2</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Promotional (ongoing)</w:t>
            </w:r>
            <w:r>
              <w:rPr>
                <w:rFonts w:ascii="Arial;sans-serif" w:hAnsi="Arial;sans-serif"/>
                <w:b w:val="false"/>
                <w:color w:val="000000"/>
                <w:sz w:val="10"/>
              </w:rPr>
              <w:t>(16)</w:t>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Transition assistance loan amortization</w:t>
            </w:r>
            <w:r>
              <w:rPr>
                <w:rFonts w:ascii="Arial;sans-serif" w:hAnsi="Arial;sans-serif"/>
                <w:b w:val="false"/>
                <w:color w:val="000000"/>
                <w:sz w:val="10"/>
              </w:rPr>
              <w:t>(17)</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 excluding interest</w:t>
            </w:r>
            <w:r>
              <w:rPr>
                <w:rFonts w:ascii="Arial;sans-serif" w:hAnsi="Arial;sans-serif"/>
                <w:b w:val="false"/>
                <w:color w:val="000000"/>
                <w:sz w:val="10"/>
              </w:rPr>
              <w:t>(15)</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share-based compensation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Regulatory charges</w:t>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G&amp;A</w:t>
            </w:r>
            <w:r>
              <w:rPr>
                <w:rFonts w:ascii="Arial;sans-serif" w:hAnsi="Arial;sans-serif"/>
                <w:b/>
                <w:color w:val="000000"/>
                <w:sz w:val="10"/>
              </w:rPr>
              <w:t>(†)</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519.3</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1,051.3</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838.7</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120" w:after="120"/>
        <w:ind w:left="0" w:right="0" w:hanging="54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(12)See the </w:t>
      </w:r>
      <w:r>
        <w:rPr>
          <w:color w:val="000000"/>
        </w:rPr>
        <w:t>“</w:t>
      </w:r>
      <w:r>
        <w:rPr>
          <w:rFonts w:ascii="Arial;sans-serif" w:hAnsi="Arial;sans-serif"/>
          <w:b w:val="false"/>
          <w:i/>
          <w:color w:val="000000"/>
          <w:sz w:val="16"/>
        </w:rPr>
        <w:t>Liquidity and Capital Resources”</w:t>
      </w:r>
      <w:r>
        <w:rPr>
          <w:color w:val="000000"/>
        </w:rPr>
        <w:t xml:space="preserve"> </w:t>
      </w:r>
      <w:r>
        <w:rPr>
          <w:rFonts w:ascii="Arial;sans-serif" w:hAnsi="Arial;sans-serif"/>
          <w:b w:val="false"/>
          <w:color w:val="000000"/>
          <w:sz w:val="16"/>
        </w:rPr>
        <w:t>section for additional information about Corporate Cash. Corporate Cash at June 30, 2025 also includes certain of Atria's introducing broker-dealer subsidiaries.</w:t>
      </w:r>
    </w:p>
    <w:p>
      <w:pPr>
        <w:pStyle w:val="TextBody"/>
        <w:bidi w:val="0"/>
        <w:spacing w:lineRule="auto" w:line="288" w:before="60" w:after="60"/>
        <w:ind w:left="0" w:right="0" w:hanging="540"/>
        <w:jc w:val="left"/>
        <w:rPr/>
      </w:pPr>
      <w:r>
        <w:rPr>
          <w:rFonts w:ascii="Arial;sans-serif" w:hAnsi="Arial;sans-serif"/>
          <w:b w:val="false"/>
          <w:color w:val="000000"/>
          <w:sz w:val="16"/>
          <w:shd w:fill="FFFFFF" w:val="clear"/>
        </w:rPr>
        <w:t>(13)</w:t>
      </w:r>
      <w:r>
        <w:rPr>
          <w:rFonts w:ascii="Arial;sans-serif" w:hAnsi="Arial;sans-serif"/>
          <w:b w:val="false"/>
          <w:color w:val="000000"/>
          <w:sz w:val="16"/>
        </w:rPr>
        <w:t>Acquisition costs and other for the twelve months ending June 30, 2026 and March 31, 2026 primarily include costs related to acquisitions and the integration of the strategic relationship with Prudential Financial, Inc. Acquisition costs and other for the twelve months ending June 30, 2025 includes a $26.4 million reduction related to the departure of the Company’s former Chief Executive Officer, and an $18.0 million regulatory charge related to a penalty proposed by the SEC as part of its civil investigation of the Company’s compliance with certain elements of the Company’s anti-money laundering compliance program.</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(14)M&amp;A accretion is an adjustment to reflect the annualized expected run rate EBITDA of an acquisition as permitted by the Credit Agreement for up to eight fiscal quarters following the close of such acquisition. The increase in M&amp;A accretion for the twelve months ending June 30, 2026 and March 31, 2026 as compared to the twelve months ending June 30, 2025 was primarily related to the impact of acquisitions.</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(15)Acquisition costs include the costs to setup, onboard and integrate acquired entities and other costs that were incurred as a result of acquisitions. The below table summarizes the primary components of acquisition costs for the periods presented (in millions):</w:t>
      </w:r>
    </w:p>
    <w:tbl>
      <w:tblPr>
        <w:tblW w:w="8397" w:type="dxa"/>
        <w:jc w:val="left"/>
        <w:tblInd w:w="0" w:type="dxa"/>
        <w:tblLayout w:type="fixed"/>
        <w:tblCellMar>
          <w:top w:w="28" w:type="dxa"/>
          <w:left w:w="28" w:type="dxa"/>
          <w:bottom w:w="28" w:type="dxa"/>
          <w:right w:w="28" w:type="dxa"/>
        </w:tblCellMar>
      </w:tblPr>
      <w:tblGrid>
        <w:gridCol w:w="1320"/>
        <w:gridCol w:w="1160"/>
        <w:gridCol w:w="1165"/>
        <w:gridCol w:w="306"/>
        <w:gridCol w:w="753"/>
        <w:gridCol w:w="170"/>
        <w:gridCol w:w="306"/>
        <w:gridCol w:w="753"/>
        <w:gridCol w:w="170"/>
        <w:gridCol w:w="241"/>
        <w:gridCol w:w="703"/>
        <w:gridCol w:w="134"/>
        <w:gridCol w:w="241"/>
        <w:gridCol w:w="703"/>
        <w:gridCol w:w="272"/>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4"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Acquisition costs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val="false"/>
                <w:color w:val="000000"/>
                <w:sz w:val="16"/>
              </w:rPr>
            </w:pPr>
            <w:r>
              <w:rPr>
                <w:rFonts w:ascii="Arial;sans-serif" w:hAnsi="Arial;sans-serif"/>
                <w:b w:val="false"/>
                <w:color w:val="000000"/>
                <w:sz w:val="16"/>
              </w:rPr>
              <w:t>Compensation and benefits</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Arial;sans-serif" w:hAnsi="Arial;sans-serif"/>
                <w:b w:val="false"/>
                <w:color w:val="000000"/>
                <w:sz w:val="16"/>
              </w:rPr>
              <w:t>Promotional</w:t>
            </w:r>
            <w:r>
              <w:rPr>
                <w:rFonts w:ascii="Arial;sans-serif" w:hAnsi="Arial;sans-serif"/>
                <w:b w:val="false"/>
                <w:color w:val="000000"/>
                <w:sz w:val="10"/>
              </w:rPr>
              <w:t>(16)</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Acquisition costs excluding interest</w:t>
            </w:r>
            <w:r>
              <w:rPr>
                <w:rFonts w:ascii="Arial;sans-serif" w:hAnsi="Arial;sans-serif"/>
                <w:b/>
                <w:color w:val="000000"/>
                <w:sz w:val="10"/>
              </w:rPr>
              <w:t>(†)</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val="false"/>
                <w:color w:val="000000"/>
                <w:sz w:val="16"/>
              </w:rPr>
            </w:pPr>
            <w:r>
              <w:rPr>
                <w:rFonts w:ascii="Arial;sans-serif" w:hAnsi="Arial;sans-serif"/>
                <w:b w:val="false"/>
                <w:color w:val="000000"/>
                <w:sz w:val="16"/>
              </w:rPr>
              <w:t>Interest</w:t>
            </w:r>
          </w:p>
        </w:tc>
        <w:tc>
          <w:tcPr>
            <w:tcW w:w="10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Acquisition costs</w:t>
            </w:r>
            <w:r>
              <w:rPr>
                <w:rFonts w:ascii="Arial;sans-serif" w:hAnsi="Arial;sans-serif"/>
                <w:b/>
                <w:color w:val="000000"/>
                <w:sz w:val="10"/>
              </w:rPr>
              <w: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110.2</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123.4</w:t>
            </w: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120" w:after="12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(16)Promotional (ongoing) for the three and six months ended June 30, 2026 includes $13.5 million and $30.4 million, respectively, of support costs related to full-time employees that are classified within compensation and benefits expense in the condensed consolidated statements of income compared to $21.2 million and $36.0 million for the same periods in 2025. Promotional (ongoing) excludes costs that have been incurred as part of acquisitions, which are included in the Acquisition costs line item.</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(17)During the fourth quarter of 2025, the Company updated its definition of Promotional (ongoing) to exclude transition assistance loan amortization. As a result, transition assistance loan amortization is now disclosed as a separate line in Core G&amp;A. Prior period disclosures have been updated to reflect these changes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Legal and Regulatory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financial services industry is subject to extensive regulation by U.S. federal and state government agencies as well as various self-regulatory organizations. Compliance with all applicable laws and regulations involves a significant investment in time and resources, and we continue to invest in our compliance functions to monitor our adherence to the numerous legal and regulatory requirements applicable to our business. Any new laws or regulations applicable to our business, any changes to existing laws or regulations, or any changes to the interpretations or enforcement of those laws or regulations may affect our operations and/or financial condition. We seek to participate in the development of significant rules and regulations that govern our industry.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a regulated entity, we are subject to regulatory oversight and inquiries related to, among other items, our compliance and supervisory systems and procedures and other controls, as well as our disclosures, supervision and reporting. Additional regulation and enhanced regulatory enforcement has resulted, and may result in the future, in changes to our service offerings and additional operational and compliance costs, as well as increased costs in the form of penalties and fines, investigatory and settlement costs, customer restitution and remediation related to regulatory matters. In the ordinary course of business, we periodically identify or become aware of purported inadequacies, deficiencies and other issues. It is our policy to evaluate these matters for potential legal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Assessing the probability of a loss occurring and the timing and amount of any loss related to a regulatory matter or legal proceeding, whether or not covered by our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accruals, including those established through our captive insurance subsidiary at June 30, 2026, include estimated costs for significant regulatory matters or legal proceedings, generally relating to the adequacy of our compliance and supervisory systems and procedures and other controls, for which we believe losses are both probable and reasonably estimable. </w:t>
      </w:r>
    </w:p>
    <w:p>
      <w:pPr>
        <w:pStyle w:val="TextBody"/>
        <w:bidi w:val="0"/>
        <w:spacing w:lineRule="auto" w:line="288" w:before="120" w:after="120"/>
        <w:jc w:val="left"/>
        <w:rPr/>
      </w:pPr>
      <w:r>
        <w:rPr>
          <w:rFonts w:ascii="Arial;sans-serif" w:hAnsi="Arial;sans-serif"/>
          <w:b w:val="false"/>
          <w:color w:val="000000"/>
          <w:sz w:val="20"/>
        </w:rPr>
        <w:t xml:space="preserve">The outcome of regulatory or legal proceedings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10 - </w:t>
      </w:r>
      <w:r>
        <w:rPr>
          <w:rFonts w:ascii="Arial;sans-serif" w:hAnsi="Arial;sans-serif"/>
          <w:b w:val="false"/>
          <w:i/>
          <w:color w:val="000000"/>
          <w:sz w:val="20"/>
        </w:rPr>
        <w:t>Commitments and Contingencies</w:t>
      </w:r>
      <w:r>
        <w:rPr>
          <w:rFonts w:ascii="Arial;sans-serif" w:hAnsi="Arial;sans-serif"/>
          <w:b w:val="false"/>
          <w:color w:val="000000"/>
          <w:sz w:val="20"/>
        </w:rPr>
        <w:t>, within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Economic Overview and Impact of Financial Market Events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is directly and indirectly sensitive to several macroeconomic factors and the state of the financial markets in the United States. The equity markets rose during the second quarter of 2026, with the S&amp;P 500 index rising 15.2% and Russell 2000 rising 21.2%.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is also sensitive to current and expected short-term interest rates, which are largely driven by Federal Reserve (“Fed”) policy. During the second quarter of 2026, Fed policymakers maintained the target federal funds rate with a range of 3.50% to 3.75%. To the extent they pursue faster easing in monetary policy, the Federal Open Market Committee members will continue to take into account the evolving economic outlook and balance of risks.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Please consult the </w:t>
      </w:r>
      <w:r>
        <w:rPr>
          <w:color w:val="000000"/>
        </w:rPr>
        <w:t>“</w:t>
      </w:r>
      <w:r>
        <w:rPr>
          <w:rFonts w:ascii="Arial;sans-serif" w:hAnsi="Arial;sans-serif"/>
          <w:b w:val="false"/>
          <w:i/>
          <w:color w:val="000000"/>
          <w:sz w:val="20"/>
        </w:rPr>
        <w:t>Risks Related to Our Business and Industry”</w:t>
      </w:r>
      <w:r>
        <w:rPr>
          <w:color w:val="000000"/>
        </w:rPr>
        <w:t xml:space="preserve"> </w:t>
      </w:r>
      <w:r>
        <w:rPr>
          <w:rFonts w:ascii="Arial;sans-serif" w:hAnsi="Arial;sans-serif"/>
          <w:b w:val="false"/>
          <w:color w:val="000000"/>
          <w:sz w:val="20"/>
        </w:rPr>
        <w:t xml:space="preserve">section within Part I, </w:t>
      </w:r>
      <w:r>
        <w:rPr>
          <w:color w:val="000000"/>
        </w:rPr>
        <w:t>“</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in our 2025 Annual Report on Form 10-K for more information about the risks associated with significant interest rate changes and the potential related effects on our profitability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discussion presents an analysis of our results of operations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065"/>
        <w:gridCol w:w="726"/>
        <w:gridCol w:w="737"/>
        <w:gridCol w:w="211"/>
        <w:gridCol w:w="980"/>
        <w:gridCol w:w="109"/>
        <w:gridCol w:w="211"/>
        <w:gridCol w:w="980"/>
        <w:gridCol w:w="109"/>
        <w:gridCol w:w="217"/>
        <w:gridCol w:w="217"/>
        <w:gridCol w:w="542"/>
        <w:gridCol w:w="211"/>
        <w:gridCol w:w="976"/>
        <w:gridCol w:w="109"/>
        <w:gridCol w:w="211"/>
        <w:gridCol w:w="976"/>
        <w:gridCol w:w="109"/>
        <w:gridCol w:w="217"/>
        <w:gridCol w:w="217"/>
        <w:gridCol w:w="542"/>
        <w:gridCol w:w="109"/>
        <w:gridCol w:w="109"/>
        <w:gridCol w:w="315"/>
      </w:tblGrid>
      <w:tr>
        <w:trPr/>
        <w:tc>
          <w:tcPr>
            <w:tcW w:w="106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commission</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Asset-based:</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asset-based</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asset-based</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fee</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ind w:left="0" w:right="0" w:hanging="45"/>
              <w:jc w:val="left"/>
              <w:rPr>
                <w:rFonts w:ascii="Arial;sans-serif" w:hAnsi="Arial;sans-serif"/>
                <w:b w:val="false"/>
                <w:color w:val="000000"/>
                <w:sz w:val="18"/>
              </w:rPr>
            </w:pPr>
            <w:r>
              <w:rPr>
                <w:rFonts w:ascii="Arial;sans-serif" w:hAnsi="Arial;sans-serif"/>
                <w:b w:val="false"/>
                <w:color w:val="000000"/>
                <w:sz w:val="18"/>
              </w:rPr>
              <w:t>Total revenue    </w:t>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5,186,623 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3,835,025 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10,125,057 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7,505,032 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w:t>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and commission</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6,798,373 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borrowings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clearing and exchange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Communications and data processing</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ind w:left="0" w:right="0" w:hanging="45"/>
              <w:jc w:val="left"/>
              <w:rPr>
                <w:rFonts w:ascii="Arial;sans-serif" w:hAnsi="Arial;sans-serif"/>
                <w:b w:val="false"/>
                <w:color w:val="000000"/>
                <w:sz w:val="18"/>
              </w:rPr>
            </w:pPr>
            <w:r>
              <w:rPr>
                <w:rFonts w:ascii="Arial;sans-serif" w:hAnsi="Arial;sans-serif"/>
                <w:b w:val="false"/>
                <w:color w:val="000000"/>
                <w:sz w:val="18"/>
              </w:rPr>
              <w:t>Total expense    </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25" w:before="0" w:after="0"/>
              <w:ind w:left="0" w:right="0" w:hanging="180"/>
              <w:jc w:val="left"/>
              <w:rPr>
                <w:color w:val="000000"/>
              </w:rPr>
            </w:pPr>
            <w:r>
              <w:rPr>
                <w:color w:val="000000"/>
              </w:rPr>
              <w:t> </w:t>
            </w:r>
            <w:r>
              <w:rPr>
                <w:rFonts w:ascii="Arial;sans-serif" w:hAnsi="Arial;sans-serif"/>
                <w:b w:val="false"/>
                <w:color w:val="000000"/>
                <w:sz w:val="18"/>
              </w:rPr>
              <w:t>INCOME BEFORE PROVISION FOR INCOME TAXES</w:t>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25" w:before="40" w:after="283"/>
              <w:ind w:left="0" w:right="0" w:hanging="180"/>
              <w:jc w:val="left"/>
              <w:rPr>
                <w:color w:val="000000"/>
              </w:rPr>
            </w:pPr>
            <w:r>
              <w:rPr>
                <w:color w:val="000000"/>
              </w:rPr>
              <w:t> </w:t>
            </w:r>
            <w:r>
              <w:rPr>
                <w:rFonts w:ascii="Arial;sans-serif" w:hAnsi="Arial;sans-serif"/>
                <w:b w:val="false"/>
                <w:color w:val="000000"/>
                <w:sz w:val="18"/>
              </w:rPr>
              <w:t>PROVISION FOR INCOME TAXES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DBDBDB" w:val="clear"/>
            <w:tcMar>
              <w:top w:w="0" w:type="dxa"/>
              <w:left w:w="0" w:type="dxa"/>
              <w:bottom w:w="0" w:type="dxa"/>
              <w:right w:w="0" w:type="dxa"/>
            </w:tcMar>
            <w:vAlign w:val="center"/>
          </w:tcPr>
          <w:p>
            <w:pPr>
              <w:pStyle w:val="TableContents"/>
              <w:bidi w:val="0"/>
              <w:spacing w:lineRule="auto" w:line="225" w:before="40" w:after="283"/>
              <w:ind w:left="0" w:right="0" w:hanging="45"/>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379,261 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735,665 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591,822 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Advisory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Advisory revenue represents fees charged to advisors’ clients’ advisory accounts on our corporate registered investment adviser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 billing date is adjusted for contributions and withdrawals during the period to determine the amount of revenue earned in the period. Advisory revenue collected on our corporate RIA advisory platform is proposed by the advisor and agreed to by the client and was approximately 1% of the underlying assets for the six months ended June 30,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also support independent RIA firms that conduct their business through our separate registered investment adviser firms (“Independent RIAs”)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condensed consolidated statements of income.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composition of advisory assets for the periods presented (in billions):</w:t>
      </w:r>
    </w:p>
    <w:tbl>
      <w:tblPr>
        <w:tblW w:w="6934" w:type="dxa"/>
        <w:jc w:val="left"/>
        <w:tblInd w:w="0" w:type="dxa"/>
        <w:tblLayout w:type="fixed"/>
        <w:tblCellMar>
          <w:top w:w="28" w:type="dxa"/>
          <w:left w:w="28" w:type="dxa"/>
          <w:bottom w:w="28" w:type="dxa"/>
          <w:right w:w="28" w:type="dxa"/>
        </w:tblCellMar>
      </w:tblPr>
      <w:tblGrid>
        <w:gridCol w:w="1014"/>
        <w:gridCol w:w="893"/>
        <w:gridCol w:w="898"/>
        <w:gridCol w:w="211"/>
        <w:gridCol w:w="766"/>
        <w:gridCol w:w="109"/>
        <w:gridCol w:w="211"/>
        <w:gridCol w:w="766"/>
        <w:gridCol w:w="109"/>
        <w:gridCol w:w="211"/>
        <w:gridCol w:w="616"/>
        <w:gridCol w:w="109"/>
        <w:gridCol w:w="208"/>
        <w:gridCol w:w="208"/>
        <w:gridCol w:w="605"/>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19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advisory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6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RIA advisory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advisory assets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6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tbl>
      <w:tblPr>
        <w:tblW w:w="7617" w:type="dxa"/>
        <w:jc w:val="left"/>
        <w:tblInd w:w="0" w:type="dxa"/>
        <w:tblLayout w:type="fixed"/>
        <w:tblCellMar>
          <w:top w:w="28" w:type="dxa"/>
          <w:left w:w="28" w:type="dxa"/>
          <w:bottom w:w="28" w:type="dxa"/>
          <w:right w:w="28" w:type="dxa"/>
        </w:tblCellMar>
      </w:tblPr>
      <w:tblGrid>
        <w:gridCol w:w="923"/>
        <w:gridCol w:w="811"/>
        <w:gridCol w:w="816"/>
        <w:gridCol w:w="255"/>
        <w:gridCol w:w="926"/>
        <w:gridCol w:w="131"/>
        <w:gridCol w:w="255"/>
        <w:gridCol w:w="926"/>
        <w:gridCol w:w="131"/>
        <w:gridCol w:w="232"/>
        <w:gridCol w:w="845"/>
        <w:gridCol w:w="120"/>
        <w:gridCol w:w="232"/>
        <w:gridCol w:w="845"/>
        <w:gridCol w:w="169"/>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Beginning of period</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1,390.4 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977.4 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957.0 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new advisory assets</w:t>
            </w:r>
            <w:r>
              <w:rPr>
                <w:rFonts w:ascii="Arial;sans-serif" w:hAnsi="Arial;sans-serif"/>
                <w:b w:val="false"/>
                <w:color w:val="000000"/>
                <w:sz w:val="12"/>
              </w:rPr>
              <w:t>(1)</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Market impact</w:t>
            </w:r>
            <w:r>
              <w:rPr>
                <w:rFonts w:ascii="Arial;sans-serif" w:hAnsi="Arial;sans-serif"/>
                <w:b w:val="false"/>
                <w:color w:val="000000"/>
                <w:sz w:val="12"/>
              </w:rPr>
              <w:t>(2)</w:t>
            </w:r>
          </w:p>
        </w:tc>
        <w:tc>
          <w:tcPr>
            <w:tcW w:w="11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End of period</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(2)Market impact is the difference between the beginning and ending asset balance less the net new asset amounts, representing the implied growth or decline in asset balances due to market changes over the same period of time.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Advisory revenue increased during the three and six months ended June 30, 2026 as compared to the same periods in 2025 due primarily to an increase in advisory asset balances and the acquisition of Commonwealth.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Commission</w:t>
      </w:r>
    </w:p>
    <w:p>
      <w:pPr>
        <w:pStyle w:val="TextBody"/>
        <w:bidi w:val="0"/>
        <w:spacing w:lineRule="auto" w:line="288" w:before="120" w:after="120"/>
        <w:jc w:val="left"/>
        <w:rPr/>
      </w:pPr>
      <w:r>
        <w:rPr>
          <w:rFonts w:ascii="Arial;sans-serif" w:hAnsi="Arial;sans-serif"/>
          <w:b w:val="false"/>
          <w:color w:val="000000"/>
          <w:sz w:val="20"/>
        </w:rPr>
        <w:t xml:space="preserve">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 </w:t>
      </w:r>
      <w:r>
        <w:rPr>
          <w:rFonts w:ascii="Arial;sans-serif" w:hAnsi="Arial;sans-serif"/>
          <w:b w:val="false"/>
          <w:i/>
          <w:color w:val="000000"/>
          <w:sz w:val="20"/>
        </w:rPr>
        <w:t>Revenue</w:t>
      </w:r>
      <w:r>
        <w:rPr>
          <w:rFonts w:ascii="Arial;sans-serif" w:hAnsi="Arial;sans-serif"/>
          <w:b w:val="false"/>
          <w:color w:val="000000"/>
          <w:sz w:val="20"/>
        </w:rPr>
        <w:t>, within the notes to the condensed consolidated financial statements for further detail regarding our commission revenue by product category.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components of our commission revenue for the periods presented (in thousands): </w:t>
      </w:r>
    </w:p>
    <w:tbl>
      <w:tblPr>
        <w:tblW w:w="10629" w:type="dxa"/>
        <w:jc w:val="left"/>
        <w:tblInd w:w="0" w:type="dxa"/>
        <w:tblLayout w:type="fixed"/>
        <w:tblCellMar>
          <w:top w:w="28" w:type="dxa"/>
          <w:left w:w="28" w:type="dxa"/>
          <w:bottom w:w="28" w:type="dxa"/>
          <w:right w:w="28" w:type="dxa"/>
        </w:tblCellMar>
      </w:tblPr>
      <w:tblGrid>
        <w:gridCol w:w="419"/>
        <w:gridCol w:w="368"/>
        <w:gridCol w:w="369"/>
        <w:gridCol w:w="211"/>
        <w:gridCol w:w="976"/>
        <w:gridCol w:w="109"/>
        <w:gridCol w:w="211"/>
        <w:gridCol w:w="976"/>
        <w:gridCol w:w="109"/>
        <w:gridCol w:w="211"/>
        <w:gridCol w:w="826"/>
        <w:gridCol w:w="109"/>
        <w:gridCol w:w="217"/>
        <w:gridCol w:w="217"/>
        <w:gridCol w:w="542"/>
        <w:gridCol w:w="211"/>
        <w:gridCol w:w="976"/>
        <w:gridCol w:w="109"/>
        <w:gridCol w:w="211"/>
        <w:gridCol w:w="976"/>
        <w:gridCol w:w="109"/>
        <w:gridCol w:w="211"/>
        <w:gridCol w:w="826"/>
        <w:gridCol w:w="109"/>
        <w:gridCol w:w="208"/>
        <w:gridCol w:w="208"/>
        <w:gridCol w:w="605"/>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1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5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1,433,570 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1,229,830 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6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Total commission revenue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1,232,073 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193,986 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2,424,107 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338,263 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increase in sales-based commission revenue for the three and six months ended June 30, 2026 compared to 2025 was primarily driven by an increase in sales of annuities. The increase in trailing commission revenue for the three and six months ended June 30, 2026 compared to 2025 was primarily due to continued growth in trail earning assets held by customers and the acquisition of Commonwealth.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activity impacting brokerage assets for the periods presented (in billions):</w:t>
      </w:r>
    </w:p>
    <w:tbl>
      <w:tblPr>
        <w:tblW w:w="7616" w:type="dxa"/>
        <w:jc w:val="left"/>
        <w:tblInd w:w="0" w:type="dxa"/>
        <w:tblLayout w:type="fixed"/>
        <w:tblCellMar>
          <w:top w:w="28" w:type="dxa"/>
          <w:left w:w="28" w:type="dxa"/>
          <w:bottom w:w="28" w:type="dxa"/>
          <w:right w:w="28" w:type="dxa"/>
        </w:tblCellMar>
      </w:tblPr>
      <w:tblGrid>
        <w:gridCol w:w="923"/>
        <w:gridCol w:w="811"/>
        <w:gridCol w:w="816"/>
        <w:gridCol w:w="274"/>
        <w:gridCol w:w="994"/>
        <w:gridCol w:w="141"/>
        <w:gridCol w:w="274"/>
        <w:gridCol w:w="800"/>
        <w:gridCol w:w="141"/>
        <w:gridCol w:w="249"/>
        <w:gridCol w:w="906"/>
        <w:gridCol w:w="128"/>
        <w:gridCol w:w="249"/>
        <w:gridCol w:w="728"/>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Beginning of period</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945.9 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817.5 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977.9 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783.7 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new brokerage assets</w:t>
            </w:r>
            <w:r>
              <w:rPr>
                <w:rFonts w:ascii="Arial;sans-serif" w:hAnsi="Arial;sans-serif"/>
                <w:b w:val="false"/>
                <w:color w:val="000000"/>
                <w:sz w:val="12"/>
              </w:rPr>
              <w:t>(1)</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Market impact</w:t>
            </w:r>
            <w:r>
              <w:rPr>
                <w:rFonts w:ascii="Arial;sans-serif" w:hAnsi="Arial;sans-serif"/>
                <w:b w:val="false"/>
                <w:color w:val="000000"/>
                <w:sz w:val="12"/>
              </w:rPr>
              <w:t>(2)</w:t>
            </w:r>
          </w:p>
        </w:tc>
        <w:tc>
          <w:tcPr>
            <w:tcW w:w="12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End of period</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120" w:after="120"/>
        <w:ind w:left="0" w:right="0" w:hanging="540"/>
        <w:jc w:val="left"/>
        <w:rPr/>
      </w:pPr>
      <w:r>
        <w:rPr>
          <w:rFonts w:ascii="Arial;sans-serif" w:hAnsi="Arial;sans-serif"/>
          <w:b w:val="false"/>
          <w:color w:val="000000"/>
          <w:sz w:val="16"/>
        </w:rPr>
        <w:t>(1) Net new brokerage assets consist of total client deposits into brokerage accounts less total client withdrawals from brokerage accounts, plus dividends, plus interest. We consider conversions from and to advisory accounts as deposits and withdrawals, respectively.</w:t>
      </w:r>
      <w:r>
        <w:rPr>
          <w:color w:val="000000"/>
          <w:shd w:fill="FFFFFF" w:val="clear"/>
        </w:rPr>
        <w:t xml:space="preserve"> </w:t>
      </w:r>
    </w:p>
    <w:p>
      <w:pPr>
        <w:pStyle w:val="TextBody"/>
        <w:bidi w:val="0"/>
        <w:spacing w:lineRule="auto" w:line="288" w:before="120" w:after="120"/>
        <w:ind w:left="0" w:right="0" w:hanging="540"/>
        <w:jc w:val="left"/>
        <w:rPr>
          <w:rFonts w:ascii="Arial;sans-serif" w:hAnsi="Arial;sans-serif"/>
          <w:b w:val="false"/>
          <w:color w:val="000000"/>
          <w:sz w:val="16"/>
        </w:rPr>
      </w:pPr>
      <w:r>
        <w:rPr>
          <w:rFonts w:ascii="Arial;sans-serif" w:hAnsi="Arial;sans-serif"/>
          <w:b w:val="false"/>
          <w:color w:val="000000"/>
          <w:sz w:val="16"/>
        </w:rPr>
        <w:t>(2) Market impact is the difference between the beginning and ending asset balance less the net new asset amounts, representing the implied growth or decline in asset balances due to market changes over the same period of time.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Asset-Based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Asset-based revenue consists of fees from our client cash programs, fees from our sponsorship programs with financial product manufacturers and fees from omnibus processing and networking services (collectively referred to as “recordkeeping”). Client cash revenue is generated on advisors’ clients’ cash balances in insured bank sweep accounts and money market accounts. We also receive fees from certain financial product manufacturers in connection with sponsorship programs that support our marketing and sales force education and 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Asset-based revenue for the three and six months ended June 30, 2026 increased by $132.8 million and $258.4 million, respectively, compared to the same periods in 2025 due to increases in client cash and other asset-based revenue. Other asset-based revenue for the three and six months ended June 30, 2026 increased compared to 2025 primarily due to increases in billable assets, recordkeeping and sponsorship program revenue. Client cash revenue for the three and six months ended June 30, 2026 increased compared to 2025 due to higher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 cash balances during the three and six months ended June 30, 2026 as compared to 2025. For the three months ended June 30, 2026, our average client cash balances increased to $53.9 billion compared to $49.1 billion for the same period in 2025. For the six months ended June 30, 2026, our average client cash balances increased to $54.7 billion compared to $49.9 billion for the same period in 2025.</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Service and Fee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Service and fee revenue is generated from advisor and retail investor services, including technology, insurance, conferences, licensing, business services and planning and advice services, Individual Retirement Account (“IRA”) custodian and other client account fees. We charge separate fees to RIAs on our Independent RIA advisory platform for technology, clearing, administrative, oversight and custody services, which may vary. We also host certain advisor conferences that serve as training, education, sales and marketing events for which we charge sponsors a fee. Service and fee revenue for the three and six months ended June 30, 2026 increased compared to 2025, primarily due to the brokerage account fees assessed on retirement and non-retirement clients.</w:t>
      </w:r>
    </w:p>
    <w:p>
      <w:pPr>
        <w:pStyle w:val="TextBody"/>
        <w:bidi w:val="0"/>
        <w:spacing w:lineRule="auto" w:line="268" w:before="180" w:after="120"/>
        <w:jc w:val="left"/>
        <w:rPr>
          <w:rFonts w:ascii="Arial;sans-serif" w:hAnsi="Arial;sans-serif"/>
          <w:b w:val="false"/>
          <w:i/>
          <w:color w:val="000000"/>
          <w:sz w:val="20"/>
        </w:rPr>
      </w:pPr>
      <w:r>
        <w:rPr>
          <w:rFonts w:ascii="Arial;sans-serif" w:hAnsi="Arial;sans-serif"/>
          <w:b w:val="false"/>
          <w:i/>
          <w:color w:val="000000"/>
          <w:sz w:val="20"/>
        </w:rPr>
        <w:t>Transaction</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Transaction revenue includes transaction charges generated in both advisory and brokerage accounts from mutual funds, exchange-traded funds and fixed income products. Transaction revenue for the three and six months ended June 30, 2026 increased compared to 2025, primarily due to increases in the number of transactions and transaction charges for managed assets.</w:t>
      </w:r>
    </w:p>
    <w:p>
      <w:pPr>
        <w:pStyle w:val="TextBody"/>
        <w:bidi w:val="0"/>
        <w:spacing w:lineRule="auto" w:line="268" w:before="180" w:after="120"/>
        <w:jc w:val="left"/>
        <w:rPr>
          <w:rFonts w:ascii="Arial;sans-serif" w:hAnsi="Arial;sans-serif"/>
          <w:b w:val="false"/>
          <w:i/>
          <w:color w:val="000000"/>
          <w:sz w:val="20"/>
        </w:rPr>
      </w:pPr>
      <w:r>
        <w:rPr>
          <w:rFonts w:ascii="Arial;sans-serif" w:hAnsi="Arial;sans-serif"/>
          <w:b w:val="false"/>
          <w:i/>
          <w:color w:val="000000"/>
          <w:sz w:val="20"/>
        </w:rPr>
        <w:t>Other Revenue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Other revenue primarily includes unrealized gains and losses on assets held by us in our advisor non-qualified deferred compensation plan and model research portfolios and other miscellaneous revenue, which is not generated from contracts with customers. Other revenue increased for the three and six months ended June 30, 2026 as compared to 2025 primarily due to an increase in unrealized gains in our deferred compensation plan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Expense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Advisory and Commission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Advisory and commission expense consists of the following: payout amounts that are earned by and paid out to advisors and institutions based on advisory and commission revenue earned on each client’s account, production-based bonuses earned by advisors and institutions based on the levels of advisory and commission revenue they produce, compensation and benefits paid to employee advisors, share-based compensation expense from equity awards granted to advisors and institutions based on the fair value of the awards at grant date and the deferred advisory and commission fee expense associated with mark-to-market gains or losses on the non-qualified deferred compensation plan offered to our advisors.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payout rate, which is a statistical or operating measure, for the periods presented:</w:t>
      </w:r>
    </w:p>
    <w:tbl>
      <w:tblPr>
        <w:tblW w:w="7647" w:type="dxa"/>
        <w:jc w:val="left"/>
        <w:tblInd w:w="0" w:type="dxa"/>
        <w:tblLayout w:type="fixed"/>
        <w:tblCellMar>
          <w:top w:w="28" w:type="dxa"/>
          <w:left w:w="28" w:type="dxa"/>
          <w:bottom w:w="28" w:type="dxa"/>
          <w:right w:w="28" w:type="dxa"/>
        </w:tblCellMar>
      </w:tblPr>
      <w:tblGrid>
        <w:gridCol w:w="380"/>
        <w:gridCol w:w="334"/>
        <w:gridCol w:w="336"/>
        <w:gridCol w:w="435"/>
        <w:gridCol w:w="435"/>
        <w:gridCol w:w="435"/>
        <w:gridCol w:w="435"/>
        <w:gridCol w:w="435"/>
        <w:gridCol w:w="449"/>
        <w:gridCol w:w="255"/>
        <w:gridCol w:w="255"/>
        <w:gridCol w:w="256"/>
        <w:gridCol w:w="397"/>
        <w:gridCol w:w="397"/>
        <w:gridCol w:w="397"/>
        <w:gridCol w:w="397"/>
        <w:gridCol w:w="397"/>
        <w:gridCol w:w="411"/>
        <w:gridCol w:w="237"/>
        <w:gridCol w:w="237"/>
        <w:gridCol w:w="337"/>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Payout rate</w:t>
            </w:r>
          </w:p>
        </w:tc>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87.44%</w:t>
            </w:r>
          </w:p>
        </w:tc>
        <w:tc>
          <w:tcPr>
            <w:tcW w:w="13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87.33%</w:t>
            </w:r>
          </w:p>
        </w:tc>
        <w:tc>
          <w:tcPr>
            <w:tcW w:w="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 bps</w:t>
            </w:r>
          </w:p>
        </w:tc>
        <w:tc>
          <w:tcPr>
            <w:tcW w:w="11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87.33%</w:t>
            </w:r>
          </w:p>
        </w:tc>
        <w:tc>
          <w:tcPr>
            <w:tcW w:w="12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87.04%</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 bps</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payout rate for the three and six months ended June 30, 2026 increased compared to 2025, primarily due to changes in the mix of brokerage products and advisory platforms.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Compensation and Benefits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Compensation and benefits expense includes salaries, wages, benefits, share-based compensation and related taxes for our employees, as well as compensation for temporary workers and contractors. The following table sets forth the number of employees for the periods presented: </w:t>
      </w:r>
    </w:p>
    <w:tbl>
      <w:tblPr>
        <w:tblW w:w="4437" w:type="dxa"/>
        <w:jc w:val="left"/>
        <w:tblInd w:w="0" w:type="dxa"/>
        <w:tblLayout w:type="fixed"/>
        <w:tblCellMar>
          <w:top w:w="28" w:type="dxa"/>
          <w:left w:w="28" w:type="dxa"/>
          <w:bottom w:w="28" w:type="dxa"/>
          <w:right w:w="28" w:type="dxa"/>
        </w:tblCellMar>
      </w:tblPr>
      <w:tblGrid>
        <w:gridCol w:w="696"/>
        <w:gridCol w:w="611"/>
        <w:gridCol w:w="613"/>
        <w:gridCol w:w="109"/>
        <w:gridCol w:w="109"/>
        <w:gridCol w:w="205"/>
        <w:gridCol w:w="263"/>
        <w:gridCol w:w="241"/>
        <w:gridCol w:w="208"/>
        <w:gridCol w:w="189"/>
        <w:gridCol w:w="189"/>
        <w:gridCol w:w="193"/>
        <w:gridCol w:w="237"/>
        <w:gridCol w:w="237"/>
        <w:gridCol w:w="337"/>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employees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10,081</w:t>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9,389</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bl>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Compensation and benefits expense for the three and six months ended June 30, 2026 increased by $36.5 million and $99.7 million, respectively compared to 2025, primarily due to an increase in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Promotional</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three and six months ended June 30, 2026 increased by $42.5 million and $105.2 million, respectively, compared to 2025, primarily due to increases in recruited assets and advisors that led to higher costs to support transition assistance, retention, training and education, as well as increased legal expenses.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Occupancy and Equipment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Occupancy and equipment expense includes the costs of leasing and maintaining our office spaces, software licensing and maintenance costs, and maintenance expense on computer hardware and other equipment. Occupancy and equipment expense for the three and six months ended June 30, 2026 increased by $44.1 million and $85.4 million, respectively, compared to 2025, primarily due to increased expense related to software licenses and our technology portfolio.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Depreciation and amortization expense relates to the use of property and equipment, which includes internally developed software, hardware, leasehold improvements and other equipment. Depreciation and amortization expense for the three and six months ended June 30, 2026 increased by $13.6 million and $27.0 million, respectively, compared to 2025, primarily due to our continued investment in technology to support integrations, enhance our advisor platform and experience, and support onboarding of institutions.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Interest Expense on Borrowings</w:t>
      </w:r>
    </w:p>
    <w:p>
      <w:pPr>
        <w:pStyle w:val="TextBody"/>
        <w:bidi w:val="0"/>
        <w:spacing w:lineRule="auto" w:line="288" w:before="120" w:after="120"/>
        <w:jc w:val="left"/>
        <w:rPr/>
      </w:pPr>
      <w:r>
        <w:rPr>
          <w:rFonts w:ascii="Arial;sans-serif" w:hAnsi="Arial;sans-serif"/>
          <w:b w:val="false"/>
          <w:color w:val="000000"/>
          <w:sz w:val="20"/>
        </w:rPr>
        <w:t xml:space="preserve">Interest expense on borrowings includes the interest associated with the Company’s senior notes, Term Loan A (“Term Loan A”) and revolving credit facilities; amortization of debt issuance costs; and fees associated with the Company’s revolving lines of credit. Interest expense on borrowings for the three months ended June 30, 2026 decreased by $4.1 million as compared to 2025, primarily due to lower interest rates on our Term Loan A. Interest expense on borrowings increased by $10.3 million for the six months ended June 30, 2026 as compared to 2025, primarily as a result of the issuance of $1.25 billion and $1.5 billion of senior unsecured notes in February 2025 and April 2025, respectively. See Note 9 - </w:t>
      </w:r>
      <w:r>
        <w:rPr>
          <w:rFonts w:ascii="Arial;sans-serif" w:hAnsi="Arial;sans-serif"/>
          <w:b w:val="false"/>
          <w:i/>
          <w:color w:val="000000"/>
          <w:sz w:val="20"/>
        </w:rPr>
        <w:t>Corporate Debt and Other Borrowings, Net,</w:t>
      </w:r>
      <w:r>
        <w:rPr>
          <w:color w:val="000000"/>
        </w:rPr>
        <w:t xml:space="preserve"> </w:t>
      </w:r>
      <w:r>
        <w:rPr>
          <w:rFonts w:ascii="Arial;sans-serif" w:hAnsi="Arial;sans-serif"/>
          <w:b w:val="false"/>
          <w:color w:val="000000"/>
          <w:sz w:val="20"/>
        </w:rPr>
        <w:t>within the notes to the condensed consolidated financial statements for additional information.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Amortization of Other Intangibles</w:t>
      </w:r>
    </w:p>
    <w:p>
      <w:pPr>
        <w:pStyle w:val="TextBody"/>
        <w:bidi w:val="0"/>
        <w:spacing w:lineRule="auto" w:line="288" w:before="120" w:after="120"/>
        <w:jc w:val="left"/>
        <w:rPr/>
      </w:pPr>
      <w:r>
        <w:rPr>
          <w:rFonts w:ascii="Arial;sans-serif" w:hAnsi="Arial;sans-serif"/>
          <w:b w:val="false"/>
          <w:color w:val="000000"/>
          <w:sz w:val="20"/>
        </w:rPr>
        <w:t xml:space="preserve">Amortization of other intangibles represents the benefits received for the use of long-lived intangible assets established through our acquisitions. Amortization of other intangibles for the three and six months ended June 30, 2026 increased by $24.8 million and $48.5 million, respectively, compared to 2025, primarily due to additional intangible assets acquired in the past year. See Note 4 - </w:t>
      </w:r>
      <w:r>
        <w:rPr>
          <w:rFonts w:ascii="Arial;sans-serif" w:hAnsi="Arial;sans-serif"/>
          <w:b w:val="false"/>
          <w:i/>
          <w:color w:val="000000"/>
          <w:sz w:val="20"/>
        </w:rPr>
        <w:t>Acquisitions,</w:t>
      </w:r>
      <w:r>
        <w:rPr>
          <w:color w:val="000000"/>
        </w:rPr>
        <w:t xml:space="preserve"> </w:t>
      </w:r>
      <w:r>
        <w:rPr>
          <w:rFonts w:ascii="Arial;sans-serif" w:hAnsi="Arial;sans-serif"/>
          <w:b w:val="false"/>
          <w:color w:val="000000"/>
          <w:sz w:val="20"/>
        </w:rPr>
        <w:t>within the notes to the condensed consolidated financial statements for additional information.</w:t>
      </w:r>
    </w:p>
    <w:p>
      <w:pPr>
        <w:pStyle w:val="TextBody"/>
        <w:bidi w:val="0"/>
        <w:spacing w:lineRule="auto" w:line="288" w:before="120" w:after="120"/>
        <w:jc w:val="left"/>
        <w:rPr/>
      </w:pPr>
      <w:r>
        <w:rPr>
          <w:rFonts w:ascii="Arial;sans-serif" w:hAnsi="Arial;sans-serif"/>
          <w:b w:val="false"/>
          <w:i/>
          <w:color w:val="000000"/>
          <w:sz w:val="20"/>
        </w:rPr>
        <w:t>Brokerage, Clearing and Exchange</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Brokerage, clearing and exchange expense includes expenses originating from trading or clearing operations as well as any exchange membership fees. These fees fluctuate largely in line with the volume of sales and trading activity. Brokerage, clearing and exchange expense for the three and six months ended June 30, 2026 increased by $8.7 million and $20.1 million, respectively, compared to 2025, primarily due to an increase in clearing charges.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Professional Services</w:t>
      </w:r>
    </w:p>
    <w:p>
      <w:pPr>
        <w:pStyle w:val="TextBody"/>
        <w:bidi w:val="0"/>
        <w:spacing w:lineRule="auto" w:line="288" w:before="180" w:after="120"/>
        <w:jc w:val="left"/>
        <w:rPr/>
      </w:pPr>
      <w:r>
        <w:rPr>
          <w:rFonts w:ascii="Arial;sans-serif" w:hAnsi="Arial;sans-serif"/>
          <w:b w:val="false"/>
          <w:color w:val="000000"/>
          <w:sz w:val="20"/>
        </w:rPr>
        <w:t>Professional services expense includes costs paid to outside firms for assistance with legal, accounting, technology, regulatory, marketing, and general corporate matters, as well as non-capitalized costs related to service and technology enhancements. Professional services expense for the three and six months ended June 30, 2026 increased by $9.7 million and $23.7 million, respectively, compared to 2025, primarily due to technology enhancement projects and acquisition-related support</w:t>
      </w:r>
      <w:r>
        <w:rPr>
          <w:rFonts w:ascii="Arial;sans-serif" w:hAnsi="Arial;sans-serif"/>
          <w:b w:val="false"/>
          <w:i/>
          <w:color w:val="000000"/>
          <w:sz w:val="20"/>
        </w:rPr>
        <w:t>.</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Other Expense</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Other expense includes licensing fees, insurance, broker-dealer regulatory fees, travel-related expenses, fair value adjustments to contingent consideration liabilities, the costs of the investigation, settlement and resolution of regulatory matters (including customer restitution and remediation), and other miscellaneous expenses.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expense for the three and six months ended June 30, 2026 increased by $0.4 million and $16.1 million, respectively, compared to 2025, primarily due to increases in licensing fees, travel and events.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lineRule="auto" w:line="256" w:before="0" w:after="0"/>
        <w:jc w:val="left"/>
        <w:rPr/>
      </w:pPr>
      <w:r>
        <w:rPr>
          <w:rFonts w:ascii="Arial;sans-serif" w:hAnsi="Arial;sans-serif"/>
          <w:b w:val="false"/>
          <w:color w:val="000000"/>
          <w:sz w:val="20"/>
        </w:rPr>
        <w:t>Our effective income tax rate was 26.4% and 25.9% for the three months ended June 30, 2026 and 2025, respectively, and 26.4% and 24.7% for the six months ended June 30, 2026 and 2025, respectively. The Company’s effective income tax rate differs from the federal corporate tax rate of 21.0%, primarily as a result of state taxes, reserves for uncertain tax positions and non-deductible expenses. Our effective income tax rate is reduced by tax benefits received from income tax credits as well as share-based compensation vesting and exercises</w:t>
      </w:r>
      <w:r>
        <w:rPr>
          <w:rFonts w:ascii="sans-serif" w:hAnsi="sans-serif"/>
          <w:b w:val="false"/>
          <w:color w:val="000000"/>
          <w:sz w:val="22"/>
        </w:rPr>
        <w:t xml:space="preserve">. </w:t>
      </w:r>
      <w:r>
        <w:rPr>
          <w:rFonts w:ascii="Arial;sans-serif" w:hAnsi="Arial;sans-serif"/>
          <w:b w:val="false"/>
          <w:color w:val="000000"/>
          <w:sz w:val="20"/>
        </w:rPr>
        <w:t>The increase in our effective tax rate for the six months ended June 30, 2026 was primarily driven by lower share-based compensation tax benefits as compared to the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have established liquidity and capital policies intended to support the execution of strategic initiatives, while meeting regulatory capital requirements and maintaining ongoing and sufficient liquidity. We believe liquidity is of 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 </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Liquidity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including continued access to the equity and investment-grade debt markets, we have adequate liquidity to satisfy our short-term and long-term working capital needs, meet all of our obligations, and fund anticipated capital expenditures. The Company maintains ongoing access to the debt markets supported by our investment-grade credit profile, and we also have meaningful liquidity available at the parent level, which can be utilized to support funding needs across the organization as required.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Parent Company Liquidity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LPL Holdings, Inc. (the “Parent”), the direct holding company of our operating subsidiaries, considers its primary sources of liquidity to be dividends from and excess capital generated by LPL Financial, as well as capacity for additional borrowing under its $2.25 billion unsecured revolving credit facility, which it has the ability to borrow against for working capital and general corporate purposes.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Credit Agreement requirements and internal capital thresholds. During the six months ended June 30, 2026 and 2025, LPL Financial paid dividends of $485.0 million and $150.0 million to the Parent, respectively.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LPL Enterprise, The Private Trust Company, N.A. (“PTC”), and CES, in excess of the capital requirements of the Credit Agreement and (3) cash and equivalents held at non-regulated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Corporate Cash (in thousands):</w:t>
      </w:r>
    </w:p>
    <w:tbl>
      <w:tblPr>
        <w:tblW w:w="8404" w:type="dxa"/>
        <w:jc w:val="left"/>
        <w:tblInd w:w="0" w:type="dxa"/>
        <w:tblLayout w:type="fixed"/>
        <w:tblCellMar>
          <w:top w:w="28" w:type="dxa"/>
          <w:left w:w="28" w:type="dxa"/>
          <w:bottom w:w="28" w:type="dxa"/>
          <w:right w:w="28" w:type="dxa"/>
        </w:tblCellMar>
      </w:tblPr>
      <w:tblGrid>
        <w:gridCol w:w="1916"/>
        <w:gridCol w:w="1686"/>
        <w:gridCol w:w="1692"/>
        <w:gridCol w:w="211"/>
        <w:gridCol w:w="976"/>
        <w:gridCol w:w="109"/>
        <w:gridCol w:w="285"/>
        <w:gridCol w:w="1321"/>
        <w:gridCol w:w="208"/>
      </w:tblGrid>
      <w:tr>
        <w:trPr/>
        <w:tc>
          <w:tcPr>
            <w:tcW w:w="191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equivalents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1,275,690 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1,037,378 </w:t>
            </w:r>
          </w:p>
        </w:tc>
        <w:tc>
          <w:tcPr>
            <w:tcW w:w="2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at regulated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(925,356)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cash at regulated subsidiaries per the Credit Agreement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357,693 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469,715</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at the Parent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19,368 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cash at regulated subsidiaries per the Credit Agreement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357,693 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at non-regulated subsidiaries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92,654 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469,715</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Corporate Cash is monitored as part of our liquidity risk management strategy. Corporate Cash decreased by $39.7 million during the six months ended June 30, 2026 as we continue our normal course of operations and reinvestments into the business.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 operations and anticipated growth, our cash flow from operations, together with other available sources of funds, 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June 30, 2026, the earliest principal maturity date for our corporate debt with outstanding balances is in 2027 and our revolving credit facilities and uncommitted lines of credit mature between 2026 and 2029.</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68" w:before="0" w:after="0"/>
        <w:jc w:val="left"/>
        <w:rPr/>
      </w:pPr>
      <w:r>
        <w:rPr>
          <w:rFonts w:ascii="Arial;sans-serif" w:hAnsi="Arial;sans-serif"/>
          <w:b w:val="false"/>
          <w:color w:val="000000"/>
          <w:sz w:val="20"/>
        </w:rPr>
        <w:t xml:space="preserve">We engage in a share repurchase program that was approved by our Board, pursuant to which we may repurchase our issued and outstanding shares of common stock from time to time. Purchases may be effected in open market or privately negotiated transactions. Our current capital deployment framework remains focused on investing in organic growth first, pursuing acquisitions where appropriate and returning excess capital to stockholders. We repurchased 1.1 million shares for a total of $309.5 million during the six months ended June 30, 2026. As of June 30, 2026, we had $320.5 million remaining under our existing repurchase program. From July 1, 2026 through July 30, 2026, the Company has repurchased 420,464 outstanding shares for a total of $134.3 million. On July 23, 2026, the Board authorized a new repurchase program that increases the amount available for repurchases of the Company’s issued and outstanding common shares by $2.5 billion. The timing and amount of share repurchases, if any, is determined at our discretion within the constraints of our Credit Agreement, applicable laws and consideration of our general liquidity needs. See Part II, Item 2 - </w:t>
      </w:r>
      <w:r>
        <w:rPr>
          <w:rFonts w:ascii="Arial;sans-serif" w:hAnsi="Arial;sans-serif"/>
          <w:b w:val="false"/>
          <w:i/>
          <w:color w:val="000000"/>
          <w:sz w:val="20"/>
        </w:rPr>
        <w:t>Unregistered Sales of Equity Securities and Use of Proceeds</w:t>
      </w:r>
      <w:r>
        <w:rPr>
          <w:color w:val="000000"/>
        </w:rPr>
        <w:t xml:space="preserve"> </w:t>
      </w:r>
      <w:r>
        <w:rPr>
          <w:rFonts w:ascii="Arial;sans-serif" w:hAnsi="Arial;sans-serif"/>
          <w:b w:val="false"/>
          <w:color w:val="000000"/>
          <w:sz w:val="20"/>
        </w:rPr>
        <w:t xml:space="preserve">and Note 11 - </w:t>
      </w:r>
      <w:r>
        <w:rPr>
          <w:rFonts w:ascii="Arial;sans-serif" w:hAnsi="Arial;sans-serif"/>
          <w:b w:val="false"/>
          <w:i/>
          <w:color w:val="000000"/>
          <w:sz w:val="20"/>
        </w:rPr>
        <w:t>Stockholders’ Equity</w:t>
      </w:r>
      <w:r>
        <w:rPr>
          <w:rFonts w:ascii="Arial;sans-serif" w:hAnsi="Arial;sans-serif"/>
          <w:b w:val="false"/>
          <w:color w:val="000000"/>
          <w:sz w:val="20"/>
        </w:rPr>
        <w:t xml:space="preserve">, within the notes to the condensed consolidated financial statements for additional information regarding our share repurchases.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Common Stock Dividends</w:t>
      </w:r>
    </w:p>
    <w:p>
      <w:pPr>
        <w:pStyle w:val="TextBody"/>
        <w:bidi w:val="0"/>
        <w:spacing w:lineRule="auto" w:line="288" w:before="120" w:after="120"/>
        <w:jc w:val="left"/>
        <w:rPr/>
      </w:pPr>
      <w:r>
        <w:rPr>
          <w:rFonts w:ascii="Arial;sans-serif" w:hAnsi="Arial;sans-serif"/>
          <w:b w:val="false"/>
          <w:color w:val="000000"/>
          <w:sz w:val="20"/>
        </w:rPr>
        <w:t xml:space="preserve">The payment, timing and amount of any dividends are subject to approval by LPLFH’s Board, as well as certain limits under our Credit Agreement. See Note 11 - </w:t>
      </w:r>
      <w:r>
        <w:rPr>
          <w:rFonts w:ascii="Arial;sans-serif" w:hAnsi="Arial;sans-serif"/>
          <w:b w:val="false"/>
          <w:i/>
          <w:color w:val="000000"/>
          <w:sz w:val="20"/>
        </w:rPr>
        <w:t>Stockholders’ Equity</w:t>
      </w:r>
      <w:r>
        <w:rPr>
          <w:rFonts w:ascii="Arial;sans-serif" w:hAnsi="Arial;sans-serif"/>
          <w:b w:val="false"/>
          <w:color w:val="000000"/>
          <w:sz w:val="20"/>
        </w:rPr>
        <w:t>, within the notes to the condensed consolidated financial statements for additional information regarding our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LPL Financial Liquidity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LPL Financial relies primarily on client payables to fund margin lending. LPL Financial maintains additional liquidity through external lines of credit totaling $1.2 billion at June 30, 2026, as well as two additional lines of credit with unspecified limits. LPL Financial also maintains a line of credit with the Parent.</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External Liquidity 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amounts outstanding and available under our external lines of credit at June 30, 2026 (in millions):</w:t>
      </w:r>
    </w:p>
    <w:tbl>
      <w:tblPr>
        <w:tblW w:w="8899" w:type="dxa"/>
        <w:jc w:val="left"/>
        <w:tblInd w:w="0" w:type="dxa"/>
        <w:tblLayout w:type="fixed"/>
        <w:tblCellMar>
          <w:top w:w="28" w:type="dxa"/>
          <w:left w:w="28" w:type="dxa"/>
          <w:bottom w:w="28" w:type="dxa"/>
          <w:right w:w="28" w:type="dxa"/>
        </w:tblCellMar>
      </w:tblPr>
      <w:tblGrid>
        <w:gridCol w:w="1254"/>
        <w:gridCol w:w="1104"/>
        <w:gridCol w:w="1107"/>
        <w:gridCol w:w="539"/>
        <w:gridCol w:w="539"/>
        <w:gridCol w:w="541"/>
        <w:gridCol w:w="489"/>
        <w:gridCol w:w="489"/>
        <w:gridCol w:w="491"/>
        <w:gridCol w:w="306"/>
        <w:gridCol w:w="676"/>
        <w:gridCol w:w="159"/>
        <w:gridCol w:w="236"/>
        <w:gridCol w:w="691"/>
        <w:gridCol w:w="124"/>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Borrower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Maturity Date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unsecured, revolving credit facility</w:t>
            </w:r>
          </w:p>
        </w:tc>
        <w:tc>
          <w:tcPr>
            <w:tcW w:w="16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Holdings, Inc.</w:t>
            </w:r>
          </w:p>
        </w:tc>
        <w:tc>
          <w:tcPr>
            <w:tcW w:w="14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2029</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Broker-dealer revolving credit facility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2027</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2026</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2028</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540"/>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seeks to manage capital levels in support of its business strategy of generating and effectively deploying capital for the benefit of our stockholders.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 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other working capital needs are primarily related to loans we are making to advisors and timing associated with receivables and payables, which we have satisfied in the past from internally generated cash flows.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net capital position of the Company’s primary broker-dealer subsidiary (in thousands): </w:t>
      </w:r>
    </w:p>
    <w:tbl>
      <w:tblPr>
        <w:tblW w:w="3509" w:type="dxa"/>
        <w:jc w:val="left"/>
        <w:tblInd w:w="0" w:type="dxa"/>
        <w:tblLayout w:type="fixed"/>
        <w:tblCellMar>
          <w:top w:w="28" w:type="dxa"/>
          <w:left w:w="28" w:type="dxa"/>
          <w:bottom w:w="28" w:type="dxa"/>
          <w:right w:w="28" w:type="dxa"/>
        </w:tblCellMar>
      </w:tblPr>
      <w:tblGrid>
        <w:gridCol w:w="788"/>
        <w:gridCol w:w="692"/>
        <w:gridCol w:w="695"/>
        <w:gridCol w:w="236"/>
        <w:gridCol w:w="926"/>
        <w:gridCol w:w="172"/>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LPL Financial LLC</w:t>
            </w:r>
          </w:p>
        </w:tc>
        <w:tc>
          <w:tcPr>
            <w:tcW w:w="13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capital</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required net capital</w:t>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28,981 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net capital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346,051 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also acts as an introducing broker-dealer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other regulated subsidiaries, including LPL Enterprise, Commonwealth’s introducing broker-dealer subsidiary, and PTC, are also subject to various regulatory capital requirements. Failure to meet the respective minimum capital requirements can result in certain mandatory and discretionary actions by regulators that, if undertaken, could have substantial monetary and non-monetary impacts on these subsidiaries’ operations. As of June 30, 2026, the Company’s other regulated subsidiaries met all capital adequacy requirements to which they were subject.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Supplemental Guarantor Financial Information</w:t>
      </w:r>
    </w:p>
    <w:p>
      <w:pPr>
        <w:pStyle w:val="TextBody"/>
        <w:bidi w:val="0"/>
        <w:spacing w:lineRule="auto" w:line="288" w:before="120" w:after="120"/>
        <w:jc w:val="left"/>
        <w:rPr/>
      </w:pPr>
      <w:r>
        <w:rPr>
          <w:rFonts w:ascii="Arial;sans-serif" w:hAnsi="Arial;sans-serif"/>
          <w:b w:val="false"/>
          <w:color w:val="000000"/>
          <w:sz w:val="20"/>
        </w:rPr>
        <w:t xml:space="preserve">LPL Holdings, Inc. (the “Issuer”), a wholly owned subsidiary of LPL Financial Holdings Inc. (“LPLFH” and together with the Issuer, the “Obligor Group”), has in the past, and may in the future, issue, among other things, non-convertible debt securities that include full and unconditional guarantees by LPLFH. The debt securities issued by the Issuer may be fully and unconditionally guaranteed by LPLFH. LPLFH is a Delaware holding corporation that manages substantially all of its operations through investments in subsidiaries. See Note 1 - </w:t>
      </w:r>
      <w:r>
        <w:rPr>
          <w:rFonts w:ascii="Arial;sans-serif" w:hAnsi="Arial;sans-serif"/>
          <w:b w:val="false"/>
          <w:i/>
          <w:color w:val="000000"/>
          <w:sz w:val="20"/>
        </w:rPr>
        <w:t xml:space="preserve">Organization and Description of the Company </w:t>
      </w:r>
      <w:r>
        <w:rPr>
          <w:rFonts w:ascii="Arial;sans-serif" w:hAnsi="Arial;sans-serif"/>
          <w:b w:val="false"/>
          <w:color w:val="000000"/>
          <w:sz w:val="20"/>
        </w:rPr>
        <w:t>and Note 9</w:t>
      </w:r>
      <w:r>
        <w:rPr>
          <w:color w:val="000000"/>
        </w:rPr>
        <w:t xml:space="preserve"> </w:t>
      </w:r>
      <w:r>
        <w:rPr>
          <w:rFonts w:ascii="Arial;sans-serif" w:hAnsi="Arial;sans-serif"/>
          <w:b w:val="false"/>
          <w:i/>
          <w:color w:val="000000"/>
          <w:sz w:val="20"/>
        </w:rPr>
        <w:t>- Corporate Debt and Other Borrowings, Net</w:t>
      </w:r>
      <w:r>
        <w:rPr>
          <w:rFonts w:ascii="Arial;sans-serif" w:hAnsi="Arial;sans-serif"/>
          <w:b w:val="false"/>
          <w:color w:val="000000"/>
          <w:sz w:val="20"/>
        </w:rPr>
        <w:t>, within the notes to the condensed consolidated financial statements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Pursuant to Rule 3-10 of Regulation S-X under the Securities Act of 1933, as amended, the following tables present unaudited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condensed consolidated financial statements contained herein as the summarized financial information for the Obligor Group may not be indicative of results of operations or financial position of the Issuer or LPLFH had they operated as independent entities.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present the summarized financial information for the periods presented (in thousands):</w:t>
      </w:r>
    </w:p>
    <w:tbl>
      <w:tblPr>
        <w:tblW w:w="8467" w:type="dxa"/>
        <w:jc w:val="left"/>
        <w:tblInd w:w="0" w:type="dxa"/>
        <w:tblLayout w:type="fixed"/>
        <w:tblCellMar>
          <w:top w:w="28" w:type="dxa"/>
          <w:left w:w="28" w:type="dxa"/>
          <w:bottom w:w="28" w:type="dxa"/>
          <w:right w:w="28" w:type="dxa"/>
        </w:tblCellMar>
      </w:tblPr>
      <w:tblGrid>
        <w:gridCol w:w="1478"/>
        <w:gridCol w:w="1298"/>
        <w:gridCol w:w="1304"/>
        <w:gridCol w:w="109"/>
        <w:gridCol w:w="759"/>
        <w:gridCol w:w="2973"/>
        <w:gridCol w:w="392"/>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LPL Holdings, Inc. &amp; LPL Financial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Combined Summarized Statements of Income </w:t>
            </w:r>
          </w:p>
        </w:tc>
        <w:tc>
          <w:tcPr>
            <w:tcW w:w="109" w:type="dxa"/>
            <w:tcBorders/>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Revenues</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9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105,815 </w:t>
            </w:r>
          </w:p>
        </w:tc>
        <w:tc>
          <w:tcPr>
            <w:tcW w:w="3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Revenues from non-guarantor subsidiaries</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Advisory and commission expense</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107,028 </w:t>
            </w:r>
          </w:p>
        </w:tc>
        <w:tc>
          <w:tcPr>
            <w:tcW w:w="3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Interest expense on borrowings</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199,831 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Expenses from non-guarantor subsidiaries</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14,093 </w:t>
            </w:r>
          </w:p>
        </w:tc>
        <w:tc>
          <w:tcPr>
            <w:tcW w:w="3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(265,171)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(195,536)</w:t>
            </w:r>
          </w:p>
        </w:tc>
        <w:tc>
          <w:tcPr>
            <w:tcW w:w="3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 xml:space="preserve">(1)Revenues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bl>
      <w:tblPr>
        <w:tblW w:w="9302" w:type="dxa"/>
        <w:jc w:val="left"/>
        <w:tblInd w:w="0" w:type="dxa"/>
        <w:tblLayout w:type="fixed"/>
        <w:tblCellMar>
          <w:top w:w="28" w:type="dxa"/>
          <w:left w:w="28" w:type="dxa"/>
          <w:bottom w:w="28" w:type="dxa"/>
          <w:right w:w="28" w:type="dxa"/>
        </w:tblCellMar>
      </w:tblPr>
      <w:tblGrid>
        <w:gridCol w:w="1820"/>
        <w:gridCol w:w="1598"/>
        <w:gridCol w:w="1606"/>
        <w:gridCol w:w="418"/>
        <w:gridCol w:w="1428"/>
        <w:gridCol w:w="216"/>
        <w:gridCol w:w="418"/>
        <w:gridCol w:w="1428"/>
        <w:gridCol w:w="21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LPL Holdings, Inc. &amp; LPL Financial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Combined Summarized Statements of Financial Condition</w:t>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4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16,807 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19,368 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180,739 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Goodwill</w:t>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intangibles, net</w:t>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43,696 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39,819 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Receivables from non-guarantor subsidiaries</w:t>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assets</w:t>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1,646,130 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1,525,640 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7,460,510 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7,258,694 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91,013 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83,637 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Payables to non-guarantor subsidiaries</w:t>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liabilities</w:t>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1,717,222 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1,568,879 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 xml:space="preserve">Debt and Related Covenants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Credit Agreement contains a number of covenants that, among other things, restrict, subject to certain exceptions, our ability to:</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create liens;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sell assets;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engage in certain transactions with affiliates;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consolidate, merge or transfer all or substantially all of our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w:t>
      </w:r>
    </w:p>
    <w:p>
      <w:pPr>
        <w:pStyle w:val="TextBody"/>
        <w:bidi w:val="0"/>
        <w:spacing w:lineRule="auto" w:line="288" w:before="120" w:after="283"/>
        <w:jc w:val="left"/>
        <w:rPr/>
      </w:pPr>
      <w:r>
        <w:rPr>
          <w:rFonts w:ascii="Arial;sans-serif" w:hAnsi="Arial;sans-serif"/>
          <w:b w:val="false"/>
          <w:color w:val="000000"/>
          <w:sz w:val="20"/>
        </w:rPr>
        <w:t>As of June 30, 2026, we were</w:t>
      </w:r>
      <w:r>
        <w:rPr>
          <w:color w:val="000000"/>
          <w:shd w:fill="FFFFFF" w:val="clear"/>
        </w:rPr>
        <w:t xml:space="preserve"> </w:t>
      </w:r>
      <w:r>
        <w:rPr>
          <w:rFonts w:ascii="Arial;sans-serif" w:hAnsi="Arial;sans-serif"/>
          <w:b w:val="false"/>
          <w:color w:val="000000"/>
          <w:sz w:val="20"/>
          <w:shd w:fill="FFFFFF" w:val="clear"/>
        </w:rPr>
        <w:t>in compliance</w:t>
      </w:r>
      <w:r>
        <w:rPr>
          <w:color w:val="000000"/>
        </w:rPr>
        <w:t xml:space="preserve"> </w:t>
      </w:r>
      <w:r>
        <w:rPr>
          <w:rFonts w:ascii="Arial;sans-serif" w:hAnsi="Arial;sans-serif"/>
          <w:b w:val="false"/>
          <w:color w:val="000000"/>
          <w:sz w:val="20"/>
        </w:rPr>
        <w:t>wi</w:t>
      </w:r>
      <w:r>
        <w:rPr>
          <w:rFonts w:ascii="Arial;sans-serif" w:hAnsi="Arial;sans-serif"/>
          <w:b w:val="false"/>
          <w:color w:val="000000"/>
          <w:sz w:val="20"/>
          <w:shd w:fill="FFFFFF" w:val="clear"/>
        </w:rPr>
        <w:t>t</w:t>
      </w:r>
      <w:r>
        <w:rPr>
          <w:rFonts w:ascii="Arial;sans-serif" w:hAnsi="Arial;sans-serif"/>
          <w:b w:val="false"/>
          <w:color w:val="000000"/>
          <w:sz w:val="20"/>
        </w:rPr>
        <w: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tbl>
      <w:tblPr>
        <w:tblW w:w="5773" w:type="dxa"/>
        <w:jc w:val="center"/>
        <w:tblInd w:w="0" w:type="dxa"/>
        <w:tblLayout w:type="fixed"/>
        <w:tblCellMar>
          <w:top w:w="28" w:type="dxa"/>
          <w:left w:w="28" w:type="dxa"/>
          <w:bottom w:w="28" w:type="dxa"/>
          <w:right w:w="28" w:type="dxa"/>
        </w:tblCellMar>
      </w:tblPr>
      <w:tblGrid>
        <w:gridCol w:w="902"/>
        <w:gridCol w:w="792"/>
        <w:gridCol w:w="796"/>
        <w:gridCol w:w="694"/>
        <w:gridCol w:w="694"/>
        <w:gridCol w:w="696"/>
        <w:gridCol w:w="351"/>
        <w:gridCol w:w="351"/>
        <w:gridCol w:w="497"/>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Ratio</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Covenant Requirement</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 Ratio</w:t>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Leverage Ratio (Maximum)</w:t>
            </w:r>
          </w:p>
        </w:tc>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11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1.91</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Coverage (Minimum)</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9.16</w:t>
            </w:r>
          </w:p>
        </w:tc>
      </w:tr>
    </w:tbl>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pStyle w:val="TextBody"/>
        <w:bidi w:val="0"/>
        <w:spacing w:lineRule="auto" w:line="288" w:before="100" w:after="283"/>
        <w:jc w:val="left"/>
        <w:rPr/>
      </w:pPr>
      <w:r>
        <w:rPr>
          <w:rFonts w:ascii="Arial;sans-serif" w:hAnsi="Arial;sans-serif"/>
          <w:b w:val="false"/>
          <w:color w:val="000000"/>
          <w:sz w:val="20"/>
        </w:rPr>
        <w:t xml:space="preserve">See Note 9 - </w:t>
      </w:r>
      <w:r>
        <w:rPr>
          <w:rFonts w:ascii="Arial;sans-serif" w:hAnsi="Arial;sans-serif"/>
          <w:b w:val="false"/>
          <w:i/>
          <w:color w:val="000000"/>
          <w:sz w:val="20"/>
        </w:rPr>
        <w:t>Corporate Debt and Other Borrowings, Net,</w:t>
      </w:r>
      <w:r>
        <w:rPr>
          <w:color w:val="000000"/>
        </w:rPr>
        <w:t xml:space="preserve"> </w:t>
      </w:r>
      <w:r>
        <w:rPr>
          <w:rFonts w:ascii="Arial;sans-serif" w:hAnsi="Arial;sans-serif"/>
          <w:b w:val="false"/>
          <w:color w:val="000000"/>
          <w:sz w:val="20"/>
        </w:rPr>
        <w:t>within the notes to the condensed consolidated financial statements for additional information regarding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80" w:after="120"/>
        <w:jc w:val="left"/>
        <w:rPr/>
      </w:pPr>
      <w:r>
        <w:rPr>
          <w:rFonts w:ascii="Arial;sans-serif" w:hAnsi="Arial;sans-serif"/>
          <w:b w:val="false"/>
          <w:color w:val="000000"/>
          <w:sz w:val="20"/>
        </w:rPr>
        <w:t xml:space="preserve">During the six months ended June 30, 2026, there were no material changes in our contractual obligations, other than in the ordinary course of business, from those disclosed in our 2025 Annual Report on Form 10-K. See Note 4 - </w:t>
      </w:r>
      <w:r>
        <w:rPr>
          <w:rFonts w:ascii="Arial;sans-serif" w:hAnsi="Arial;sans-serif"/>
          <w:b w:val="false"/>
          <w:i/>
          <w:color w:val="000000"/>
          <w:sz w:val="20"/>
        </w:rPr>
        <w:t>Acquisitions</w:t>
      </w:r>
      <w:r>
        <w:rPr>
          <w:rFonts w:ascii="Arial;sans-serif" w:hAnsi="Arial;sans-serif"/>
          <w:b w:val="false"/>
          <w:color w:val="000000"/>
          <w:sz w:val="20"/>
        </w:rPr>
        <w:t xml:space="preserve">, Note 9 - </w:t>
      </w:r>
      <w:r>
        <w:rPr>
          <w:rFonts w:ascii="Arial;sans-serif" w:hAnsi="Arial;sans-serif"/>
          <w:b w:val="false"/>
          <w:i/>
          <w:color w:val="000000"/>
          <w:sz w:val="20"/>
        </w:rPr>
        <w:t xml:space="preserve">Corporate Debt and Other Borrowings, Net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Note 10 - </w:t>
      </w:r>
      <w:r>
        <w:rPr>
          <w:rFonts w:ascii="Arial;sans-serif" w:hAnsi="Arial;sans-serif"/>
          <w:b w:val="false"/>
          <w:i/>
          <w:color w:val="000000"/>
          <w:sz w:val="20"/>
        </w:rPr>
        <w:t xml:space="preserve">Commitments and Contingencies, </w:t>
      </w:r>
      <w:r>
        <w:rPr>
          <w:rFonts w:ascii="Arial;sans-serif" w:hAnsi="Arial;sans-serif"/>
          <w:b w:val="false"/>
          <w:color w:val="000000"/>
          <w:sz w:val="20"/>
        </w:rPr>
        <w:t xml:space="preserve">within the notes to the condensed consolidated financial statements, as well as the Contractual Obligations section within Part II, </w:t>
      </w:r>
      <w:r>
        <w:rPr>
          <w:color w:val="000000"/>
        </w:rPr>
        <w:t>“</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in our 2025 Annual Report on Form 10-K,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Risk Management</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Risk is an inherent part of our business activities. To manage risk, we have implemented an enterprise risk management (“ERM”) framework that supports a resilient and adaptive risk-focused organization, designed to enable us to navigate uncertainties, make informed and consistent decisions, and seize growth opportunities. This framework facilitates the incorporation of risk assessment into decision-making processes, enables execution of our business strategy, and protects the Company and our franchise. </w:t>
      </w:r>
    </w:p>
    <w:p>
      <w:pPr>
        <w:pStyle w:val="TextBody"/>
        <w:bidi w:val="0"/>
        <w:spacing w:lineRule="auto" w:line="268" w:before="120" w:after="180"/>
        <w:jc w:val="left"/>
        <w:rPr>
          <w:rFonts w:ascii="Arial;sans-serif" w:hAnsi="Arial;sans-serif"/>
          <w:b w:val="false"/>
          <w:color w:val="000000"/>
          <w:sz w:val="20"/>
        </w:rPr>
      </w:pPr>
      <w:r>
        <w:rPr>
          <w:rFonts w:ascii="Arial;sans-serif" w:hAnsi="Arial;sans-serif"/>
          <w:b w:val="false"/>
          <w:color w:val="000000"/>
          <w:sz w:val="20"/>
        </w:rPr>
        <w:t xml:space="preserve">Our Company-wide risk appetite statement is a crucial component of our risk governance framework. It defines the overall level and types of risk we are prepared to accept in order to achieve our strategic objectives and business plan. This statement categorizes risks into strategic, technology, regulatory compliance, operational, liquidity, reputational, credit, interest rate, and market risks. </w:t>
      </w:r>
    </w:p>
    <w:p>
      <w:pPr>
        <w:pStyle w:val="TextBody"/>
        <w:bidi w:val="0"/>
        <w:spacing w:lineRule="auto" w:line="288" w:before="120" w:after="180"/>
        <w:jc w:val="left"/>
        <w:rPr/>
      </w:pPr>
      <w:r>
        <w:rPr>
          <w:rFonts w:ascii="Arial;sans-serif" w:hAnsi="Arial;sans-serif"/>
          <w:b w:val="false"/>
          <w:color w:val="000000"/>
          <w:sz w:val="20"/>
        </w:rPr>
        <w:t xml:space="preserve">Additionally, this framework aims to ensure policies and procedures are in place and appropriately designed to identify and manage risk at appropriate levels throughout the Company and within various departments. We have established advisor-facing and internal written policies and procedures that govern the conduct of our advisors and employees. Our advisor-facing policies are specifically designed to provide guidelines and procedures that ensure advisors adhere to regulatory requirements and maintain ethical standards in their professional conduct while our internal policies cover a wide range of topics designed to promote compliance, consistency, risk management, and culture and values across the Company. Please consult the </w:t>
      </w:r>
      <w:r>
        <w:rPr>
          <w:color w:val="000000"/>
        </w:rPr>
        <w:t>“</w:t>
      </w:r>
      <w:r>
        <w:rPr>
          <w:rFonts w:ascii="Arial;sans-serif" w:hAnsi="Arial;sans-serif"/>
          <w:b w:val="false"/>
          <w:i/>
          <w:color w:val="000000"/>
          <w:sz w:val="20"/>
        </w:rPr>
        <w:t xml:space="preserve">Risks Related to Our Technology” </w:t>
      </w:r>
      <w:r>
        <w:rPr>
          <w:rFonts w:ascii="Arial;sans-serif" w:hAnsi="Arial;sans-serif"/>
          <w:b w:val="false"/>
          <w:color w:val="000000"/>
          <w:sz w:val="20"/>
        </w:rPr>
        <w:t>and the</w:t>
      </w:r>
      <w:r>
        <w:rPr>
          <w:color w:val="000000"/>
        </w:rPr>
        <w:t xml:space="preserve"> “</w:t>
      </w:r>
      <w:r>
        <w:rPr>
          <w:rFonts w:ascii="Arial;sans-serif" w:hAnsi="Arial;sans-serif"/>
          <w:b w:val="false"/>
          <w:i/>
          <w:color w:val="000000"/>
          <w:sz w:val="20"/>
        </w:rPr>
        <w:t>Risks Related to Our Business and Industry”</w:t>
      </w:r>
      <w:r>
        <w:rPr>
          <w:color w:val="000000"/>
        </w:rPr>
        <w:t xml:space="preserve"> </w:t>
      </w:r>
      <w:r>
        <w:rPr>
          <w:rFonts w:ascii="Arial;sans-serif" w:hAnsi="Arial;sans-serif"/>
          <w:b w:val="false"/>
          <w:color w:val="000000"/>
          <w:sz w:val="20"/>
        </w:rPr>
        <w:t xml:space="preserve">sections within Part I, </w:t>
      </w:r>
      <w:r>
        <w:rPr>
          <w:color w:val="000000"/>
        </w:rPr>
        <w:t>“</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 xml:space="preserve">and the </w:t>
      </w:r>
      <w:r>
        <w:rPr>
          <w:color w:val="000000"/>
        </w:rPr>
        <w:t>“</w:t>
      </w:r>
      <w:r>
        <w:rPr>
          <w:rFonts w:ascii="Arial;sans-serif" w:hAnsi="Arial;sans-serif"/>
          <w:b w:val="false"/>
          <w:i/>
          <w:color w:val="000000"/>
          <w:sz w:val="20"/>
        </w:rPr>
        <w:t>Risk Management”</w:t>
      </w:r>
      <w:r>
        <w:rPr>
          <w:color w:val="000000"/>
        </w:rPr>
        <w:t xml:space="preserve"> </w:t>
      </w:r>
      <w:r>
        <w:rPr>
          <w:rFonts w:ascii="Arial;sans-serif" w:hAnsi="Arial;sans-serif"/>
          <w:b w:val="false"/>
          <w:color w:val="000000"/>
          <w:sz w:val="20"/>
        </w:rPr>
        <w:t>section within Part II, “</w:t>
      </w:r>
      <w:r>
        <w:rPr>
          <w:rFonts w:ascii="Arial;sans-serif" w:hAnsi="Arial;sans-serif"/>
          <w:b w:val="false"/>
          <w:i/>
          <w:color w:val="000000"/>
          <w:sz w:val="20"/>
        </w:rPr>
        <w:t xml:space="preserve">Item 7. Management’s Discussion and Analysis of Financial Condition and Results of Operations” </w:t>
      </w:r>
      <w:r>
        <w:rPr>
          <w:rFonts w:ascii="Arial;sans-serif" w:hAnsi="Arial;sans-serif"/>
          <w:b w:val="false"/>
          <w:color w:val="000000"/>
          <w:sz w:val="20"/>
        </w:rPr>
        <w:t xml:space="preserve">in our 2025 Annual Report on Form 10-K for more information about our risks, our risk management policies and procedures, the potential related effects on our operations, and our ERM framework.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Operational Risk</w:t>
      </w:r>
    </w:p>
    <w:p>
      <w:pPr>
        <w:pStyle w:val="TextBody"/>
        <w:bidi w:val="0"/>
        <w:spacing w:lineRule="auto" w:line="268" w:before="180" w:after="120"/>
        <w:jc w:val="left"/>
        <w:rPr/>
      </w:pPr>
      <w:r>
        <w:rPr>
          <w:rFonts w:ascii="Arial;sans-serif" w:hAnsi="Arial;sans-serif"/>
          <w:b w:val="false"/>
          <w:color w:val="000000"/>
          <w:sz w:val="20"/>
        </w:rPr>
        <w:t>Operational risk refers to the risk of loss resulting from inadequate or failed processes and/or systems as a result of external events and is inherent in all Company activities. Please consult the “</w:t>
      </w:r>
      <w:r>
        <w:rPr>
          <w:rFonts w:ascii="Arial;sans-serif" w:hAnsi="Arial;sans-serif"/>
          <w:b w:val="false"/>
          <w:i/>
          <w:color w:val="000000"/>
          <w:sz w:val="20"/>
        </w:rPr>
        <w:t xml:space="preserve">Risk Management” </w:t>
      </w:r>
      <w:r>
        <w:rPr>
          <w:rFonts w:ascii="Arial;sans-serif" w:hAnsi="Arial;sans-serif"/>
          <w:b w:val="false"/>
          <w:color w:val="000000"/>
          <w:sz w:val="20"/>
        </w:rPr>
        <w:t xml:space="preserve">section within Part II, </w:t>
      </w:r>
      <w:r>
        <w:rPr>
          <w:color w:val="000000"/>
        </w:rPr>
        <w:t>“</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included in our 2025 Annual Report on Form 10-K for more information about the operational risks that we face.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Regulatory and Compliance Risk</w:t>
      </w:r>
    </w:p>
    <w:p>
      <w:pPr>
        <w:pStyle w:val="TextBody"/>
        <w:bidi w:val="0"/>
        <w:spacing w:lineRule="auto" w:line="288" w:before="120" w:after="180"/>
        <w:jc w:val="left"/>
        <w:rPr/>
      </w:pPr>
      <w:r>
        <w:rPr>
          <w:rFonts w:ascii="Arial;sans-serif" w:hAnsi="Arial;sans-serif"/>
          <w:b w:val="false"/>
          <w:color w:val="000000"/>
          <w:sz w:val="20"/>
        </w:rPr>
        <w:t xml:space="preserve">The regulatory environment in which we operate is discussed in detail within Part I, </w:t>
      </w:r>
      <w:r>
        <w:rPr>
          <w:color w:val="000000"/>
        </w:rPr>
        <w:t>“</w:t>
      </w:r>
      <w:r>
        <w:rPr>
          <w:rFonts w:ascii="Arial;sans-serif" w:hAnsi="Arial;sans-serif"/>
          <w:b w:val="false"/>
          <w:i/>
          <w:color w:val="000000"/>
          <w:sz w:val="20"/>
        </w:rPr>
        <w:t>Item 1. Business”</w:t>
      </w:r>
      <w:r>
        <w:rPr>
          <w:color w:val="000000"/>
        </w:rPr>
        <w:t xml:space="preserve"> </w:t>
      </w:r>
      <w:r>
        <w:rPr>
          <w:rFonts w:ascii="Arial;sans-serif" w:hAnsi="Arial;sans-serif"/>
          <w:b w:val="false"/>
          <w:color w:val="000000"/>
          <w:sz w:val="20"/>
        </w:rPr>
        <w:t xml:space="preserve">in our 2025 Annual Report on Form 10-K. In recent years, and during the periods presented in this Quarterly Report on Form 10-Q, we have observed the SEC, FINRA, the U.S. Department of Labor and state regulators broaden the scope, frequency and depth of their examinations and inquiries to include greater emphasis on the quality, consistency and oversight of our compliance systems and programs. Please consult the </w:t>
      </w:r>
      <w:r>
        <w:rPr>
          <w:color w:val="000000"/>
        </w:rPr>
        <w:t>“</w:t>
      </w:r>
      <w:r>
        <w:rPr>
          <w:rFonts w:ascii="Arial;sans-serif" w:hAnsi="Arial;sans-serif"/>
          <w:b w:val="false"/>
          <w:i/>
          <w:color w:val="000000"/>
          <w:sz w:val="20"/>
        </w:rPr>
        <w:t>Risks Related to Our Regulatory Environment”</w:t>
      </w:r>
      <w:r>
        <w:rPr>
          <w:color w:val="000000"/>
        </w:rPr>
        <w:t xml:space="preserve"> </w:t>
      </w:r>
      <w:r>
        <w:rPr>
          <w:rFonts w:ascii="Arial;sans-serif" w:hAnsi="Arial;sans-serif"/>
          <w:b w:val="false"/>
          <w:color w:val="000000"/>
          <w:sz w:val="20"/>
        </w:rPr>
        <w:t xml:space="preserve">and the </w:t>
      </w:r>
      <w:r>
        <w:rPr>
          <w:color w:val="000000"/>
        </w:rPr>
        <w:t>“</w:t>
      </w:r>
      <w:r>
        <w:rPr>
          <w:rFonts w:ascii="Arial;sans-serif" w:hAnsi="Arial;sans-serif"/>
          <w:b w:val="false"/>
          <w:i/>
          <w:color w:val="000000"/>
          <w:sz w:val="20"/>
        </w:rPr>
        <w:t>Risks Related to Our Business and Industry”</w:t>
      </w:r>
      <w:r>
        <w:rPr>
          <w:color w:val="000000"/>
        </w:rPr>
        <w:t xml:space="preserve"> </w:t>
      </w:r>
      <w:r>
        <w:rPr>
          <w:rFonts w:ascii="Arial;sans-serif" w:hAnsi="Arial;sans-serif"/>
          <w:b w:val="false"/>
          <w:color w:val="000000"/>
          <w:sz w:val="20"/>
        </w:rPr>
        <w:t xml:space="preserve">sections within Part I, </w:t>
      </w:r>
      <w:r>
        <w:rPr>
          <w:color w:val="000000"/>
        </w:rPr>
        <w:t>“</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in our 2025 Annual Report on Form 10-K for more information about the risks associated with operating within our regulatory environment, pending regulatory matters and the potential related effects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180"/>
        <w:jc w:val="left"/>
        <w:rPr/>
      </w:pPr>
      <w:r>
        <w:rPr>
          <w:rFonts w:ascii="Arial;sans-serif" w:hAnsi="Arial;sans-serif"/>
          <w:b w:val="false"/>
          <w:color w:val="000000"/>
          <w:sz w:val="20"/>
        </w:rPr>
        <w:t xml:space="preserve">In the notes to our consolidated financial statements and in Part II, </w:t>
      </w:r>
      <w:r>
        <w:rPr>
          <w:color w:val="000000"/>
        </w:rPr>
        <w:t>“</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included in our 2025 Annual Report on Form 10-K, we have disclosed those accounting policies that we consider to be most significant in determining our results of operations and financial condition and involve a higher degree of judgment and complexity. There have been no changes to those policies that we consider to be material since the filing of our 2025 Annual Report on Form 10-K. The accounting principles used in preparing our condensed consolidated financial statements conform in all material respects to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w:t>
      </w:r>
    </w:p>
    <w:tbl>
      <w:tblPr>
        <w:tblW w:w="9885" w:type="dxa"/>
        <w:jc w:val="left"/>
        <w:tblInd w:w="0" w:type="dxa"/>
        <w:tblLayout w:type="fixed"/>
        <w:tblCellMar>
          <w:top w:w="28" w:type="dxa"/>
          <w:left w:w="28" w:type="dxa"/>
          <w:bottom w:w="28" w:type="dxa"/>
          <w:right w:w="28" w:type="dxa"/>
        </w:tblCellMar>
      </w:tblPr>
      <w:tblGrid>
        <w:gridCol w:w="1614"/>
        <w:gridCol w:w="1416"/>
        <w:gridCol w:w="1439"/>
        <w:gridCol w:w="213"/>
        <w:gridCol w:w="988"/>
        <w:gridCol w:w="110"/>
        <w:gridCol w:w="213"/>
        <w:gridCol w:w="988"/>
        <w:gridCol w:w="110"/>
        <w:gridCol w:w="211"/>
        <w:gridCol w:w="976"/>
        <w:gridCol w:w="109"/>
        <w:gridCol w:w="211"/>
        <w:gridCol w:w="976"/>
        <w:gridCol w:w="311"/>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7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Advisory</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2,632,405 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1,717,738 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3,406,983 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w:t>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1,229,830 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503,918 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418,295 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856,014 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commission</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1,232,073 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2,085,844 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Asset-based:</w:t>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789,363 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asset-based</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391,643 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305,015 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608,225 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asset-based</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835,144 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1,397,588 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fee</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208,879 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297,038 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128,405 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46,527 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76,941 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120,792 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68,382 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5,186,623 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3,835,025 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10,125,057 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7,505,032 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and commission</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3,507,164 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2,483,165 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6,798,373 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4,837,090 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624,646 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220,030 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177,552 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323,197 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109,805 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96,231 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188,587 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borrowings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191,498 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70,886 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89,624 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clearing and exchange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50,757 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77,418 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Communications and data processing</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51,603 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99,881 </w:t>
            </w:r>
          </w:p>
        </w:tc>
        <w:tc>
          <w:tcPr>
            <w:tcW w:w="311" w:type="dxa"/>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4,671,119 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3,466,221 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6,718,975 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515,504 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368,804 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786,057 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379,261 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273,249 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735,665 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591,822 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 basic</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 diluted</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 basic</w:t>
            </w:r>
          </w:p>
        </w:tc>
        <w:tc>
          <w:tcPr>
            <w:tcW w:w="120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79,791 </w:t>
            </w:r>
          </w:p>
        </w:tc>
        <w:tc>
          <w:tcPr>
            <w:tcW w:w="11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79,984 </w:t>
            </w:r>
          </w:p>
        </w:tc>
        <w:tc>
          <w:tcPr>
            <w:tcW w:w="11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79,951 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77,307 </w:t>
            </w:r>
          </w:p>
        </w:tc>
        <w:tc>
          <w:tcPr>
            <w:tcW w:w="31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 diluted</w:t>
            </w:r>
          </w:p>
        </w:tc>
        <w:tc>
          <w:tcPr>
            <w:tcW w:w="12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80,032 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80,373 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77,760 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300" w:after="283"/>
        <w:jc w:val="center"/>
        <w:rPr>
          <w:rFonts w:ascii="Arial;sans-serif" w:hAnsi="Arial;sans-serif"/>
          <w:b w:val="false"/>
          <w:color w:val="000000"/>
          <w:sz w:val="18"/>
        </w:rPr>
      </w:pPr>
      <w:r>
        <w:rPr>
          <w:rFonts w:ascii="Arial;sans-serif" w:hAnsi="Arial;sans-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Condensed Consolidated Statements of Financial Condition</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8"/>
        <w:gridCol w:w="2181"/>
        <w:gridCol w:w="2199"/>
        <w:gridCol w:w="211"/>
        <w:gridCol w:w="1081"/>
        <w:gridCol w:w="109"/>
        <w:gridCol w:w="235"/>
        <w:gridCol w:w="1207"/>
        <w:gridCol w:w="174"/>
      </w:tblGrid>
      <w:tr>
        <w:trPr/>
        <w:tc>
          <w:tcPr>
            <w:tcW w:w="280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1,275,690 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1,037,378 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segregated under federal or other regulations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1,792,064 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225,298 </w:t>
            </w:r>
          </w:p>
        </w:tc>
        <w:tc>
          <w:tcPr>
            <w:tcW w:w="17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70,897 </w:t>
            </w:r>
          </w:p>
        </w:tc>
        <w:tc>
          <w:tcPr>
            <w:tcW w:w="17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loans,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3,681,512 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1,203,539 </w:t>
            </w:r>
          </w:p>
        </w:tc>
        <w:tc>
          <w:tcPr>
            <w:tcW w:w="17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91,528 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1,409,376 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2,644,723 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intangibles,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3,330,788 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19,791,120 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18,492,753 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150,520 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advisory and commission expenses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361,623 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7,460,510 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7,258,694 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821,641 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2,524,629 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2,247,515 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14,034,280 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13,148,268 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600,000,000 shares authorized; 136,822,289 and 136,637,544 shares issued at June 30, 2026 and December 31, 2025, respectively</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3,843,017 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 57,660,516 and 56,576,672 shares at June 30, 2026 and December 31, 2025, respectively</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(4,664,666)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(4,333,725)</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5,835,057 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5,756,840 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5,344,485 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18,492,753 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40" w:before="60" w:after="283"/>
        <w:jc w:val="center"/>
        <w:rPr>
          <w:rFonts w:ascii="Arial;sans-serif" w:hAnsi="Arial;sans-serif"/>
          <w:b w:val="false"/>
          <w:color w:val="000000"/>
          <w:sz w:val="18"/>
        </w:rPr>
      </w:pPr>
      <w:r>
        <w:rPr>
          <w:rFonts w:ascii="Arial;sans-serif" w:hAnsi="Arial;sans-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5"/>
        <w:gridCol w:w="671"/>
        <w:gridCol w:w="676"/>
        <w:gridCol w:w="368"/>
        <w:gridCol w:w="368"/>
        <w:gridCol w:w="216"/>
        <w:gridCol w:w="230"/>
        <w:gridCol w:w="462"/>
        <w:gridCol w:w="119"/>
        <w:gridCol w:w="196"/>
        <w:gridCol w:w="871"/>
        <w:gridCol w:w="109"/>
        <w:gridCol w:w="323"/>
        <w:gridCol w:w="323"/>
        <w:gridCol w:w="216"/>
        <w:gridCol w:w="196"/>
        <w:gridCol w:w="907"/>
        <w:gridCol w:w="109"/>
        <w:gridCol w:w="196"/>
        <w:gridCol w:w="871"/>
        <w:gridCol w:w="109"/>
        <w:gridCol w:w="200"/>
        <w:gridCol w:w="889"/>
        <w:gridCol w:w="112"/>
        <w:gridCol w:w="109"/>
        <w:gridCol w:w="109"/>
        <w:gridCol w:w="315"/>
      </w:tblGrid>
      <w:tr>
        <w:trPr/>
        <w:tc>
          <w:tcPr>
            <w:tcW w:w="9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21"/>
            <w:tcBorders/>
            <w:tcMar>
              <w:top w:w="0" w:type="dxa"/>
              <w:left w:w="0" w:type="dxa"/>
              <w:bottom w:w="0" w:type="dxa"/>
              <w:right w:w="0" w:type="dxa"/>
            </w:tcMar>
            <w:vAlign w:val="center"/>
          </w:tcPr>
          <w:p>
            <w:pPr>
              <w:pStyle w:val="TableContents"/>
              <w:bidi w:val="0"/>
              <w:spacing w:before="0" w:after="283"/>
              <w:jc w:val="center"/>
              <w:rPr/>
            </w:pPr>
            <w:r>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March 31, 2025</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131,195 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2,089,155 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56,611 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(4,331,582)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5,366,079 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3,123,783 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90"/>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Cash dividends on common stock - $0.30 per share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(23,998)</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20,322 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issuance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June 30, 2025</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136,603 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3,787,009 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56,599 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(4,332,275)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5,619,546 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5,074,416 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March 31, 2026</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136,811 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3,870,612 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56,623 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(4,352,434)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6,167,387 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5,685,702 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90"/>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Cash dividends on common stock - $0.30 per share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(23,973)</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r>
      <w:tr>
        <w:trPr/>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23,581 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136,822 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6,522,675 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5,756,840 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0"/>
        <w:gridCol w:w="749"/>
        <w:gridCol w:w="752"/>
        <w:gridCol w:w="406"/>
        <w:gridCol w:w="406"/>
        <w:gridCol w:w="239"/>
        <w:gridCol w:w="231"/>
        <w:gridCol w:w="465"/>
        <w:gridCol w:w="120"/>
        <w:gridCol w:w="196"/>
        <w:gridCol w:w="871"/>
        <w:gridCol w:w="109"/>
        <w:gridCol w:w="354"/>
        <w:gridCol w:w="354"/>
        <w:gridCol w:w="238"/>
        <w:gridCol w:w="196"/>
        <w:gridCol w:w="924"/>
        <w:gridCol w:w="109"/>
        <w:gridCol w:w="196"/>
        <w:gridCol w:w="871"/>
        <w:gridCol w:w="109"/>
        <w:gridCol w:w="228"/>
        <w:gridCol w:w="1017"/>
        <w:gridCol w:w="185"/>
      </w:tblGrid>
      <w:tr>
        <w:trPr/>
        <w:tc>
          <w:tcPr>
            <w:tcW w:w="88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4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175"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color w:val="000000"/>
                <w:sz w:val="16"/>
              </w:rPr>
            </w:pPr>
            <w:r>
              <w:rPr>
                <w:rFonts w:ascii="Arial;sans-serif" w:hAnsi="Arial;sans-serif"/>
                <w:b/>
                <w:color w:val="000000"/>
                <w:sz w:val="16"/>
              </w:rPr>
              <w:t>Treasury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 December 31, 2024</w:t>
            </w:r>
          </w:p>
        </w:tc>
        <w:tc>
          <w:tcPr>
            <w:tcW w:w="8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130,915 </w:t>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56,254 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(4,202,322)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5,066,525 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2,930,602 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591,822 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(31,001)</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Cash dividends on common stock - $0.60 per share</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(46,390)</w:t>
            </w:r>
          </w:p>
        </w:tc>
        <w:tc>
          <w:tcPr>
            <w:tcW w:w="185" w:type="dxa"/>
            <w:tcBorders/>
            <w:shd w:fill="DBDBDB"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39,570 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6"/>
              </w:rPr>
            </w:pPr>
            <w:r>
              <w:rPr>
                <w:rFonts w:ascii="Arial;sans-serif" w:hAnsi="Arial;sans-serif"/>
                <w:b w:val="false"/>
                <w:color w:val="000000"/>
                <w:sz w:val="16"/>
              </w:rPr>
              <w:t>Equity issuance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1,677,221 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June 30, 2025</w:t>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136,603 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56,599 </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(4,332,275)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5,619,546 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5,074,416 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136603000</w:t>
            </w:r>
          </w:p>
        </w:tc>
        <w:tc>
          <w:tcPr>
            <w:tcW w:w="8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136000</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3787009000</w:t>
            </w:r>
          </w:p>
        </w:tc>
        <w:tc>
          <w:tcPr>
            <w:tcW w:w="9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56599000</w:t>
            </w:r>
          </w:p>
        </w:tc>
        <w:tc>
          <w:tcPr>
            <w:tcW w:w="12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-4332275000</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4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1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December 31, 2025</w:t>
            </w:r>
          </w:p>
        </w:tc>
        <w:tc>
          <w:tcPr>
            <w:tcW w:w="8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136,638 </w:t>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3,843,017 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56,577 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(4,333,725)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5,835,057 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5,344,485 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735,665 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(20,063)</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Cash dividends on common stock - $0.60 per share</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(48,028)</w:t>
            </w:r>
          </w:p>
        </w:tc>
        <w:tc>
          <w:tcPr>
            <w:tcW w:w="185" w:type="dxa"/>
            <w:tcBorders/>
            <w:shd w:fill="DBDBDB"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10,215 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46,640 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June 30, 2026</w:t>
            </w:r>
          </w:p>
        </w:tc>
        <w:tc>
          <w:tcPr>
            <w:tcW w:w="8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136,822 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57,661 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6,522,675 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5,756,840 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center"/>
        <w:rPr>
          <w:rFonts w:ascii="Arial;sans-serif" w:hAnsi="Arial;sans-serif"/>
          <w:b w:val="false"/>
          <w:color w:val="000000"/>
          <w:sz w:val="18"/>
        </w:rPr>
      </w:pPr>
      <w:r>
        <w:rPr>
          <w:rFonts w:ascii="Arial;sans-serif" w:hAnsi="Arial;sans-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2193"/>
        <w:gridCol w:w="1906"/>
        <w:gridCol w:w="1912"/>
        <w:gridCol w:w="378"/>
        <w:gridCol w:w="1482"/>
        <w:gridCol w:w="194"/>
        <w:gridCol w:w="378"/>
        <w:gridCol w:w="1482"/>
        <w:gridCol w:w="280"/>
      </w:tblGrid>
      <w:tr>
        <w:trPr/>
        <w:tc>
          <w:tcPr>
            <w:tcW w:w="219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2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20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735,665 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2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188,587 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138,116 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89,624 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46,640 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39,570 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benefit for income taxes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estimated fair value of contingent consideration</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forgiveness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283,469 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187,555 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2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(75,781)</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(173,405)</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(52,945)</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loans, net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(502,964)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(449,518)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(231,927)</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(67,956)</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(108,789)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(82,142)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(128,241)</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(189,883)</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448,877 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144,365 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advisory and commission expenses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(17,303)</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(32,394)</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40,873 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leases</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692,350 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533,110 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20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(256,457)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(234,110)</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(190,129)</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140" w:type="dxa"/>
            <w:gridSpan w:val="3"/>
            <w:tcBorders/>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securities classified as held-to-maturity</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securities classified as held-to-maturity</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other investments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(12,064)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25"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Capitalized interest</w:t>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(5,583)</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DBDBDB"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(3,044)</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(616,956)</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(449,628)</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Continued on following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68"/>
        <w:gridCol w:w="2039"/>
        <w:gridCol w:w="2044"/>
        <w:gridCol w:w="268"/>
        <w:gridCol w:w="1241"/>
        <w:gridCol w:w="138"/>
        <w:gridCol w:w="268"/>
        <w:gridCol w:w="1241"/>
        <w:gridCol w:w="198"/>
      </w:tblGrid>
      <w:tr>
        <w:trPr/>
        <w:tc>
          <w:tcPr>
            <w:tcW w:w="276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facilities</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980,000 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69,000 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facilities</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(783,000)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senior unsecured notes</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2,744,930 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issuance costs</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(29,133)</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(33,207)</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payments related to settlement of restricted stock units</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1,725,000 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 of equity issuance costs</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(309,476)</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(100,004)</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 and other</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10,215 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12,596 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Principal payment of financing obligation</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 of finance leases and obligations</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(201,388)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3,145,678 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EQUIVALENTS, CASH AND EQUIVALENTS SEGREGATED UNDER FEDERAL OR OTHER REGULATIONS AND RESTRICTED CASH</w:t>
            </w:r>
          </w:p>
        </w:tc>
        <w:tc>
          <w:tcPr>
            <w:tcW w:w="15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(125,994)</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3,229,160 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CASH AND EQUIVALENTS SEGREGATED UNDER FEDERAL OR OTHER REGULATIONS AND RESTRICTED CASH — Beginning of period</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3,054,740 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2,684,052 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CASH AND EQUIVALENTS SEGREGATED UNDER FEDERAL OR OTHER REGULATIONS AND RESTRICTED CASH — End of period</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2,928,746 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5,913,212 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 OF CASH FLOW INFORMATION:</w:t>
            </w:r>
          </w:p>
        </w:tc>
        <w:tc>
          <w:tcPr>
            <w:tcW w:w="16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232,243 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302,972 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operating lease liabilities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finance lease liabilities</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DISCLOSURES:</w:t>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included in accounts payable and accrued liabilities</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49,856 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33,822 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assets obtained in exchange for operating lease liabilities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Prefunded acquisition</w:t>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70,202 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 and other liabilities recognized at acquisition date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1,275,690 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4,185,337 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segregated under federal or other regulations</w:t>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1,420,167 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1,611,200 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232,889 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116,675 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equivalents, cash and equivalents segregated under federal or other regulations and restricted cash shown in the statements of cash flows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2,928,746 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5,913,212 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Arial;sans-serif" w:hAnsi="Arial;sans-serif"/>
          <w:b w:val="false"/>
          <w:color w:val="000000"/>
          <w:sz w:val="18"/>
        </w:rPr>
      </w:pPr>
      <w:r>
        <w:rPr>
          <w:rFonts w:ascii="Arial;sans-serif" w:hAnsi="Arial;sans-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420"/>
        <w:jc w:val="left"/>
        <w:rPr>
          <w:rFonts w:ascii="Arial;sans-serif" w:hAnsi="Arial;sans-serif"/>
          <w:b/>
          <w:color w:val="000000"/>
          <w:sz w:val="20"/>
        </w:rPr>
      </w:pPr>
      <w:r>
        <w:rPr>
          <w:rFonts w:ascii="Arial;sans-serif" w:hAnsi="Arial;sans-serif"/>
          <w:b/>
          <w:color w:val="000000"/>
          <w:sz w:val="20"/>
        </w:rPr>
        <w:t>NOTE 1 - ORGANIZATION AND DESCRIPTION OF THE COMPANY</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LPL Financial Holdings Inc. (“LPLFH”), a Delaware holding corporation, together with its consolidated subsidiaries (collectively, the “Company”), provides an integrated platform of brokerage and investment advisory services to independent financial advisors and financial advisors at institutions (collectively, “advisors”)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“clients”). The Company’s most significant, wholly owned subsidiaries are described below:</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 </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Financial LLC (“LPL Financial”), with primary offices in San Diego, California; Fort Mill, South Carolina; Tempe, Arizona; Boston, Massachusetts; Austin, Texas; and New York, New York, is a clearing broker-dealer and an investment adviser that principally transacts business for its advisors and institutions on behalf of their clients in a broad array of financial products and services. LPL Financial is licensed to operate in all 50 states, Washington D.C., Puerto Rico and the U.S. Virgin Islands.</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Enterprise, LLC (“LPL Enterprise”) is a limited product shelf introducing broker-dealer and registered investment adviser that supports a portion of the Company’s institutional services’ clients, providing brokerage and investment advisory services to the clients of those institutional businesses.</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Insurance Associates, Inc. operates as an insurance brokerage general agency that offers life and disability insurance products and services for LPL Financial advisors.</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AW Subsidiary, Inc. is a holding company for Blaze Portfolio Systems LLC (“Blaze”), which provides an advisor-facing trading and portfolio rebalancing platform.</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PTC Holdings, Inc. (“PTCH”)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(“IRA”) custodial services for LPL Financial. </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LPL Employee Services, LLC and its subsidiary, Allen &amp; Company of Florida, LLC, provide primary support for the Company’s employee advisor affiliation model. </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CFN Holding Company, LLC (“CFN”) is a holding company for Commonwealth Equity Services, LLC (“CES”), which is a registered broker-dealer and investment adviser that does business as Commonwealth Financial Network (“Commonwealth”). CES is an introducing broker-dealer that clears transactions through a third-party clearing and carrying firm. The Company expects to complete the conversion of assets from CES in the fourth quarter of 2026 and withdraw the related registrations of that entity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shd w:fill="FFFFFF" w:val="clear"/>
        </w:rPr>
      </w:pPr>
      <w:r>
        <w:rPr>
          <w:rFonts w:ascii="Arial;sans-serif" w:hAnsi="Arial;sans-serif"/>
          <w:b/>
          <w:color w:val="000000"/>
          <w:sz w:val="20"/>
          <w:shd w:fill="FFFFFF" w:val="clear"/>
        </w:rPr>
        <w:t>NOTE 2 - SUMMARY OF SIGNIFICANT ACCOUNTING POLICIES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(“condensed consolidated financial statements”) are prepared in accordance with accounting principles generally accepted in the United States (“GAAP”), which require the Company to make estimates and assumptions regarding the valuation of certain financial instruments, acquisitions, contingent consideration, goodwill and other intangibles, allowance for credit losses on receivables, share-based compensation, accruals for liabilities, income taxes, revenue and expense accruals and other matters that affect the condensed consolidated financial statements and related disclosures. The condensed consolidated financial statements reflect all adjustments which are, in the opinion of management, necessary to present fairly the results of operations for the interim periods presented. Actual results could differ from those estimates under different assumptions or conditions and the differences may be material to the condensed consolidated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LPLFH and its subsidiaries. Intercompany transactions and balances have been eliminated. The condensed consolidated financial statements should be read in conjunction with the Company’s audited consolidated financial statements and the related notes for the year ended December 31, 2025, contained in the Company’s Annual Report on Form 10-K as filed with the Securities and Exchange Commission (“SEC”).</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68" w:before="120" w:after="180"/>
        <w:jc w:val="left"/>
        <w:rPr/>
      </w:pPr>
      <w:r>
        <w:rPr>
          <w:rFonts w:ascii="Arial;sans-serif" w:hAnsi="Arial;sans-serif"/>
          <w:b w:val="false"/>
          <w:color w:val="000000"/>
          <w:sz w:val="20"/>
        </w:rPr>
        <w:t xml:space="preserve">In September 2025, the Financial Accounting Standards Board (“FASB”) issued Accounting Standards Update (“ASU”) 2025-06 </w:t>
      </w:r>
      <w:r>
        <w:rPr>
          <w:rFonts w:ascii="Arial;sans-serif" w:hAnsi="Arial;sans-serif"/>
          <w:b w:val="false"/>
          <w:i/>
          <w:color w:val="000000"/>
          <w:sz w:val="20"/>
        </w:rPr>
        <w:t>Intangibles—Goodwill and Other—Internal-Use Software (Subtopic 350-40): Targeted Improvements to the Accounting for Internal-Use Software</w:t>
      </w:r>
      <w:r>
        <w:rPr>
          <w:color w:val="000000"/>
        </w:rPr>
        <w:t xml:space="preserve"> </w:t>
      </w:r>
      <w:r>
        <w:rPr>
          <w:rFonts w:ascii="Arial;sans-serif" w:hAnsi="Arial;sans-serif"/>
          <w:b w:val="false"/>
          <w:color w:val="000000"/>
          <w:sz w:val="20"/>
        </w:rPr>
        <w:t xml:space="preserve">to modernize the accounting for and disclosure of software costs. The ASU may be applied prospectively, retrospectively or via a modified transition approach and is effective for annual periods beginning after December 15, 2027, with early adoption permitted. We are currently assessing the amendment’s impact on our consolidated financial statements. </w:t>
      </w:r>
    </w:p>
    <w:p>
      <w:pPr>
        <w:pStyle w:val="TextBody"/>
        <w:bidi w:val="0"/>
        <w:spacing w:lineRule="auto" w:line="268" w:before="120" w:after="12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w:t>
      </w:r>
      <w:r>
        <w:rPr>
          <w:rFonts w:ascii="Arial;sans-serif" w:hAnsi="Arial;sans-serif"/>
          <w:b w:val="false"/>
          <w:color w:val="000000"/>
          <w:sz w:val="20"/>
        </w:rPr>
        <w:t xml:space="preserve">: </w:t>
      </w:r>
      <w:r>
        <w:rPr>
          <w:rFonts w:ascii="Arial;sans-serif" w:hAnsi="Arial;sans-serif"/>
          <w:b w:val="false"/>
          <w:i/>
          <w:color w:val="000000"/>
          <w:sz w:val="20"/>
        </w:rPr>
        <w:t>Disaggregation of Income Statement Expenses</w:t>
      </w:r>
      <w:r>
        <w:rPr>
          <w:rFonts w:ascii="Arial;sans-serif" w:hAnsi="Arial;sans-serif"/>
          <w:b w:val="false"/>
          <w:color w:val="000000"/>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lineRule="auto" w:line="268" w:before="180" w:after="12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68" w:before="120" w:after="180"/>
        <w:jc w:val="left"/>
        <w:rPr>
          <w:rFonts w:ascii="Arial;sans-serif" w:hAnsi="Arial;sans-serif"/>
          <w:b w:val="false"/>
          <w:color w:val="000000"/>
          <w:sz w:val="20"/>
        </w:rPr>
      </w:pPr>
      <w:r>
        <w:rPr>
          <w:rFonts w:ascii="Arial;sans-serif" w:hAnsi="Arial;sans-serif"/>
          <w:b w:val="false"/>
          <w:color w:val="000000"/>
          <w:sz w:val="20"/>
        </w:rPr>
        <w:t>There were no new accounting pronouncements adopted during the six months ended June 30, 2026 that materially impacted the Company’s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3 - REVENUE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Commission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total commission revenue disaggregated by product category (in thousands):</w:t>
      </w:r>
    </w:p>
    <w:tbl>
      <w:tblPr>
        <w:tblW w:w="7644" w:type="dxa"/>
        <w:jc w:val="left"/>
        <w:tblInd w:w="0" w:type="dxa"/>
        <w:tblLayout w:type="fixed"/>
        <w:tblCellMar>
          <w:top w:w="28" w:type="dxa"/>
          <w:left w:w="28" w:type="dxa"/>
          <w:bottom w:w="28" w:type="dxa"/>
          <w:right w:w="28" w:type="dxa"/>
        </w:tblCellMar>
      </w:tblPr>
      <w:tblGrid>
        <w:gridCol w:w="864"/>
        <w:gridCol w:w="759"/>
        <w:gridCol w:w="762"/>
        <w:gridCol w:w="213"/>
        <w:gridCol w:w="988"/>
        <w:gridCol w:w="110"/>
        <w:gridCol w:w="213"/>
        <w:gridCol w:w="988"/>
        <w:gridCol w:w="110"/>
        <w:gridCol w:w="211"/>
        <w:gridCol w:w="976"/>
        <w:gridCol w:w="109"/>
        <w:gridCol w:w="211"/>
        <w:gridCol w:w="97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Commission revenue</w:t>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727,746 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629,763 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262,044 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223,317 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457,213 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Equities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ind w:left="0" w:right="0" w:hanging="180"/>
              <w:jc w:val="left"/>
              <w:rPr>
                <w:rFonts w:ascii="Arial;sans-serif" w:hAnsi="Arial;sans-serif"/>
                <w:b/>
                <w:color w:val="000000"/>
                <w:sz w:val="18"/>
              </w:rPr>
            </w:pPr>
            <w:r>
              <w:rPr>
                <w:rFonts w:ascii="Arial;sans-serif" w:hAnsi="Arial;sans-serif"/>
                <w:b/>
                <w:color w:val="000000"/>
                <w:sz w:val="18"/>
              </w:rPr>
              <w:t>Total commission revenue</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1,232,073 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1,038,087 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2,424,107 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2,085,844 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The following table presents sales-based and trailing commission revenue disaggregated by product category (in thousands):</w:t>
      </w:r>
    </w:p>
    <w:tbl>
      <w:tblPr>
        <w:tblW w:w="7644" w:type="dxa"/>
        <w:jc w:val="left"/>
        <w:tblInd w:w="0" w:type="dxa"/>
        <w:tblLayout w:type="fixed"/>
        <w:tblCellMar>
          <w:top w:w="28" w:type="dxa"/>
          <w:left w:w="28" w:type="dxa"/>
          <w:bottom w:w="28" w:type="dxa"/>
          <w:right w:w="28" w:type="dxa"/>
        </w:tblCellMar>
      </w:tblPr>
      <w:tblGrid>
        <w:gridCol w:w="864"/>
        <w:gridCol w:w="759"/>
        <w:gridCol w:w="762"/>
        <w:gridCol w:w="213"/>
        <w:gridCol w:w="988"/>
        <w:gridCol w:w="110"/>
        <w:gridCol w:w="213"/>
        <w:gridCol w:w="988"/>
        <w:gridCol w:w="110"/>
        <w:gridCol w:w="211"/>
        <w:gridCol w:w="976"/>
        <w:gridCol w:w="109"/>
        <w:gridCol w:w="211"/>
        <w:gridCol w:w="97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Commission revenue</w:t>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Sales-based</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Annuities</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444,791 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393,654 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759,421 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Fixed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Equities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Mutual funds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88,606 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73,012 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Total sales-based revenue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619,792 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Trailing</w:t>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208,051 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171,016 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trailing revenue</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503,918 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418,295 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990,537 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Total commission revenue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1,232,073 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1,038,087 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Asset-Based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asset-based revenue disaggregated by product category (in thousands):</w:t>
      </w:r>
    </w:p>
    <w:tbl>
      <w:tblPr>
        <w:tblW w:w="7658" w:type="dxa"/>
        <w:jc w:val="left"/>
        <w:tblInd w:w="0" w:type="dxa"/>
        <w:tblLayout w:type="fixed"/>
        <w:tblCellMar>
          <w:top w:w="28" w:type="dxa"/>
          <w:left w:w="28" w:type="dxa"/>
          <w:bottom w:w="28" w:type="dxa"/>
          <w:right w:w="28" w:type="dxa"/>
        </w:tblCellMar>
      </w:tblPr>
      <w:tblGrid>
        <w:gridCol w:w="869"/>
        <w:gridCol w:w="763"/>
        <w:gridCol w:w="767"/>
        <w:gridCol w:w="241"/>
        <w:gridCol w:w="946"/>
        <w:gridCol w:w="124"/>
        <w:gridCol w:w="241"/>
        <w:gridCol w:w="946"/>
        <w:gridCol w:w="124"/>
        <w:gridCol w:w="211"/>
        <w:gridCol w:w="976"/>
        <w:gridCol w:w="109"/>
        <w:gridCol w:w="211"/>
        <w:gridCol w:w="97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Asset-based revenue</w:t>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cash</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Sponsorship programs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235,519 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171,715 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342,253 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Recordkeeping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asset-based revenue</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835,144 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702,347 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1,655,949 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1,397,588 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Service and Fee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service and fee revenue disaggregated by recognition pattern (in thousands):</w:t>
      </w:r>
    </w:p>
    <w:tbl>
      <w:tblPr>
        <w:tblW w:w="7720" w:type="dxa"/>
        <w:jc w:val="left"/>
        <w:tblInd w:w="0" w:type="dxa"/>
        <w:tblLayout w:type="fixed"/>
        <w:tblCellMar>
          <w:top w:w="28" w:type="dxa"/>
          <w:left w:w="28" w:type="dxa"/>
          <w:bottom w:w="28" w:type="dxa"/>
          <w:right w:w="28" w:type="dxa"/>
        </w:tblCellMar>
      </w:tblPr>
      <w:tblGrid>
        <w:gridCol w:w="961"/>
        <w:gridCol w:w="845"/>
        <w:gridCol w:w="849"/>
        <w:gridCol w:w="241"/>
        <w:gridCol w:w="946"/>
        <w:gridCol w:w="124"/>
        <w:gridCol w:w="241"/>
        <w:gridCol w:w="946"/>
        <w:gridCol w:w="124"/>
        <w:gridCol w:w="220"/>
        <w:gridCol w:w="864"/>
        <w:gridCol w:w="114"/>
        <w:gridCol w:w="220"/>
        <w:gridCol w:w="864"/>
        <w:gridCol w:w="161"/>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 and fee revenue</w:t>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Over time</w:t>
            </w:r>
            <w:r>
              <w:rPr>
                <w:rFonts w:ascii="Arial;sans-serif" w:hAnsi="Arial;sans-serif"/>
                <w:b w:val="false"/>
                <w:color w:val="000000"/>
                <w:sz w:val="12"/>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Point-in-time</w:t>
            </w:r>
            <w:r>
              <w:rPr>
                <w:rFonts w:ascii="Arial;sans-serif" w:hAnsi="Arial;sans-serif"/>
                <w:b w:val="false"/>
                <w:color w:val="000000"/>
                <w:sz w:val="12"/>
              </w:rPr>
              <w:t>(2)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51,956 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38,836 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104,169 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service and fee revenue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208,879 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419,863 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297,038 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140"/>
        <w:ind w:left="0" w:right="0" w:hanging="540"/>
        <w:jc w:val="left"/>
        <w:rPr/>
      </w:pPr>
      <w:r>
        <w:rPr>
          <w:rFonts w:ascii="Arial;sans-serif" w:hAnsi="Arial;sans-serif"/>
          <w:b w:val="false"/>
          <w:color w:val="000000"/>
          <w:sz w:val="16"/>
          <w:shd w:fill="FFFFFF" w:val="clear"/>
        </w:rPr>
        <w:t>(1)</w:t>
      </w:r>
      <w:r>
        <w:rPr>
          <w:rFonts w:ascii="Arial;sans-serif" w:hAnsi="Arial;sans-serif"/>
          <w:b w:val="false"/>
          <w:color w:val="000000"/>
          <w:sz w:val="16"/>
        </w:rPr>
        <w:t>Service and fee revenue recognized over time includes revenue such as brokerage account maintenance fees, error and omission insurance fees, and technology fees.</w:t>
      </w:r>
    </w:p>
    <w:p>
      <w:pPr>
        <w:pStyle w:val="TextBody"/>
        <w:bidi w:val="0"/>
        <w:spacing w:lineRule="auto" w:line="288" w:before="60" w:after="140"/>
        <w:ind w:left="0" w:right="0" w:hanging="540"/>
        <w:jc w:val="left"/>
        <w:rPr>
          <w:rFonts w:ascii="Arial;sans-serif" w:hAnsi="Arial;sans-serif"/>
          <w:b w:val="false"/>
          <w:color w:val="000000"/>
          <w:sz w:val="16"/>
        </w:rPr>
      </w:pPr>
      <w:r>
        <w:rPr>
          <w:rFonts w:ascii="Arial;sans-serif" w:hAnsi="Arial;sans-serif"/>
          <w:b w:val="false"/>
          <w:color w:val="000000"/>
          <w:sz w:val="16"/>
        </w:rPr>
        <w:t>(2)Service and fee revenue recognized at a point-in-time includes revenue such as registration fees, account fees, and IRA termination fees.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Unearned Revenue</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records unearned revenue when cash payments are received or due in advance of the Company’s performance obligations, including amounts which are refundable. Unearned revenue increased from $265.0 million as of December 31, 2025 to $329.2 million as of June 30, 2026. The increase in unearned revenue for the six months ended June 30, 2026 is primarily driven by cash payments received or due in advance of satisfying the Company’s performance obligations, partially offset by $264.3 million of revenue recognized during the six months ended June 30, 2026 that was included in the unearned revenue balance as of December 31, 2025.</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4 - ACQUISITIONS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Acquisitions Completed in the Current Period</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completed 13 acquisitions, five of which have been accounted for as business combinations and eight of which have been accounted for as asset acquisitions.</w:t>
      </w:r>
    </w:p>
    <w:p>
      <w:pPr>
        <w:pStyle w:val="TextBody"/>
        <w:bidi w:val="0"/>
        <w:spacing w:lineRule="auto" w:line="288" w:before="120" w:after="180"/>
        <w:jc w:val="left"/>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lineRule="auto" w:line="268" w:before="120" w:after="180"/>
        <w:jc w:val="both"/>
        <w:rPr>
          <w:rFonts w:ascii="Arial;sans-serif" w:hAnsi="Arial;sans-serif"/>
          <w:b w:val="false"/>
          <w:color w:val="000000"/>
          <w:sz w:val="20"/>
        </w:rPr>
      </w:pPr>
      <w:r>
        <w:rPr>
          <w:rFonts w:ascii="Arial;sans-serif" w:hAnsi="Arial;sans-serif"/>
          <w:b w:val="false"/>
          <w:color w:val="000000"/>
          <w:sz w:val="20"/>
        </w:rPr>
        <w:t xml:space="preserve">The Company accounted for five acquisitions under the acquisition method of accounting for business combinations. Total consideration for these transactions was $151.3 million, which included $122.9 million of cash, and liabilities of $26.6 million for contingent consideration, which represents the acquisition date fair value of the additional cash consideration that may be transferred to the sellers if certain asset growth is achieved in the years following the closing. This contingent consideration may be settled for amounts of up to $68.5 million in the years following the closing. </w:t>
      </w:r>
    </w:p>
    <w:p>
      <w:pPr>
        <w:pStyle w:val="TextBody"/>
        <w:bidi w:val="0"/>
        <w:spacing w:lineRule="auto" w:line="268" w:before="120" w:after="180"/>
        <w:jc w:val="both"/>
        <w:rPr/>
      </w:pPr>
      <w:r>
        <w:rPr>
          <w:rFonts w:ascii="Arial;sans-serif" w:hAnsi="Arial;sans-serif"/>
          <w:b w:val="false"/>
          <w:color w:val="000000"/>
          <w:sz w:val="20"/>
        </w:rPr>
        <w:t xml:space="preserve">At June 30, 2026, the purchase accounting analysis is still ongoing and may result in changes to the value of intangible assets and liabilities recorded. The Company had provisionally allocated $40.0 million of the consideration to client relationships, which were assigned useful lives of 14 years, $81.5 million to advisor relationships, which were assigned useful lives of 15 years, and $29.8 million to goodwill. See Note 7 </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Goodwill and Other Intangibles, Net</w:t>
      </w:r>
      <w:r>
        <w:rPr>
          <w:rFonts w:ascii="Arial;sans-serif" w:hAnsi="Arial;sans-serif"/>
          <w:b w:val="false"/>
          <w:color w:val="000000"/>
          <w:sz w:val="20"/>
        </w:rPr>
        <w:t>, for additional information.</w:t>
      </w:r>
    </w:p>
    <w:p>
      <w:pPr>
        <w:pStyle w:val="TextBody"/>
        <w:bidi w:val="0"/>
        <w:spacing w:lineRule="auto" w:line="288" w:before="120" w:after="180"/>
        <w:jc w:val="left"/>
        <w:rPr>
          <w:rFonts w:ascii="Arial;sans-serif" w:hAnsi="Arial;sans-serif"/>
          <w:b w:val="false"/>
          <w:i/>
          <w:color w:val="000000"/>
          <w:sz w:val="20"/>
        </w:rPr>
      </w:pPr>
      <w:r>
        <w:rPr>
          <w:rFonts w:ascii="Arial;sans-serif" w:hAnsi="Arial;sans-serif"/>
          <w:b w:val="false"/>
          <w:i/>
          <w:color w:val="000000"/>
          <w:sz w:val="20"/>
        </w:rPr>
        <w:t>Asset Acquisitions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The Company accounted for eight acquisitions as asset acquisitions. These transactions included total initial consideration of $57.6 million, including $52.3 million which was allocated to client relationships and $5.3 million which was allocated to advisor relationships. These relationships were assigned useful lives of 14 years and 15 years, respectively, and the related transactions include potential contingent payments of up to $30.0 million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180"/>
        <w:jc w:val="left"/>
        <w:rPr/>
      </w:pPr>
      <w:r>
        <w:rPr>
          <w:rFonts w:ascii="Arial;sans-serif" w:hAnsi="Arial;sans-serif"/>
          <w:b w:val="false"/>
          <w:color w:val="000000"/>
          <w:sz w:val="20"/>
        </w:rPr>
        <w:t xml:space="preserve">years following the closing if certain asset growth is achieved. The Company has not recognized a liability for these contingent payments as the amounts to be paid will be uncertain until a future measurement date. Additionally, the Company recognized customer relationships of $34.5 million relating to cash paid for contingent consideration payments for asset acquisitions completed in prior periods for which the contingent period had ended in the current year. These customer relationships will be amortized over the remaining useful life of the asset that was initially recorded. See Note 7 </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Goodwill and Other Intangibles, Net</w:t>
      </w:r>
      <w:r>
        <w:rPr>
          <w:rFonts w:ascii="Arial;sans-serif" w:hAnsi="Arial;sans-serif"/>
          <w:b w:val="false"/>
          <w:color w:val="000000"/>
          <w:sz w:val="20"/>
        </w:rPr>
        <w:t>, for additional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Acquisitions Completed in Prior Periods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During the year ended December 31, 2025, the Company completed 34 acquisitions, six of which have been accounted for as business combinations and 28 of which were accounted for as asset acquisitions.</w:t>
      </w:r>
    </w:p>
    <w:p>
      <w:pPr>
        <w:pStyle w:val="TextBody"/>
        <w:bidi w:val="0"/>
        <w:spacing w:lineRule="auto" w:line="288" w:before="120" w:after="180"/>
        <w:jc w:val="left"/>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Acquisition of Commonwealth Financial Network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August 1, 2025, the Company acquired 100% of the outstanding equity interests of CFN, a privately-held independent wealth management firm headquartered in Massachusetts, in order to leverage its scale and enhance its capabilities. As part of the transaction, Commonwealth’s advisory and brokerage assets are expected to transition to the Company’s platform in the fourth quarter of 2026. Commonwealth's results were included in the Company's consolidated statements of income from August 1, 2025 through December 31, 2025 and consolidated statements of financial condition as of December 31, 2025. The Company accounted for the transaction under the acquisition method of accounting for business combinations.</w:t>
      </w:r>
    </w:p>
    <w:p>
      <w:pPr>
        <w:pStyle w:val="TextBody"/>
        <w:bidi w:val="0"/>
        <w:spacing w:before="0" w:after="0"/>
        <w:jc w:val="left"/>
        <w:rPr/>
      </w:pPr>
      <w:r>
        <w:rPr/>
      </w:r>
    </w:p>
    <w:p>
      <w:pPr>
        <w:pStyle w:val="TextBody"/>
        <w:bidi w:val="0"/>
        <w:spacing w:lineRule="auto" w:line="268" w:before="120" w:after="180"/>
        <w:jc w:val="left"/>
        <w:rPr>
          <w:rFonts w:ascii="Arial;sans-serif" w:hAnsi="Arial;sans-serif"/>
          <w:b w:val="false"/>
          <w:color w:val="000000"/>
          <w:sz w:val="20"/>
        </w:rPr>
      </w:pPr>
      <w:r>
        <w:rPr>
          <w:rFonts w:ascii="Arial;sans-serif" w:hAnsi="Arial;sans-serif"/>
          <w:b w:val="false"/>
          <w:color w:val="000000"/>
          <w:sz w:val="20"/>
        </w:rPr>
        <w:t>The following table summarizes the cash funded at closing and total consideration transferred (dollars in thousands):</w:t>
      </w:r>
    </w:p>
    <w:tbl>
      <w:tblPr>
        <w:tblW w:w="5006" w:type="dxa"/>
        <w:jc w:val="left"/>
        <w:tblInd w:w="0" w:type="dxa"/>
        <w:tblLayout w:type="fixed"/>
        <w:tblCellMar>
          <w:top w:w="28" w:type="dxa"/>
          <w:left w:w="28" w:type="dxa"/>
          <w:bottom w:w="28" w:type="dxa"/>
          <w:right w:w="28" w:type="dxa"/>
        </w:tblCellMar>
      </w:tblPr>
      <w:tblGrid>
        <w:gridCol w:w="1178"/>
        <w:gridCol w:w="1036"/>
        <w:gridCol w:w="1040"/>
        <w:gridCol w:w="109"/>
        <w:gridCol w:w="109"/>
        <w:gridCol w:w="109"/>
        <w:gridCol w:w="224"/>
        <w:gridCol w:w="1038"/>
        <w:gridCol w:w="163"/>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Funded at Close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1,927,371 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for liabilities assumed</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for post-combination expenses</w:t>
            </w:r>
            <w:r>
              <w:rPr>
                <w:rFonts w:ascii="Arial;sans-serif" w:hAnsi="Arial;sans-serif"/>
                <w:b w:val="false"/>
                <w:color w:val="000000"/>
                <w:sz w:val="12"/>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419,049 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funded at close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2,752,243 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1,927,371 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2,017,785 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before="0" w:after="0"/>
        <w:jc w:val="left"/>
        <w:rPr/>
      </w:pPr>
      <w:r>
        <w:rPr/>
      </w:r>
    </w:p>
    <w:p>
      <w:pPr>
        <w:pStyle w:val="TextBody"/>
        <w:bidi w:val="0"/>
        <w:spacing w:lineRule="auto" w:line="268" w:before="60" w:after="140"/>
        <w:ind w:left="0" w:right="0" w:hanging="540"/>
        <w:jc w:val="left"/>
        <w:rPr>
          <w:rFonts w:ascii="Arial;sans-serif" w:hAnsi="Arial;sans-serif"/>
          <w:b w:val="false"/>
          <w:color w:val="000000"/>
          <w:sz w:val="16"/>
        </w:rPr>
      </w:pPr>
      <w:r>
        <w:rPr>
          <w:rFonts w:ascii="Arial;sans-serif" w:hAnsi="Arial;sans-serif"/>
          <w:b w:val="false"/>
          <w:color w:val="000000"/>
          <w:sz w:val="16"/>
        </w:rPr>
        <w:t>(1)Liabilities assumed are reflected in the Accounts payable and accrued liabilities and Equity awards liability line items in the table below and were paid concurrently with the closing.</w:t>
      </w:r>
    </w:p>
    <w:p>
      <w:pPr>
        <w:pStyle w:val="TextBody"/>
        <w:bidi w:val="0"/>
        <w:spacing w:lineRule="auto" w:line="288" w:before="60" w:after="140"/>
        <w:ind w:left="0" w:right="0" w:hanging="540"/>
        <w:jc w:val="left"/>
        <w:rPr>
          <w:rFonts w:ascii="Arial;sans-serif" w:hAnsi="Arial;sans-serif"/>
          <w:b w:val="false"/>
          <w:color w:val="000000"/>
          <w:sz w:val="16"/>
        </w:rPr>
      </w:pPr>
      <w:r>
        <w:rPr>
          <w:rFonts w:ascii="Arial;sans-serif" w:hAnsi="Arial;sans-serif"/>
          <w:b w:val="false"/>
          <w:color w:val="000000"/>
          <w:sz w:val="16"/>
        </w:rPr>
        <w:t xml:space="preserve">(2)The post-combination expenses were paid at the closing and primarily included $228.4 million of costs related to transaction bonuses and the acceleration of unvested equity awards which were classified as Compensation and benefits and $190.1 million of costs related to certain contract termination fees which were classified as Occupancy and equipment in the condensed consolidated financial statements in the three months ended September 30, 2025.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provisional purchase price allocation at August 1, 2025 (dollars in thousands):</w:t>
      </w:r>
    </w:p>
    <w:tbl>
      <w:tblPr>
        <w:tblW w:w="6880" w:type="dxa"/>
        <w:jc w:val="left"/>
        <w:tblInd w:w="0" w:type="dxa"/>
        <w:tblLayout w:type="fixed"/>
        <w:tblCellMar>
          <w:top w:w="28" w:type="dxa"/>
          <w:left w:w="28" w:type="dxa"/>
          <w:bottom w:w="28" w:type="dxa"/>
          <w:right w:w="28" w:type="dxa"/>
        </w:tblCellMar>
      </w:tblPr>
      <w:tblGrid>
        <w:gridCol w:w="1856"/>
        <w:gridCol w:w="1632"/>
        <w:gridCol w:w="1641"/>
        <w:gridCol w:w="109"/>
        <w:gridCol w:w="109"/>
        <w:gridCol w:w="109"/>
        <w:gridCol w:w="221"/>
        <w:gridCol w:w="1042"/>
        <w:gridCol w:w="161"/>
      </w:tblGrid>
      <w:tr>
        <w:trPr/>
        <w:tc>
          <w:tcPr>
            <w:tcW w:w="185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Provisional Purchase Price Allocation</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2,017,785 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95,414</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43,719</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55,788</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loans,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92,716</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7,769</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1,716,000</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58,330</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identifiable assets acquired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2,405,502</w:t>
            </w:r>
            <w:r>
              <w:rPr>
                <w:color w:val="000000"/>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advisory and commission expenses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14,440</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57,012</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382,231</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309,594</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54,302</w:t>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assumed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818,104</w:t>
            </w:r>
            <w:r>
              <w:rPr>
                <w:color w:val="000000"/>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1,587,398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430,387</w:t>
            </w:r>
            <w:r>
              <w:rPr>
                <w:color w:val="000000"/>
              </w:rPr>
              <w:t> </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(1)The Company recorded provisional purchase accounting adjustments during the six months ended June 30, 2026 which resulted in a $7.1 million increase in other liabilities and goodwill, respectively. The purchase accounting analysis is ongoing and may result in changes to consideration based on working capital and other adjustments and the value of certain assets acquired and liabilities recorded.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goodwill primarily includes synergies expected to result from combining operations and is deductible for tax purposes. Other intangible assets comprised $1.7 billion of advisor relationships, which were assigned useful lives of 14 years, and $26.0 million of trade name intangible, which was assigned a useful life of 16 years. </w:t>
      </w:r>
      <w:r>
        <w:rPr>
          <w:rFonts w:ascii="Arial;sans-serif" w:hAnsi="Arial;sans-serif"/>
          <w:b w:val="false"/>
          <w:i/>
          <w:color w:val="000000"/>
          <w:sz w:val="20"/>
        </w:rPr>
        <w:t xml:space="preserve">See </w:t>
      </w:r>
      <w:r>
        <w:rPr>
          <w:rFonts w:ascii="Arial;sans-serif" w:hAnsi="Arial;sans-serif"/>
          <w:b w:val="false"/>
          <w:color w:val="000000"/>
          <w:sz w:val="20"/>
        </w:rPr>
        <w:t>Note 7</w:t>
      </w:r>
      <w:r>
        <w:rPr>
          <w:color w:val="000000"/>
        </w:rPr>
        <w:t xml:space="preserve"> </w:t>
      </w:r>
      <w:r>
        <w:rPr>
          <w:rFonts w:ascii="Arial;sans-serif" w:hAnsi="Arial;sans-serif"/>
          <w:b w:val="false"/>
          <w:i/>
          <w:color w:val="000000"/>
          <w:sz w:val="20"/>
        </w:rPr>
        <w:t>- Goodwill and Other Intangibles, Net</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fair value determination of certain assets acquired and liabilities assumed required the Company to make significant estimates and assumptions. Intangible assets were valued using an income approach with estimates and assumptions related to future net cash flows, discount and royalty rates. Advisor loans were valued using an income approach with assumptions related to net cash flows and conversion rates. The fair value of repayable loans was $88.0 million and approximates its carrying value.</w:t>
      </w:r>
    </w:p>
    <w:p>
      <w:pPr>
        <w:pStyle w:val="TextBody"/>
        <w:bidi w:val="0"/>
        <w:spacing w:before="0" w:after="0"/>
        <w:jc w:val="left"/>
        <w:rPr/>
      </w:pPr>
      <w:r>
        <w:rPr/>
      </w:r>
    </w:p>
    <w:p>
      <w:pPr>
        <w:pStyle w:val="TextBody"/>
        <w:bidi w:val="0"/>
        <w:spacing w:lineRule="auto" w:line="276" w:before="120" w:after="180"/>
        <w:jc w:val="left"/>
        <w:rPr>
          <w:rFonts w:ascii="Arial;sans-serif" w:hAnsi="Arial;sans-serif"/>
          <w:b w:val="false"/>
          <w:color w:val="000000"/>
          <w:sz w:val="20"/>
        </w:rPr>
      </w:pPr>
      <w:r>
        <w:rPr>
          <w:rFonts w:ascii="Arial;sans-serif" w:hAnsi="Arial;sans-serif"/>
          <w:b w:val="false"/>
          <w:color w:val="000000"/>
          <w:sz w:val="20"/>
        </w:rPr>
        <w:t>Acquisition related costs incurred as part of the Commonwealth acquisition during the three and six months ended June 30, 2026 were $17.1 million and $30.4 million, respectively, and primarily comprised amounts related to professional services, which were included in the Company's condensed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 presents unaudited pro forma results as if the acquisition of Commonwealth had occurred on January 1, 2024 (dollars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7"/>
        <w:gridCol w:w="1661"/>
        <w:gridCol w:w="1665"/>
        <w:gridCol w:w="109"/>
        <w:gridCol w:w="109"/>
        <w:gridCol w:w="109"/>
        <w:gridCol w:w="386"/>
        <w:gridCol w:w="1790"/>
        <w:gridCol w:w="199"/>
        <w:gridCol w:w="359"/>
        <w:gridCol w:w="1664"/>
        <w:gridCol w:w="267"/>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LPL Financial and Commonwealth Pro Forma Combined Financial Information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52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4,817,029 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8,895,171 </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478,409 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712,370 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unaudited pro forma results above were prepared by combining the historical financial information of the Company and Commonwealth and making certain adjustments. Pro forma adjustments include the impact of amortization of intangible assets recognized as part of the acquisition, amortization of transition assistance loans made to advisors that will transition to the Company’s platform in 2026, and the impact of related interest and issuance costs of financing the transaction. The unaudited pro forma information does not reflect the potential benefits of cost and funding synergies, opportunities to earn additional revenues or other factors, and, therefore, does not represent the actual results that would have occurred had the companies actually been combined as of January 1, 2024.</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Company financed this transaction through a combination of Corporate Cash, proceeds from the debt and equity issuances completed in April 2025, and borrowings under LPL Holdings, Inc.’s revolving credit facility. See Note 9</w:t>
      </w:r>
      <w:r>
        <w:rPr>
          <w:color w:val="000000"/>
        </w:rPr>
        <w:t xml:space="preserve"> </w:t>
      </w:r>
      <w:r>
        <w:rPr>
          <w:rFonts w:ascii="Arial;sans-serif" w:hAnsi="Arial;sans-serif"/>
          <w:b w:val="false"/>
          <w:i/>
          <w:color w:val="000000"/>
          <w:sz w:val="20"/>
        </w:rPr>
        <w:t xml:space="preserve">- Corporate Debt and Other Borrowings, Net </w:t>
      </w:r>
      <w:r>
        <w:rPr>
          <w:rFonts w:ascii="Arial;sans-serif" w:hAnsi="Arial;sans-serif"/>
          <w:b w:val="false"/>
          <w:color w:val="000000"/>
          <w:sz w:val="20"/>
        </w:rPr>
        <w:t xml:space="preserve">and Note 11 - </w:t>
      </w:r>
      <w:r>
        <w:rPr>
          <w:rFonts w:ascii="Arial;sans-serif" w:hAnsi="Arial;sans-serif"/>
          <w:b w:val="false"/>
          <w:i/>
          <w:color w:val="000000"/>
          <w:sz w:val="20"/>
        </w:rPr>
        <w:t xml:space="preserve">Stockholders’ Equity </w:t>
      </w:r>
      <w:r>
        <w:rPr>
          <w:rFonts w:ascii="Arial;sans-serif" w:hAnsi="Arial;sans-serif"/>
          <w:b w:val="false"/>
          <w:color w:val="000000"/>
          <w:sz w:val="20"/>
        </w:rPr>
        <w:t>for additional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Acquisition of The Investment Center, Inc. (“The Investment Center”)</w:t>
      </w:r>
    </w:p>
    <w:p>
      <w:pPr>
        <w:pStyle w:val="TextBody"/>
        <w:bidi w:val="0"/>
        <w:spacing w:lineRule="auto" w:line="288" w:before="120" w:after="180"/>
        <w:jc w:val="left"/>
        <w:rPr/>
      </w:pPr>
      <w:r>
        <w:rPr>
          <w:rFonts w:ascii="Arial;sans-serif" w:hAnsi="Arial;sans-serif"/>
          <w:b w:val="false"/>
          <w:color w:val="000000"/>
          <w:sz w:val="20"/>
        </w:rPr>
        <w:t xml:space="preserve">On March 4, 2025, the Company acquired The Investment Center for total consideration of $72.6 million, which included $72.2 million of cash and liabilities of $0.4 million for contingent consideration. The Company was introduced to The Investment Center as part of the acquisition of Atria Wealth Solutions, Inc. (“Atria”), and the cash consideration was prefunded in 2024 in conjunction with the close of the Atria acquisition. The Company subsequently transitioned The Investment Center’s brokerage and advisory assets to the Company’s platform. The transaction also includes potential contingent consideration of up to $10.4 million based on revenue growth in the years following the acquisition. The Company accounted for the acquisition under the acquisition method of accounting for business combinations. Acquisition related costs incurred during the year ended December 31, 2025 were $6.0 million, primarily related to costs which were classified as compensation and benefits expenses and promotional expenses in the Company's consolidated statements of income. The Company recorded purchase accounting adjustments during the year ended December 31, 2025 which resulted in a $2.0 million increase in cash consideration, a $6.1 million decrease in other liabilities, a $0.4 million decrease in advisor relationships, and a $3.7 million decrease in goodwill. As of December 31, 2025, the Company had allocated $43.5 million and $29.1 million of the consideration to advisor relationships and goodwill, respectively. The advisor relationships were assigned a useful life of 16 years. See Note 7 - </w:t>
      </w:r>
      <w:r>
        <w:rPr>
          <w:rFonts w:ascii="Arial;sans-serif" w:hAnsi="Arial;sans-serif"/>
          <w:b w:val="false"/>
          <w:i/>
          <w:color w:val="000000"/>
          <w:sz w:val="20"/>
        </w:rPr>
        <w:t>Goodwill and Other Intangibles, Net,</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Other Business Combinations</w:t>
      </w:r>
    </w:p>
    <w:p>
      <w:pPr>
        <w:pStyle w:val="TextBody"/>
        <w:bidi w:val="0"/>
        <w:spacing w:lineRule="auto" w:line="268" w:before="180" w:after="120"/>
        <w:jc w:val="left"/>
        <w:rPr>
          <w:rFonts w:ascii="Arial;sans-serif" w:hAnsi="Arial;sans-serif"/>
          <w:b w:val="false"/>
          <w:color w:val="000000"/>
          <w:sz w:val="20"/>
        </w:rPr>
      </w:pPr>
      <w:r>
        <w:rPr>
          <w:rFonts w:ascii="Arial;sans-serif" w:hAnsi="Arial;sans-serif"/>
          <w:b w:val="false"/>
          <w:color w:val="000000"/>
          <w:sz w:val="20"/>
        </w:rPr>
        <w:t xml:space="preserve">The Company accounted for four acquisitions under the acquisition method of accounting for business combinations during the year ended December 31, 2025. Total consideration for these transactions was $75.2 million, which included $58.3 million of cash, and liabilities of $15.2 million for contingent consideration which represents the acquisition date fair value of the additional cash consideration that may be transferred to the sellers if certain asset or revenue growth metrics are achieved in the years following the closing. This contingent consideration may be settled for amounts of up to $46.9 million in the years following the closing. The Company allocated $63.3 million of the consideration to client relationships and $0.3 million to advisor relationships, which were assigned useful lives of 14 years to 15 years, and $11.6 million to goodwill. </w:t>
      </w:r>
    </w:p>
    <w:p>
      <w:pPr>
        <w:pStyle w:val="TextBody"/>
        <w:bidi w:val="0"/>
        <w:spacing w:lineRule="auto" w:line="288" w:before="120" w:after="180"/>
        <w:jc w:val="left"/>
        <w:rPr>
          <w:rFonts w:ascii="Arial;sans-serif" w:hAnsi="Arial;sans-serif"/>
          <w:b w:val="false"/>
          <w:i/>
          <w:color w:val="000000"/>
          <w:sz w:val="20"/>
        </w:rPr>
      </w:pPr>
      <w:r>
        <w:rPr>
          <w:rFonts w:ascii="Arial;sans-serif" w:hAnsi="Arial;sans-serif"/>
          <w:b w:val="false"/>
          <w:i/>
          <w:color w:val="000000"/>
          <w:sz w:val="20"/>
        </w:rPr>
        <w:t>Asset Acquisitions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 xml:space="preserve">The Company accounted for 28 other acquisitions as asset acquisitions during the year ended December 31, 2025. These transactions included total initial consideration of $227.9 million, including $222.4 million which was allocated to client relationships and $5.5 million which was allocated to advisor relationships. These transactions include potential contingent payments of up to $158.1 million in the years following the closing if certain asset growth is achieved. The Company has not recognized a liability for these contingent payments as the amounts to be paid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180"/>
        <w:jc w:val="left"/>
        <w:rPr/>
      </w:pPr>
      <w:r>
        <w:rPr>
          <w:rFonts w:ascii="Arial;sans-serif" w:hAnsi="Arial;sans-serif"/>
          <w:b w:val="false"/>
          <w:color w:val="000000"/>
          <w:sz w:val="20"/>
        </w:rPr>
        <w:t xml:space="preserve">be uncertain until a future measurement date. See Note 7 </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Goodwill and Other Intangibles, Net,</w:t>
      </w:r>
      <w:r>
        <w:rPr>
          <w:color w:val="000000"/>
        </w:rPr>
        <w:t xml:space="preserve"> </w:t>
      </w:r>
      <w:r>
        <w:rPr>
          <w:rFonts w:ascii="Arial;sans-serif" w:hAnsi="Arial;sans-serif"/>
          <w:b w:val="false"/>
          <w:color w:val="000000"/>
          <w:sz w:val="20"/>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5 - FAIR VALUE MEASUREMENTS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    </w:t>
      </w:r>
    </w:p>
    <w:p>
      <w:pPr>
        <w:pStyle w:val="TextBody"/>
        <w:bidi w:val="0"/>
        <w:spacing w:lineRule="auto" w:line="288" w:before="120" w:after="283"/>
        <w:jc w:val="left"/>
        <w:rPr/>
      </w:pP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Quoted prices in active markets for identical assets or liabilities.</w:t>
      </w:r>
    </w:p>
    <w:p>
      <w:pPr>
        <w:pStyle w:val="TextBody"/>
        <w:bidi w:val="0"/>
        <w:spacing w:lineRule="auto" w:line="288" w:before="120" w:after="283"/>
        <w:jc w:val="left"/>
        <w:rPr/>
      </w:pP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120" w:after="283"/>
        <w:jc w:val="left"/>
        <w:rPr/>
      </w:pP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have been no transfers of assets or liabilities between these fair value measurement classifications during the six months ended June 30, 2026 or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fair value measurements are evaluated within the fair value hierarchy, based on the nature of inputs used to determine the fair value at the measurement date. At June 30, 2026 and December 31, 2025, the Company had the following financial assets and liabilities that are measured at fair value on a recurring basis:</w:t>
      </w:r>
    </w:p>
    <w:p>
      <w:pPr>
        <w:pStyle w:val="TextBody"/>
        <w:bidi w:val="0"/>
        <w:spacing w:lineRule="auto" w:line="288" w:before="120" w:after="283"/>
        <w:jc w:val="left"/>
        <w:rPr/>
      </w:pPr>
      <w:r>
        <w:rPr>
          <w:rFonts w:ascii="Arial;sans-serif" w:hAnsi="Arial;sans-serif"/>
          <w:b w:val="false"/>
          <w:i/>
          <w:color w:val="000000"/>
          <w:sz w:val="20"/>
        </w:rPr>
        <w:t>Cash Equivalents</w:t>
      </w:r>
      <w:r>
        <w:rPr>
          <w:color w:val="000000"/>
        </w:rPr>
        <w:t xml:space="preserve"> — </w:t>
      </w:r>
      <w:r>
        <w:rPr>
          <w:rFonts w:ascii="Arial;sans-serif" w:hAnsi="Arial;sans-serif"/>
          <w:b w:val="false"/>
          <w:color w:val="000000"/>
          <w:sz w:val="20"/>
        </w:rPr>
        <w:t>The Company’s cash equivalents primarily include money market funds and U.S. government obligations, which are short term in nature with readily determinable values derived from active markets.</w:t>
      </w:r>
    </w:p>
    <w:p>
      <w:pPr>
        <w:pStyle w:val="TextBody"/>
        <w:bidi w:val="0"/>
        <w:spacing w:lineRule="auto" w:line="288" w:before="120" w:after="283"/>
        <w:jc w:val="left"/>
        <w:rPr/>
      </w:pPr>
      <w:r>
        <w:rPr>
          <w:rFonts w:ascii="Arial;sans-serif" w:hAnsi="Arial;sans-serif"/>
          <w:b w:val="false"/>
          <w:i/>
          <w:color w:val="000000"/>
          <w:sz w:val="20"/>
        </w:rPr>
        <w:t>Cash Equivalents Segregated Under Federal or Other Regulations</w:t>
      </w:r>
      <w:r>
        <w:rPr>
          <w:color w:val="000000"/>
        </w:rPr>
        <w:t xml:space="preserve"> — </w:t>
      </w:r>
      <w:r>
        <w:rPr>
          <w:rFonts w:ascii="Arial;sans-serif" w:hAnsi="Arial;sans-serif"/>
          <w:b w:val="false"/>
          <w:color w:val="000000"/>
          <w:sz w:val="20"/>
        </w:rPr>
        <w:t>The Company’s cash equivalents segregated under federal or other regulations include U.S. treasury bills, which are short term in nature with readily determinable values derived from active markets.</w:t>
      </w:r>
    </w:p>
    <w:p>
      <w:pPr>
        <w:pStyle w:val="TextBody"/>
        <w:bidi w:val="0"/>
        <w:spacing w:lineRule="auto" w:line="288" w:before="120" w:after="283"/>
        <w:jc w:val="left"/>
        <w:rPr/>
      </w:pPr>
      <w:r>
        <w:rPr>
          <w:rFonts w:ascii="Arial;sans-serif" w:hAnsi="Arial;sans-serif"/>
          <w:b w:val="false"/>
          <w:i/>
          <w:color w:val="000000"/>
          <w:sz w:val="20"/>
        </w:rPr>
        <w:t xml:space="preserve">Restricted Cash </w:t>
      </w:r>
      <w:r>
        <w:rPr>
          <w:color w:val="000000"/>
        </w:rPr>
        <w:t xml:space="preserve">— </w:t>
      </w:r>
      <w:r>
        <w:rPr>
          <w:rFonts w:ascii="Arial;sans-serif" w:hAnsi="Arial;sans-serif"/>
          <w:b w:val="false"/>
          <w:color w:val="000000"/>
          <w:sz w:val="20"/>
        </w:rPr>
        <w:t>The Company’s restricted cash is primarily composed of U.S. government obligations and money market funds which are short term in nature with readily determinable values derived from active markets.</w:t>
      </w:r>
    </w:p>
    <w:p>
      <w:pPr>
        <w:pStyle w:val="TextBody"/>
        <w:bidi w:val="0"/>
        <w:spacing w:lineRule="auto" w:line="288" w:before="120" w:after="120"/>
        <w:jc w:val="left"/>
        <w:rPr/>
      </w:pPr>
      <w:r>
        <w:rPr>
          <w:rFonts w:ascii="Arial;sans-serif" w:hAnsi="Arial;sans-serif"/>
          <w:b w:val="false"/>
          <w:i/>
          <w:color w:val="000000"/>
          <w:sz w:val="20"/>
        </w:rPr>
        <w:t>Trading Securities and Securities Sold, But Not Yet Purchased</w:t>
      </w:r>
      <w:r>
        <w:rPr>
          <w:color w:val="000000"/>
        </w:rPr>
        <w:t xml:space="preserve"> — </w:t>
      </w:r>
      <w:r>
        <w:rPr>
          <w:rFonts w:ascii="Arial;sans-serif" w:hAnsi="Arial;sans-serif"/>
          <w:b w:val="false"/>
          <w:color w:val="000000"/>
          <w:sz w:val="20"/>
        </w:rPr>
        <w:t xml:space="preserve">The Company’s trading securities consist of house account model portfolios established and managed for the purpose of benchmarking the performance of its fee-based advisory platforms and temporary positions resulting from the processing of client transactions.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observable market interest rates that correspond to the remaining maturities or the next interest reset dates. At June 30, 2026 and December 31, 2025, the Company did not adjust prices received from the independent third-party pricing services.</w:t>
      </w:r>
    </w:p>
    <w:p>
      <w:pPr>
        <w:pStyle w:val="TextBody"/>
        <w:bidi w:val="0"/>
        <w:spacing w:lineRule="auto" w:line="288" w:before="120" w:after="283"/>
        <w:jc w:val="left"/>
        <w:rPr/>
      </w:pPr>
      <w:r>
        <w:rPr>
          <w:rFonts w:ascii="Arial;sans-serif" w:hAnsi="Arial;sans-serif"/>
          <w:b w:val="false"/>
          <w:i/>
          <w:color w:val="000000"/>
          <w:sz w:val="20"/>
        </w:rPr>
        <w:t>Other Assets</w:t>
      </w:r>
      <w:r>
        <w:rPr>
          <w:color w:val="000000"/>
        </w:rPr>
        <w:t xml:space="preserve"> — </w:t>
      </w:r>
      <w:r>
        <w:rPr>
          <w:rFonts w:ascii="Arial;sans-serif" w:hAnsi="Arial;sans-serif"/>
          <w:b w:val="false"/>
          <w:color w:val="000000"/>
          <w:sz w:val="20"/>
        </w:rPr>
        <w:t xml:space="preserve">The Company’s other assets include: (1) deferred compensation plan assets that are invested in life insurance, money market and other mutual funds, which are actively traded and valued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quoted market prices; and (2) certain non-traded real estate investment trusts, which are valued using quoted prices for identical or similar securities and other inputs that are observable or can be corroborated by observable market data.</w:t>
      </w:r>
    </w:p>
    <w:p>
      <w:pPr>
        <w:pStyle w:val="TextBody"/>
        <w:bidi w:val="0"/>
        <w:spacing w:lineRule="auto" w:line="288" w:before="120" w:after="283"/>
        <w:jc w:val="left"/>
        <w:rPr/>
      </w:pPr>
      <w:r>
        <w:rPr>
          <w:rFonts w:ascii="Arial;sans-serif" w:hAnsi="Arial;sans-serif"/>
          <w:b w:val="false"/>
          <w:i/>
          <w:color w:val="000000"/>
          <w:sz w:val="20"/>
        </w:rPr>
        <w:t>Fractional Shares</w:t>
      </w:r>
      <w:r>
        <w:rPr>
          <w:color w:val="000000"/>
        </w:rPr>
        <w:t xml:space="preserve"> — </w:t>
      </w:r>
      <w:r>
        <w:rPr>
          <w:rFonts w:ascii="Arial;sans-serif" w:hAnsi="Arial;sans-serif"/>
          <w:b w:val="false"/>
          <w:color w:val="000000"/>
          <w:sz w:val="20"/>
        </w:rPr>
        <w:t xml:space="preserve">The Company’s investment in fractional shares held by customers is reflected in other assets while the related purchase obligation for such shares is reflected in other liabilities. The Company uses prices obtained from independent third-party pricing services to measure the fair value of its investment in fractional shares held by customers and the related repurchase obligation.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At June 30, 2026 and December 31, 2025, the Company did not adjust prices received from the independent third-party pricing services. </w:t>
      </w:r>
    </w:p>
    <w:p>
      <w:pPr>
        <w:pStyle w:val="TextBody"/>
        <w:bidi w:val="0"/>
        <w:spacing w:lineRule="auto" w:line="288" w:before="120" w:after="120"/>
        <w:jc w:val="left"/>
        <w:rPr/>
      </w:pPr>
      <w:r>
        <w:rPr>
          <w:rFonts w:ascii="Arial;sans-serif" w:hAnsi="Arial;sans-serif"/>
          <w:b w:val="false"/>
          <w:i/>
          <w:color w:val="000000"/>
          <w:sz w:val="20"/>
        </w:rPr>
        <w:t>Contingent Consideration</w:t>
      </w:r>
      <w:r>
        <w:rPr>
          <w:color w:val="000000"/>
        </w:rPr>
        <w:t xml:space="preserve"> — </w:t>
      </w:r>
      <w:r>
        <w:rPr>
          <w:rFonts w:ascii="Arial;sans-serif" w:hAnsi="Arial;sans-serif"/>
          <w:b w:val="false"/>
          <w:color w:val="000000"/>
          <w:sz w:val="20"/>
        </w:rPr>
        <w:t xml:space="preserve">The Company measures contingent consideration liabilities at fair value at the acquisition date, as applicable, and thereafter on a recurring basis using unobservable (Level 3) inputs. These contingent consideration liabilities are reflected in other liabilities. See Note 4 - </w:t>
      </w:r>
      <w:r>
        <w:rPr>
          <w:rFonts w:ascii="Arial;sans-serif" w:hAnsi="Arial;sans-serif"/>
          <w:b w:val="false"/>
          <w:i/>
          <w:color w:val="000000"/>
          <w:sz w:val="20"/>
        </w:rPr>
        <w:t>Acquisitions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Level 3 Recurring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determines the fair value for its contingent consideration obligations using probability weighted and Monte-Carlo simulation models. Contingent payments are estimated by applying significant unobservable inputs, including forecasted growth rates applied to project future revenue or asset growth, conversion or retention rates,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inputs used in the measurement of contingent consideration (dollars in thousands):</w:t>
      </w:r>
    </w:p>
    <w:tbl>
      <w:tblPr>
        <w:tblW w:w="10205" w:type="dxa"/>
        <w:jc w:val="left"/>
        <w:tblInd w:w="0" w:type="dxa"/>
        <w:tblLayout w:type="fixed"/>
        <w:tblCellMar>
          <w:top w:w="28" w:type="dxa"/>
          <w:left w:w="28" w:type="dxa"/>
          <w:bottom w:w="28" w:type="dxa"/>
          <w:right w:w="28" w:type="dxa"/>
        </w:tblCellMar>
      </w:tblPr>
      <w:tblGrid>
        <w:gridCol w:w="241"/>
        <w:gridCol w:w="882"/>
        <w:gridCol w:w="116"/>
        <w:gridCol w:w="892"/>
        <w:gridCol w:w="516"/>
        <w:gridCol w:w="371"/>
        <w:gridCol w:w="886"/>
        <w:gridCol w:w="872"/>
        <w:gridCol w:w="875"/>
        <w:gridCol w:w="593"/>
        <w:gridCol w:w="593"/>
        <w:gridCol w:w="595"/>
        <w:gridCol w:w="264"/>
        <w:gridCol w:w="256"/>
        <w:gridCol w:w="483"/>
        <w:gridCol w:w="194"/>
        <w:gridCol w:w="194"/>
        <w:gridCol w:w="194"/>
        <w:gridCol w:w="318"/>
        <w:gridCol w:w="298"/>
        <w:gridCol w:w="572"/>
      </w:tblGrid>
      <w:tr>
        <w:trPr/>
        <w:tc>
          <w:tcPr>
            <w:tcW w:w="2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Quantitative Information About Level 3 Fair Value Measurements</w:t>
            </w:r>
          </w:p>
        </w:tc>
      </w:tr>
      <w:tr>
        <w:trPr/>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Type</w:t>
            </w:r>
          </w:p>
        </w:tc>
        <w:tc>
          <w:tcPr>
            <w:tcW w:w="2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Valuation Techniques</w:t>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Unobservable Inputs</w:t>
            </w:r>
          </w:p>
        </w:tc>
        <w:tc>
          <w:tcPr>
            <w:tcW w:w="27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Range</w:t>
            </w:r>
          </w:p>
        </w:tc>
      </w:tr>
      <w:tr>
        <w:trPr/>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105,432 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26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Monte-Carlo Simulation Model</w:t>
            </w:r>
          </w:p>
        </w:tc>
        <w:tc>
          <w:tcPr>
            <w:tcW w:w="1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Forecasted Growth Rates</w:t>
            </w:r>
          </w:p>
        </w:tc>
        <w:tc>
          <w:tcPr>
            <w:tcW w:w="5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5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Equivalency Rate</w:t>
            </w:r>
            <w:r>
              <w:rPr>
                <w:rFonts w:ascii="Arial;sans-serif" w:hAnsi="Arial;sans-serif"/>
                <w:b w:val="false"/>
                <w:color w:val="000000"/>
                <w:sz w:val="12"/>
              </w:rPr>
              <w:t>(1)</w:t>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Probability Weighted Expected Return Method</w:t>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Rate</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pPr>
      <w:r>
        <w:rPr>
          <w:rFonts w:ascii="Arial;sans-serif" w:hAnsi="Arial;sans-serif"/>
          <w:b w:val="false"/>
          <w:color w:val="000000"/>
          <w:sz w:val="16"/>
          <w:shd w:fill="FFFFFF" w:val="clear"/>
        </w:rPr>
        <w:t>(1)</w:t>
      </w:r>
      <w:r>
        <w:rPr>
          <w:rFonts w:ascii="Arial;sans-serif" w:hAnsi="Arial;sans-serif"/>
          <w:b w:val="false"/>
          <w:color w:val="000000"/>
          <w:sz w:val="16"/>
        </w:rPr>
        <w:t>Equivalency rate is defined as the prevailing market interest rate used to discount future payments.</w:t>
      </w:r>
    </w:p>
    <w:p>
      <w:pPr>
        <w:pStyle w:val="TextBody"/>
        <w:bidi w:val="0"/>
        <w:spacing w:before="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tbl>
      <w:tblPr>
        <w:tblW w:w="10205" w:type="dxa"/>
        <w:jc w:val="left"/>
        <w:tblInd w:w="0" w:type="dxa"/>
        <w:tblLayout w:type="fixed"/>
        <w:tblCellMar>
          <w:top w:w="28" w:type="dxa"/>
          <w:left w:w="28" w:type="dxa"/>
          <w:bottom w:w="28" w:type="dxa"/>
          <w:right w:w="28" w:type="dxa"/>
        </w:tblCellMar>
      </w:tblPr>
      <w:tblGrid>
        <w:gridCol w:w="287"/>
        <w:gridCol w:w="1050"/>
        <w:gridCol w:w="138"/>
        <w:gridCol w:w="871"/>
        <w:gridCol w:w="504"/>
        <w:gridCol w:w="363"/>
        <w:gridCol w:w="854"/>
        <w:gridCol w:w="839"/>
        <w:gridCol w:w="842"/>
        <w:gridCol w:w="581"/>
        <w:gridCol w:w="581"/>
        <w:gridCol w:w="582"/>
        <w:gridCol w:w="264"/>
        <w:gridCol w:w="255"/>
        <w:gridCol w:w="466"/>
        <w:gridCol w:w="187"/>
        <w:gridCol w:w="187"/>
        <w:gridCol w:w="187"/>
        <w:gridCol w:w="318"/>
        <w:gridCol w:w="298"/>
        <w:gridCol w:w="551"/>
      </w:tblGrid>
      <w:tr>
        <w:trPr/>
        <w:tc>
          <w:tcPr>
            <w:tcW w:w="28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Quantitative Information About Level 3 Fair Value Measurements</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Type</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Valuation Techniques</w:t>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Unobservable Inputs</w:t>
            </w:r>
          </w:p>
        </w:tc>
        <w:tc>
          <w:tcPr>
            <w:tcW w:w="27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Range</w:t>
            </w:r>
          </w:p>
        </w:tc>
      </w:tr>
      <w:tr>
        <w:trPr/>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115,464 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25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Monte-Carlo Simulation Model</w:t>
            </w:r>
          </w:p>
        </w:tc>
        <w:tc>
          <w:tcPr>
            <w:tcW w:w="17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Forecasted Growth Rates</w:t>
            </w:r>
          </w:p>
        </w:tc>
        <w:tc>
          <w:tcPr>
            <w:tcW w:w="5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5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Equivalency Rate</w:t>
            </w:r>
            <w:r>
              <w:rPr>
                <w:rFonts w:ascii="Arial;sans-serif" w:hAnsi="Arial;sans-serif"/>
                <w:b w:val="false"/>
                <w:color w:val="000000"/>
                <w:sz w:val="12"/>
              </w:rPr>
              <w:t>(1)</w:t>
            </w:r>
          </w:p>
        </w:tc>
        <w:tc>
          <w:tcPr>
            <w:tcW w:w="5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5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Probability Weighted Expected Return Method </w:t>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Equivalency Rate</w:t>
            </w:r>
            <w:r>
              <w:rPr>
                <w:rFonts w:ascii="Arial;sans-serif" w:hAnsi="Arial;sans-serif"/>
                <w:b w:val="false"/>
                <w:color w:val="000000"/>
                <w:sz w:val="12"/>
              </w:rPr>
              <w:t>(1)</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Conversion Rate</w:t>
            </w:r>
          </w:p>
        </w:tc>
        <w:tc>
          <w:tcPr>
            <w:tcW w:w="5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pPr>
      <w:r>
        <w:rPr>
          <w:rFonts w:ascii="Arial;sans-serif" w:hAnsi="Arial;sans-serif"/>
          <w:b w:val="false"/>
          <w:color w:val="000000"/>
          <w:sz w:val="16"/>
          <w:shd w:fill="FFFFFF" w:val="clear"/>
        </w:rPr>
        <w:t>(1)</w:t>
      </w:r>
      <w:r>
        <w:rPr>
          <w:rFonts w:ascii="Arial;sans-serif" w:hAnsi="Arial;sans-serif"/>
          <w:b w:val="false"/>
          <w:color w:val="000000"/>
          <w:sz w:val="16"/>
        </w:rPr>
        <w:t>Equivalency rate is defined as the prevailing market interest rate used to discount future payments.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fair value for the Company’s Level 3 liabilities during the periods presented (in thousands):</w:t>
      </w:r>
    </w:p>
    <w:tbl>
      <w:tblPr>
        <w:tblW w:w="9319" w:type="dxa"/>
        <w:jc w:val="left"/>
        <w:tblInd w:w="0" w:type="dxa"/>
        <w:tblLayout w:type="fixed"/>
        <w:tblCellMar>
          <w:top w:w="28" w:type="dxa"/>
          <w:left w:w="28" w:type="dxa"/>
          <w:bottom w:w="28" w:type="dxa"/>
          <w:right w:w="28" w:type="dxa"/>
        </w:tblCellMar>
      </w:tblPr>
      <w:tblGrid>
        <w:gridCol w:w="1460"/>
        <w:gridCol w:w="1283"/>
        <w:gridCol w:w="1291"/>
        <w:gridCol w:w="241"/>
        <w:gridCol w:w="946"/>
        <w:gridCol w:w="124"/>
        <w:gridCol w:w="241"/>
        <w:gridCol w:w="946"/>
        <w:gridCol w:w="124"/>
        <w:gridCol w:w="221"/>
        <w:gridCol w:w="865"/>
        <w:gridCol w:w="114"/>
        <w:gridCol w:w="221"/>
        <w:gridCol w:w="865"/>
        <w:gridCol w:w="114"/>
        <w:gridCol w:w="109"/>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 Beginning of period</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134,277 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161,372 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196,898 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Additions and purchase accounting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(33,695)</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(27,458)</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(47,734)</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(69,707)</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Fair value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 End of period</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124,849 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124,849 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Recurring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assets and financial liabilities measured at fair value on a recurring basis (in thousands):</w:t>
      </w:r>
    </w:p>
    <w:tbl>
      <w:tblPr>
        <w:tblW w:w="10014" w:type="dxa"/>
        <w:jc w:val="left"/>
        <w:tblInd w:w="0" w:type="dxa"/>
        <w:tblLayout w:type="fixed"/>
        <w:tblCellMar>
          <w:top w:w="28" w:type="dxa"/>
          <w:left w:w="28" w:type="dxa"/>
          <w:bottom w:w="28" w:type="dxa"/>
          <w:right w:w="28" w:type="dxa"/>
        </w:tblCellMar>
      </w:tblPr>
      <w:tblGrid>
        <w:gridCol w:w="1919"/>
        <w:gridCol w:w="1683"/>
        <w:gridCol w:w="1693"/>
        <w:gridCol w:w="211"/>
        <w:gridCol w:w="976"/>
        <w:gridCol w:w="109"/>
        <w:gridCol w:w="211"/>
        <w:gridCol w:w="616"/>
        <w:gridCol w:w="109"/>
        <w:gridCol w:w="211"/>
        <w:gridCol w:w="826"/>
        <w:gridCol w:w="109"/>
        <w:gridCol w:w="211"/>
        <w:gridCol w:w="97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523,157 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523,157 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 trading</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investment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1,669,635 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1,671,561 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sold, but not yet purchased:</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sold, but not yet purchased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repurchase obligation</w:t>
            </w:r>
            <w:r>
              <w:rPr>
                <w:rFonts w:ascii="Arial;sans-serif" w:hAnsi="Arial;sans-serif"/>
                <w:b w:val="false"/>
                <w:color w:val="000000"/>
                <w:sz w:val="12"/>
              </w:rPr>
              <w:t>(1)</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529,686 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pPr>
      <w:r>
        <w:rPr>
          <w:rFonts w:ascii="Arial;sans-serif" w:hAnsi="Arial;sans-serif"/>
          <w:b w:val="false"/>
          <w:color w:val="000000"/>
          <w:sz w:val="16"/>
          <w:shd w:fill="FFFFFF" w:val="clear"/>
        </w:rPr>
        <w:t>(1)</w:t>
      </w:r>
      <w:r>
        <w:rPr>
          <w:rFonts w:ascii="Arial;sans-serif" w:hAnsi="Arial;sans-serif"/>
          <w:b w:val="false"/>
          <w:color w:val="000000"/>
          <w:sz w:val="16"/>
        </w:rPr>
        <w:t>Investment in and related repurchase obligation for fractional shares resulting from the Company’s dividend reinvestment program (“DRIP”).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assets and financial liabilities measured at fair value on a recurring basis (in thousands):</w:t>
      </w:r>
    </w:p>
    <w:tbl>
      <w:tblPr>
        <w:tblW w:w="10014" w:type="dxa"/>
        <w:jc w:val="left"/>
        <w:tblInd w:w="0" w:type="dxa"/>
        <w:tblLayout w:type="fixed"/>
        <w:tblCellMar>
          <w:top w:w="28" w:type="dxa"/>
          <w:left w:w="28" w:type="dxa"/>
          <w:bottom w:w="28" w:type="dxa"/>
          <w:right w:w="28" w:type="dxa"/>
        </w:tblCellMar>
      </w:tblPr>
      <w:tblGrid>
        <w:gridCol w:w="1919"/>
        <w:gridCol w:w="1685"/>
        <w:gridCol w:w="1691"/>
        <w:gridCol w:w="211"/>
        <w:gridCol w:w="976"/>
        <w:gridCol w:w="109"/>
        <w:gridCol w:w="211"/>
        <w:gridCol w:w="616"/>
        <w:gridCol w:w="109"/>
        <w:gridCol w:w="211"/>
        <w:gridCol w:w="826"/>
        <w:gridCol w:w="109"/>
        <w:gridCol w:w="211"/>
        <w:gridCol w:w="97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821,334 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 trading</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investment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1,469,197 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1,471,620 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sold, but not yet purchased:</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sold, but not yet purchased</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repurchase obligation</w:t>
            </w:r>
            <w:r>
              <w:rPr>
                <w:rFonts w:ascii="Arial;sans-serif" w:hAnsi="Arial;sans-serif"/>
                <w:b w:val="false"/>
                <w:color w:val="000000"/>
                <w:sz w:val="12"/>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Contingent consideration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495,895 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371,857 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495,895 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 xml:space="preserve">(1)Investment in and related repurchase obligation for fractional shares resulting from the Company’s DRIP.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Fair Value of Financial Instruments Not Measured at Fair Value</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tables summarize the carrying values, fair values and fair value hierarchy level classification of financial instruments that are not measured at fair value (in thousands):</w:t>
      </w:r>
    </w:p>
    <w:tbl>
      <w:tblPr>
        <w:tblW w:w="10205" w:type="dxa"/>
        <w:jc w:val="left"/>
        <w:tblInd w:w="0" w:type="dxa"/>
        <w:tblLayout w:type="fixed"/>
        <w:tblCellMar>
          <w:top w:w="28" w:type="dxa"/>
          <w:left w:w="28" w:type="dxa"/>
          <w:bottom w:w="28" w:type="dxa"/>
          <w:right w:w="28" w:type="dxa"/>
        </w:tblCellMar>
      </w:tblPr>
      <w:tblGrid>
        <w:gridCol w:w="1599"/>
        <w:gridCol w:w="1241"/>
        <w:gridCol w:w="1172"/>
        <w:gridCol w:w="211"/>
        <w:gridCol w:w="976"/>
        <w:gridCol w:w="109"/>
        <w:gridCol w:w="211"/>
        <w:gridCol w:w="976"/>
        <w:gridCol w:w="109"/>
        <w:gridCol w:w="211"/>
        <w:gridCol w:w="976"/>
        <w:gridCol w:w="109"/>
        <w:gridCol w:w="282"/>
        <w:gridCol w:w="544"/>
        <w:gridCol w:w="109"/>
        <w:gridCol w:w="215"/>
        <w:gridCol w:w="995"/>
        <w:gridCol w:w="160"/>
      </w:tblGrid>
      <w:tr>
        <w:trPr/>
        <w:tc>
          <w:tcPr>
            <w:tcW w:w="159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40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1,219,850 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897,010 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897,010 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897,010 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994,139 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994,139 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994,139 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Advisor repayable loans, net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310,764 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held-to-maturity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borrowed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plan</w:t>
            </w:r>
            <w:r>
              <w:rPr>
                <w:rFonts w:ascii="Arial;sans-serif" w:hAnsi="Arial;sans-serif"/>
                <w:b w:val="false"/>
                <w:color w:val="000000"/>
                <w:sz w:val="12"/>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investments</w:t>
            </w:r>
            <w:r>
              <w:rPr>
                <w:rFonts w:ascii="Arial;sans-serif" w:hAnsi="Arial;sans-serif"/>
                <w:b w:val="false"/>
                <w:color w:val="000000"/>
                <w:sz w:val="12"/>
              </w:rPr>
              <w:t>(3)</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2,256,333 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599,397 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7,497,955 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90"/>
        <w:gridCol w:w="1283"/>
        <w:gridCol w:w="1288"/>
        <w:gridCol w:w="211"/>
        <w:gridCol w:w="976"/>
        <w:gridCol w:w="109"/>
        <w:gridCol w:w="211"/>
        <w:gridCol w:w="826"/>
        <w:gridCol w:w="109"/>
        <w:gridCol w:w="211"/>
        <w:gridCol w:w="976"/>
        <w:gridCol w:w="109"/>
        <w:gridCol w:w="282"/>
        <w:gridCol w:w="544"/>
        <w:gridCol w:w="109"/>
        <w:gridCol w:w="215"/>
        <w:gridCol w:w="997"/>
        <w:gridCol w:w="159"/>
      </w:tblGrid>
      <w:tr>
        <w:trPr/>
        <w:tc>
          <w:tcPr>
            <w:tcW w:w="159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4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970,730 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803,206 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Advisor repayable loans, net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335,050 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held-to-maturity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plan</w:t>
            </w:r>
            <w:r>
              <w:rPr>
                <w:rFonts w:ascii="Arial;sans-serif" w:hAnsi="Arial;sans-serif"/>
                <w:b w:val="false"/>
                <w:color w:val="000000"/>
                <w:sz w:val="12"/>
              </w:rPr>
              <w:t>(2)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borrowed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investments</w:t>
            </w:r>
            <w:r>
              <w:rPr>
                <w:rFonts w:ascii="Arial;sans-serif" w:hAnsi="Arial;sans-serif"/>
                <w:b w:val="false"/>
                <w:color w:val="000000"/>
                <w:sz w:val="12"/>
              </w:rPr>
              <w:t>(3)</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150,520 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7,420,447 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(1)Includes repayable loans and forgivable loans which have converted to repayable upon advisor termination or change in agreed upon terms.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(2)Includes cash balances awaiting investment or distribution to plan participants.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(3)Other investments include Depository Trust Company common shares and Federal Reserve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6 - INVESTMENT SECURITIES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Company’s investment securities include debt and equity securities that the Company has classified as trading securities, which are carried at fair value, as well as investments in U.S. government notes, which are held by PTC to satisfy minimum capital requirements of the Office of the Comptroller of the Currency. The U.S. government notes are recorded at amortized cost and classified as held-to-maturity as the Company has both the intent and ability to hold these investments to maturity.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table summarizes investment securities (in thousands):</w:t>
      </w:r>
    </w:p>
    <w:tbl>
      <w:tblPr>
        <w:tblW w:w="7333" w:type="dxa"/>
        <w:jc w:val="left"/>
        <w:tblInd w:w="0" w:type="dxa"/>
        <w:tblLayout w:type="fixed"/>
        <w:tblCellMar>
          <w:top w:w="28" w:type="dxa"/>
          <w:left w:w="28" w:type="dxa"/>
          <w:bottom w:w="28" w:type="dxa"/>
          <w:right w:w="28" w:type="dxa"/>
        </w:tblCellMar>
      </w:tblPr>
      <w:tblGrid>
        <w:gridCol w:w="1530"/>
        <w:gridCol w:w="1348"/>
        <w:gridCol w:w="1352"/>
        <w:gridCol w:w="237"/>
        <w:gridCol w:w="930"/>
        <w:gridCol w:w="122"/>
        <w:gridCol w:w="352"/>
        <w:gridCol w:w="1205"/>
        <w:gridCol w:w="257"/>
      </w:tblGrid>
      <w:tr>
        <w:trPr/>
        <w:tc>
          <w:tcPr>
            <w:tcW w:w="15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securities — at fair value:</w:t>
            </w:r>
          </w:p>
        </w:tc>
        <w:tc>
          <w:tcPr>
            <w:tcW w:w="12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40,029 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33,559 </w:t>
            </w:r>
          </w:p>
        </w:tc>
        <w:tc>
          <w:tcPr>
            <w:tcW w:w="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trading securities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76,108 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Held-to-maturity securities — at amortized cost:</w:t>
            </w:r>
          </w:p>
        </w:tc>
        <w:tc>
          <w:tcPr>
            <w:tcW w:w="12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15,420 </w:t>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203,499 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91,528 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w:t>
      </w:r>
    </w:p>
    <w:p>
      <w:pPr>
        <w:pStyle w:val="TextBody"/>
        <w:bidi w:val="0"/>
        <w:spacing w:lineRule="auto" w:line="288" w:before="120" w:after="283"/>
        <w:jc w:val="left"/>
        <w:rPr/>
      </w:pPr>
      <w:r>
        <w:rPr>
          <w:rFonts w:ascii="Arial;sans-serif" w:hAnsi="Arial;sans-serif"/>
          <w:b w:val="false"/>
          <w:color w:val="000000"/>
          <w:sz w:val="20"/>
          <w:shd w:fill="FFFFFF" w:val="clear"/>
        </w:rPr>
        <w:t>At June 30, 2026, the held-to-maturity securities were scheduled to mature as follow</w:t>
      </w:r>
      <w:r>
        <w:rPr>
          <w:rFonts w:ascii="Arial;sans-serif" w:hAnsi="Arial;sans-serif"/>
          <w:b w:val="false"/>
          <w:color w:val="000000"/>
          <w:sz w:val="20"/>
        </w:rPr>
        <w:t>s (in thousands):</w:t>
      </w:r>
    </w:p>
    <w:tbl>
      <w:tblPr>
        <w:tblW w:w="10205" w:type="dxa"/>
        <w:jc w:val="left"/>
        <w:tblInd w:w="0" w:type="dxa"/>
        <w:tblLayout w:type="fixed"/>
        <w:tblCellMar>
          <w:top w:w="28" w:type="dxa"/>
          <w:left w:w="28" w:type="dxa"/>
          <w:bottom w:w="28" w:type="dxa"/>
          <w:right w:w="28" w:type="dxa"/>
        </w:tblCellMar>
      </w:tblPr>
      <w:tblGrid>
        <w:gridCol w:w="983"/>
        <w:gridCol w:w="864"/>
        <w:gridCol w:w="866"/>
        <w:gridCol w:w="281"/>
        <w:gridCol w:w="821"/>
        <w:gridCol w:w="145"/>
        <w:gridCol w:w="419"/>
        <w:gridCol w:w="1435"/>
        <w:gridCol w:w="216"/>
        <w:gridCol w:w="560"/>
        <w:gridCol w:w="1079"/>
        <w:gridCol w:w="289"/>
        <w:gridCol w:w="334"/>
        <w:gridCol w:w="644"/>
        <w:gridCol w:w="172"/>
        <w:gridCol w:w="211"/>
        <w:gridCol w:w="721"/>
        <w:gridCol w:w="165"/>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Within one year</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one but within five years</w:t>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five but within ten years</w:t>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ten years</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7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 — at amortized cost</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10,065 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15,493 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 — at fair value</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9,996 </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15,442 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ind w:left="0" w:right="0" w:firstLine="720"/>
        <w:jc w:val="left"/>
        <w:rPr>
          <w:rFonts w:ascii="Arial;sans-serif" w:hAnsi="Arial;sans-serif"/>
          <w:b/>
          <w:color w:val="000000"/>
          <w:sz w:val="20"/>
        </w:rPr>
      </w:pPr>
      <w:r>
        <w:rPr>
          <w:rFonts w:ascii="Arial;sans-serif" w:hAnsi="Arial;sans-serif"/>
          <w:b/>
          <w:color w:val="000000"/>
          <w:sz w:val="20"/>
        </w:rPr>
        <w:t>NOTE 7 - GOODWILL AND OTHER INTANGIBLES, NET</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A summary of the activity impacting goodwill is presented below (in thousands):</w:t>
      </w:r>
    </w:p>
    <w:tbl>
      <w:tblPr>
        <w:tblW w:w="4221" w:type="dxa"/>
        <w:jc w:val="left"/>
        <w:tblInd w:w="0" w:type="dxa"/>
        <w:tblLayout w:type="fixed"/>
        <w:tblCellMar>
          <w:top w:w="28" w:type="dxa"/>
          <w:left w:w="28" w:type="dxa"/>
          <w:bottom w:w="28" w:type="dxa"/>
          <w:right w:w="28" w:type="dxa"/>
        </w:tblCellMar>
      </w:tblPr>
      <w:tblGrid>
        <w:gridCol w:w="1041"/>
        <w:gridCol w:w="918"/>
        <w:gridCol w:w="921"/>
        <w:gridCol w:w="211"/>
        <w:gridCol w:w="97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2,172,873 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 accounting adjustments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acquired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2,681,661 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shd w:fill="FFFFFF" w:val="clear"/>
        </w:rPr>
        <w:t>The Company completed various acquisitions, which were accounted for under the acquisition method of accounting for business combinations an</w:t>
      </w:r>
      <w:r>
        <w:rPr>
          <w:rFonts w:ascii="Arial;sans-serif" w:hAnsi="Arial;sans-serif"/>
          <w:b w:val="false"/>
          <w:color w:val="000000"/>
          <w:sz w:val="20"/>
        </w:rPr>
        <w:t xml:space="preserve">d as asset acquisitions, and recorded purchase accounting adjustments during the periods presented. See Note 4 - </w:t>
      </w:r>
      <w:r>
        <w:rPr>
          <w:rFonts w:ascii="Arial;sans-serif" w:hAnsi="Arial;sans-serif"/>
          <w:b w:val="false"/>
          <w:i/>
          <w:color w:val="000000"/>
          <w:sz w:val="20"/>
        </w:rPr>
        <w:t>Acquisitions</w:t>
      </w:r>
      <w:r>
        <w:rPr>
          <w:rFonts w:ascii="Arial;sans-serif" w:hAnsi="Arial;sans-serif"/>
          <w:b w:val="false"/>
          <w:color w:val="000000"/>
          <w:sz w:val="20"/>
        </w:rPr>
        <w: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180"/>
        <w:jc w:val="left"/>
        <w:rPr/>
      </w:pPr>
      <w:r>
        <w:rPr>
          <w:rFonts w:ascii="Arial;sans-serif" w:hAnsi="Arial;sans-serif"/>
          <w:b w:val="false"/>
          <w:color w:val="000000"/>
          <w:sz w:val="20"/>
        </w:rPr>
        <w:t>The components of other intangibles, net were as follows at June 30, 2026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19"/>
        <w:gridCol w:w="967"/>
        <w:gridCol w:w="970"/>
        <w:gridCol w:w="677"/>
        <w:gridCol w:w="677"/>
        <w:gridCol w:w="678"/>
        <w:gridCol w:w="211"/>
        <w:gridCol w:w="976"/>
        <w:gridCol w:w="109"/>
        <w:gridCol w:w="348"/>
        <w:gridCol w:w="1730"/>
        <w:gridCol w:w="180"/>
        <w:gridCol w:w="211"/>
        <w:gridCol w:w="976"/>
        <w:gridCol w:w="109"/>
        <w:gridCol w:w="109"/>
        <w:gridCol w:w="158"/>
      </w:tblGrid>
      <w:tr>
        <w:trPr/>
        <w:tc>
          <w:tcPr>
            <w:tcW w:w="111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Life </w:t>
              <w:br/>
              <w:t>Remaining</w:t>
              <w:br/>
              <w:t>(in years)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 Carrying </w:t>
              <w:br/>
              <w:t>Value</w:t>
            </w:r>
          </w:p>
        </w:tc>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Amortization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 Carrying </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Definite-lived intangibles, net</w:t>
            </w:r>
            <w:r>
              <w:rPr>
                <w:rFonts w:ascii="Arial;sans-serif" w:hAnsi="Arial;sans-serif"/>
                <w:b/>
                <w:color w:val="000000"/>
                <w:sz w:val="12"/>
              </w:rPr>
              <w:t>(1)</w:t>
            </w:r>
            <w:r>
              <w:rPr>
                <w:rFonts w:ascii="Arial;sans-serif" w:hAnsi="Arial;sans-serif"/>
                <w:b/>
                <w:color w:val="000000"/>
                <w:sz w:val="18"/>
              </w:rPr>
              <w:t>:</w:t>
            </w:r>
          </w:p>
        </w:tc>
        <w:tc>
          <w:tcPr>
            <w:tcW w:w="20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Advisor and institution relationships</w:t>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relationships</w:t>
            </w:r>
          </w:p>
        </w:tc>
        <w:tc>
          <w:tcPr>
            <w:tcW w:w="2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(183,203)</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w:t>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(16,325)</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sponsor relationships</w:t>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definite-lived intangible assets, net</w:t>
            </w:r>
          </w:p>
        </w:tc>
        <w:tc>
          <w:tcPr>
            <w:tcW w:w="2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4,782,516 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(1,388,738)</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3,393,778 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indefinite-lived intangibles:</w:t>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 and trade name</w:t>
            </w:r>
          </w:p>
        </w:tc>
        <w:tc>
          <w:tcPr>
            <w:tcW w:w="2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intangibles, net</w:t>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pPr>
      <w:r>
        <w:rPr>
          <w:rFonts w:ascii="Arial;sans-serif" w:hAnsi="Arial;sans-serif"/>
          <w:b w:val="false"/>
          <w:color w:val="000000"/>
          <w:sz w:val="16"/>
          <w:shd w:fill="FFFFFF" w:val="clear"/>
        </w:rPr>
        <w:t>(1)</w:t>
      </w:r>
      <w:r>
        <w:rPr>
          <w:rFonts w:ascii="Arial;sans-serif" w:hAnsi="Arial;sans-serif"/>
          <w:b w:val="false"/>
          <w:color w:val="000000"/>
          <w:sz w:val="16"/>
        </w:rPr>
        <w:t xml:space="preserve">During the six months ended June 30, 2026, </w:t>
      </w:r>
      <w:r>
        <w:rPr>
          <w:rFonts w:ascii="Arial;sans-serif" w:hAnsi="Arial;sans-serif"/>
          <w:b w:val="false"/>
          <w:color w:val="000000"/>
          <w:sz w:val="16"/>
          <w:shd w:fill="FFFFFF" w:val="clear"/>
        </w:rPr>
        <w:t>the Company completed various acquisitions.</w:t>
      </w:r>
      <w:r>
        <w:rPr>
          <w:color w:val="000000"/>
        </w:rPr>
        <w:t xml:space="preserve"> </w:t>
      </w:r>
      <w:r>
        <w:rPr>
          <w:rFonts w:ascii="Arial;sans-serif" w:hAnsi="Arial;sans-serif"/>
          <w:b w:val="false"/>
          <w:color w:val="000000"/>
          <w:sz w:val="16"/>
          <w:shd w:fill="FFFFFF" w:val="clear"/>
        </w:rPr>
        <w:t xml:space="preserve">See </w:t>
      </w:r>
      <w:r>
        <w:rPr>
          <w:rFonts w:ascii="Arial;sans-serif" w:hAnsi="Arial;sans-serif"/>
          <w:b w:val="false"/>
          <w:color w:val="000000"/>
          <w:sz w:val="16"/>
        </w:rPr>
        <w:t>Note 4</w:t>
      </w:r>
      <w:r>
        <w:rPr>
          <w:color w:val="000000"/>
          <w:shd w:fill="FFFFFF" w:val="clear"/>
        </w:rPr>
        <w:t xml:space="preserve"> </w:t>
      </w:r>
      <w:r>
        <w:rPr>
          <w:rFonts w:ascii="Arial;sans-serif" w:hAnsi="Arial;sans-serif"/>
          <w:b w:val="false"/>
          <w:color w:val="000000"/>
          <w:sz w:val="16"/>
          <w:shd w:fill="FFFFFF" w:val="clear"/>
        </w:rPr>
        <w:t xml:space="preserve">- </w:t>
      </w:r>
      <w:r>
        <w:rPr>
          <w:rFonts w:ascii="Arial;sans-serif" w:hAnsi="Arial;sans-serif"/>
          <w:b w:val="false"/>
          <w:i/>
          <w:color w:val="000000"/>
          <w:sz w:val="16"/>
        </w:rPr>
        <w:t>Acquisitions</w:t>
      </w:r>
      <w:r>
        <w:rPr>
          <w:rFonts w:ascii="Arial;sans-serif" w:hAnsi="Arial;sans-serif"/>
          <w:b w:val="false"/>
          <w:color w:val="000000"/>
          <w:sz w:val="16"/>
          <w:shd w:fill="FFFFFF" w:val="clear"/>
        </w:rPr>
        <w:t>, for additional information</w:t>
      </w:r>
      <w:r>
        <w:rPr>
          <w:rFonts w:ascii="Arial;sans-serif" w:hAnsi="Arial;sans-serif"/>
          <w:b w:val="false"/>
          <w:color w:val="000000"/>
          <w:sz w:val="16"/>
        </w:rPr>
        <w:t>.</w:t>
      </w:r>
    </w:p>
    <w:p>
      <w:pPr>
        <w:pStyle w:val="TextBody"/>
        <w:bidi w:val="0"/>
        <w:spacing w:lineRule="auto" w:line="268" w:before="120" w:after="120"/>
        <w:jc w:val="left"/>
        <w:rPr/>
      </w:pPr>
      <w:r>
        <w:rPr>
          <w:rFonts w:ascii="Arial;sans-serif" w:hAnsi="Arial;sans-serif"/>
          <w:b w:val="false"/>
          <w:color w:val="000000"/>
          <w:sz w:val="20"/>
        </w:rPr>
        <w:t>The components of other intangibles, net were as follows at December 31, 2025 (in thousands):</w:t>
      </w:r>
      <w:r>
        <w:rPr>
          <w:color w:val="000000"/>
        </w:rPr>
        <w:t xml:space="preserve"> </w:t>
      </w:r>
    </w:p>
    <w:tbl>
      <w:tblPr>
        <w:tblW w:w="10197" w:type="dxa"/>
        <w:jc w:val="left"/>
        <w:tblInd w:w="0" w:type="dxa"/>
        <w:tblLayout w:type="fixed"/>
        <w:tblCellMar>
          <w:top w:w="28" w:type="dxa"/>
          <w:left w:w="28" w:type="dxa"/>
          <w:bottom w:w="28" w:type="dxa"/>
          <w:right w:w="28" w:type="dxa"/>
        </w:tblCellMar>
      </w:tblPr>
      <w:tblGrid>
        <w:gridCol w:w="1091"/>
        <w:gridCol w:w="961"/>
        <w:gridCol w:w="963"/>
        <w:gridCol w:w="699"/>
        <w:gridCol w:w="699"/>
        <w:gridCol w:w="701"/>
        <w:gridCol w:w="211"/>
        <w:gridCol w:w="976"/>
        <w:gridCol w:w="109"/>
        <w:gridCol w:w="393"/>
        <w:gridCol w:w="1848"/>
        <w:gridCol w:w="205"/>
        <w:gridCol w:w="211"/>
        <w:gridCol w:w="97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Life </w:t>
              <w:br/>
              <w:t>Remaining</w:t>
              <w:br/>
              <w:t>(in years)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 Carrying </w:t>
              <w:br/>
              <w:t>Value</w:t>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Amortization</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 Carrying </w:t>
              <w:br/>
              <w:t>Value</w:t>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Definite-lived intangibles, net</w:t>
            </w:r>
            <w:r>
              <w:rPr>
                <w:rFonts w:ascii="Arial;sans-serif" w:hAnsi="Arial;sans-serif"/>
                <w:b/>
                <w:color w:val="000000"/>
                <w:sz w:val="12"/>
              </w:rPr>
              <w:t>(1)</w:t>
            </w:r>
            <w:r>
              <w:rPr>
                <w:rFonts w:ascii="Arial;sans-serif" w:hAnsi="Arial;sans-serif"/>
                <w:b/>
                <w:color w:val="000000"/>
                <w:sz w:val="18"/>
              </w:rPr>
              <w:t>:</w:t>
            </w:r>
          </w:p>
        </w:tc>
        <w:tc>
          <w:tcPr>
            <w:tcW w:w="20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Advisor and institution relationships</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(859,100)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relationships</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(143,039)</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766,829 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(15,443)</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sponsor relationships</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(232,362)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definite-lived intangibles, net</w:t>
            </w:r>
          </w:p>
        </w:tc>
        <w:tc>
          <w:tcPr>
            <w:tcW w:w="2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4,541,590 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(1,250,621)</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3,290,969 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indefinite-lived intangibles:</w:t>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 and trade name</w:t>
            </w:r>
          </w:p>
        </w:tc>
        <w:tc>
          <w:tcPr>
            <w:tcW w:w="2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intangibles, net</w:t>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3,330,788 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60"/>
        <w:ind w:left="0" w:right="0" w:hanging="540"/>
        <w:jc w:val="left"/>
        <w:rPr/>
      </w:pPr>
      <w:r>
        <w:rPr>
          <w:rFonts w:ascii="Arial;sans-serif" w:hAnsi="Arial;sans-serif"/>
          <w:b w:val="false"/>
          <w:color w:val="000000"/>
          <w:sz w:val="16"/>
        </w:rPr>
        <w:t>(1)    </w:t>
      </w:r>
      <w:r>
        <w:rPr>
          <w:rFonts w:ascii="Arial;sans-serif" w:hAnsi="Arial;sans-serif"/>
          <w:b w:val="false"/>
          <w:color w:val="000000"/>
          <w:sz w:val="16"/>
          <w:shd w:fill="FFFFFF" w:val="clear"/>
        </w:rPr>
        <w:t xml:space="preserve">During the year ended </w:t>
      </w:r>
      <w:r>
        <w:rPr>
          <w:rFonts w:ascii="Arial;sans-serif" w:hAnsi="Arial;sans-serif"/>
          <w:b w:val="false"/>
          <w:color w:val="000000"/>
          <w:sz w:val="16"/>
        </w:rPr>
        <w:t>December 31, 2025</w:t>
      </w:r>
      <w:r>
        <w:rPr>
          <w:rFonts w:ascii="Arial;sans-serif" w:hAnsi="Arial;sans-serif"/>
          <w:b w:val="false"/>
          <w:color w:val="000000"/>
          <w:sz w:val="16"/>
          <w:shd w:fill="FFFFFF" w:val="clear"/>
        </w:rPr>
        <w:t>, the Company completed various acquisitions.</w:t>
      </w:r>
      <w:r>
        <w:rPr>
          <w:color w:val="000000"/>
        </w:rPr>
        <w:t xml:space="preserve"> </w:t>
      </w:r>
      <w:r>
        <w:rPr>
          <w:rFonts w:ascii="Arial;sans-serif" w:hAnsi="Arial;sans-serif"/>
          <w:b w:val="false"/>
          <w:color w:val="000000"/>
          <w:sz w:val="16"/>
          <w:shd w:fill="FFFFFF" w:val="clear"/>
        </w:rPr>
        <w:t xml:space="preserve">See </w:t>
      </w:r>
      <w:r>
        <w:rPr>
          <w:rFonts w:ascii="Arial;sans-serif" w:hAnsi="Arial;sans-serif"/>
          <w:b w:val="false"/>
          <w:color w:val="000000"/>
          <w:sz w:val="16"/>
        </w:rPr>
        <w:t>Note 4</w:t>
      </w:r>
      <w:r>
        <w:rPr>
          <w:color w:val="000000"/>
          <w:shd w:fill="FFFFFF" w:val="clear"/>
        </w:rPr>
        <w:t xml:space="preserve"> </w:t>
      </w:r>
      <w:r>
        <w:rPr>
          <w:rFonts w:ascii="Arial;sans-serif" w:hAnsi="Arial;sans-serif"/>
          <w:b w:val="false"/>
          <w:color w:val="000000"/>
          <w:sz w:val="16"/>
          <w:shd w:fill="FFFFFF" w:val="clear"/>
        </w:rPr>
        <w:t xml:space="preserve">- </w:t>
      </w:r>
      <w:r>
        <w:rPr>
          <w:rFonts w:ascii="Arial;sans-serif" w:hAnsi="Arial;sans-serif"/>
          <w:b w:val="false"/>
          <w:i/>
          <w:color w:val="000000"/>
          <w:sz w:val="16"/>
        </w:rPr>
        <w:t>Acquisitions</w:t>
      </w:r>
      <w:r>
        <w:rPr>
          <w:rFonts w:ascii="Arial;sans-serif" w:hAnsi="Arial;sans-serif"/>
          <w:b w:val="false"/>
          <w:color w:val="000000"/>
          <w:sz w:val="16"/>
          <w:shd w:fill="FFFFFF" w:val="clear"/>
        </w:rPr>
        <w:t>, for additional information</w:t>
      </w:r>
      <w:r>
        <w:rPr>
          <w:rFonts w:ascii="Arial;sans-serif" w:hAnsi="Arial;sans-serif"/>
          <w:b w:val="false"/>
          <w:color w:val="000000"/>
          <w:sz w:val="16"/>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amortization of other intangibles was $70.9 million and $46.1 million for the three months ended June 30, 2026 and 2025, respectively, and $138.1 million and $89.6 million for the six months ended June 30, 2026 and 2025, respectively. Future amortization is estimated as follows (in thousands):</w:t>
      </w:r>
    </w:p>
    <w:tbl>
      <w:tblPr>
        <w:tblW w:w="2870" w:type="dxa"/>
        <w:jc w:val="left"/>
        <w:tblInd w:w="0" w:type="dxa"/>
        <w:tblLayout w:type="fixed"/>
        <w:tblCellMar>
          <w:top w:w="28" w:type="dxa"/>
          <w:left w:w="28" w:type="dxa"/>
          <w:bottom w:w="28" w:type="dxa"/>
          <w:right w:w="28" w:type="dxa"/>
        </w:tblCellMar>
      </w:tblPr>
      <w:tblGrid>
        <w:gridCol w:w="554"/>
        <w:gridCol w:w="486"/>
        <w:gridCol w:w="489"/>
        <w:gridCol w:w="211"/>
        <w:gridCol w:w="97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 remainder</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271,380 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3,393,778 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0" w:after="420"/>
        <w:jc w:val="left"/>
        <w:rPr>
          <w:rFonts w:ascii="Arial;sans-serif" w:hAnsi="Arial;sans-serif"/>
          <w:b/>
          <w:color w:val="000000"/>
          <w:sz w:val="20"/>
        </w:rPr>
      </w:pPr>
      <w:r>
        <w:rPr>
          <w:rFonts w:ascii="Arial;sans-serif" w:hAnsi="Arial;sans-serif"/>
          <w:b/>
          <w:color w:val="000000"/>
          <w:sz w:val="20"/>
        </w:rPr>
        <w:t>NOTE 8 - OTHER ASSETS AND OTHER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other assets and other liabilities were as follows (dollars in thousands):</w:t>
      </w:r>
    </w:p>
    <w:tbl>
      <w:tblPr>
        <w:tblW w:w="6694" w:type="dxa"/>
        <w:jc w:val="left"/>
        <w:tblInd w:w="0" w:type="dxa"/>
        <w:tblLayout w:type="fixed"/>
        <w:tblCellMar>
          <w:top w:w="28" w:type="dxa"/>
          <w:left w:w="28" w:type="dxa"/>
          <w:bottom w:w="28" w:type="dxa"/>
          <w:right w:w="28" w:type="dxa"/>
        </w:tblCellMar>
      </w:tblPr>
      <w:tblGrid>
        <w:gridCol w:w="1295"/>
        <w:gridCol w:w="1142"/>
        <w:gridCol w:w="1147"/>
        <w:gridCol w:w="211"/>
        <w:gridCol w:w="976"/>
        <w:gridCol w:w="109"/>
        <w:gridCol w:w="285"/>
        <w:gridCol w:w="1321"/>
        <w:gridCol w:w="208"/>
      </w:tblGrid>
      <w:tr>
        <w:trPr/>
        <w:tc>
          <w:tcPr>
            <w:tcW w:w="129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1,107,552 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240,010 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Fractional shares —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78,222 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Referral fee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106,038 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2,418,172 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2,202,444 </w:t>
            </w:r>
          </w:p>
        </w:tc>
        <w:tc>
          <w:tcPr>
            <w:tcW w:w="2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Unearned revenue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329,239 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265,024 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Fractional shares — repurchase obligation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203,970 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Financing obligation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108,433 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Taxes payable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69,348 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5,001 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2,247,515 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9 - CORPORATE DEBT AND OTHER BORROWINGS,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outstanding corporate debt and other borrowings, net were as follows (in thousands): </w:t>
      </w:r>
    </w:p>
    <w:tbl>
      <w:tblPr>
        <w:tblW w:w="10205" w:type="dxa"/>
        <w:jc w:val="left"/>
        <w:tblInd w:w="0" w:type="dxa"/>
        <w:tblLayout w:type="fixed"/>
        <w:tblCellMar>
          <w:top w:w="28" w:type="dxa"/>
          <w:left w:w="28" w:type="dxa"/>
          <w:bottom w:w="28" w:type="dxa"/>
          <w:right w:w="28" w:type="dxa"/>
        </w:tblCellMar>
      </w:tblPr>
      <w:tblGrid>
        <w:gridCol w:w="780"/>
        <w:gridCol w:w="581"/>
        <w:gridCol w:w="585"/>
        <w:gridCol w:w="196"/>
        <w:gridCol w:w="871"/>
        <w:gridCol w:w="109"/>
        <w:gridCol w:w="504"/>
        <w:gridCol w:w="504"/>
        <w:gridCol w:w="507"/>
        <w:gridCol w:w="278"/>
        <w:gridCol w:w="278"/>
        <w:gridCol w:w="459"/>
        <w:gridCol w:w="196"/>
        <w:gridCol w:w="871"/>
        <w:gridCol w:w="109"/>
        <w:gridCol w:w="504"/>
        <w:gridCol w:w="504"/>
        <w:gridCol w:w="507"/>
        <w:gridCol w:w="278"/>
        <w:gridCol w:w="278"/>
        <w:gridCol w:w="447"/>
        <w:gridCol w:w="249"/>
        <w:gridCol w:w="249"/>
        <w:gridCol w:w="361"/>
      </w:tblGrid>
      <w:tr>
        <w:trPr/>
        <w:tc>
          <w:tcPr>
            <w:tcW w:w="7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Corporate Debt</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p>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Balance</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 xml:space="preserve">Applicable </w:t>
            </w:r>
          </w:p>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Margin</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Interest Rate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p>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Balance</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 xml:space="preserve">Applicable </w:t>
            </w:r>
          </w:p>
          <w:p>
            <w:pPr>
              <w:pStyle w:val="TableContents"/>
              <w:bidi w:val="0"/>
              <w:spacing w:lineRule="auto" w:line="225" w:before="0" w:after="0"/>
              <w:jc w:val="center"/>
              <w:rPr>
                <w:rFonts w:ascii="Arial;sans-serif" w:hAnsi="Arial;sans-serif"/>
                <w:b/>
                <w:color w:val="000000"/>
                <w:sz w:val="16"/>
              </w:rPr>
            </w:pPr>
            <w:r>
              <w:rPr>
                <w:rFonts w:ascii="Arial;sans-serif" w:hAnsi="Arial;sans-serif"/>
                <w:b/>
                <w:color w:val="000000"/>
                <w:sz w:val="16"/>
              </w:rPr>
              <w:t>Margin</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Interest rate</w:t>
            </w:r>
          </w:p>
        </w:tc>
        <w:tc>
          <w:tcPr>
            <w:tcW w:w="859"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Maturity</w:t>
            </w:r>
          </w:p>
        </w:tc>
      </w:tr>
      <w:tr>
        <w:trPr/>
        <w:tc>
          <w:tcPr>
            <w:tcW w:w="19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Term Loan A</w:t>
            </w:r>
            <w:r>
              <w:rPr>
                <w:rFonts w:ascii="Arial;sans-serif" w:hAnsi="Arial;sans-serif"/>
                <w:b w:val="false"/>
                <w:color w:val="000000"/>
                <w:sz w:val="10"/>
              </w:rPr>
              <w:t>(1)</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SOFR+125 bps</w:t>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4.902 </w:t>
            </w:r>
          </w:p>
        </w:tc>
        <w:tc>
          <w:tcPr>
            <w:tcW w:w="4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SOFR+125 bps</w:t>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4.984 </w:t>
            </w:r>
          </w:p>
        </w:tc>
        <w:tc>
          <w:tcPr>
            <w:tcW w:w="4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12/5/2028</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2027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5/20/2027</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2027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11/15/2027</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2028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4/3/2028</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2028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11/17/2028</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2029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3/15/2029</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2030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3/15/2030</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2030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6/15/2030</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2031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5/15/2031</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2034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5/20/2034</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2035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3/15/2035</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2035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6/15/2035</w:t>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Corporate Debt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Issuance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net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7,184,510 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7,179,694 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Other Borrowings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ABR+37.5 bps / SOFR+147.5 bps</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ABR+37.5 bps / SOFR+147.5 bps</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5.634 </w:t>
            </w:r>
          </w:p>
        </w:tc>
        <w:tc>
          <w:tcPr>
            <w:tcW w:w="4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5/20/2029</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borrowings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DBDBDB"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Corporate Debt and Other Borrowings, Net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7,460,510 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7,258,694 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(1)No leverage or interest coverage maintenance covenants.</w:t>
      </w:r>
    </w:p>
    <w:p>
      <w:pPr>
        <w:pStyle w:val="TextBody"/>
        <w:bidi w:val="0"/>
        <w:spacing w:before="6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amounts outstanding and available under the Company’s external lines of credit at June 30, 2026 (in millions):</w:t>
      </w:r>
    </w:p>
    <w:tbl>
      <w:tblPr>
        <w:tblW w:w="8790" w:type="dxa"/>
        <w:jc w:val="left"/>
        <w:tblInd w:w="0" w:type="dxa"/>
        <w:tblLayout w:type="fixed"/>
        <w:tblCellMar>
          <w:top w:w="28" w:type="dxa"/>
          <w:left w:w="28" w:type="dxa"/>
          <w:bottom w:w="28" w:type="dxa"/>
          <w:right w:w="28" w:type="dxa"/>
        </w:tblCellMar>
      </w:tblPr>
      <w:tblGrid>
        <w:gridCol w:w="1254"/>
        <w:gridCol w:w="1104"/>
        <w:gridCol w:w="1107"/>
        <w:gridCol w:w="539"/>
        <w:gridCol w:w="539"/>
        <w:gridCol w:w="541"/>
        <w:gridCol w:w="489"/>
        <w:gridCol w:w="489"/>
        <w:gridCol w:w="491"/>
        <w:gridCol w:w="306"/>
        <w:gridCol w:w="676"/>
        <w:gridCol w:w="159"/>
        <w:gridCol w:w="235"/>
        <w:gridCol w:w="688"/>
        <w:gridCol w:w="173"/>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Borrower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Maturity Date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r>
          </w:p>
        </w:tc>
      </w:tr>
      <w:tr>
        <w:trPr/>
        <w:tc>
          <w:tcPr>
            <w:tcW w:w="34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unsecured, revolving credit facility</w:t>
            </w:r>
          </w:p>
        </w:tc>
        <w:tc>
          <w:tcPr>
            <w:tcW w:w="16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Holdings, Inc.</w:t>
            </w:r>
          </w:p>
        </w:tc>
        <w:tc>
          <w:tcPr>
            <w:tcW w:w="14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2029</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Broker-dealer revolving credit facility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2027</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2026</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2028</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bl>
    <w:p>
      <w:pPr>
        <w:pStyle w:val="TextBody"/>
        <w:bidi w:val="0"/>
        <w:spacing w:lineRule="auto" w:line="276"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Extension of Term Loan A Facility </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On November 21, 2025, LPLH refinanced its existing $1.0 billion Term Loan A facility extending its maturity to December 5, 2028. Additionally, the Company's borrowing rate applicable to the Term Loan A decreased by 0.125% at all pricing levels.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Issuance of 2028 4.900% Senior Notes, 2030 5.150% Senior Notes, and 2035 5.750% Senior Notes</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On April 3, 2025, the Company completed the issuance and sale of $500.0 million in aggregate principal amount of 4.900% senior unsecured notes due 2028 (“2028 4.900% Senior Notes”), $500.0 million in aggregate principal amount of 5.150% senior unsecured notes due 2030 (“2030 5.150% Senior Notes”) and $500.0 million in aggregate principal amount of 5.750% senior unsecured notes due 2035 (“2035 5.750% Senior Notes”). The proceeds of the issuance were utilized to fund the acquisition of Commonwealth.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The 2028 4.900% Senior Notes will mature on April 3, 2028, and interest is payable semi-annually. The Company may redeem all or part of the 2028 4.900% Senior Notes on or prior to March 3, 2028 at a redemption price that is equal to the greater of: (i) the remaining scheduled payments of principal and interest discounted at the Treasury Rate (as defined in the Sixth Supplemental Indenture dated April 3, 2025) plus 20 basis points less interest accrued to the redemption date, and (ii) 100% of the principal amount of the 2028 4.900% Senior Notes to be redeemed plus accrued interest. On or after March 3, 2028, the Company may redeem the 2028 4.900% Senior Notes at 100% of the principal amount of the notes to be redeemed plus accrued and unpaid interest.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2030 5.150% Senior Notes will mature on June 15, 2030, and interest is payable semi-annually. The Company may redeem all or part of the 2030 5.150% Senior Notes on or prior to May 15, 2030 at a redemption price that is equal to the greater of: (i) the remaining scheduled payments of principal and interest discounted at the Treasury Rate (as defined in the Seventh Supplemental Indenture dated April 3, 2025) plus 20 basis points less interest accrued to the redemption date, and (ii) 100% of the principal amount of the 2030 5.150% Senior Notes to be redeemed plus accrued interest. On or after May 15, 2030, the Company may redeem the 2030 5.150% Senior Notes at 100% of the principal amount of the notes to be redeemed plus accrued and unpaid interest.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2035 5.750% Senior Notes will mature on June 15, 2035, and interest is payable semi-annually. The Company may redeem all or part of the 2035 5.750% Senior Notes on or prior to March 15, 2035 at a redemption price that is equal to the greater of: (i) the remaining scheduled payments of principal and interest discounted at the Treasury Rate (as defined in the Eighth Supplemental Indenture dated April 3, 2025) plus 25 basis points less interest accrued to the redemption date, and (ii) 100% of the principal amount of the 2035 5.750% Senior Notes to be redeemed plus accrued interest. On or after March 15, 2035, the Company may redeem the 2035 5.750% Senior Notes at 100% of the principal amount of the notes to be redeemed plus accrued and unpaid interest.</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 xml:space="preserve">In connection with the issuance of the 2028 4.900% Senior Notes, 2030 5.150% Senior Notes and 2035 5.750% Senior Notes, the Company incurred $11.0 million in costs, which were capitalized as debt issuance costs in the condensed consolidated statements of financial condition. </w:t>
      </w:r>
    </w:p>
    <w:p>
      <w:pPr>
        <w:pStyle w:val="TextBody"/>
        <w:bidi w:val="0"/>
        <w:spacing w:lineRule="auto" w:line="288" w:before="120" w:after="120"/>
        <w:jc w:val="left"/>
        <w:rPr/>
      </w:pPr>
      <w:r>
        <w:rPr>
          <w:rFonts w:ascii="Arial;sans-serif" w:hAnsi="Arial;sans-serif"/>
          <w:b w:val="false"/>
          <w:i/>
          <w:color w:val="000000"/>
          <w:sz w:val="20"/>
          <w:shd w:fill="FFFFFF" w:val="clear"/>
        </w:rPr>
        <w:t xml:space="preserve">Issuance of 2030 </w:t>
      </w:r>
      <w:r>
        <w:rPr>
          <w:rFonts w:ascii="Arial;sans-serif" w:hAnsi="Arial;sans-serif"/>
          <w:b w:val="false"/>
          <w:i/>
          <w:color w:val="000000"/>
          <w:sz w:val="20"/>
        </w:rPr>
        <w:t>5.200%</w:t>
      </w:r>
      <w:r>
        <w:rPr>
          <w:color w:val="000000"/>
          <w:shd w:fill="FFFFFF" w:val="clear"/>
        </w:rPr>
        <w:t xml:space="preserve"> </w:t>
      </w:r>
      <w:r>
        <w:rPr>
          <w:rFonts w:ascii="Arial;sans-serif" w:hAnsi="Arial;sans-serif"/>
          <w:b w:val="false"/>
          <w:i/>
          <w:color w:val="000000"/>
          <w:sz w:val="20"/>
          <w:shd w:fill="FFFFFF" w:val="clear"/>
        </w:rPr>
        <w:t xml:space="preserve">Senior Notes and 2035 </w:t>
      </w:r>
      <w:r>
        <w:rPr>
          <w:rFonts w:ascii="Arial;sans-serif" w:hAnsi="Arial;sans-serif"/>
          <w:b w:val="false"/>
          <w:i/>
          <w:color w:val="000000"/>
          <w:sz w:val="20"/>
        </w:rPr>
        <w:t>5.650%</w:t>
      </w:r>
      <w:r>
        <w:rPr>
          <w:color w:val="000000"/>
          <w:shd w:fill="FFFFFF" w:val="clear"/>
        </w:rPr>
        <w:t xml:space="preserve"> </w:t>
      </w:r>
      <w:r>
        <w:rPr>
          <w:rFonts w:ascii="Arial;sans-serif" w:hAnsi="Arial;sans-serif"/>
          <w:b w:val="false"/>
          <w:i/>
          <w:color w:val="000000"/>
          <w:sz w:val="20"/>
          <w:shd w:fill="FFFFFF" w:val="clear"/>
        </w:rPr>
        <w:t>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26, 2025, LPLH issued $750.0 million in aggregate principal amount of 5.200% senior notes due 2030 (“2030 5.200% Senior Notes”) and $500.0 million in aggregate principal amount of 5.650% senior notes due 2035 (the “2035 5.650% Senior Notes”). The 2030 5.200% Senior Notes and 2035 5.650% Senior Notes are unsecured obligations of the Company and are fully and unconditionally guaranteed on a senior unsecured basis by LPLFH. The Company used a portion of the proceeds from the issuance to repay borrowings made under its senior unsecured revolving credit facility and for general corporate purposes.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2030 5.200% Senior Notes will mature on March 15, 2030, and interest is payable semi-annually. The Company may redeem all or part of the 2030 5.200% Senior Notes on or prior to February 15, 2030 at a redemption price that is equal to the greater of: (i) the remaining scheduled payments of principal and interest discounted at the Treasury Rate (as defined in the Fourth Supplemental Indenture dated February 26, 2025) plus 15 basis points less interest accrued to the redemption date, and (ii) 100% of the principal amount of the 2030 5.200% Senior Notes to be redeemed plus accrued interest. On or after February 15, 2030, the Company may redeem the 2030 5.200% Senior Notes at 100% of the principal amount of the notes to be redeemed plus accrued and unpaid interest.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2035 5.650% Senior Notes will mature on March 15, 2035, and interest is payable semi-annually. The Company may redeem all or part of the 2035 5.650% Senior Notes on or prior to December 15, 2034 at a redemption price that is equal to the greater of: (i) the remaining scheduled payments of principal and interest discounted at the Treasury Rate (as defined in the Fifth Supplemental Indenture dated February 26, 2025) plus 20 basis points less interest accrued to the redemption date, and (ii) 100% of the principal amount of the 2035 5.650% Senior Notes to be redeemed plus accrued interest. On or after December 15, 2034, the Company may redeem the 2035 5.650% Senior Notes at 100% of the principal amount of the notes to be redeemed plus accrued and unpaid interest. </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In connection with the issuance of the 2030 5.200% Senior Notes and 2035 5.650% Senior Notes, the Company incurred $10.4 million in costs, which were capitalized as debt issuance costs in the condensed consolidated statements of financial condition.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Credit Agreement and Parent Revolving Credit Facility</w:t>
      </w:r>
    </w:p>
    <w:p>
      <w:pPr>
        <w:pStyle w:val="TextBody"/>
        <w:bidi w:val="0"/>
        <w:spacing w:lineRule="auto" w:line="288" w:before="120" w:after="120"/>
        <w:jc w:val="left"/>
        <w:rPr/>
      </w:pPr>
      <w:r>
        <w:rPr>
          <w:rFonts w:ascii="Arial;sans-serif" w:hAnsi="Arial;sans-serif"/>
          <w:b w:val="false"/>
          <w:color w:val="000000"/>
          <w:sz w:val="20"/>
        </w:rPr>
        <w:t>The Credit Agreement subjects the Company to certain financial and non-financial covenants. As of June 30, 2026, the Company</w:t>
      </w:r>
      <w:r>
        <w:rPr>
          <w:color w:val="000000"/>
          <w:shd w:fill="FFFFFF" w:val="clear"/>
        </w:rPr>
        <w:t xml:space="preserve"> </w:t>
      </w:r>
      <w:r>
        <w:rPr>
          <w:rFonts w:ascii="Arial;sans-serif" w:hAnsi="Arial;sans-serif"/>
          <w:b w:val="false"/>
          <w:color w:val="000000"/>
          <w:sz w:val="20"/>
          <w:shd w:fill="FFFFFF" w:val="clear"/>
        </w:rPr>
        <w:t>was in compliance with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Broker-Dealer Revolving Credit Facility</w:t>
      </w:r>
    </w:p>
    <w:p>
      <w:pPr>
        <w:pStyle w:val="TextBody"/>
        <w:bidi w:val="0"/>
        <w:spacing w:lineRule="auto" w:line="268" w:before="120" w:after="120"/>
        <w:jc w:val="left"/>
        <w:rPr/>
      </w:pPr>
      <w:r>
        <w:rPr>
          <w:rFonts w:ascii="Arial;sans-serif" w:hAnsi="Arial;sans-serif"/>
          <w:b w:val="false"/>
          <w:color w:val="000000"/>
          <w:sz w:val="20"/>
        </w:rPr>
        <w:t xml:space="preserve">On May 18, 2026, LPL Financial, the Company’s broker-dealer subsidiary, renewed its revolving credit facility to extend the maturity of the revolving credit facility to May 2027. The revolving credit facility allows for a maximum borrowing of up to $1.0 billion and borrowings under the credit facility bear interest at a rate per annum equal to 1.25% per annum plus the greatest of (i) SOFR, (ii) the effective federal funds rate and (iii) the overnight bank funding rate, in each case, as such rate is administered or determined by the Federal Reserve Bank of New York from time to time. In connection with the renewal of the credit facility, LPL Financial incurred $1.2 million in costs, which were capitalized as debt issuance costs in the condensed consolidated statements of financial condition. The broker-dealer credit agreement subjects LPL Financial to certain financial and non-financial covenants. </w:t>
      </w:r>
      <w:r>
        <w:rPr>
          <w:rFonts w:ascii="Arial;sans-serif" w:hAnsi="Arial;sans-serif"/>
          <w:b w:val="false"/>
          <w:color w:val="000000"/>
          <w:sz w:val="20"/>
          <w:shd w:fill="FFFFFF" w:val="clear"/>
        </w:rPr>
        <w:t>LPL Financial was in compliance with such covenants as of June 30, 2026.</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Other External Lines of Credit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maintained five uncommitted lines of credit as of June 30, 2026. Two of the lines have unspecified limits, which are primarily dependent on LPL Financial’s ability to provide sufficient collateral. The other three lines have a total limit of $200.0 million, of which $125.0 million is uncollateralized. There were no balances outstanding under these lines at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10 - COMMITMENTS AND CONTINGENCIES</w:t>
      </w:r>
    </w:p>
    <w:p>
      <w:pPr>
        <w:pStyle w:val="TextBody"/>
        <w:bidi w:val="0"/>
        <w:spacing w:lineRule="auto" w:line="288" w:before="120" w:after="120"/>
        <w:jc w:val="left"/>
        <w:rPr/>
      </w:pPr>
      <w:r>
        <w:rPr>
          <w:rFonts w:ascii="Arial;sans-serif" w:hAnsi="Arial;sans-serif"/>
          <w:b/>
          <w:i/>
          <w:color w:val="000000"/>
          <w:sz w:val="20"/>
        </w:rPr>
        <w:t>Service and Development Contracts</w:t>
      </w:r>
      <w:r>
        <w:rPr>
          <w:color w:val="000000"/>
        </w:rPr>
        <w: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is party to certain long-term contracts for systems and services that enable back-office trade processing and clearing for its product and service offerings.</w:t>
      </w:r>
    </w:p>
    <w:p>
      <w:pPr>
        <w:pStyle w:val="TextBody"/>
        <w:bidi w:val="0"/>
        <w:spacing w:lineRule="auto" w:line="288" w:before="120" w:after="120"/>
        <w:jc w:val="left"/>
        <w:rPr/>
      </w:pPr>
      <w:r>
        <w:rPr>
          <w:rFonts w:ascii="Arial;sans-serif" w:hAnsi="Arial;sans-serif"/>
          <w:b/>
          <w:i/>
          <w:color w:val="000000"/>
          <w:sz w:val="20"/>
        </w:rPr>
        <w:t>Guarantees</w:t>
      </w:r>
      <w:r>
        <w:rPr>
          <w:color w:val="000000"/>
        </w:rPr>
        <w: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occasionally enters into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pStyle w:val="TextBody"/>
        <w:bidi w:val="0"/>
        <w:spacing w:lineRule="auto" w:line="288" w:before="120" w:after="120"/>
        <w:jc w:val="left"/>
        <w:rPr/>
      </w:pPr>
      <w:r>
        <w:rPr>
          <w:rFonts w:ascii="Arial;sans-serif" w:hAnsi="Arial;sans-serif"/>
          <w:b/>
          <w:i/>
          <w:color w:val="000000"/>
          <w:sz w:val="20"/>
        </w:rPr>
        <w:t>Loan Commitments</w:t>
      </w:r>
      <w:r>
        <w:rPr>
          <w:color w:val="000000"/>
        </w:rPr>
        <w: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From time to time, LPL Financial makes loans to advisors and institutions, primarily to newly recruited advisors and institutions to assist in the transition process, which may be forgivable. Due to timing differences, LPL Financial may make commitments to issue such loans prior to actually funding them. These commitments are generally contingent upon certain events occurring, including the advisor or institution joining LPL Financial. LPL Financial had no significant unfunded loan commitments at June 30, 2026 or December 31, 2025.</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Legal and Regulatory Matters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condensed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July 2024, putative class action lawsuits were filed against LPL Financial in federal district court alleging certain violations of law in connection with its cash sweep programs. The Company intends to defend vigorously against the lawsuits, which have since been consolidated into one case.</w: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Third-Party Insurance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Self-Insurance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condensed consolidated statements of financial condition. Self-insurance related charges are included in other expense in the condensed consolidated statements of income.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a reconciliation of the beginning and ending balances of self-insurance liabilities for the periods presented (in thousands):</w:t>
      </w:r>
    </w:p>
    <w:tbl>
      <w:tblPr>
        <w:tblW w:w="5295" w:type="dxa"/>
        <w:jc w:val="left"/>
        <w:tblInd w:w="0" w:type="dxa"/>
        <w:tblLayout w:type="fixed"/>
        <w:tblCellMar>
          <w:top w:w="28" w:type="dxa"/>
          <w:left w:w="28" w:type="dxa"/>
          <w:bottom w:w="28" w:type="dxa"/>
          <w:right w:w="28" w:type="dxa"/>
        </w:tblCellMar>
      </w:tblPr>
      <w:tblGrid>
        <w:gridCol w:w="993"/>
        <w:gridCol w:w="873"/>
        <w:gridCol w:w="878"/>
        <w:gridCol w:w="231"/>
        <w:gridCol w:w="906"/>
        <w:gridCol w:w="119"/>
        <w:gridCol w:w="231"/>
        <w:gridCol w:w="791"/>
        <w:gridCol w:w="11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101,551 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79,637 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incurred</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paid</w:t>
            </w:r>
          </w:p>
        </w:tc>
        <w:tc>
          <w:tcPr>
            <w:tcW w:w="11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(15,583)</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(11,891)</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 June 30</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104,992 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87,021 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i/>
          <w:color w:val="000000"/>
          <w:sz w:val="20"/>
        </w:rPr>
        <w:t>Other Commitments</w:t>
      </w:r>
      <w:r>
        <w:rPr>
          <w:color w:val="000000"/>
        </w:rPr>
        <w:t xml:space="preserve"> </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As of June 30, 2026, the Company had approximately $837.3 million of client margin loans that were collateralized with securities having a fair value of approximately $1.2 billion that LPL Financial can repledge, loan or sell. Of these securities, approximately $526.6 million were client-owned securities pledged to the Options Clearing Corporation as collateral to secure client obligations related to options positions. As of June 30, 2026, there were no restrictions that materially limited the Company’s ability to repledge, loan or sell the remaining $645.6 million of client collateral.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Investment securities on the condensed consolidated statements of financial condition include $15.0 million of trading securities pledged to the Options Clearing Corporation at both June 30, 2026 and December 31, 2025, and $25.0 million of trading securities pledged to the National Securities Clearing Corporation at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11 - STOCKHOLDERS’ EQUITY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payment, timing and amount of any dividends are subject to approval by the Company’s Board of Directors (the “Board”) as well as certain limits under the Credit Agreement. Cash dividends per share of common stock and total cash dividends paid on a quarterly basis were as follows (in millions, except per share data):</w:t>
      </w:r>
    </w:p>
    <w:tbl>
      <w:tblPr>
        <w:tblW w:w="8531" w:type="dxa"/>
        <w:jc w:val="center"/>
        <w:tblInd w:w="0" w:type="dxa"/>
        <w:tblLayout w:type="fixed"/>
        <w:tblCellMar>
          <w:top w:w="28" w:type="dxa"/>
          <w:left w:w="28" w:type="dxa"/>
          <w:bottom w:w="28" w:type="dxa"/>
          <w:right w:w="28" w:type="dxa"/>
        </w:tblCellMar>
      </w:tblPr>
      <w:tblGrid>
        <w:gridCol w:w="498"/>
        <w:gridCol w:w="440"/>
        <w:gridCol w:w="441"/>
        <w:gridCol w:w="441"/>
        <w:gridCol w:w="1069"/>
        <w:gridCol w:w="229"/>
        <w:gridCol w:w="460"/>
        <w:gridCol w:w="1115"/>
        <w:gridCol w:w="239"/>
        <w:gridCol w:w="441"/>
        <w:gridCol w:w="1069"/>
        <w:gridCol w:w="229"/>
        <w:gridCol w:w="448"/>
        <w:gridCol w:w="1084"/>
        <w:gridCol w:w="328"/>
      </w:tblGrid>
      <w:tr>
        <w:trPr/>
        <w:tc>
          <w:tcPr>
            <w:tcW w:w="49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2026</w:t>
            </w:r>
          </w:p>
        </w:tc>
        <w:tc>
          <w:tcPr>
            <w:tcW w:w="3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per Share</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Dividend</w:t>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per Share</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Dividend</w:t>
            </w:r>
          </w:p>
        </w:tc>
      </w:tr>
      <w:tr>
        <w:trPr/>
        <w:tc>
          <w:tcPr>
            <w:tcW w:w="13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quarter</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3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Second quarter</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engages in a share repurchase program that was approved by the Board, pursuant to which LPLFH may repurchase its issued and outstanding shares of common stock from time to time. Repurchased shares are included in treasury stock on the condensed consolidated statements of financial condition.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LPLFH repurchased 1,055,045 shares of common stock at a weighted-average price of $293.33 per share for a total of $309.5 million. As of June 30, 2026, the Company had $320.5 million remaining under the existing share repurchase program. From July 1, 2026 through July 30, 2026, the Company has repurchased 420,464 outstanding shares for a total of $134.3 million. On July 23, 2026, the Board authorized a new repurchase program that increases the amount available for repurchases of the Company’s issued and outstanding common shares by $2.5 billion.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Equity Offering</w:t>
      </w:r>
    </w:p>
    <w:p>
      <w:pPr>
        <w:pStyle w:val="TextBody"/>
        <w:bidi w:val="0"/>
        <w:spacing w:lineRule="auto" w:line="256" w:before="0" w:after="0"/>
        <w:jc w:val="left"/>
        <w:rPr/>
      </w:pPr>
      <w:r>
        <w:rPr>
          <w:rFonts w:ascii="Arial;sans-serif" w:hAnsi="Arial;sans-serif"/>
          <w:b w:val="false"/>
          <w:color w:val="000000"/>
          <w:sz w:val="20"/>
        </w:rPr>
        <w:t>On April 2, 2025, the Company completed a public offering of approximately 5.4 million shares of the Company’s common stock at an offering price of $320.00 per share. The Company received proceeds of approximately $1.7 billion, which were used to fund the acquisition of Commonwealth. In connection with the issuance, the Company incurred incremental costs of $48.1 million, which were recorded as a reduction to the offering proceeds. See Note 4 -</w:t>
      </w:r>
      <w:r>
        <w:rPr>
          <w:color w:val="000000"/>
        </w:rPr>
        <w:t xml:space="preserve"> </w:t>
      </w:r>
      <w:r>
        <w:rPr>
          <w:rFonts w:ascii="Arial;sans-serif" w:hAnsi="Arial;sans-serif"/>
          <w:b w:val="false"/>
          <w:i/>
          <w:color w:val="000000"/>
          <w:sz w:val="20"/>
        </w:rPr>
        <w:t xml:space="preserve">Acquisitions </w:t>
      </w:r>
      <w:r>
        <w:rPr>
          <w:rFonts w:ascii="Arial;sans-serif" w:hAnsi="Arial;sans-serif"/>
          <w:b w:val="false"/>
          <w:color w:val="000000"/>
          <w:sz w:val="20"/>
        </w:rPr>
        <w:t>within the notes to the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12 - SHARE-BASED COMPENSATION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pStyle w:val="TextBody"/>
        <w:bidi w:val="0"/>
        <w:spacing w:lineRule="auto" w:line="288" w:before="120" w:after="120"/>
        <w:jc w:val="left"/>
        <w:rPr/>
      </w:pPr>
      <w:r>
        <w:rPr>
          <w:rFonts w:ascii="Arial;sans-serif" w:hAnsi="Arial;sans-serif"/>
          <w:b w:val="false"/>
          <w:color w:val="000000"/>
          <w:sz w:val="20"/>
        </w:rPr>
        <w:t>There were</w:t>
      </w:r>
      <w:r>
        <w:rPr>
          <w:color w:val="000000"/>
          <w:shd w:fill="FFFFFF" w:val="clear"/>
        </w:rPr>
        <w:t xml:space="preserve"> </w:t>
      </w:r>
      <w:r>
        <w:rPr>
          <w:rFonts w:ascii="Arial;sans-serif" w:hAnsi="Arial;sans-serif"/>
          <w:b w:val="false"/>
          <w:color w:val="000000"/>
          <w:sz w:val="20"/>
        </w:rPr>
        <w:t xml:space="preserve">17,754,197 shares authorized for grant under the 2021 Plan and </w:t>
      </w:r>
      <w:r>
        <w:rPr>
          <w:rFonts w:ascii="Arial;sans-serif" w:hAnsi="Arial;sans-serif"/>
          <w:b w:val="false"/>
          <w:color w:val="000000"/>
          <w:sz w:val="20"/>
          <w:shd w:fill="FFFFFF" w:val="clear"/>
        </w:rPr>
        <w:t>10,706,966</w:t>
      </w:r>
      <w:r>
        <w:rPr>
          <w:color w:val="000000"/>
        </w:rPr>
        <w:t xml:space="preserve"> </w:t>
      </w:r>
      <w:r>
        <w:rPr>
          <w:rFonts w:ascii="Arial;sans-serif" w:hAnsi="Arial;sans-serif"/>
          <w:b w:val="false"/>
          <w:color w:val="000000"/>
          <w:sz w:val="20"/>
        </w:rPr>
        <w:t>shares remaining available for future issuance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Restricted Stock and Stock Units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summarizes the Company’s activity in its restricted stock awards and stock units, which include restricted stock units, deferred stock units and performance stock units, as of and for the six months ended June 30, 2026:</w:t>
      </w:r>
    </w:p>
    <w:tbl>
      <w:tblPr>
        <w:tblW w:w="9041" w:type="dxa"/>
        <w:jc w:val="left"/>
        <w:tblInd w:w="0" w:type="dxa"/>
        <w:tblLayout w:type="fixed"/>
        <w:tblCellMar>
          <w:top w:w="28" w:type="dxa"/>
          <w:left w:w="28" w:type="dxa"/>
          <w:bottom w:w="28" w:type="dxa"/>
          <w:right w:w="28" w:type="dxa"/>
        </w:tblCellMar>
      </w:tblPr>
      <w:tblGrid>
        <w:gridCol w:w="1086"/>
        <w:gridCol w:w="954"/>
        <w:gridCol w:w="959"/>
        <w:gridCol w:w="345"/>
        <w:gridCol w:w="345"/>
        <w:gridCol w:w="336"/>
        <w:gridCol w:w="347"/>
        <w:gridCol w:w="1186"/>
        <w:gridCol w:w="179"/>
        <w:gridCol w:w="449"/>
        <w:gridCol w:w="451"/>
        <w:gridCol w:w="336"/>
        <w:gridCol w:w="109"/>
        <w:gridCol w:w="109"/>
        <w:gridCol w:w="109"/>
        <w:gridCol w:w="338"/>
        <w:gridCol w:w="1155"/>
        <w:gridCol w:w="248"/>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Awards</w:t>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Units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w:t>
              <w:br/>
              <w:t>Grant-Date</w:t>
              <w:br/>
              <w:t>Fair Value</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w:t>
              <w:br/>
              <w:t>Grant-Date</w:t>
              <w:br/>
              <w:t>Fair Value</w:t>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December 31, 2025</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372.50 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635,087 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290.18 </w:t>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294,903 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Vested</w:t>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356.18 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(171,477)</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296.01 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June 30, 2026</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733,260 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301.97 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 June 30, 2026</w:t>
            </w:r>
          </w:p>
        </w:tc>
        <w:tc>
          <w:tcPr>
            <w:tcW w:w="6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555,673 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    Includes 103,067 vested and undistributed deferred stock units.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$19.9 million and $16.8 million of share-based compensation expense related to the vesting of these restricted stock awards and stock units during the three months ended June 30, 2026 and 2025, respectively, and $39.3 million and $32.6 million during the six months ended June 30, 2026 and 2025, respectively. As of June 30, 2026, total unrecognized compensation cost for restricted stock awards and stock units was $145.7 million, which is expected to be recognized over a weighted-average remaining period of 2.2 years.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Company also grants restricted stock units to its advisors and to institutions. The Company recognized share-based compensation expense of $0.9 million and $0.8 million related to the vesting of these awards during the three months ended June 30, 2026 and 2025, respectively, and $1.7 million during both the six months ended June 30, 2026 and 2025. As of June 30, 2026, total unrecognized compensation cost for restricted stock units granted to advisors and institutions was $8.7 million, which is expected to be recognized over a weighted-average remaining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13 -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periods noted was as follows (in thousands, except per share data):</w:t>
      </w:r>
    </w:p>
    <w:tbl>
      <w:tblPr>
        <w:tblW w:w="9775" w:type="dxa"/>
        <w:jc w:val="left"/>
        <w:tblInd w:w="0" w:type="dxa"/>
        <w:tblLayout w:type="fixed"/>
        <w:tblCellMar>
          <w:top w:w="28" w:type="dxa"/>
          <w:left w:w="28" w:type="dxa"/>
          <w:bottom w:w="28" w:type="dxa"/>
          <w:right w:w="28" w:type="dxa"/>
        </w:tblCellMar>
      </w:tblPr>
      <w:tblGrid>
        <w:gridCol w:w="1704"/>
        <w:gridCol w:w="1496"/>
        <w:gridCol w:w="1510"/>
        <w:gridCol w:w="241"/>
        <w:gridCol w:w="946"/>
        <w:gridCol w:w="124"/>
        <w:gridCol w:w="241"/>
        <w:gridCol w:w="946"/>
        <w:gridCol w:w="124"/>
        <w:gridCol w:w="220"/>
        <w:gridCol w:w="864"/>
        <w:gridCol w:w="114"/>
        <w:gridCol w:w="220"/>
        <w:gridCol w:w="864"/>
        <w:gridCol w:w="161"/>
      </w:tblGrid>
      <w:tr>
        <w:trPr/>
        <w:tc>
          <w:tcPr>
            <w:tcW w:w="170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379,261 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273,249 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735,665 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591,822 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weighted-average number of shares outstanding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79,791 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79,984 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79,951 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common share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weighted-average number of shares outstanding</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80,032 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80,373 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80,243 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77,760 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Arial;sans-serif" w:hAnsi="Arial;sans-serif"/>
          <w:b w:val="false"/>
          <w:color w:val="000000"/>
          <w:sz w:val="20"/>
        </w:rPr>
      </w:pPr>
      <w:r>
        <w:rPr>
          <w:rFonts w:ascii="Arial;sans-serif" w:hAnsi="Arial;sans-serif"/>
          <w:b w:val="false"/>
          <w:color w:val="000000"/>
          <w:sz w:val="20"/>
        </w:rPr>
        <w:t>The computation of diluted earnings per share excludes stock options, warrants and stock units that are anti-dilutive. For the three months ended June 30, 2026 and 2025, stock options, warrants and stock units representing common share equivalents of 96,643 shares and 88,002 shares, respectively, were anti-dilutive. For the six months ended June 30, 2026 and 2025, stock options, warrants and stock units representing common share equivalents of 96,362 shares and 60,876 shares,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14 - NET CAPITAL AND REGULATORY REQUIREMENTS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Company’s broker-dealer subsidiaries are subject to the SEC’s Uniform Net Capital Rule (Rule 15c3-1 under the Exchange Act), 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(“FINRA”) to the extent they exceed defined levels, even though such withdrawals would not cause net capital to be less than minimum requirements. Net capital and the related net capital requirement may fluctuate on a daily basis.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the net capital position of the Company’s primary broker-dealer subsidiary (in thousands):</w:t>
      </w:r>
    </w:p>
    <w:tbl>
      <w:tblPr>
        <w:tblW w:w="3509" w:type="dxa"/>
        <w:jc w:val="left"/>
        <w:tblInd w:w="0" w:type="dxa"/>
        <w:tblLayout w:type="fixed"/>
        <w:tblCellMar>
          <w:top w:w="28" w:type="dxa"/>
          <w:left w:w="28" w:type="dxa"/>
          <w:bottom w:w="28" w:type="dxa"/>
          <w:right w:w="28" w:type="dxa"/>
        </w:tblCellMar>
      </w:tblPr>
      <w:tblGrid>
        <w:gridCol w:w="788"/>
        <w:gridCol w:w="692"/>
        <w:gridCol w:w="695"/>
        <w:gridCol w:w="236"/>
        <w:gridCol w:w="926"/>
        <w:gridCol w:w="172"/>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LPL Financial LLC</w:t>
            </w:r>
          </w:p>
        </w:tc>
        <w:tc>
          <w:tcPr>
            <w:tcW w:w="13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capital</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required net capital</w:t>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28,981 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net capital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346,051 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other regulated subsidiaries, including LPL Enterprise, CES, and PTC, are also subject to various regulatory capital requirements. Failure to meet the respective minimum capital requirements can result in certain mandatory and discretionary actions by regulators that, if undertaken, could have substantial monetary and non-monetary impacts on their operations. As of June 30, 2026, the Company’s other regulated subsidiaries met all capital adequacy requirements to which they were subject.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647"/>
        <w:gridCol w:w="1450"/>
        <w:gridCol w:w="1455"/>
        <w:gridCol w:w="298"/>
        <w:gridCol w:w="298"/>
        <w:gridCol w:w="298"/>
        <w:gridCol w:w="298"/>
        <w:gridCol w:w="298"/>
        <w:gridCol w:w="421"/>
      </w:tblGrid>
      <w:tr>
        <w:trPr/>
        <w:tc>
          <w:tcPr>
            <w:tcW w:w="16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8f48717fd04492ad8096c1671c1583_7">
              <w:r>
                <w:rPr>
                  <w:rStyle w:val="InternetLink"/>
                  <w:rFonts w:ascii="Arial;sans-serif" w:hAnsi="Arial;sans-serif"/>
                  <w:b w:val="false"/>
                  <w:color w:val="0000FF"/>
                  <w:sz w:val="20"/>
                  <w:u w:val="single"/>
                </w:rPr>
                <w:t>Table of Contents</w:t>
              </w:r>
            </w:hyperlink>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20"/>
              </w:rPr>
            </w:pPr>
            <w:r>
              <w:rPr>
                <w:rFonts w:ascii="Arial;sans-serif" w:hAnsi="Arial;sans-serif"/>
                <w:b/>
                <w:color w:val="000000"/>
                <w:sz w:val="20"/>
              </w:rPr>
              <w:t>LPL FINANCIAL HOLDINGS INC. AND SUBSIDIARIES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tc>
      </w:tr>
    </w:tbl>
    <w:p>
      <w:pPr>
        <w:pStyle w:val="TextBody"/>
        <w:bidi w:val="0"/>
        <w:spacing w:lineRule="auto" w:line="288" w:before="420" w:after="60"/>
        <w:jc w:val="left"/>
        <w:rPr>
          <w:rFonts w:ascii="Arial;sans-serif" w:hAnsi="Arial;sans-serif"/>
          <w:b/>
          <w:color w:val="000000"/>
          <w:sz w:val="20"/>
        </w:rPr>
      </w:pPr>
      <w:r>
        <w:rPr>
          <w:rFonts w:ascii="Arial;sans-serif" w:hAnsi="Arial;sans-serif"/>
          <w:b/>
          <w:color w:val="000000"/>
          <w:sz w:val="20"/>
        </w:rPr>
        <w:t>NOTE 15 - FINANCIAL INSTRUMENTS WITH OFF-BALANCE SHEET CREDIT RISK AND CONCENTRATIONS OF CREDIT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LPL Financial may offer loans to new and existing advisors and institutions to facilitate their relationship with LPL Financial, transition to LPL Financial’s platform or fund business development activities. LPL Financial may incur losses if advisors or institutions do not fulfill their obligations with respect to these loans. To mitigate this risk, LPL Financial evaluates the performance and creditworthiness of the advisor or institution prior to offering repayable loans.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LPL Financial is obligated to settle transactions with brokers and other financial institutions even if its advisors’ clients fail to meet their obligation to LPL Financial. Clients are required to complete their transactions on the settlement date, generally one business day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may at times hold equity securities on both a long and short basis that are recorded on the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16 - SEGMENT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Chief Operating Decision Maker (“CODM”) is the group that includes the Chief Executive Officer and the President and Chief Financial Officer of the Company.</w:t>
      </w:r>
    </w:p>
    <w:p>
      <w:pPr>
        <w:pStyle w:val="TextBody"/>
        <w:bidi w:val="0"/>
        <w:spacing w:lineRule="auto" w:line="288" w:before="120" w:after="120"/>
        <w:jc w:val="left"/>
        <w:rPr/>
      </w:pPr>
      <w:r>
        <w:rPr>
          <w:rFonts w:ascii="Arial;sans-serif" w:hAnsi="Arial;sans-serif"/>
          <w:b w:val="false"/>
          <w:color w:val="000000"/>
          <w:sz w:val="20"/>
        </w:rPr>
        <w:t xml:space="preserve">The Company determined that it has one reportable segment, given the common nature of the Company’s operations, products and services, production and distribution process, and regulatory environment. The Company provides an integrated platform of brokerage and investment advisory services to independent financial advisors and advisors at financial institutions from which the Company derives its revenues and incurs expenses. For additional information, see Note 3 - </w:t>
      </w:r>
      <w:r>
        <w:rPr>
          <w:rFonts w:ascii="Arial;sans-serif" w:hAnsi="Arial;sans-serif"/>
          <w:b w:val="false"/>
          <w:i/>
          <w:color w:val="000000"/>
          <w:sz w:val="20"/>
        </w:rPr>
        <w:t>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CODM regularly reviews pre-tax net income as presented on the Company’s condensed consolidated statements of income for purposes of assessing performance and making decisions about resource allocation. Expenses regularly reviewed by the CODM include those line items reported on the Company’s condensed consolidated statements of income, the most significant of which include advisory and commission, compensation and benefits, promotional and occupancy and equipment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17 - 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declared a cash dividend of $0.30 per share on LPLFH’s outstanding common stock to be paid on August 28, 2026 to all stockholders of record on 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condensed consolidated statements of financial condition and can include mutual funds, money market funds, debt securities and equity securities. We enter into market risk sensitive instruments for purposes other than trading, which are included in other assets on the condensed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Positions held to meet clearing deposit requirements consist of U.S. government securities and equity securities. The amount of securities deposited depends upon the requirements of the clearing organization. The level of securities deposited is monitored by the settlements group within our Trading and Operations department.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lineRule="auto" w:line="288" w:before="120" w:after="120"/>
        <w:jc w:val="left"/>
        <w:rPr/>
      </w:pPr>
      <w:r>
        <w:rPr>
          <w:rFonts w:ascii="Arial;sans-serif" w:hAnsi="Arial;sans-serif"/>
          <w:b w:val="false"/>
          <w:color w:val="000000"/>
          <w:sz w:val="20"/>
        </w:rPr>
        <w:t xml:space="preserve">As of June 30, 2026, the fair value of our trading securities was $188.0 million and securities sold, but not yet purchased were not material. The fair value of market risk sensitive instruments entered into for other than trading purposes included within other assets was $1.7 billion as of June 30, 2026. See Note 5 - </w:t>
      </w:r>
      <w:r>
        <w:rPr>
          <w:rFonts w:ascii="Arial;sans-serif" w:hAnsi="Arial;sans-serif"/>
          <w:b w:val="false"/>
          <w:i/>
          <w:color w:val="000000"/>
          <w:sz w:val="20"/>
        </w:rPr>
        <w:t>Fair Value Measurements</w:t>
      </w:r>
      <w:r>
        <w:rPr>
          <w:rFonts w:ascii="Arial;sans-serif" w:hAnsi="Arial;sans-serif"/>
          <w:b w:val="false"/>
          <w:color w:val="000000"/>
          <w:sz w:val="20"/>
        </w:rPr>
        <w:t xml:space="preserve">, within the notes to the condensed consolidated financial statements for information regarding the fair value of trading securities; securities sold, but not yet purchased; and other assets associated with our client facilitation activities.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risk associated with changes in interest rates. As of June 30, 2026, $1.3 billion of our outstanding debt was subject to floating interest rate risk. While our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impact of increasing interest rates on our interest expense from the variable portion of our debt outstanding, calculated using the projected average outstanding balance over the subsequent twelve-month period (in thousands): </w:t>
      </w:r>
    </w:p>
    <w:tbl>
      <w:tblPr>
        <w:tblW w:w="9669" w:type="dxa"/>
        <w:jc w:val="left"/>
        <w:tblInd w:w="0" w:type="dxa"/>
        <w:tblLayout w:type="fixed"/>
        <w:tblCellMar>
          <w:top w:w="28" w:type="dxa"/>
          <w:left w:w="28" w:type="dxa"/>
          <w:bottom w:w="28" w:type="dxa"/>
          <w:right w:w="28" w:type="dxa"/>
        </w:tblCellMar>
      </w:tblPr>
      <w:tblGrid>
        <w:gridCol w:w="1216"/>
        <w:gridCol w:w="1070"/>
        <w:gridCol w:w="1073"/>
        <w:gridCol w:w="349"/>
        <w:gridCol w:w="1616"/>
        <w:gridCol w:w="180"/>
        <w:gridCol w:w="226"/>
        <w:gridCol w:w="659"/>
        <w:gridCol w:w="116"/>
        <w:gridCol w:w="226"/>
        <w:gridCol w:w="659"/>
        <w:gridCol w:w="116"/>
        <w:gridCol w:w="226"/>
        <w:gridCol w:w="659"/>
        <w:gridCol w:w="116"/>
        <w:gridCol w:w="226"/>
        <w:gridCol w:w="772"/>
        <w:gridCol w:w="164"/>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Outstanding Balance at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2026</w:t>
            </w:r>
          </w:p>
        </w:tc>
        <w:tc>
          <w:tcPr>
            <w:tcW w:w="416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Annual Impact of an Interest Rate</w:t>
            </w:r>
            <w:r>
              <w:rPr>
                <w:rFonts w:ascii="Arial;sans-serif" w:hAnsi="Arial;sans-serif"/>
                <w:b/>
                <w:color w:val="000000"/>
                <w:sz w:val="12"/>
              </w:rPr>
              <w:t>(†)</w:t>
            </w:r>
            <w:r>
              <w:rPr>
                <w:color w:val="000000"/>
              </w:rPr>
              <w:t xml:space="preserve"> </w:t>
            </w:r>
            <w:r>
              <w:rPr>
                <w:rFonts w:ascii="Arial;sans-serif" w:hAnsi="Arial;sans-serif"/>
                <w:b/>
                <w:color w:val="000000"/>
                <w:sz w:val="18"/>
              </w:rPr>
              <w:t>Increase of</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 Basis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 Basis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50 Basis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 Basis</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Debt and Other Borrowings</w:t>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r>
      <w:tr>
        <w:trPr/>
        <w:tc>
          <w:tcPr>
            <w:tcW w:w="3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Term Loan A</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1,020,000 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Rate Debt Outstanding</w:t>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1,296,000 </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3,240 </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6,480 </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12,960 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450"/>
        <w:jc w:val="left"/>
        <w:rPr>
          <w:rFonts w:ascii="Arial;sans-serif" w:hAnsi="Arial;sans-serif"/>
          <w:b w:val="false"/>
          <w:color w:val="000000"/>
          <w:sz w:val="16"/>
        </w:rPr>
      </w:pPr>
      <w:r>
        <w:rPr>
          <w:rFonts w:ascii="Arial;sans-serif" w:hAnsi="Arial;sans-serif"/>
          <w:b w:val="false"/>
          <w:color w:val="000000"/>
          <w:sz w:val="16"/>
        </w:rPr>
        <w:t>(†) Our interest rate for our Term Loan A is locked in for one, two, three, six or twelve months as allowed under the Credit Agreement. At the end of the selected periods, the rates will be locked in at the then current rate. The effects of these interest rate locks are not included in the table above.</w:t>
      </w:r>
    </w:p>
    <w:p>
      <w:pPr>
        <w:pStyle w:val="TextBody"/>
        <w:bidi w:val="0"/>
        <w:spacing w:lineRule="auto" w:line="288" w:before="120" w:after="120"/>
        <w:jc w:val="left"/>
        <w:rPr/>
      </w:pPr>
      <w:r>
        <w:rPr>
          <w:rFonts w:ascii="Arial;sans-serif" w:hAnsi="Arial;sans-serif"/>
          <w:b w:val="false"/>
          <w:color w:val="000000"/>
          <w:sz w:val="20"/>
        </w:rPr>
        <w:t xml:space="preserve">See Note 9 - </w:t>
      </w:r>
      <w:r>
        <w:rPr>
          <w:rFonts w:ascii="Arial;sans-serif" w:hAnsi="Arial;sans-serif"/>
          <w:b w:val="false"/>
          <w:i/>
          <w:color w:val="000000"/>
          <w:sz w:val="20"/>
        </w:rPr>
        <w:t xml:space="preserve">Corporate Debt and Other Borrowings, Net, </w:t>
      </w:r>
      <w:r>
        <w:rPr>
          <w:rFonts w:ascii="Arial;sans-serif" w:hAnsi="Arial;sans-serif"/>
          <w:b w:val="false"/>
          <w:color w:val="000000"/>
          <w:sz w:val="20"/>
        </w:rPr>
        <w:t>within the notes to the condensed consolidated financial statements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offer our advisors and their clients two FDIC insured bank sweep vehicles and a client cash account (“CCA”) that are interest rate sensitive. Our FDIC insured sweep vehicles include an (1) insured cash account (“ICA”) for individuals, trusts, sole proprietorships and entities organized or operated to make a profit, such as corporations, partnerships, associations, business trusts and other organizations and (2) an insured deposit cash account (“DCA”) for individual retirement accounts and retirement plan accounts that are enrolled in certain LPL advisory programs.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condensed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Credit risk is the risk of loss due to adverse changes in a borrower’s, issuer’s or counterparty’s ability to meet its financial obligations under contractual or agreed upon terms. We are subject to credit risk from certain loans extended to advisors and institutions when we extend loans with repayment terms to facilitate advisors’ and institutions’ transition to our platform or to fund business development activities. We are also subject to credit risk when a forgivable loan to an advisor or institution converts to repayable upon advisor or institution termination or change in agreed upon terms.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three and six months ended June 30, 2026 or 2025.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concentration risk if we extend large loans to or have large commitments with a single counterparty, borrower or group of similar counterparties or borrowers,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Arial;sans-serif" w:hAnsi="Arial;sans-serif"/>
          <w:b/>
          <w:color w:val="000000"/>
          <w:sz w:val="20"/>
        </w:rPr>
        <w:t>Item 4.</w:t>
      </w:r>
      <w:r>
        <w:rPr>
          <w:color w:val="000000"/>
        </w:rPr>
        <w:t> </w:t>
      </w:r>
      <w:r>
        <w:rPr>
          <w:rFonts w:ascii="Arial;sans-serif" w:hAnsi="Arial;sans-serif"/>
          <w:b/>
          <w:color w:val="000000"/>
          <w:sz w:val="20"/>
        </w:rPr>
        <w:t>Controls and Procedures</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Change in Internal Control over Financial Reporting</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second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jc w:val="left"/>
        <w:rPr/>
      </w:pPr>
      <w:r>
        <w:rPr>
          <w:rFonts w:ascii="Arial;sans-serif" w:hAnsi="Arial;sans-serif"/>
          <w:b w:val="false"/>
          <w:color w:val="000000"/>
          <w:sz w:val="20"/>
        </w:rPr>
        <w:t xml:space="preserve">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 See Note 10 -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within the notes to the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80"/>
        <w:jc w:val="left"/>
        <w:rPr/>
      </w:pPr>
      <w:r>
        <w:rPr>
          <w:rFonts w:ascii="Arial;sans-serif" w:hAnsi="Arial;sans-serif"/>
          <w:b w:val="false"/>
          <w:color w:val="000000"/>
          <w:sz w:val="20"/>
        </w:rPr>
        <w:t>There have been no material changes in the information regarding the Company’s risks, as set forth under Part I, “</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in the Company’s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table below sets forth information regarding repurchases, reported on a trade date basis, during the three months ended June 30, 2026:</w:t>
      </w:r>
    </w:p>
    <w:tbl>
      <w:tblPr>
        <w:tblW w:w="10205" w:type="dxa"/>
        <w:jc w:val="left"/>
        <w:tblInd w:w="0" w:type="dxa"/>
        <w:tblLayout w:type="fixed"/>
        <w:tblCellMar>
          <w:top w:w="28" w:type="dxa"/>
          <w:left w:w="28" w:type="dxa"/>
          <w:bottom w:w="28" w:type="dxa"/>
          <w:right w:w="28" w:type="dxa"/>
        </w:tblCellMar>
      </w:tblPr>
      <w:tblGrid>
        <w:gridCol w:w="468"/>
        <w:gridCol w:w="410"/>
        <w:gridCol w:w="415"/>
        <w:gridCol w:w="506"/>
        <w:gridCol w:w="506"/>
        <w:gridCol w:w="507"/>
        <w:gridCol w:w="428"/>
        <w:gridCol w:w="1464"/>
        <w:gridCol w:w="223"/>
        <w:gridCol w:w="790"/>
        <w:gridCol w:w="790"/>
        <w:gridCol w:w="792"/>
        <w:gridCol w:w="623"/>
        <w:gridCol w:w="1819"/>
        <w:gridCol w:w="464"/>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Price Paid per Share</w:t>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Publicly Announced Programs</w:t>
            </w:r>
          </w:p>
        </w:tc>
        <w:tc>
          <w:tcPr>
            <w:tcW w:w="290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8"/>
              </w:rPr>
              <w:t>Approximate Dollar Value of Shares That May Yet Be Purchased Under the Program (millions)</w:t>
            </w:r>
            <w:r>
              <w:rPr>
                <w:rFonts w:ascii="Arial;sans-serif" w:hAnsi="Arial;sans-serif"/>
                <w:b/>
                <w:color w:val="000000"/>
                <w:sz w:val="12"/>
              </w:rPr>
              <w:t>(1)</w:t>
            </w:r>
          </w:p>
        </w:tc>
      </w:tr>
      <w:tr>
        <w:trPr/>
        <w:tc>
          <w:tcPr>
            <w:tcW w:w="12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2026 through April 30, 2026</w:t>
            </w:r>
          </w:p>
        </w:tc>
        <w:tc>
          <w:tcPr>
            <w:tcW w:w="15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206,380</w:t>
            </w:r>
          </w:p>
        </w:tc>
        <w:tc>
          <w:tcPr>
            <w:tcW w:w="4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315.12 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206,380</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565.0 </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2026 through May 31, 2026</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239,314</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294.90 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239,314</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2026 through June 30, 2026</w:t>
            </w:r>
          </w:p>
        </w:tc>
        <w:tc>
          <w:tcPr>
            <w:tcW w:w="1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609,351</w:t>
            </w:r>
          </w:p>
        </w:tc>
        <w:tc>
          <w:tcPr>
            <w:tcW w:w="42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285.33 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609,351</w:t>
            </w:r>
          </w:p>
        </w:tc>
        <w:tc>
          <w:tcPr>
            <w:tcW w:w="6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320.5 </w:t>
            </w:r>
          </w:p>
        </w:tc>
        <w:tc>
          <w:tcPr>
            <w:tcW w:w="4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5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1,055,045</w:t>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1,055,045</w:t>
            </w:r>
          </w:p>
        </w:tc>
        <w:tc>
          <w:tcPr>
            <w:tcW w:w="2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540"/>
        <w:jc w:val="left"/>
        <w:rPr/>
      </w:pPr>
      <w:r>
        <w:rPr>
          <w:rFonts w:ascii="Arial;sans-serif" w:hAnsi="Arial;sans-serif"/>
          <w:b w:val="false"/>
          <w:color w:val="000000"/>
          <w:sz w:val="16"/>
        </w:rPr>
        <w:t xml:space="preserve">(1) On September 21, 2022, the Board authorized a $2.1 billion increase to the amount available for repurchases of LPLFH’s issued and outstanding common shares. On July 23, 2026, the Board authorized a $2.5 billion increase to the amount available for repurchases of LPLFH’s issued and outstanding common shares. </w:t>
      </w:r>
      <w:r>
        <w:rPr>
          <w:rFonts w:ascii="Arial;sans-serif" w:hAnsi="Arial;sans-serif"/>
          <w:b w:val="false"/>
          <w:color w:val="000000"/>
          <w:sz w:val="16"/>
          <w:shd w:fill="FFFFFF" w:val="clear"/>
        </w:rPr>
        <w:t xml:space="preserve">See </w:t>
      </w:r>
      <w:r>
        <w:rPr>
          <w:rFonts w:ascii="Arial;sans-serif" w:hAnsi="Arial;sans-serif"/>
          <w:b w:val="false"/>
          <w:i/>
          <w:color w:val="000000"/>
          <w:sz w:val="16"/>
        </w:rPr>
        <w:t>Note 11</w:t>
      </w:r>
      <w:r>
        <w:rPr>
          <w:color w:val="000000"/>
          <w:shd w:fill="FFFFFF" w:val="clear"/>
        </w:rPr>
        <w:t xml:space="preserve"> </w:t>
      </w:r>
      <w:r>
        <w:rPr>
          <w:rFonts w:ascii="Arial;sans-serif" w:hAnsi="Arial;sans-serif"/>
          <w:b w:val="false"/>
          <w:i/>
          <w:color w:val="000000"/>
          <w:sz w:val="16"/>
          <w:shd w:fill="FFFFFF" w:val="clear"/>
        </w:rPr>
        <w:t xml:space="preserve">- </w:t>
      </w:r>
      <w:r>
        <w:rPr>
          <w:rFonts w:ascii="Arial;sans-serif" w:hAnsi="Arial;sans-serif"/>
          <w:b w:val="false"/>
          <w:i/>
          <w:color w:val="000000"/>
          <w:sz w:val="16"/>
        </w:rPr>
        <w:t>Stockholders’ Equity</w:t>
      </w:r>
      <w:r>
        <w:rPr>
          <w:rFonts w:ascii="Arial;sans-serif" w:hAnsi="Arial;sans-serif"/>
          <w:b w:val="false"/>
          <w:color w:val="000000"/>
          <w:sz w:val="16"/>
          <w:shd w:fill="FFFFFF" w:val="clear"/>
        </w:rPr>
        <w:t>, within the notes to the condensed consolidated financial statements for additional informatio</w:t>
      </w:r>
      <w:r>
        <w:rPr>
          <w:rFonts w:ascii="Arial;sans-serif" w:hAnsi="Arial;sans-serif"/>
          <w:b w:val="false"/>
          <w:color w:val="000000"/>
          <w:sz w:val="16"/>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shd w:fill="FFFFFF" w:val="clear"/>
        </w:rPr>
      </w:pPr>
      <w:r>
        <w:rPr>
          <w:rFonts w:ascii="Arial;sans-serif" w:hAnsi="Arial;sans-serif"/>
          <w:b/>
          <w:color w:val="000000"/>
          <w:sz w:val="20"/>
          <w:shd w:fill="FFFFFF" w:val="clear"/>
        </w:rPr>
        <w:t>Item 4. Mine Safety Disclosures</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shd w:fill="FFFFFF" w:val="clear"/>
        </w:rPr>
      </w:pPr>
      <w:r>
        <w:rPr>
          <w:rFonts w:ascii="Arial;sans-serif" w:hAnsi="Arial;sans-serif"/>
          <w:b/>
          <w:color w:val="000000"/>
          <w:sz w:val="20"/>
          <w:shd w:fill="FFFFFF" w:val="clear"/>
        </w:rPr>
        <w:t>Item 5. Other Information</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officers (as defined in Rule 16a-1(f) under the Exchange Act) entered into, modified or terminated contracts, instructions or written plans for the purchase or sale of our common stock that are intended to satisfy the affirmative defense conditions specified in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7"/>
        <w:gridCol w:w="316"/>
        <w:gridCol w:w="131"/>
        <w:gridCol w:w="109"/>
        <w:gridCol w:w="109"/>
        <w:gridCol w:w="109"/>
        <w:gridCol w:w="2968"/>
        <w:gridCol w:w="2861"/>
        <w:gridCol w:w="2868"/>
        <w:gridCol w:w="109"/>
        <w:gridCol w:w="109"/>
        <w:gridCol w:w="159"/>
      </w:tblGrid>
      <w:tr>
        <w:trPr/>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0260630.htm">
              <w:r>
                <w:rPr>
                  <w:rStyle w:val="InternetLink"/>
                  <w:rFonts w:ascii="Arial;sans-serif" w:hAnsi="Arial;sans-serif"/>
                  <w:b w:val="false"/>
                  <w:color w:val="000080"/>
                  <w:sz w:val="20"/>
                </w:rPr>
                <w:t>Second Amended and Restated</w:t>
              </w:r>
            </w:hyperlink>
            <w:hyperlink w:anchor="exhibit3120260630.htm">
              <w:r>
                <w:rPr>
                  <w:rStyle w:val="InternetLink"/>
                  <w:rFonts w:ascii="Arial;sans-serif" w:hAnsi="Arial;sans-serif"/>
                  <w:b w:val="false"/>
                  <w:color w:val="000080"/>
                  <w:sz w:val="20"/>
                </w:rPr>
                <w:t xml:space="preserve"> Certificate of Incorporation of LPL </w:t>
              </w:r>
            </w:hyperlink>
            <w:hyperlink w:anchor="exhibit3120260630.htm">
              <w:r>
                <w:rPr>
                  <w:rStyle w:val="InternetLink"/>
                  <w:rFonts w:ascii="Arial;sans-serif" w:hAnsi="Arial;sans-serif"/>
                  <w:b w:val="false"/>
                  <w:color w:val="000080"/>
                  <w:sz w:val="20"/>
                </w:rPr>
                <w:t>Financial Holdin</w:t>
              </w:r>
            </w:hyperlink>
            <w:hyperlink w:anchor="exhibit3120260630.htm">
              <w:r>
                <w:rPr>
                  <w:rStyle w:val="InternetLink"/>
                  <w:rFonts w:ascii="Arial;sans-serif" w:hAnsi="Arial;sans-serif"/>
                  <w:b w:val="false"/>
                  <w:color w:val="000080"/>
                  <w:sz w:val="20"/>
                </w:rPr>
                <w:t>g</w:t>
              </w:r>
            </w:hyperlink>
            <w:hyperlink w:anchor="exhibit3120260630.htm">
              <w:r>
                <w:rPr>
                  <w:rStyle w:val="InternetLink"/>
                  <w:rFonts w:ascii="Arial;sans-serif" w:hAnsi="Arial;sans-serif"/>
                  <w:b w:val="false"/>
                  <w:color w:val="000080"/>
                  <w:sz w:val="20"/>
                </w:rPr>
                <w:t>s Inc., dated May 14, 2026.</w:t>
              </w:r>
            </w:hyperlink>
            <w:hyperlink w:anchor="exhibit3120260630.htm">
              <w:r>
                <w:rPr>
                  <w:rStyle w:val="InternetLink"/>
                  <w:rFonts w:ascii="Arial;sans-serif" w:hAnsi="Arial;sans-serif"/>
                  <w:b w:val="false"/>
                  <w:color w:val="000080"/>
                  <w:sz w:val="20"/>
                </w:rPr>
                <w:t>*</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630.htm">
              <w:r>
                <w:rPr>
                  <w:rStyle w:val="InternetLink"/>
                  <w:rFonts w:ascii="Arial;sans-serif" w:hAnsi="Arial;sans-serif"/>
                  <w:b w:val="false"/>
                  <w:color w:val="000080"/>
                  <w:sz w:val="20"/>
                </w:rPr>
                <w:t>Eighth Am</w:t>
              </w:r>
            </w:hyperlink>
            <w:hyperlink w:anchor="exhibit3220260630.htm">
              <w:r>
                <w:rPr>
                  <w:rStyle w:val="InternetLink"/>
                  <w:rFonts w:ascii="Arial;sans-serif" w:hAnsi="Arial;sans-serif"/>
                  <w:b w:val="false"/>
                  <w:color w:val="000080"/>
                  <w:sz w:val="20"/>
                </w:rPr>
                <w:t>ended and Restated Bylaws of LPL</w:t>
              </w:r>
            </w:hyperlink>
            <w:hyperlink w:anchor="exhibit3220260630.htm">
              <w:r>
                <w:rPr>
                  <w:rStyle w:val="InternetLink"/>
                  <w:rFonts w:ascii="Arial;sans-serif" w:hAnsi="Arial;sans-serif"/>
                  <w:b w:val="false"/>
                  <w:color w:val="000080"/>
                  <w:sz w:val="20"/>
                </w:rPr>
                <w:t xml:space="preserve"> Financial Holdings</w:t>
              </w:r>
            </w:hyperlink>
            <w:hyperlink w:anchor="exhibit3220260630.htm">
              <w:r>
                <w:rPr>
                  <w:rStyle w:val="InternetLink"/>
                  <w:rFonts w:ascii="Arial;sans-serif" w:hAnsi="Arial;sans-serif"/>
                  <w:b w:val="false"/>
                  <w:color w:val="000080"/>
                  <w:sz w:val="20"/>
                </w:rPr>
                <w:t xml:space="preserve"> Inc</w:t>
              </w:r>
            </w:hyperlink>
            <w:hyperlink w:anchor="exhibit3220260630.htm">
              <w:r>
                <w:rPr>
                  <w:rStyle w:val="InternetLink"/>
                  <w:rFonts w:ascii="Arial;sans-serif" w:hAnsi="Arial;sans-serif"/>
                  <w:b w:val="false"/>
                  <w:color w:val="000080"/>
                  <w:sz w:val="20"/>
                </w:rPr>
                <w:t>.</w:t>
              </w:r>
            </w:hyperlink>
            <w:hyperlink w:anchor="exhibit3220260630.htm">
              <w:r>
                <w:rPr>
                  <w:rStyle w:val="InternetLink"/>
                  <w:rFonts w:ascii="Arial;sans-serif" w:hAnsi="Arial;sans-serif"/>
                  <w:b w:val="false"/>
                  <w:color w:val="000080"/>
                  <w:sz w:val="20"/>
                </w:rPr>
                <w:t>*</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0260630.htm">
              <w:r>
                <w:rPr>
                  <w:rStyle w:val="InternetLink"/>
                  <w:rFonts w:ascii="Arial;sans-serif" w:hAnsi="Arial;sans-serif"/>
                  <w:b w:val="false"/>
                  <w:color w:val="000080"/>
                  <w:sz w:val="20"/>
                </w:rPr>
                <w:t xml:space="preserve">LPL Financial Holdings Inc. Non-Employee Director Compensation Policy, as amended May </w:t>
              </w:r>
            </w:hyperlink>
            <w:hyperlink w:anchor="exhibit10120260630.htm">
              <w:r>
                <w:rPr>
                  <w:rStyle w:val="InternetLink"/>
                  <w:rFonts w:ascii="Arial;sans-serif" w:hAnsi="Arial;sans-serif"/>
                  <w:b w:val="false"/>
                  <w:color w:val="000080"/>
                  <w:sz w:val="20"/>
                </w:rPr>
                <w:t>14</w:t>
              </w:r>
            </w:hyperlink>
            <w:hyperlink w:anchor="exhibit10120260630.htm">
              <w:r>
                <w:rPr>
                  <w:rStyle w:val="InternetLink"/>
                  <w:rFonts w:ascii="Arial;sans-serif" w:hAnsi="Arial;sans-serif"/>
                  <w:b w:val="false"/>
                  <w:color w:val="000080"/>
                  <w:sz w:val="20"/>
                </w:rPr>
                <w:t>, 202</w:t>
              </w:r>
            </w:hyperlink>
            <w:hyperlink w:anchor="exhibit10120260630.htm">
              <w:r>
                <w:rPr>
                  <w:rStyle w:val="InternetLink"/>
                  <w:rFonts w:ascii="Arial;sans-serif" w:hAnsi="Arial;sans-serif"/>
                  <w:b w:val="false"/>
                  <w:color w:val="000080"/>
                  <w:sz w:val="20"/>
                </w:rPr>
                <w:t>6</w:t>
              </w:r>
            </w:hyperlink>
            <w:hyperlink w:anchor="exhibit10120260630.htm">
              <w:r>
                <w:rPr>
                  <w:rStyle w:val="InternetLink"/>
                  <w:rFonts w:ascii="Arial;sans-serif" w:hAnsi="Arial;sans-serif"/>
                  <w:b w:val="false"/>
                  <w:color w:val="000080"/>
                  <w:sz w:val="20"/>
                </w:rPr>
                <w:t>.*</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120260630.htm">
              <w:r>
                <w:rPr>
                  <w:rStyle w:val="InternetLink"/>
                  <w:rFonts w:ascii="Arial;sans-serif" w:hAnsi="Arial;sans-serif"/>
                  <w:b w:val="false"/>
                  <w:color w:val="0000FF"/>
                  <w:sz w:val="20"/>
                </w:rPr>
                <w:t>List of Subsidiary Guarantors and Issuers of Guaranteed Securities.*</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30.htm">
              <w:r>
                <w:rPr>
                  <w:rStyle w:val="InternetLink"/>
                  <w:rFonts w:ascii="Arial;sans-serif" w:hAnsi="Arial;sans-serif"/>
                  <w:b w:val="false"/>
                  <w:color w:val="0000FF"/>
                  <w:sz w:val="20"/>
                </w:rPr>
                <w:t>Certification of the Chief Executive Officer pursuant to Rule 13a-14(a).*</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30.htm">
              <w:r>
                <w:rPr>
                  <w:rStyle w:val="InternetLink"/>
                  <w:rFonts w:ascii="Arial;sans-serif" w:hAnsi="Arial;sans-serif"/>
                  <w:b w:val="false"/>
                  <w:color w:val="0000FF"/>
                  <w:sz w:val="20"/>
                </w:rPr>
                <w:t>Certification of the Chief Financial Officer pursuant to Rule 13a-14(a).*</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60630.htm">
              <w:r>
                <w:rPr>
                  <w:rStyle w:val="InternetLink"/>
                  <w:rFonts w:ascii="Arial;sans-serif" w:hAnsi="Arial;sans-serif"/>
                  <w:b w:val="false"/>
                  <w:color w:val="0000FF"/>
                  <w:sz w:val="20"/>
                </w:rPr>
                <w:t>Certification of the Chief Executive Officer pursuant to 18 U.S.C. Section 1350, as adopted pursuant to Section 906 of the Sarbanes-Oxley Act of 2002.**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60630.htm">
              <w:r>
                <w:rPr>
                  <w:rStyle w:val="InternetLink"/>
                  <w:rFonts w:ascii="Arial;sans-serif" w:hAnsi="Arial;sans-serif"/>
                  <w:b w:val="false"/>
                  <w:color w:val="0000FF"/>
                  <w:sz w:val="20"/>
                </w:rPr>
                <w:t>Certification of the Chief Financial Officer pursuant to 18 U.S.C. Section 1350, as adopted pursuant to Section 906 of the Sarbanes-Oxley Act of 2002.**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tbl>
      <w:tblPr>
        <w:tblW w:w="25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39"/>
        <w:gridCol w:w="539"/>
        <w:gridCol w:w="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e8f48717fd04492ad8096c1671c15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629"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425"/>
        <w:gridCol w:w="425"/>
        <w:gridCol w:w="425"/>
        <w:gridCol w:w="970"/>
        <w:gridCol w:w="970"/>
        <w:gridCol w:w="140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LPL Financial Holdings Inc.</w:t>
            </w:r>
          </w:p>
          <w:p>
            <w:pPr>
              <w:pStyle w:val="TableContents"/>
              <w:bidi w:val="0"/>
              <w:spacing w:lineRule="auto" w:line="240" w:before="0" w:after="0"/>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3, 2026</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RICHARD STEINMEIER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Richard Steinmeier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3, 2026</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MATTHEW AUDETTE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Matthew Audette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3, 2026</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KATHARINE REEPING</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Katharine Reeping</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AMENDED AND RESTATED CERTIFICATE OF INCORPORATION</w:t>
        <w:br/>
        <w:t>OF</w:t>
        <w:br/>
        <w:t>LPL FINANCIAL HOLDINGS INC.</w:t>
      </w:r>
    </w:p>
    <w:p>
      <w:pPr>
        <w:pStyle w:val="TextBody"/>
        <w:bidi w:val="0"/>
        <w:spacing w:lineRule="auto" w:line="288" w:before="0" w:after="240"/>
        <w:ind w:left="0" w:right="0" w:firstLine="720"/>
        <w:jc w:val="both"/>
        <w:rPr/>
      </w:pPr>
      <w:r>
        <w:rPr>
          <w:rFonts w:ascii="Times New Roman;serif" w:hAnsi="Times New Roman;serif"/>
          <w:b w:val="false"/>
          <w:color w:val="000000"/>
          <w:sz w:val="24"/>
        </w:rPr>
        <w:t>LPL Financial Holdings Inc., a Delaware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that this Second Amended and Restated Certificate of Incorporation (the “</w:t>
      </w:r>
      <w:r>
        <w:rPr>
          <w:rFonts w:ascii="Times New Roman;serif" w:hAnsi="Times New Roman;serif"/>
          <w:b w:val="false"/>
          <w:color w:val="000000"/>
          <w:sz w:val="24"/>
          <w:u w:val="single"/>
        </w:rPr>
        <w:t>Second Amended and Restated Certificate of Incorporation</w:t>
      </w:r>
      <w:r>
        <w:rPr>
          <w:color w:val="000000"/>
        </w:rPr>
        <w:t>”</w:t>
      </w:r>
      <w:r>
        <w:rPr>
          <w:rFonts w:ascii="Times New Roman;serif" w:hAnsi="Times New Roman;serif"/>
          <w:b w:val="false"/>
          <w:color w:val="000000"/>
          <w:sz w:val="24"/>
        </w:rPr>
        <w:t>) has been duly adopted in accordance with Sections 242 and 245 of the General Corporation Law of the State of Delaware, and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name of the Corporation is: LPL Financial Holdings Inc.</w:t>
      </w:r>
    </w:p>
    <w:p>
      <w:pPr>
        <w:pStyle w:val="TextBody"/>
        <w:bidi w:val="0"/>
        <w:spacing w:lineRule="auto" w:line="288" w:before="0" w:after="240"/>
        <w:ind w:left="0" w:right="0" w:firstLine="720"/>
        <w:jc w:val="both"/>
        <w:rPr/>
      </w:pPr>
      <w:r>
        <w:rPr>
          <w:rFonts w:ascii="Times New Roman;serif" w:hAnsi="Times New Roman;serif"/>
          <w:b w:val="false"/>
          <w:color w:val="000000"/>
          <w:sz w:val="24"/>
        </w:rPr>
        <w:t>B.    The original Certificate of Incorporation of the Corporation was filed with the Secretary of the State of Delaware on October 25, 2005 (as amended, the “</w:t>
      </w:r>
      <w:r>
        <w:rPr>
          <w:rFonts w:ascii="Times New Roman;serif" w:hAnsi="Times New Roman;serif"/>
          <w:b w:val="false"/>
          <w:color w:val="000000"/>
          <w:sz w:val="24"/>
          <w:u w:val="single"/>
        </w:rPr>
        <w:t>Original Certificate of Incorporation</w:t>
      </w:r>
      <w:r>
        <w:rPr>
          <w:color w:val="000000"/>
        </w:rPr>
        <w:t>”</w:t>
      </w:r>
      <w:r>
        <w:rPr>
          <w:rFonts w:ascii="Times New Roman;serif" w:hAnsi="Times New Roman;serif"/>
          <w:b w:val="false"/>
          <w:color w:val="000000"/>
          <w:sz w:val="24"/>
        </w:rPr>
        <w:t>). The Corporation was incorporated under the name BD Investment Holdings Inc.</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Original Certificate of Incorporation was amended and restated on November 23, 2010 under the name LPL Investment Holdings Inc. (as amended, the “</w:t>
      </w:r>
      <w:r>
        <w:rPr>
          <w:rFonts w:ascii="Times New Roman;serif" w:hAnsi="Times New Roman;serif"/>
          <w:b w:val="false"/>
          <w:color w:val="000000"/>
          <w:sz w:val="24"/>
          <w:u w:val="single"/>
        </w:rPr>
        <w:t>Amended and Restated Certificate of Incorporation</w:t>
      </w:r>
      <w:r>
        <w:rPr>
          <w:color w:val="000000"/>
        </w:rPr>
        <w:t>”</w:t>
      </w:r>
      <w:r>
        <w:rPr>
          <w:rFonts w:ascii="Times New Roman;serif" w:hAnsi="Times New Roman;serif"/>
          <w:b w:val="false"/>
          <w:color w:val="000000"/>
          <w:sz w:val="24"/>
        </w:rPr>
        <w:t>), amended on June 15, 2012 by a Certificate of Ownership and Merger pursuant to which the name of the Corporation became LPL Financial Holdings Inc. and further amended on May 8, 2014.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This Second Amended and Restated Certificate of Incorporation amends and restates the Amended and Restated Certificate of Incorporation of the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Certificate of Incorporation, upon the filing of this Second Amended and Restated Certificate of Incorporation, shall read in its entirety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br/>
        <w:t>NAME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name of the corporation is LPL Financial Holdings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br/>
        <w:t>REGISTERED OFFICE AND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1209 Orange Street, in the City of Wilmington, County of New Castle, 19801. The name of the Corporation’s registered agent at such address is The Corporation Trust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purpose of the Corporation is to engage in any lawful act or activity for which corporations may be organized under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br/>
        <w:t>CAPITALIZATION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Authorized Shares</w:t>
      </w:r>
      <w:r>
        <w:rPr>
          <w:rFonts w:ascii="Times New Roman;serif" w:hAnsi="Times New Roman;serif"/>
          <w:b w:val="false"/>
          <w:color w:val="000000"/>
          <w:sz w:val="24"/>
        </w:rPr>
        <w:t>. The total number of shares of stock which the Corporation shall have authority to issue is 675,000,000, consisting of 600,000,000 shares of Common Stock, par value $0.001 per share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75,000,000 shares of Preferred Stock, par value $0.001 per share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Preferred Stock</w:t>
      </w:r>
      <w:r>
        <w:rPr>
          <w:rFonts w:ascii="Times New Roman;serif" w:hAnsi="Times New Roman;serif"/>
          <w:b w:val="false"/>
          <w:color w:val="000000"/>
          <w:sz w:val="24"/>
        </w:rPr>
        <w:t>. Shares of Preferred Stock may be issued in one or more series, from time to time, with each such series to consist of such number of shares and to have such voting powers relative to other classes or series of Preferred Stock, if any, or Common Stock,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and the Board of Directors is hereby expressly vested with the authority, to the full extent now or hereafter provided by applicable law, to adopt any such resolution or resolutions.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Voting</w:t>
      </w:r>
      <w:r>
        <w:rPr>
          <w:rFonts w:ascii="Times New Roman;serif" w:hAnsi="Times New Roman;serif"/>
          <w:b w:val="false"/>
          <w:color w:val="000000"/>
          <w:sz w:val="24"/>
        </w:rPr>
        <w:t xml:space="preserve">. Each holder of Common Stock, as such, shall be entitled to one vote for each share of Common Stock held of record by such holder on all matters on which stockholders generally are entitled to vote;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except as otherwise required by law, holders of Common Stock, as such, shall not be entitled to vote on any amendment to this Second Amended and Restated Certificate of Incorporation (including, but not limited to,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(including, but not limited to, any certificate of designations relating to any series of Preferred Stock) or pursuant to the DGCL.</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 Class Vote On Changes In Authorized Number of Shares Of Preferred Stock</w:t>
      </w:r>
      <w:r>
        <w:rPr>
          <w:rFonts w:ascii="Times New Roman;serif" w:hAnsi="Times New Roman;serif"/>
          <w:b w:val="false"/>
          <w:color w:val="000000"/>
          <w:sz w:val="24"/>
        </w:rPr>
        <w:t>. Subject to the special rights of the holders of any series of Preferred Stock pursuant to the terms of this Second Amended and Restated Certificate of Incorporation, any certificate of designations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outstanding shares of capital stock of the Corporation entitled to vote generally in the election of directors irrespective of the provisions of Section 242(b)(2) of the DGCL.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w:t>
        <w:br/>
        <w:t>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u w:val="single"/>
        </w:rPr>
        <w:t>Number of Directors; Vacancies and Newly Created Directorship</w:t>
      </w:r>
      <w:r>
        <w:rPr>
          <w:rFonts w:ascii="Times New Roman;serif" w:hAnsi="Times New Roman;serif"/>
          <w:b w:val="false"/>
          <w:color w:val="000000"/>
          <w:sz w:val="24"/>
        </w:rPr>
        <w:t xml:space="preserve">s. The number of directors constituting the Board of Directors shall be not fewer than 3 and not more than 15, each of whom shall be a natural person. Subject to the previous sentence and to the special rights of the holders of any series of Preferred Stock to elect directors, the precise number of directors shall be fixed exclusively pursuant to a resolution adopted by the Board of Directors. Vacancies and newly-created directorships shall be filled by vote of a majority of the directors then in office, although less than a quorum, or by a sole remaining director. Any vacancy created by the removal of a director by the stockholders shall only be filled, in addition to any other vote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required by law, by vote of a majority of the outstanding shares of Common Stock. No decrease in the number of directors constituting the Board of Directors shall shorten the term of any incumbent director.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u w:val="single"/>
        </w:rPr>
        <w:t>Removal</w:t>
      </w:r>
      <w:r>
        <w:rPr>
          <w:rFonts w:ascii="Times New Roman;serif" w:hAnsi="Times New Roman;serif"/>
          <w:b w:val="false"/>
          <w:color w:val="000000"/>
          <w:sz w:val="24"/>
        </w:rPr>
        <w:t>. Subject to the special rights of the holders of any series of Preferred Stock to elect directors, the directors of the Corporation may be removed only by the affirmative vote of a majority of the voting power of the outstanding shares of capital stock of the Corporation entitled to vote generally in the election of directors, voting together as a single class.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br/>
        <w:t>LIMITATION OF DIRECTOR AND OFFICER LIABILITY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the fullest extent that the DGCL or any other law of the State of Delaware (as they exist on the date hereof or as they may hereafter be amended) permits the limitation or elimination of the liability of directors or officers, no director or officer of the Corporation shall be personally liable to the Corporation or its stockholders for monetary damages for breach of fiduciary duty as a director or officer. No amendment to, or modification or repeal of, this Article VI shall adversely affect any right or protection of a director or officer of the Corporation existing hereunder with respect to any state of facts existing or act or omission occurring, or any cause of action, suit or claim that, but for this Article VI, would accrue or arise, prior to such amendment, modification or repeal. For purposes of this </w:t>
      </w:r>
      <w:r>
        <w:rPr>
          <w:rFonts w:ascii="Times New Roman;serif" w:hAnsi="Times New Roman;serif"/>
          <w:b w:val="false"/>
          <w:color w:val="000000"/>
          <w:sz w:val="24"/>
          <w:u w:val="single"/>
        </w:rPr>
        <w:t>Article VI</w:t>
      </w:r>
      <w:r>
        <w:rPr>
          <w:rFonts w:ascii="Times New Roman;serif" w:hAnsi="Times New Roman;serif"/>
          <w:b w:val="false"/>
          <w:color w:val="000000"/>
          <w:sz w:val="24"/>
        </w:rPr>
        <w:t>, “officer” shall have the meaning provided in Section 102(b)(7) of the DGCL, as it presently exists or may hereafter be amended from time to time.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br/>
        <w:t>MEETINGS OF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u w:val="single"/>
        </w:rPr>
        <w:t>No Action by Written Consent</w:t>
      </w:r>
      <w:r>
        <w:rPr>
          <w:rFonts w:ascii="Times New Roman;serif" w:hAnsi="Times New Roman;serif"/>
          <w:b w:val="false"/>
          <w:color w:val="000000"/>
          <w:sz w:val="24"/>
        </w:rPr>
        <w:t>. Any action required or permitted to be taken by the stockholders of the Corporation may be effected only at a duly called annual or special meeting of stockholders of the Corporation and may not be effected by any consent in writing by such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Subject to any special rights of the holders of any series of Preferred Stock, and to the requirements of applicable law, special meetings of stockholders of the Corporation may be called only by either (a) the Chairman or Vice Chairman of the Board of Directors or the President of the Corporation or (b) the Board of Directors pursuant to a written resolution adopted by a majority of the total number of directors which the Corporation would have if there were no vacancies.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u w:val="single"/>
        </w:rPr>
        <w:t>Election of Directors by Written Ballot</w:t>
      </w:r>
      <w:r>
        <w:rPr>
          <w:rFonts w:ascii="Times New Roman;serif" w:hAnsi="Times New Roman;serif"/>
          <w:b w:val="false"/>
          <w:color w:val="000000"/>
          <w:sz w:val="24"/>
        </w:rPr>
        <w:t>. Election of directors need not be by written ballot.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br/>
        <w:t>AMENDMENTS TO THE SECOND AMENDED AND RESTATED CERTIFICATE OF INCORPORATION AND BYLAWS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u w:val="single"/>
        </w:rPr>
        <w:t>Bylaws</w:t>
      </w:r>
      <w:r>
        <w:rPr>
          <w:rFonts w:ascii="Times New Roman;serif" w:hAnsi="Times New Roman;serif"/>
          <w:b w:val="false"/>
          <w:color w:val="000000"/>
          <w:sz w:val="24"/>
        </w:rPr>
        <w:t xml:space="preserve">. In furtherance and not in limitation of the powers conferred by law, the Board of Directors is expressly authorized to make, alter, amend or repeal the bylaws of the Corporation subject to the power of the stockholders of the Corporation to make, alter, amend or repeal the bylaws;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with respect to the powers of stockholders to make, alter, amend or repeal the bylaws, in addition to any other vote otherwise required by law, the affirmative vote of the holders of at least a majority of the voting power of the outstanding shares of Common Stock shall be required to make, alter, amend or repeal the bylaws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u w:val="single"/>
        </w:rPr>
        <w:t>Amendments to the Certificate of Incorporation</w:t>
      </w:r>
      <w:r>
        <w:rPr>
          <w:rFonts w:ascii="Times New Roman;serif" w:hAnsi="Times New Roman;serif"/>
          <w:b w:val="false"/>
          <w:color w:val="000000"/>
          <w:sz w:val="24"/>
        </w:rPr>
        <w:t>. Notwithstanding anything to the contrary contained in this Second Amended and Restated Certificate of Incorporation, and notwithstanding that a lesser percentage may be permitted from time to time by applicable law, no provision of Article V, paragraphs (a) and (b) of Article VII, Article VIII and Article IX may be altered, amended or repealed in any respect, nor may any provision or bylaw inconsistent therewith be adopted, unless in addition to any other vote required by this Second Amended and Restated Certificate of Incorporation or otherwise required by law, such alteration, amendment, repeal or adoption is approved by, in addition to any other vote otherwise required by law, the affirmative vote of the holders of at least a majority of the voting power of the outstanding shares of Common Stock.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br/>
        <w:t>BUSINESS COMBINATIONS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hereby expressly elects not to be governed by Section 203 of the DGCL.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w:t>
        <w:br/>
        <w:t>[RESERVED]</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w:t>
        <w:br/>
        <w:t>EXCLUSIVE JURISDICTION OF CERTAIN 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the Corporation’s Second Amended and Restated Certificate of Incorporation or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XI.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XII</w:t>
        <w:br/>
        <w:t>SEVERABILITY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or provisions of this Second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Second Amended and Restated Certificate of Incorporation (including, without limitation, each portion of any paragraph of this Second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Second Amended and Restated Certificate of Incorporation (including, without limitation, each such portion of any paragraph of this Second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 — signature page follows]</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Second Amended and Restated Certificate of Incorporation to be executed by the officer below this day of May 14, 2026.</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LPL FINANCIAL HOLDINGS INC.</w:t>
      </w:r>
    </w:p>
    <w:p>
      <w:pPr>
        <w:pStyle w:val="TextBody"/>
        <w:bidi w:val="0"/>
        <w:spacing w:lineRule="auto" w:line="288" w:before="0" w:after="48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Robert S. Hatfield III        </w:t>
      </w:r>
      <w:r>
        <w:rPr>
          <w:rFonts w:ascii="Times New Roman;serif" w:hAnsi="Times New Roman;serif"/>
          <w:b w:val="false"/>
          <w:color w:val="000000"/>
          <w:sz w:val="24"/>
        </w:rPr>
        <w:br/>
        <w:t>    Name: Robert S. Hatfield III</w:t>
        <w:br/>
        <w:t>    Title: Secretary</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LPL FINANCIAL HOLDINGS INC. (the “</w:t>
      </w:r>
      <w:r>
        <w:rPr>
          <w:rFonts w:ascii="Times New Roman;serif" w:hAnsi="Times New Roman;serif"/>
          <w:b/>
          <w:color w:val="000000"/>
          <w:sz w:val="24"/>
          <w:u w:val="single"/>
        </w:rPr>
        <w:t>Corporation</w:t>
      </w:r>
      <w:r>
        <w:rPr>
          <w:color w:val="000000"/>
        </w:rPr>
        <w:t>”</w:t>
      </w:r>
      <w:r>
        <w:rPr>
          <w:rFonts w:ascii="Times New Roman;serif" w:hAnsi="Times New Roman;serif"/>
          <w:b/>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EIGHTH AMENDED AND RESTATED BYLAWS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1 —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annual meeting of the stockholders for the election of directors to succeed those whose term expire and for the transaction of such other business as may properly come before the meeting shall be held at the place, if any, within or without the State of Delaware, on the date and at the time that the Board of Directors shall each year fix. Unless stated otherwise in the notice of the annual meeting of the stockholders of the Corporation, such annual meeting shall be at the principal office of the Corporation. The Board of Directors may postpone, reschedule or cancel any annual meeting of stockholders previously scheduled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    </w:t>
      </w:r>
      <w:r>
        <w:rPr>
          <w:rFonts w:ascii="Times New Roman;serif" w:hAnsi="Times New Roman;serif"/>
          <w:b w:val="false"/>
          <w:color w:val="000000"/>
          <w:sz w:val="24"/>
          <w:u w:val="single"/>
        </w:rPr>
        <w:t>Advance Notice of Nominations and Proposals of Business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Nominations of persons for election to the Board of Directors and proposals for other business to be transacted by the stockholders at an annual meeting of stockholders may be made (i) pursuant to the Corporation’s notice with respect to such meeting (or any supplement thereto), (ii) by or at the direction of the Board of Directors or any committee thereof or (iii) by any stockholder of record of the Corporation who (A) was a stockholder of record at the time of the giving of the notice contemplated in Section 1.2(b) through the date of such annual meeting, (B) is entitled to vote at such meeting, (C) has complied with the notice procedures and other applicable requirements set forth in these Amended and Restated Bylaws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and (D) to the extent that Rule 14a-19 under the Act (as defined below) applies, has complied with Rule 14a-19 under the Act. Subject to Section 1.2(e)(viii) and Section 1.12, the foregoing clause (iii) shall be the exclusive means for a stockholder to make nominations or propose other business (other than matters properly brought pursuant to applicable provisions of federal law, including the Securities Exchange Act of 1934 (as amended from time to time,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before an annual meeting of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For nominations or other business to be properly brought before an annual meeting by a stockholder pursuant to clause (iii) of Section 1.2(a), (i) the stockholder must have given timely notice thereof in proper written form to the Secretary of the Corporation with the information contemplated by Section 1.2, (ii) the business must be a proper matter for stockholder action under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xml:space="preserve">). To be timely, a stockholder’s notice must be delivered to the Secretary of the Corporation at the principal executive offices of the Corporation on a date (A) not later than the Close of Business on the 90th day, nor earlier than the Close of Business on the 120th day, prior to the anniversary date of the prior year’s annual meeting or (B) if there was no annual meeting in the prior year or if the date of the current year’s annual meeting is more than thirty (30) days earlier or more than sixty (60) days later than the anniversary date of the prior year’s annual meeting, not earlier than the Close of Business on the 120th day prior to the current year’s annual meeting nor later than the Close of Business on the later of (x) the 90th day prior to the date of the current year’s annual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meeting and (y) the 10th day after the day on which the date of the current year’s annual meeting is first disclosed in a public announcement. In no event shall any adjournment, recess, postponement, judicial stay or rescheduling of an annual meeting (or the public announcement thereof) commence a new time period (or extend any time period) for the delivery of such notice. For the avoidance of doubt, a stockholder shall not be entitled to make additional or substitute nominations following the expiration of the time periods set forth in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To be in proper written form, such notice from a stockholder of record giving notice under this Section 1.2 (a “</w:t>
      </w:r>
      <w:r>
        <w:rPr>
          <w:rFonts w:ascii="Times New Roman;serif" w:hAnsi="Times New Roman;serif"/>
          <w:b w:val="false"/>
          <w:color w:val="000000"/>
          <w:sz w:val="24"/>
          <w:u w:val="single"/>
        </w:rPr>
        <w:t>Noticing Party</w:t>
      </w:r>
      <w:r>
        <w:rPr>
          <w:color w:val="000000"/>
        </w:rPr>
        <w:t>”</w:t>
      </w:r>
      <w:r>
        <w:rPr>
          <w:rFonts w:ascii="Times New Roman;serif" w:hAnsi="Times New Roman;serif"/>
          <w:b w:val="false"/>
          <w:color w:val="000000"/>
          <w:sz w:val="24"/>
        </w:rPr>
        <w:t xml:space="preserve">) must state: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as to each person that the stockholder proposes to nominate for election or reelection as a director (each, a “</w:t>
      </w:r>
      <w:r>
        <w:rPr>
          <w:rFonts w:ascii="Times New Roman;serif" w:hAnsi="Times New Roman;serif"/>
          <w:b w:val="false"/>
          <w:color w:val="000000"/>
          <w:sz w:val="24"/>
          <w:u w:val="single"/>
        </w:rPr>
        <w:t>Proposed Nominee</w:t>
      </w:r>
      <w:r>
        <w:rPr>
          <w:color w:val="000000"/>
        </w:rPr>
        <w:t>”</w:t>
      </w:r>
      <w:r>
        <w:rPr>
          <w:rFonts w:ascii="Times New Roman;serif" w:hAnsi="Times New Roman;serif"/>
          <w:b w:val="false"/>
          <w:color w:val="000000"/>
          <w:sz w:val="24"/>
        </w:rPr>
        <w:t>), if 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name, age, business address and residential address of such Proposed Nominee;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principal occupation and employment of such Proposed Nominee;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a questionnaire with respect to the background and qualifications of such Proposed Nominee, in the form required by the Corporation (in the form to be provided by the Secretary within ten (10) days after receiving a written request therefor from any stockholder of record identified by name);</w:t>
      </w:r>
    </w:p>
    <w:p>
      <w:pPr>
        <w:pStyle w:val="TextBody"/>
        <w:bidi w:val="0"/>
        <w:spacing w:lineRule="auto" w:line="288" w:before="0" w:after="240"/>
        <w:ind w:left="0" w:right="0" w:firstLine="1440"/>
        <w:jc w:val="left"/>
        <w:rPr/>
      </w:pPr>
      <w:r>
        <w:rPr>
          <w:rFonts w:ascii="Times New Roman;serif" w:hAnsi="Times New Roman;serif"/>
          <w:b w:val="false"/>
          <w:color w:val="000000"/>
          <w:sz w:val="24"/>
        </w:rPr>
        <w:t>(D)    a written representation and agreement completed by such Proposed Nominee in the form required by the Corporation (in the form to be provided by the Secretary within ten (10) days after receiving a written request therefor from any stockholder of record identified by name) providing that such Proposed Nominee: (I) is not and will not become a party to any Voting Commitment (as defined below)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with respect to the Corporation that has not been disclosed to the Corporation; (III) will, if elected as a director of the Corporation, comply with all applicable rules of any securities exchanges upon which the Corporation’s securities are listed, the certificate of incorporation of the Corporation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xml:space="preserve">), these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(5) business days after the Secretary receives any written request therefor from such Proposed Nominee), and all applicable fiduciary duties under state law; (IV) consents to being named as a nominee in the Corporation’s proxy statement and form of proxy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meeting and consents to the public disclosure of information regarding or relating to such Proposed Nominee provided to the Corporation by such Proposed Nominee or otherwise pursuant to these Bylaws; (V) intends to serve a full term as a director of the Corporation, if elected; and (VI) will provide facts, statements and other information in all communications with the Corporation and its stockholders that are or will be true and correct in all material respects and that do not and will not omit to state any fact necessary in order to make the statements made, in light of the circumstances under which they are made, not misleading in any material respect;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date(s) of first contact between the Noticing Party or any Stockholder Associated Person, on the one hand, and the Proposed Nominee, on the other hand, with respect to any proposed nomination(s) of any person(s) (including the Proposed Nominee) for election as a director of the Corporation;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(F)    all information relating to such Proposed Nominee or such Proposed Nominee’s associates that would be required to be disclosed in a proxy statement in connection with the solicitation of proxies by such Noticing Party or any Stockholder Associated Person for the election of directors in a contested election pursuant to Section 14 of the Act and the rules promulgated thereunder (the “</w:t>
      </w:r>
      <w:r>
        <w:rPr>
          <w:rFonts w:ascii="Times New Roman;serif" w:hAnsi="Times New Roman;serif"/>
          <w:b w:val="false"/>
          <w:color w:val="000000"/>
          <w:sz w:val="24"/>
          <w:u w:val="single"/>
        </w:rPr>
        <w:t>Proxy Rules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a description of all direct and indirect compensation and other material monetary arrangements, agreements or understandings, written or oral, during the past three years, and any other material relationship, if any, between or concerning such Proposed Nominee, on the one hand, and the Noticing Party or any Stockholder Associated Person (other than such Proposed Nominee), on the other hand, or that such Proposed Nominee knows any of such Proposed Nominee’s associates has with the Noticing Party or any Stockholder Associated Person, including all information that would be required to be disclosed pursuant to Item 404 promulgated under Regulation S-K as if such Noticing Party and any Stockholder Associated Person (other than the Proposed Nominee) were the “registrant” for purposes of such rule and the Proposed Nominee were a director or executive officer of such registrant;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as to any other business that the Noticing Party seeks to bring before the meeting: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 description of such proposal, the reasons for making the proposal at the meeting;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text of the proposal or business (including the complete text of any resolutions proposed for consideration and in the event that such business includes a proposal to amend the Certificate of Incorporation or these Bylaws, the text of the proposed amendment);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(C)    all other information relating to such proposal that would be required to be disclosed in a proxy statement in connection with the solicitation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proxies by the Noticing Party or any Stockholder Associated Person in support of such proposal pursuant to the Proxy Rules;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as to the Noticing Party and each Stockholder Associated Person: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name and address of the Noticing Party and each Stockholder Associated Person (including, as applicable, as they appear on the Corporation’s books and records);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class (and, if applicable, series) and number of shares of stock of the Corporation that are, directly or indirectly, owned beneficially or of record (specifying the type of ownership) by the Noticing Party or any Stockholder Associated Person (including any right to acquire beneficial ownership at any time in the future, whether such right is exercisable immediately or only after the passage of time or the fulfillment of a condition) and the date or dates on which such shares were acquired);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name of each nominee holder for, and number of, any securities of the Corporation owned beneficially but not of record by such Noticing Party or any Stockholder Associated Person and any pledge by such Noticing Party or any Stockholder Associated Person with respect to any of such securities;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(D)    (I) a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Noticing Party or any Stockholder Associated Person, the effect or intent of which is to mitigate loss, manage risk or benefit from changes in the price of any securities of the Corporation, or maintain, increase or decrease the voting power of such Noticing Party or any Stockholder Associated Person with respect to securities of the Corporation, whether or not such instrument or right shall be subject to settlement in underlying shares of capital stock of the Corporation (any of the foregoing, a “</w:t>
      </w:r>
      <w:r>
        <w:rPr>
          <w:rFonts w:ascii="Times New Roman;serif" w:hAnsi="Times New Roman;serif"/>
          <w:b w:val="false"/>
          <w:color w:val="000000"/>
          <w:sz w:val="24"/>
          <w:u w:val="single"/>
        </w:rPr>
        <w:t>Derivative Instrument</w:t>
      </w:r>
      <w:r>
        <w:rPr>
          <w:color w:val="000000"/>
        </w:rPr>
        <w:t>”</w:t>
      </w:r>
      <w:r>
        <w:rPr>
          <w:rFonts w:ascii="Times New Roman;serif" w:hAnsi="Times New Roman;serif"/>
          <w:b w:val="false"/>
          <w:color w:val="000000"/>
          <w:sz w:val="24"/>
        </w:rPr>
        <w:t>) and (II) all other information relating to Derivative Instruments that would be required to be disclosed in a proxy statement in connection with the solicitation of proxies by such Noticing Party or any Stockholder Associated Person in support of the business proposed by such Noticing Party, if any, or for the election of any nominee in a contested election pursuant to the Proxy Rules if the creation, termination or modification of Derivative Instruments were treated the same as trading in the securities of the Corporation under the Proxy Rules);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    a description of all agreements, arrangements or understandings, written or oral, (I) between or among such Noticing Party and any Stockholder Associated Person or (II) between or among such Noticing Party or, to the knowledge of such Noticing Party (or the beneficial owner(s) on whose behalf such Noticing Party is submitting a notice to the Corporation), any Stockholder Associated Person and any other person or entity (naming each such person or entity), in each case, relating to acquiring,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holding, voting or disposing of any securities of the Corporation, including any proxy (other than any revocable proxy given in response to a solicitation made pursuant to, and in accordance with, the Proxy Rules by way of a solicitation statement filed on Schedule 14A);</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any rights to dividends on the shares of the Corporation owned beneficially by such Noticing Party or any Stockholder Associated Person that are separated or separable from the underlying shares of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any proportionate interest in shares of the Corporation or Derivative Instruments held, directly or indirectly, by a general or limited partnership, limited liability company or similar entity in which such Noticing Party or any Stockholder Associated Person (I) is a general partner or beneficially owns, directly or indirectly, an interest in a general partner of such general or limited partnership or (II) is the manager, managing member or beneficially owns, directly or indirectly, an interest in the manager or managing member of such limited liability company or similar entity;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(H)    any direct or indirect material legal, economic or financial interest (including any existing or prospective commercial, business or contractual relationship with the Corporation) of the Noticing Party or, to the knowledge of such Noticing Party (or the beneficial owner(s) on whose behalf such Noticing Party is submitting a notice to the Corporation), any Stockholder Associated Person in the Corporation or any affiliate thereof or in the outcome of any vote to be taken at any annual or special meeting of stockholders of the Corporation, other than an interest arising from the ownership of Corporation securities where such Noticing Party or such Stockholder Associated Person receives no extra or special benefit not shared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basis by all other holders of the same class or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any direct or indirect interest (other than solely as a result of security ownership) of such Noticing Party or, to the knowledge of such Noticing Party (or the beneficial owner(s) on whose behalf such Noticing Party is submitting a notice to the Corporation) any Stockholder Associated Person in any agreement with the Corporation or any affiliate of the Corporation (including any employment agreement, collective bargaining agreement or consulting agreement);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    a representation that (I) neither such Noticing Party nor any Stockholder Associated Person has breached any agreement, arrangement or understanding with the Corporation except as disclosed to the Corporation pursuant hereto and (II) such Noticing Party and each Stockholder Associated Person has complied, and will comply, with all applicable requirements of state law and the Act with respect to the matters set forth in this Section 1.2;</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(K)    all information that would be required to be set forth in a Schedule 13D filed pursuant to Rule 13d-1(a) under the Act or an amendment pursuant to Rule 13d-2(a) under the Act if such a statement were required to be filed under the Act by such Noticing Party or any Stockholder Associated Person with respect to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(regardless of whether such person or entity is actually required to file a Schedule 13D), including a description of any agreement, arrangement or understanding that would be required to be disclosed by such Noticing Party or any Stockholder Associated Person pursuant to Item 5 or Item 6 of Schedule 13D;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(L)    any other information relating to such Noticing Party and Stockholder Associated Person, if any, required to be disclosed in a proxy statement in connection with the solicitation of proxies by such Noticing Party or any Stockholder Associated Person for, as applicable, the proposal and/or for the election of directors in an election contest pursuant to the Proxy Rules;</w:t>
      </w:r>
    </w:p>
    <w:p>
      <w:pPr>
        <w:pStyle w:val="TextBody"/>
        <w:bidi w:val="0"/>
        <w:spacing w:lineRule="auto" w:line="288" w:before="0" w:after="240"/>
        <w:jc w:val="both"/>
        <w:rPr/>
      </w:pPr>
      <w:r>
        <w:rPr>
          <w:rFonts w:ascii="Times New Roman;serif" w:hAnsi="Times New Roman;serif"/>
          <w:b w:val="false"/>
          <w:color w:val="000000"/>
          <w:sz w:val="24"/>
        </w:rPr>
        <w:t>provided, however, the information required pursuant to the foregoing clauses (A) through (L) shall not include any ordinary course business activities of any broker, dealer, commercial bank, trust company or other nominee who is directed to prepare and submit the notice required by this Section 1.2(c) on behalf of a beneficial owner of the shares held of record by such broker, dealer, commercial bank, trust company or other nominee and who is not otherwise affiliated or associated with such beneficial owner (any such entity, an “</w:t>
      </w:r>
      <w:r>
        <w:rPr>
          <w:rFonts w:ascii="Times New Roman;serif" w:hAnsi="Times New Roman;serif"/>
          <w:b w:val="false"/>
          <w:color w:val="000000"/>
          <w:sz w:val="24"/>
          <w:u w:val="single"/>
        </w:rPr>
        <w:t>Exempt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 representation that the Noticing Party is a holder of record of the Corporation entitled to vote at such meeting and intends to appear or cause a qualified representative of such Noticing Party to appear at the meeting to bring such business before the meeting or nominate any nominees, as applicable, and an acknowledgment that, if such Noticing Party (or a qualified representative of such Noticing Party) does not appear to present such business or nominees, as applicable, at such meeting, the Corporation need not present such business or nominees for a vote at such meeting, notwithstanding that proxies in respect of such vote may have been received by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a description of any pending or, to the knowledge of such Noticing Party (or the beneficial owner(s) on whose behalf such Noticing Party is submitting a notice to the Corporation), threatened legal proceeding or investigation in which such Noticing Party or any Stockholder Associated Person is a party or participant directly involving or directly relating to the Corporation or, to the knowledge of such Noticing Party (or the beneficial owner(s) on whose behalf such Noticing Party is submitting a notice to the Corporation), any current or former officer, director or affiliate of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a certification as to whether or not the Noticing Party and all Stockholder Associated Persons have complied with all applicable federal, state and other legal requirements in connection with the Noticing Party’s and each Stockholder Associated Person’s acquisition of shares of capital stock or other securities of the Corporation and the Noticing Party’s and each Stockholder Associated Person’s acts or omissions as a stockholder (or beneficial owner of securities) of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    identification of the names and addresses of other stockholders (including beneficial owners) known by such Noticing Party (or the beneficial owner(s) on whose behalf such Noticing Party is submitting a notice to the Corporation) to provide financial support of the nomination(s) or other business proposal(s) submitted by such Noticing Party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known, the class and number of shares of the Corporation’s capital stock owned beneficially or of record by such other stockholder(s) or other beneficial owner(s);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a representation from such Noticing Party as to whether such Noticing Party or any Stockholder Associated Party intends to or is part of a group (as such term is used in Rule 13d-5 under the Act) that intends to (A)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reasonably believed by such Noticing Party to be sufficient to elect such nominee or nominees, (B) solicit proxies in support of director nominees other than persons nominated by or at the direction of the Board of Directors or any committee thereof, in accordance with Rule 14a-19 under the Act or (C) otherwise to solicit proxies or votes from stockholders in support of such proposal or nomination, and if so, the name of each participant (as defined in Instruction 3 to Item 4 of Schedule 14A under the Act) in such solicitation (within the meaning of Exchange Act Rule 14a-1(l)).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Only such business shall be conducted at a special meeting of stockholders as shall have been brought before the meeting pursuant to the Corporation’s notice of meeting (or any supplement thereto). Nominations of persons for election to the Board of Directors may be made at a special meeting of stockholders at which directors are to be elected pursuant to the Corporation’s notice of meeting (i) by or at the direction of the Board of Directors or any committee thereof or (ii) provided that the Board of Directors has determined that directors shall be elected at such meeting, by any stockholder of the Corporation who is a stockholder of record at the time the notice provided for in this Section 1.2 is delivered to the Secretary of the Corporation through the date of such special meeting, who is entitled to vote at the meeting upon such election and who complies with the notice procedures and other requirements set forth in these Bylaws as if such notice were being submitted in connection with an annual meeting of stockholders.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Section 1.2 shall be delivered to the Secretary at the principal executive offices of the Corporation not earlier than the Close of Business on the 120th day prior to such special meeting and not later than the Close of Business on the later of the 90th day prior to such special meeting and the 10th day following the day on which public announcement is first made of the date of the special meeting and of the nominees proposed by the Board of Directors to be elected at such meeting. In no event shall the adjournment, recess, postponement, judicial stay or rescheduling of a special meeting (or the public announcement thereof) commence a new time period (or extend any time period) for the giving of a notice as described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General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For purposes of these Bylaws: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“affiliate” and “associate” each shall have the respective meanings set forth in Rule 12b-2 under the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“beneficial ownership” shall be determined in accordance with Rule 13d-3 promulgated under the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“Close of Business” shall mean 5:00 p.m. Eastern Time on any calendar day, whether or not the day is a business day;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“public announcement” means disclosure in a press release reported by the Dow Jones News Service, Associated Press or a comparable news service or in a document publicly filed or furnished by the Corporation with the Securities and Exchange Commission pursuant to Section 13, 14 or 15(d) of the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 “qualified representative” of a Noticing Party, means a duly authorized officer, manager or partner of such Noticing Party or a person authorized by a writing executed by such Noticing Party or an electronic transmission delivered by such Noticing Party to act for such Noticing Party as proxy at the meeting of stockholders and such person must produce such writing or electronic transmission, or a reliable reproduction of the writing or electronic transmission, at the meeting of stockholders;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a “Stockholder Associated Person” shall mean, with respect to a Noticing Party and if different from such Noticing Party, any beneficial owner of shares of stock of the Corporation on whose behalf such Noticing Party is providing notice of any nomination or other business proposed (I) any person or entity who is a member of a group (as such term is used in Rule 13d-5 under the Act) with such Noticing Party or such beneficial owner(s) with respect to acquiring, holding, voting or disposing of any securities of the Corporation, (II) any affiliate or associate of such Noticing Party (other than an Exempt Party) or such beneficial owner(s), (III) any participant (as defined in Instruction 3 to Item 4 of Schedule 14A) with such Noticing Party or such beneficial owner(s) with respect to any proposed business or nomination, as applicable, under these Bylaws, (IV) any beneficial owner of shares of stock of the Corporation owned of record by such Noticing Party (other than an Exempt Party) and (V) any Proposed Nominee.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The Corporation may require any Noticing Party to furnish such other information as would reasonably be expected to be material to a reasonable stockholder’s understanding of (A) any item of business proposed by such Noticing Party under this Section 1.2, (B) the solicitation of proxies from the Corporation’s stockholders by the stockholder giving notice to the Corporation (or any Stockholder Associated Person) or (C) the eligibility, suitability or qualifications of the Proposed Nominee to serve as a director of the Corporation or that could be material to a reasonable stockholder’s understanding of the independence, or lack thereof, of the Propose Nominee, under the listing standards of each securities exchange upon which the Corporation’s securities are listed, any applicable rules of the Securities and Exchange Commission, any publicly disclosed standards used by the Board of Directors in selecting nominees for election as a director and for determining and disclosing the independence of the Corporation’s directors, including those applicable to a director’s service on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committees of the Board of Directors, or the requirements of any other laws or regulations applicable to the Corporation. If requested by the Corporation, any supplemental information required under this paragraph shall be provided by such Noticing Party within ten (10) days after it has been requested by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A Noticing Party shall further update its notice of any nomination to be brought before a meeting, if necessary, so that the information provided or required to be provided in such notice pursuant to this Section 1.2 shall be true and correct in all material respects (A) as of the record date for the meeting and (B) as of the date that is ten (10) business days prior to the meeting or any adjournment, recess, rescheduling or postponement thereof. Such update shall be delivered to the Secretary of the Corporation (I) not later than three (3) business days after the later of (x) the record date and (y) the date notice of the record date is first publicly announced (in the case of the update required to be made as of the record date for the meeting) and (II) not later than seven (7) business days prior to (x) the date for the meeting, if practicable (or, if not practicable, on the first practicable date prior to the meeting), or (y) any adjournment, recess, rescheduling or postponement thereof (in the case of the update required to be made as of ten (10) business days prior to the meeting or any adjournment, recess, rescheduling or postponement thereof). Such update shall be made only to the extent that information has changed since such Noticing Party’s prior submission and shall clearly identify the information that has changed in any material respect since such Noticing Party’s prior submission. For the avoidance of doubt, any information provided in such update shall not be deemed to cure any deficiencies in a notice previously delivered pursuant to this Section 1.2 and shall not extend the time period for the delivery of notice pursuant to this Section 1.2. If a stockholder giving notice fails to provide such update within the required period, the information as to which such update relates may be deemed not to have been provided in accordance with this Section 1.2.</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If any information submitted pursuant to this Section 1.2 by any stockholder nominating individuals for election or reelection as a director or proposing business for consideration at a stockholder meeting shall be inaccurate in any material respect (as determined by the Board of Directors or a committee thereof), such information may be deemed not to have been provided in accordance with this Section 1.2. Any such Noticing Party shall notify the Secretary in writing at the principal executive offices of the Corporation of any material inaccuracy or change in any information submitted pursuant to this Section 1.2 (including if any such Noticing Party or any Stockholder Associated Person no longer intends to solicit proxies in accordance with the representation made pursuant to Section 1.2(c)(viii)(B))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Noticing Party. Upon written request of the Secretary on behalf of the Board of Directors (or a duly authorized committee thereof), any such Noticing Party shall provide, within seven (7) business days after delivery of such request (or such other period as may reasonably be specified in such request), (A) written verification, reasonably satisfactory to the Board of Directors, any committee thereof or any authorized officer of the Corporation, to demonstrate the accuracy of any information submitted by such Noticing Party pursuant to this Section 1.2 and (B) a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affirmation of any information submitted by such Noticing Party pursuant to this Section 1.2 as of an earlier date. If a stockholder giving notice fails to provide such written verification or affirmation within such period, the information as to which written verification or affirmation was requested may be deemed not to have been provided in accordance with this Section 1.2.</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Subject to the Certificate of Incorporation, Section 1.2(e)(viii), Section 1.12 and applicable law, only persons nominated in accordance with procedures stated in this Section 1.2 and who otherwise comply with the director eligibility requirements set forth in these Bylaws shall be eligible for election as and to serve as a member of the Board of Directors and the only business that shall be conducted at an annual meeting of stockholders is the business that has been brought before the meeting in accordance with the procedures set forth in this Section 1.2. The number of Proposed Nominees a stockholder may include in a notice under this Section 1.2 may not exceed the number of directors to be elected at such meeting (based on a public announcement by the Corporation prior to the date of such notice), and for the avoidance of doubt, no stockholder shall be entitled to identify any additional or substitute persons as Proposed Nominees following the expiration of the time periods set forth in Section 1.2(b) or Section 1.2(d), as applicable. The chair of the meeting shall have the power and the duty to determine whether a nomination or any proposal has been made according to the procedures stated in this Section 1.2 and, if any nomination or proposal does not comply with this Section 1.2, unless otherwise required by law, the nomination or proposal shall be disregarded, and no vote shall be taken with respect to such nomination or proposal, in each case, notwithstanding that proxies with respect to such vote may have been received by the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Notwithstanding the foregoing provisions of this Section 1.2, a stockholder shall also comply with all applicable requirements of the Act and the rules and regulations thereunder with respect to matters set forth in this Section 1.2. Nothing in this Section 1.2 shall affect any rights, if any, of stockholders to request inclusion of nominations or proposals in the Corporation’s proxy statement pursuant to applicable provisions of federal law, including the Act.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    Notwithstanding the foregoing provisions of this Section 1.2, unless otherwise required by law, if the stockholder (or a qualified representative of the stockholder) does not appear at the annual or special meeting of stockholders of the Corporation to present a nomination or proposed business or does not provide the information required by Section 1.2, including any required supplement thereto, such nomination shall be disregarded and such proposed business shall not be transacted, and no vote shall be taken with respect to such nomination or proposed business, notwithstanding that proxies in respect of such vote may have been received by the Corporation.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All provisions of this Section 1.2 are subject to, and nothing in this Section 1.2 shall in any way limit the exercise, or the method or timing of the exercise of, the rights of any person granted by the Corporation to nominate directors.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(ix)    Without limiting any other provisions and requirements of this Section 1.2, unless otherwise required by law, if (A) any Noticing Party or any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Associated Person provides notice pursuant to Rule 14a-19(b) under the Act (for the avoidance of doubt, such notice must be delivered within the time period provided for in Section 1.2 to be considered timely) and (B) (I) such Noticing Party or Stockholder Associated Person subsequently either (x) notifies the Corporation that such Noticing Party or Stockholder Associated Person no longer intends to solicit proxies in support of director nominees other than the Corporation’s nominees in accordance with Rule 14a-19(b) under the Act or (y) fails to comply with the requirements of Rule 14a-19(a)(2) or Rule 14a-19(a)(3) under the Act (or fails to timely provide reasonable evidence sufficient to satisfy the Corporation that such Noticing Party or Stockholder Associated Person has met the requirements of Rule 14a-19(a)(3) under the Act in accordance with the following sentence) and (II) no other Noticing Party giving notice or Stockholder Associated Person that has provided notice pursuant to Rule 14a-19(b) under the Act with respect to such Proposed Nominee(s) (x) to the Corporation’s knowledge based on information provided pursuant to Rule 14a-19 under the Act or these Bylaws, still intends to solicit proxies in support of the election or reelection of such Proposed Nominee(s) in accordance with Rule 14a-19(b) under the and (y) has complied with the requirements of Rule 14a-19(a)(2) and Rule 14a-19(a)(3) under the Act and the requirements set forth in the following sentence, then such Noticing Party’s nominations shall be deemed null and void and the Corporation shall disregard any proxies or votes solicited for such Noticing Party’s nominees (notwithstanding that proxies may have been received by the Corporation). Upon request by the Corporation, if any Noticing Party provides notice pursuant to Rule 14a-19(b) under the Act, such Noticing Party shall deliver to the Corporation, no later than five (5) business days prior to the applicable meeting, reasonable evidence that it has met the requirements of Rule 14a-19(a)(3) under the Act.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Any written notice, update or other information required to be delivered by a stockholder to the Corporation pursuant to this Section 1.2 must be given by personal delivery, by overnight courier or by registered or certified mail, postage prepaid, to the Secretary at the Corporation’s principal executive offices and shall be deemed not to have been delivered unless so given.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    </w:t>
      </w:r>
      <w:r>
        <w:rPr>
          <w:rFonts w:ascii="Times New Roman;serif" w:hAnsi="Times New Roman;serif"/>
          <w:b w:val="false"/>
          <w:color w:val="000000"/>
          <w:sz w:val="24"/>
          <w:u w:val="single"/>
        </w:rPr>
        <w:t>Special Meetings; Notice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Special meetings of the stockholders of the Corporation may be called only in the manner set forth in the Certificate of Incorporation. Notice of every special meeting of the stockholders of the Corporation shall state the purpose or purposes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 The Board of Directors may postpone, reschedule or cancel any special meeting of stockholders previously scheduled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Notice of Meetings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the place, if any, date and time of all meetings of stockholders of the Corporation, the record date for determining the stockholders entitled to vote at the meeting (if such date is different from the record date for stockholders entitled to notice of the meeting) and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means of remote communications, if any, by which stockholders and proxy holders may be deemed present and vote at such meeting, and, in the case of all special meetings of stockholders, the purpose or purposes of the meeting, shall be given not less than ten (10) nor more than sixty (60) days before the date on which such meeting is to be held, to each stockholder entitled to notice of the meeting.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may postpone or cancel any previously called annual or special meeting of stockholders of the Corporation by making a public announcement of such postponement or cancellation prior to the meeting. When a previously called annual or special meeting is postponed to another time, date or place, if any, notice of the place (if any), date and time of the postponed meeting, the record date for determining the stockholders entitled to vote at the meeting (if such date is different from the record date for stockholders entitled to notice of the meeting) and the means of remote communications, if any, by which stockholders and proxy holders may be deemed present and vote at such postponed meeting, shall be given in conformity with this Section 1.4.</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When a meeting is adjourned to another time or place, notice need not be given of the adjourned meeting if the time and place, if any, thereof and the means of remote communication, if any, by which stockholders and proxy holders may be deemed to be present and vote at such adjourned meeting are provided in accordance with the DGCL; </w:t>
      </w:r>
      <w:r>
        <w:rPr>
          <w:rFonts w:ascii="Times New Roman;serif" w:hAnsi="Times New Roman;serif"/>
          <w:b w:val="false"/>
          <w:color w:val="000000"/>
          <w:sz w:val="24"/>
          <w:u w:val="single"/>
        </w:rPr>
        <w:t>however</w:t>
      </w:r>
      <w:r>
        <w:rPr>
          <w:rFonts w:ascii="Times New Roman;serif" w:hAnsi="Times New Roman;serif"/>
          <w:b w:val="false"/>
          <w:color w:val="000000"/>
          <w:sz w:val="24"/>
        </w:rPr>
        <w:t>, if the date of any adjourned meeting is more than thirty (30) days, a notice of the adjourned meeting shall be given to each stockholder of record entitled to vote at the meeting, or if after the adjournment a new record date for stockholders entitled to vote is fixed for the adjourned meeting the Board of Directors shall fix a new record date for notice of such adjourned meeting in conformity herewith to each stockholder of record entitled to vote at such adjourned meeting as of the record date for notice of such adjourned meeting. At any adjourned meeting, any business may be transacted that may have been transacted at the original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1.5.    </w:t>
      </w:r>
      <w:r>
        <w:rPr>
          <w:rFonts w:ascii="Times New Roman;serif" w:hAnsi="Times New Roman;serif"/>
          <w:b w:val="false"/>
          <w:color w:val="000000"/>
          <w:sz w:val="24"/>
          <w:u w:val="single"/>
        </w:rPr>
        <w:t>Quorum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At any meeting of the stockholders, the holders of shares of stock of the Corporation entitled to cast a majority of the total votes entitled to be cast by the holders of all outstanding shares of capital stock of the Corporation entitled to vote generally in the election of directors (“</w:t>
      </w:r>
      <w:r>
        <w:rPr>
          <w:rFonts w:ascii="Times New Roman;serif" w:hAnsi="Times New Roman;serif"/>
          <w:b w:val="false"/>
          <w:color w:val="000000"/>
          <w:sz w:val="24"/>
          <w:u w:val="single"/>
        </w:rPr>
        <w:t>Voting Stock</w:t>
      </w:r>
      <w:r>
        <w:rPr>
          <w:color w:val="000000"/>
        </w:rPr>
        <w:t>”</w:t>
      </w:r>
      <w:r>
        <w:rPr>
          <w:rFonts w:ascii="Times New Roman;serif" w:hAnsi="Times New Roman;serif"/>
          <w:b w:val="false"/>
          <w:color w:val="000000"/>
          <w:sz w:val="24"/>
        </w:rPr>
        <w:t>), present in person or by proxy, shall constitute a quorum for all purposes, unless or except to the extent that the presence of a larger number is required by applicable law or the Certificate of Incorporation. If a separate vote by one or more classes or series is required, the holders of shares entitled to cast a majority of the total votes entitled to be cast by the holders of the shares of the class or classes or series, present in person or represented by proxy, shall constitute a quorum entitled to take action with respect to that vote on that matter.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quorum shall fail to attend any meeting, the chair of the meeting may adjourn the meeting to another place, if any, date and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1.6.    </w:t>
      </w:r>
      <w:r>
        <w:rPr>
          <w:rFonts w:ascii="Times New Roman;serif" w:hAnsi="Times New Roman;serif"/>
          <w:b w:val="false"/>
          <w:color w:val="000000"/>
          <w:sz w:val="24"/>
          <w:u w:val="single"/>
        </w:rPr>
        <w:t>Organization</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chair of the Board of Directors or, in the chair’s absence, the person whom the Board of Directors designates, shall call to order any meeting of the stockholders of the Corporation and act as chair of the meeting, and only the Board of Directors may further provide for determining who shall act as chair of any meeting of stockholders in the absence of the chair and such designee. In the absence of the Secretary of the Corporation, the secretary of the meeting shall be the person the chair appoints.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1.7.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chair of any meeting of stockholders of the Corporation shall determine the order of business and the rules of procedure for the conduct of such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 The Board of Directors may adopt by resolution such rules, regulations and procedures for the conduct of any meeting of stockholders as it shall deem appropriate. Except to the extent inconsistent with such rules, regulations and procedures as adopted by the Board of Directors, the chair of the meeting shall have the right and authority to convene and (for any or no reason) to adjourn the meeting, to prescribe such rules, regulations and procedures and to do all such acts as, in the judgment of such chair, are necessary, appropriate or convenient for the proper conduct of the meeting. Such rules, regulations or procedures, whether adopted by the Board of Directors or prescribed by the chair of the meeting, may include, without limitation, the following: (a) the establishment of an agenda or order of business for the meeting; (b) the determination of when the polls shall open and close for any given matter to be voted on at the meeting; (c) rules, regulations and procedures for maintaining order at the meeting and the safety of those present; (d) limitations on attendance at or participation in the meeting to stockholders entitled to vote at the meeting, their duly authorized and constituted proxies or such other persons as the chair of the meeting shall determine; (e) restrictions on entry to the meeting after the time fixed for the commencement thereof; (f) limitations on the time allotted to questions or comments by participants; (g) removal of any stockholder or any other individual who refuses to comply with meeting rules, regulations or procedures; (h) the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or local laws or regulations including those concerning safety, health and security; (k) procedures (if any) requiring attendees to provide the Corporation advance notice of their intent to attend the meeting and (l) any rules, regulations or procedures as the chair of the meeting may deem appropriate regarding the participation by means of remote communication of stockholders and proxyholders not physically present at a meeting, whether such meeting is to be held at a designated place or solely by means of remote communication. The Board of Directors or the chair of the meeting of stockholders, in addition to making any other determinations that may be appropriate to the conduct of the meeting, shall, if the facts warrant, determine and declare to the meeting that a nomination or matter of business was not properly brought before the meeting and if such chair (or the Board of Directors) should so determine, such chair shall so declare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meeting and any such matter or business not properly brought before the meeting shall not be transacted or considered. Unless and to the extent determined by the Board of Directors or the chair of the meeting, meetings of stockholders shall not be required to be held in accordance with the rules of parliamentary procedure.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1.8.    </w:t>
      </w:r>
      <w:r>
        <w:rPr>
          <w:rFonts w:ascii="Times New Roman;serif" w:hAnsi="Times New Roman;serif"/>
          <w:b w:val="false"/>
          <w:color w:val="000000"/>
          <w:sz w:val="24"/>
          <w:u w:val="single"/>
        </w:rPr>
        <w:t>Proxies; Inspectors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At any meeting of the stockholders, every stockholder entitled to vote may vote in person or by proxy authorized by an instrument in writing or by a transmission permitted by applicable law. Any stockholder directly or indirectly soliciting proxies from other stockholders must use a proxy card color other than white, which shall be reserved for exclusive use by the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Prior to a meeting of the stockholders of the Corporation, the Corporation shall appoint one or more inspectors to act at a meeting of stockholders of the Corporation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applicable law, shall, appoint one or more inspectors to act at the meeting. Each inspector, before beginning the discharge of such inspector’s duties, shall take and sign an oath faithfully to execute the duties of inspector with strict impartiality and according to the best of such inspector’s ability. The inspectors may appoint or retain other persons or entities to assist the inspectors in the performance of the duties of inspectors. The inspectors shall have the duties prescribed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1.9.    </w:t>
      </w:r>
      <w:r>
        <w:rPr>
          <w:rFonts w:ascii="Times New Roman;serif" w:hAnsi="Times New Roman;serif"/>
          <w:b w:val="false"/>
          <w:color w:val="000000"/>
          <w:sz w:val="24"/>
          <w:u w:val="single"/>
        </w:rPr>
        <w:t>Voting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otherwise required by the rules or regulations of any stock exchange applicable to the Corporation or pursuant to any law or regulation applicable to the Corporation or its securities or by the Certificate of Incorporation or these Bylaws, all matters other than the election of directors shall be determined by a majority of the votes cast on the matter affirmatively or negatively. A nominee for director shall be elected if the number of votes properly cast “for” such nominee’s election exceeds the number of votes properly cast “against” such nominee’s election;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number of persons properly nominated for election to the Board of Directors exceeds the number of directors to be elected, the directors shall be elected by the plurality of the votes properly cast.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    </w:t>
      </w:r>
      <w:r>
        <w:rPr>
          <w:rFonts w:ascii="Times New Roman;serif" w:hAnsi="Times New Roman;serif"/>
          <w:b w:val="false"/>
          <w:color w:val="000000"/>
          <w:sz w:val="24"/>
          <w:u w:val="single"/>
        </w:rPr>
        <w:t>Action by Written Consent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the Certificate of Incorporation, any action required or permitted to be taken by the stockholders of the Corporation may be effected by a consent in writing by such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1.11.    </w:t>
      </w:r>
      <w:r>
        <w:rPr>
          <w:rFonts w:ascii="Times New Roman;serif" w:hAnsi="Times New Roman;serif"/>
          <w:b w:val="false"/>
          <w:color w:val="000000"/>
          <w:sz w:val="24"/>
          <w:u w:val="single"/>
        </w:rPr>
        <w:t>Stock List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complete list of stockholders of the Corporation entitled to vote at any meeting of stockholders of the Corporation, arranged in alphabetical order for each class of stock and showing the address of each such stockholder and the number of shares registered in the name of such stockholder, shall be open to the examination of any such stockholder, for any purpose germane to a meeting of the stockholders of the Corporation, for a period of at least ten (10) days before the meeting (a) on a reasonably accessible electronic network, provided that the information required to gain access to such list is provided with the notice of the meeting or (b) during ordinary business hours at the principal place of business of the Corporation;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if the record date for determining the stockholders entitled to vote is less than ten (10) days before the meeting date, the list shall reflect the stockholders entitled to vote as of the 10th day before such meeting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by law, the stock ledger shall be the sole evidence of the identity of the stockholders entitled to vote at a meeting and the number of shares held by each stockholder.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1.12.    </w:t>
      </w:r>
      <w:r>
        <w:rPr>
          <w:rFonts w:ascii="Times New Roman;serif" w:hAnsi="Times New Roman;serif"/>
          <w:b w:val="false"/>
          <w:color w:val="000000"/>
          <w:sz w:val="24"/>
          <w:u w:val="single"/>
        </w:rPr>
        <w:t>Proxy Access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Whenever the Board of Directors solicits proxies with respect to the election of directors at an annual meeting of stockholders, subject to the provisions of this Section 1.12, the Corporation shall include in its proxy statement (including the proxy card) for such annual meeting, in addition to any persons nominated for election by the Board of Directors, including through a committee thereof, the name, together with the Required Information (defined below), of any person nominated for election (a “</w:t>
      </w:r>
      <w:r>
        <w:rPr>
          <w:rFonts w:ascii="Times New Roman;serif" w:hAnsi="Times New Roman;serif"/>
          <w:b w:val="false"/>
          <w:color w:val="000000"/>
          <w:sz w:val="24"/>
          <w:u w:val="single"/>
        </w:rPr>
        <w:t>Stockholder Nominee</w:t>
      </w:r>
      <w:r>
        <w:rPr>
          <w:color w:val="000000"/>
        </w:rPr>
        <w:t>”</w:t>
      </w:r>
      <w:r>
        <w:rPr>
          <w:rFonts w:ascii="Times New Roman;serif" w:hAnsi="Times New Roman;serif"/>
          <w:b w:val="false"/>
          <w:color w:val="000000"/>
          <w:sz w:val="24"/>
        </w:rPr>
        <w:t>) to the Board of Directors by any stockholder or group of no more than twenty (20) stockholders (provided that a group of funds that are (i) under common management and investment control, (ii) under common management and funded primarily by the same employer or (iii) a “group of investment companies,” as such term is defined in Section 12(d)(1)(G)(ii) of the Investment Company Act of 1940, as amended, shall be treated as one stockholder) that satisfies the requirements of this Section 1.12 (the “</w:t>
      </w:r>
      <w:r>
        <w:rPr>
          <w:rFonts w:ascii="Times New Roman;serif" w:hAnsi="Times New Roman;serif"/>
          <w:b w:val="false"/>
          <w:color w:val="000000"/>
          <w:sz w:val="24"/>
          <w:u w:val="single"/>
        </w:rPr>
        <w:t>Eligible Stockholder</w:t>
      </w:r>
      <w:r>
        <w:rPr>
          <w:color w:val="000000"/>
        </w:rPr>
        <w:t>”</w:t>
      </w:r>
      <w:r>
        <w:rPr>
          <w:rFonts w:ascii="Times New Roman;serif" w:hAnsi="Times New Roman;serif"/>
          <w:b w:val="false"/>
          <w:color w:val="000000"/>
          <w:sz w:val="24"/>
        </w:rPr>
        <w:t>), and who expressly elects at the time of providing a notice that names the Stockholder Nominee and otherwise satisfies the requirements of this Section 1.12 (the “</w:t>
      </w:r>
      <w:r>
        <w:rPr>
          <w:rFonts w:ascii="Times New Roman;serif" w:hAnsi="Times New Roman;serif"/>
          <w:b w:val="false"/>
          <w:color w:val="000000"/>
          <w:sz w:val="24"/>
          <w:u w:val="single"/>
        </w:rPr>
        <w:t>Notice of Proxy Access Nomination</w:t>
      </w:r>
      <w:r>
        <w:rPr>
          <w:color w:val="000000"/>
        </w:rPr>
        <w:t>”</w:t>
      </w:r>
      <w:r>
        <w:rPr>
          <w:rFonts w:ascii="Times New Roman;serif" w:hAnsi="Times New Roman;serif"/>
          <w:b w:val="false"/>
          <w:color w:val="000000"/>
          <w:sz w:val="24"/>
        </w:rPr>
        <w:t>) to have the Stockholder Nominee included in the Corporation’s proxy materials (including the proxy card) pursuant to this Section 1.12. For purposes of this Section 1.12, the “Required Information” that the Corporation will include in its proxy statement is the information provided to the Secretary of the Corporation concerning the Stockholder Nominee and the Eligible Stockholder that is required to be disclosed in the Corporation’s proxy statement by the Act, and, if the Eligible Stockholder so elects, a written statement, not to exceed 500 words, for each of its Stockholder Nominee(s) (the “</w:t>
      </w:r>
      <w:r>
        <w:rPr>
          <w:rFonts w:ascii="Times New Roman;serif" w:hAnsi="Times New Roman;serif"/>
          <w:b w:val="false"/>
          <w:color w:val="000000"/>
          <w:sz w:val="24"/>
          <w:u w:val="single"/>
        </w:rPr>
        <w:t>Statement</w:t>
      </w:r>
      <w:r>
        <w:rPr>
          <w:color w:val="000000"/>
        </w:rPr>
        <w:t>”</w:t>
      </w:r>
      <w:r>
        <w:rPr>
          <w:rFonts w:ascii="Times New Roman;serif" w:hAnsi="Times New Roman;serif"/>
          <w:b w:val="false"/>
          <w:color w:val="000000"/>
          <w:sz w:val="24"/>
        </w:rPr>
        <w:t xml:space="preserve">). Only one Statement may be submitted by an Eligible Stockholder (including any group of stockholders together constituting an Eligible Stockholder) in support of its Stockholder Nominee(s). Notwithstanding anything to the contrary contained in this Section 1.12, the Corporation may (A) omit from its proxy materials any information or Statement (or portion thereof) that it, in good faith, believes would violate any applicable law, regulation or listing standard, and (B) solicit against any Stockholder Nominee or include in the Corporation’s proxy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statement its own statement or other information relating to any Eligible Stockholder or Stockholder Nominee.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nominate a Stockholder Nominee, the Eligible Stockholder must timely submit the Notice of Proxy Access Nomination to the Secretary of the Corporation at the principal executive offices of the Corporation. To be timely, the Notice of Proxy Access Nomination must be delivered to the Secretary of the Corporation no earlier than one hundred twenty (120) days and no later than ninety (90) days before the anniversary of the date that the Corporation issued its proxy statement for the previous year’s annual meeting of stockholders, or, if the date of the annual meeting of stockholders is more than thirty (30) days earlier or more than sixty (60) days later than the anniversary date of the most recent annual meeting of stockholders, then not later than the Close of Business on the 10th day after public announcement of the meeting date. In no event shall the public announcement of an adjournment or postponement of an annual meeting of stockholders commence a new time period (or extend any time period) for the giving of a Notice of Proxy Access Nomination.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maximum number of Stockholder Nominees nominated by all Eligible Stockholders that will be included in the Corporation’s proxy materials with respect to an annual meeting of stockholders shall not exceed the greater of (x) two (2) or (y) twenty percent (20%) of the number of directors in office as of the last day on which a Notice of Proxy Access Nomination may be delivered pursuant to and in accordance with this Section 1.12 (the “</w:t>
      </w:r>
      <w:r>
        <w:rPr>
          <w:rFonts w:ascii="Times New Roman;serif" w:hAnsi="Times New Roman;serif"/>
          <w:b w:val="false"/>
          <w:color w:val="000000"/>
          <w:sz w:val="24"/>
          <w:u w:val="single"/>
        </w:rPr>
        <w:t>Final Proxy Access Nomination Date</w:t>
      </w:r>
      <w:r>
        <w:rPr>
          <w:color w:val="000000"/>
        </w:rPr>
        <w:t>”</w:t>
      </w:r>
      <w:r>
        <w:rPr>
          <w:rFonts w:ascii="Times New Roman;serif" w:hAnsi="Times New Roman;serif"/>
          <w:b w:val="false"/>
          <w:color w:val="000000"/>
          <w:sz w:val="24"/>
        </w:rPr>
        <w:t xml:space="preserve">), or if such a number is not a whole number, the closest whole number (rounding down) below twenty percent (20%).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maximum number of Stockholder Nominees included in the Corporation’s proxy materials shall be calculated based on the number of directors in office as so reduced. Any Stockholder Nominee who is included in the Corporation’s proxy materials for a particular meeting of stockholders but either (i) withdraws from or becomes ineligible or unavailable for election at the meeting or (ii) does not receive at least twenty-five percent (25%) of the votes cast in favor of such Stockholder Nominee’s election, will be ineligible to be a Stockholder Nominee pursuant to this Section 1.12 for the next two (2) annual meetings of stockholders following the meeting for which the Stockholder Nominee has been nominated for election. The following persons shall be considered Stockholder Nominees for purposes of determining when the maximum number of Stockholder Nominees provided for in this Section 1.12 has been reached: (w) any Stockholder Nominee whom the Board of Directors decides to nominate as a Board of Directors nominee, (x) any Stockholder Nominee who is subsequently withdrawn, (y) any director who had been a Stockholder Nominee at any of the preceding two annual meetings and whose reelection at the upcoming annual meeting is being recommended by the Board of Directors and (z) any director in office or director candidate that in either case will be included in the Corporation’s proxy materials with respect to such annual meeting as an unopposed (by the Corporation) nominee pursuant to an agreement, arrangement or other understanding between the Corporation and a stockholder or group of stockholders, other than any such director who at the time of such annual meeting will have served as a director continuously, as a nominee of the Board of Directors, for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 least two annual terms. Any Eligible Stockholder submitting more than one Stockholder Nominee for inclusion in the Corporation’s proxy materials pursuant to this Section 1.12 shall rank such Stockholder Nominees based on the order that the Eligible Stockholder desires such Stockholder Nominees to be selected for inclusion in the Corporation’s proxy statement. In the event that the number of Stockholder Nominees submitted by Eligible Stockholders pursuant to this Section 1.12 exceeds the maximum number of nominees provided for in this Section 1.12, the highest ranking Stockholder Nominee who meets the requirements of this Section 1.12 from each Eligible Stockholder will be selected for inclusion in the Corporation’s proxy materials until the maximum number is reached, proceeding in order of the amount (largest to smallest) of shares of common stock of the Corporation each Eligible Stockholder disclosed as owned in its respective Notice of Proxy Access Nomination submitted to the Corporation. If the maximum number is not reached after the highest-ranking Stockholder Nominee who meets the requirements of this Section 1.12 from each Eligible Stockholder has been selected, this process will continue as many times as necessary, following the same order each time, until the maximum number is reached. Notwithstanding anything to the contrary contained in this Section 1.12, if the Secretary of the Corporation receives notice pursuant to Section 1.2 of these Bylaws that a stockholder intends to nominate one or more persons for election to the Board of Directors at such meeting, no Stockholder Nominees will be included in the Corporation’s proxy materials with respect to such meeting pursuant to this Section 1.12.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For purposes of this Section 1.12, an Eligible Stockholder shall be deemed to “own” only those outstanding shares of common stock of the Corporation as to which the stockholder possesses (i) the sole power to vote, or direct the voting of, and to dispose, or to direct the disposition of, and (ii) the full economic interest in (including the opportunity for profit from and risk of loss on) such shares. The number of shares calculated in accordance with clauses (i) and (ii) shall not include any shares (A) sold by such stockholder (or any of its affiliates) in any transaction that has not been settled or closed, (B) borrowed by such stockholder (or any of its affiliates) for any purposes or purchased by such stockholder (or any of its affiliates) pursuant to an agreement to resell or (C) subject to any option, warrant, derivative or other agreement or understanding, whether any such arrangement is to be settled with shares of common stock of the Corporation or with cash based on the notional amount of shares subject thereto, in any such case which has, or is intended to have or if exercised would have, the purpose or effect of (I) reducing in any manner, to any extent or at any time in the future, such stockholder’s (or its affiliates’) rights to vote or direct the voting and full rights to dispose or direct the disposition of any of such shares and/or (II) offsetting to any degree any gain or loss arising from the full economic interest in such shares by such stockholder (or affiliate). An Eligible Stockholder’s ownership of loaned shares shall be deemed to continue only during any period in which (x) the Eligible Stockholder has loaned such shares, provided that the Eligible Stockholder has the power to recall such loaned shares on not more than five (5) business days’ notice and recalls such loaned shares not more than five (5) business days after being notified that any of its Stockholder Nominee(s) will be included in the Corporation’s proxy materials or (y) the Eligible Stockholder has delegated any voting power by means of proxy, power of attorney, or other instrument or arrangement that is revocable at any time by the Eligible Stockholder. Whether outstanding shares of common stock of the Corporation are “owned” for these purposes will be determined by the Board of Directors. For purposes of this Section 1.12,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term “affiliate” or “affiliates” shall have the meaning ascribed thereto under the rules and regulations promulgated under the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In order to make a nomination pursuant to this Section 1.12, an Eligible Stockholder must have owned the Required Ownership Percentage (as defined below) of the Corporation’s outstanding common stock (the “</w:t>
      </w:r>
      <w:r>
        <w:rPr>
          <w:rFonts w:ascii="Times New Roman;serif" w:hAnsi="Times New Roman;serif"/>
          <w:b w:val="false"/>
          <w:color w:val="000000"/>
          <w:sz w:val="24"/>
          <w:u w:val="single"/>
        </w:rPr>
        <w:t>Required Shares</w:t>
      </w:r>
      <w:r>
        <w:rPr>
          <w:color w:val="000000"/>
        </w:rPr>
        <w:t>”</w:t>
      </w:r>
      <w:r>
        <w:rPr>
          <w:rFonts w:ascii="Times New Roman;serif" w:hAnsi="Times New Roman;serif"/>
          <w:b w:val="false"/>
          <w:color w:val="000000"/>
          <w:sz w:val="24"/>
        </w:rPr>
        <w:t>) continuously for the Minimum Holding Period (as defined below) as of both the date the Notice of Proxy Access Nomination is received by the Secretary of the Corporation in accordance with this Section 1.12 and the record date for determining the stockholders entitled to vote at the annual meeting and must continue to own the Required Shares through the meeting date. For purposes of this Section 1.12, the “Required Ownership Percentage” is 3% or more, and the “Minimum Holding Period” is 3 years. For purposes of determining the denominator to be used in calculating whether an Eligible Stockholder meets the Required Ownership Percentage, the Eligible Stockholder may rely on information about the outstanding shares of the Corporation, as set forth in the Corporation’s most recent quarterly or annual report, and any current report subsequent thereto, filed with the Securities and Exchange Commission pursuant to the Act, unless the Eligible Stockholder has reason to know that the information contained therein is inaccurate. Whenever an Eligible Stockholder consists of a group of stockholders and/or other persons, any and all requirements and obligations for an Eligible Stockholder set forth in this Section 1.12 must be satisfied by and as to each such stockholder or other person, except that shares may be aggregated to meet the Required Shares as provided in this Section 1.12.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The Notice of Proxy Access Nomination must include: (i) in form and substance reasonably satisfactory to the Corporation, one or more written statements from the record holder of the shares (and from each intermediary through which the shares are or have been held during the Minimum Holding Period) verifying that, as of a date within seven (7) calendar days prior to the date the Notice of Proxy Access Nomination is delivered to, or mailed to and received by, the Secretary of the Corporation, the Eligible Stockholder owns, and has owned continuously for the Minimum Holding Period, the Required Shares, and the Eligible Stockholder’s agreement to provide, within five (5) business days after the record date for the annual meeting, written statements from the record holder and intermediaries verifying the Eligible Stockholder’s continuous ownership of the Required Shares through the record date and immediate notice if the Eligible Stockholder ceases to own any of the Required Shares prior to the date of the applicable annual meeting of stockholders; (ii) documentation in form and substance reasonably satisfactory to the Corporation demonstrating that any group of funds being counted as one stockholder in meeting the definition of Eligible Stockholder are entitled to be treated as one stockholder for purposes of this Section 1.12, (iii) a copy of the Schedule 14N (or any successor form) that has been filed with the Securities and Exchange Commission as required by Rule 14a-18 under the Act (or any successor provisions); (iv) the information, representations, and agreements that are the same as those that would be required to be set forth in a stockholder’s notice of nomination pursuant to Section 1.2 of these Bylaws; (v) 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withdrawal of the nomination; (vi) the consent of each Stockholder Nominee to being named in the proxy statement as a nominee and to serving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as a director if elected, in form and substance reasonably satisfactory to the Corporation; (vii) a representation in form and substance reasonably satisfactory to the Corporation that the Eligible Stockholder (u) acquired the Required Shares in the ordinary course of business and not with the intent to change or influence control at the Corporation, and does not presently have such intent, (v) presently intends to maintain qualifying ownership of the Required Shares through the date of the annual meeting, (w) has not nominated and will not nominate for election to the Board of Directors at the annual meeting any person other than the Stockholder Nominee(s) being nominated pursuant to this Section 1.12, (x) has not engaged and will not engage in, and has not and will not be a “participant” in another person’s “solicitation” within the meaning of Rule 14a-1(l) under the Act in support of the election of any individual as a director at the annual meeting other than its Stockholder Nominee(s) or a nominee of the Board of Directors, (y) agrees to comply with all applicable laws and regulations applicable to the use, if any, of soliciting material, and (z)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(viii) a statement as to whether the Eligible Stockholder intends to maintain qualifying ownership of the Required Shares for at least one year following the annual meeting; and (ix) an undertaking in form and substance reasonably satisfactory to the Corporation that the Eligible Stockholder agrees to (x) assume all liability stemming from any legal or regulatory violation arising out of the Eligible Stockholder’s communications with the stockholders of the Corporation or out of the information that the Eligible Stockholder provided to the Corporation and (y) indemnify and hold harmless the Corporation and each of its directors, officers and employees individually against any liability, loss, or damages, as incurred,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1.12. The Notice of Proxy Access Nomination must include a written representation and agreement from the Stockholder Nominee in form and substance reasonably satisfactory to the Corporation that such person (A) is not and will not become a party to (x) any agreement, arrangement or understanding with, and has not given any commitment or assurance to, any person or entity as to how such person, if elected as a director of the Corporation, will act or vote on any issue or question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xml:space="preserve">) that has not been disclosed to the Corporation or (y) any Voting Commitment that could limit or interfere with such person’s ability to comply, if elected as a director of the Corporation, with such person’s fiduciary duties under applicable law, (B) has not during the past three (3) years,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the nomination is being made, would be in compliance, if elected as a director of the Corporation, and will comply with applicable law, all applicable rules of the U.S. exchanges upon which the common stock of the Corporation is listed, and all of the Corporation’s publicly disclosed corporate governance, conflict of interest, confidentiality, and stock ownership and trading policies and guidelines, (D) will provide facts, statements and other information in all communications with the Corporation and its stockholders that are or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true and correct in all material respects and do not and will not omit to state a material fact necessary in order to make the statements made, in light of the circumstances under which they were made, not misleading and (E) will irrevocably resign, pursuant to a letter of resignation, with such resignation to become automatically effective upon determination by the Board of Directors (excluding for this purpose the Stockholder Nominee) that (x) such Stockholder Nominee or the applicable Eligible Stockholder has breached or has failed to comply with any of its or their obligations under this Section 1.12 or any of its or their representations or agreements set forth in the Notice of Proxy Access Nomination (or otherwise submitted pursuant to this Section 1.12), (y) any of the information in the Notice of Proxy Access Nomination (or otherwise submitted pursuant to this Section 1.12) was not, when provided, true and correct in all material respects or omitted to state a material fact necessary in order to make the statements made, in light of the circumstances they were made, not misleading, or (z) the requirements of this Section 1.12 had not otherwise been met. At the request of the Corporation, each Stockholder Nominee for election as a director of the Corporation must promptly, but in any event within five (5) business days after such request, submit all completed and signed questionnaires required of directors and officers to the Secretary of the Corporation. The Corporation may request such additional information, or such of the foregoing information in a form provided by the Secretary upon written request, as necessary to permit the Board of Directors to determine if each Stockholder Nominee satisfies the requirements of this Section 1.12.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such defect or limit the remedies available to the Corporation relating to any such defect.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The Corporation shall not be required to include in its proxy materials for any meeting of stockholders, pursuant to this Section 1.12, a Stockholder Nominee (i) for which the Secretary of the Corporation receives a notice that a stockholder has nominated such Stockholder Nominee for election to the Board of Directors pursuant to the advance notice requirements for stockholder nominees for director set forth in Section 1.2 of these Bylaws, (ii) if the Eligible Stockholder who has nominated such Stockholder Nominee has engaged in or is currently engaged in, or has been or is a “participant” in, another person’s “solicitation” within the meaning of Rule 14a-1(l) under the Act in support of the election of any individual as a director at the annual meeting other than its Stockholder Nominee(s) or a nominee of the Board of Directors, (iii)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(iv) who does not qualify as a “non-employee director” under Rule 16b-3 of the Act, (v) whose election as a member of the Board of Directors would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cause the Corporation to be in violation of these Bylaws, the Certificate of Incorporation, the rules and listing standards of the principal U.S. exchanges upon which the common stock of the Corporation is traded, or any applicable state or federal law, rule or regulation, (vi) who is currently or was within the last three (3) calendar years an officer, employee or director of a competitor, as defined in Section 8 of the Clayton Antitrust Act of 1914, as amended, (vii) who is a named subject of a pending criminal proceeding (excluding traffic violations and other minor offenses) or has been convicted in such a criminal proceeding within the past ten (10) years, (viii) who is subject to any order of the type specified in Rule 506(d) of Regulation D promulgated under the Securities Act of 1933, as amended, (ix) if such Stockholder Nominee or the applicable Eligible Stockholder shall have provided information to the Corporation in respect to such nomination that was not true or correct in any material respect or omitted to state a material fact necessary in order to make the statements made, in light of the circumstances under which they were made, not misleading, as determined by the Board of Directors or any committee thereof, or (x) if such Stockholder Nominee or the applicable Eligible Stockholder has breached or has failed to comply with any of its or their obligations under this Section 1.12 or any of its or their representations or agreements set forth in the Notice of Proxy Access Nomination (or otherwise submitted pursuant to this Section 1.12) or any of the information in the Notice of Proxy Access Nomination (or otherwise submitted pursuant to this Section 1.12) was not, when provided, true or correct or omitted to state a material fact necessary in order to make the statements made, in light of the circumstances they were made, not misleading, or the requirements of this Section 1.12 have not otherwise been met.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Notwithstanding anything to the contrary set forth herein, the Board of Directors or the chair of the meeting of stockholders shall declare a nomination by an Eligible Stockholder to be invalid, and such nomination shall be disregarded and no vote on such Stockholder Nominee will occur, notwithstanding that proxies in respect of such vote may have been received by the Corporation, if (i) the Stockholder Nominee(s) becomes ineligible or unavailable for election at the annual meeting, as determined by the Board of Directors or the chair of the meeting, (ii) the Stockholder Nominee(s) and/or the applicable Eligible Stockholder shall have breached or failed to comply with any of its or their obligations under this Section 1.12 or any of its or their representations or agreements set forth in the Notice of Proxy Access Nomination (or otherwise submitted pursuant to this Section 1.12) or any of the information in the Notice of Proxy Access Nomination (or otherwise submitted pursuant to this Section 1.12) was not, when provided, true or correct or omitted to state a material fact necessary in order to make the statements made, in light of the circumstances they were made, not misleading, or the requirements of this Section 1.12 have not otherwise been met, as determined by the Board of Directors or the chair of the meeting, or (iii) the Eligible Stockholder (or a qualified representative thereof) does not appear at the meeting of stockholders to present any nomination pursuant to this Section 1.12. In addition, the Corporation will not be required to include in its proxy materials any successor or replacement Stockholder Nominee proposed by the applicable Eligible Stockholder or any other Eligible Stockholder.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With respect to any particular annual meeting, no stockholder or other person may be a member of more than one group of persons constituting an Eligible Stockholder under this Section 1.12.</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The Board of Directors (and any other person or body authorized by the Board of Directors) shall have the power and authority to interpret this Section 1.12 and to make any and all determinations necessary or advisable to apply this Section 1.12 to any persons, facts, or circumstances, including the power to determine whether: (i) a person or group of persons qualifies as an Eligible Stockholder, (ii) outstanding shares of the Corporation’s capital stock are “owned” for purposes of meeting the ownership requirements of this Section 1.12, (iii) a notice complies with the requirements of this Section 1.12, (iv) a person satisfies the qualifications and requirements to be a Stockholder Nominee, (v) inclusion of the Required Information in the Corporation’s proxy statement is consistent with all applicable laws, rules, regulations, and listing standards and (vi) any and all requirements of this Section 1.12 have been satisfied. Any such interpretation or determination adopted in good faith by the Board of Directors (or any other person or body authorized by the Board of Directors) shall be conclusive and binding on all persons, including the Corporation and all record or beneficial owners of stock of the 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2 —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General Powers and Qualifications of Directors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business and affairs of the Corporation shall be managed by or under the direction of the Board of Directors. In addition to the powers and authorities these Bylaws expressly confer upon them, the Board of Directors may exercise all such powers of the Corporation and do all such lawful acts and things as are not by the DGCL or by the Certificate of Incorporation or by these Bylaws required to be exercised or done by the stockholders. Directors need not be stockholders of the Corporation to be qualified for election or service as a director of the Corporation. No person shall be eligible for election or appointment as a director unless such person has, within ten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or any other matter reasonably related to such person’s candidacy or service as a director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2.2.    </w:t>
      </w:r>
      <w:r>
        <w:rPr>
          <w:rFonts w:ascii="Times New Roman;serif" w:hAnsi="Times New Roman;serif"/>
          <w:b w:val="false"/>
          <w:color w:val="000000"/>
          <w:sz w:val="24"/>
          <w:u w:val="single"/>
        </w:rPr>
        <w:t>Removal; Resignation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for in the Certificate of Incorporation, any director or the entire Board of Directors may be removed, with or without cause, by the holders of a majority of the voting power of the Voting Stock, voting together as a single class. Any director may resign at any time upon notice given in writing, including by electronic transmission, to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2.3.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Regular meetings of the Board of Directors shall be held at the place (if any), on the date and at the time as shall have been established by the Board of Directors and publicized among all directors. A notice of a regular meeting, the date of which has been so publicized, shall not be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2.4.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Special meetings of the Board of Directors may be called by the chair of the Board of Directors, the Chief Executive Officer of the Corporation, the Lead Director or by two or more directors then in office and shall be held at the place, if any, on the date and at the time as they shall fix. Notice of the place, if any, date and time of each special meeting shall be given to each director either (a) by mailing written notice thereof not less than five days before the meeting, or (b) by telephone, email, facsimile or other means of electronic transmission providing notice thereof not less than twenty-four hours before the meeting or on such shorter notice as the person or persons calling the meeting may deem necessary or appropriate under the circumstances. Any and all business may be transacted at a special meeting of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2.5.    </w:t>
      </w:r>
      <w:r>
        <w:rPr>
          <w:rFonts w:ascii="Times New Roman;serif" w:hAnsi="Times New Roman;serif"/>
          <w:b w:val="false"/>
          <w:color w:val="000000"/>
          <w:sz w:val="24"/>
          <w:u w:val="single"/>
        </w:rPr>
        <w:t>Quorum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meeting of the Board of Directors, a majority of the total number of directors then in office shall constitute a quorum for all purposes. If a quorum shall fail to attend any meeting, a majority of those present may adjourn the meeting to another place, if any, date or time, without further notice or waiver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2.6.    </w:t>
      </w:r>
      <w:r>
        <w:rPr>
          <w:rFonts w:ascii="Times New Roman;serif" w:hAnsi="Times New Roman;serif"/>
          <w:b w:val="false"/>
          <w:color w:val="000000"/>
          <w:sz w:val="24"/>
          <w:u w:val="single"/>
        </w:rPr>
        <w:t>Participation in Meetings By Conference Telephone or Other Communications Equipment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Members of the Board of Directors, or of any committee thereof, may participate in a meeting of the Board of Directors or committee thereof by means of conference telephone or other communications equipment by means of which all directors participating in the meeting can hear each other director, and such participation shall constitute presence in person at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2.7.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meeting of the Board of Directors, business shall be transacted in the order and manner that the Board of Directors may from time to time determine, and all matters shall be determined by the vote of a majority of the directors present, provided a quorum is present at the time such matter is acted upon, except as otherwise provided in the Certificate of Incorporation or these Bylaws or required by applicable law. The Board of Directors or any committee thereof may take action without a meeting if all members thereof consent thereto in writing or by electronic transmission, and the writing or writings, or electronic transmission or electronic transmissions, are filed with the minutes of proceedings of the Board of Directors or any committee thereof. Such filing shall be in paper form if the minutes are maintained in paper form and shall be in electronic form if the minutes are maintained in electronic 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2.8.    </w:t>
      </w:r>
      <w:r>
        <w:rPr>
          <w:rFonts w:ascii="Times New Roman;serif" w:hAnsi="Times New Roman;serif"/>
          <w:b w:val="false"/>
          <w:color w:val="000000"/>
          <w:sz w:val="24"/>
          <w:u w:val="single"/>
        </w:rPr>
        <w:t>Compensation of Directors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Board of Directors shall be authorized to fix the compensation of directors. The directors of the Corporation shall be paid their expenses, if any, of attendance at each meeting of the Board of Directors and shall be reimbursed a fixed sum for attendance at each meeting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Board of Directors, paid an annual retainer or paid other compensation, including equity compensation, as directors of the Corporation. No such payment shall preclude any director from serving the Corporation in any other capacity and receiving compensation therefor. Members of committees shall be paid compensation for attending committee meetings and/or have their expenses, if any, of attendance of each meeting of such committee reimbursed.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3 — COMMITTEES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3.1.    </w:t>
      </w:r>
      <w:r>
        <w:rPr>
          <w:rFonts w:ascii="Times New Roman;serif" w:hAnsi="Times New Roman;serif"/>
          <w:b w:val="false"/>
          <w:color w:val="000000"/>
          <w:sz w:val="24"/>
          <w:u w:val="single"/>
        </w:rPr>
        <w:t>Committees of the Board of Directors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designate committees of the Board of Directors, with such lawfully delegable powers and duties as it thereby confers, to serve at the pleasure of the Board of Directors and shall, for those committees, appoint a director or directors to serve as the member or members, designating, if it desires, other directors as alternate members who may replace any absent or disqualified member at any meeting of such committee. In the absence or disqualification of any member of any committee and any alternate member in such member’s place, the member or members of the committee present at the meeting and not disqualified from voting, whether or not they constitute a quorum, may by unanimous vote appoint another member of the Board of Directors to act at the meeting in the place of the absent or disqualified member. All provisions of this Section 3.1 are subject to, and nothing in this Section 3.1 shall in any way limit the exercise or method or timing of the exercise of, the rights of any person granted by the Corporation with respect to the existence, duties, composition or conduct of any committee of the Board of Directors.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4 — 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4.1.    </w:t>
      </w:r>
      <w:r>
        <w:rPr>
          <w:rFonts w:ascii="Times New Roman;serif" w:hAnsi="Times New Roman;serif"/>
          <w:b w:val="false"/>
          <w:color w:val="000000"/>
          <w:sz w:val="24"/>
          <w:u w:val="single"/>
        </w:rPr>
        <w:t>Generally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officers of the Corporation shall consist of a President, one or more Vice Presidents, a Secretary, a Treasurer and other officers as may from time to time be appointed by the Board of Directors. Each officer shall hold office until such officer’s successor is elected and qualified or until such officer’s earlier resignation or removal. Any number of offices may be held by the same person. The salaries of officers appointed by the Board of Directors shall be fixed from time to time by the Board of Directors or a committee thereof or by the officers as may be designated by resolution of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4.2.    </w:t>
      </w:r>
      <w:r>
        <w:rPr>
          <w:rFonts w:ascii="Times New Roman;serif" w:hAnsi="Times New Roman;serif"/>
          <w:b w:val="false"/>
          <w:color w:val="000000"/>
          <w:sz w:val="24"/>
          <w:u w:val="single"/>
        </w:rPr>
        <w:t>President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determined by the Board of Directors, the President shall be the Chief Executive Officer of the Corporation. Subject to the provisions of these Bylaws and to the direction of the Board of Directors, the Chief Executive Officer shall have the responsibility for the general management and control of the business and affairs of the Corporation and shall perform all duties and have all powers that are commonly incident to the office of chief executive or which are delegated to the Chief Executive Officer by the Board of Directors. The Chief Executive Officer shall have the power to sign all stock certificates, contracts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instruments of the Corporation that are authorized and shall have general supervision and direction of all of the other officers, employees and agents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4.3.    </w:t>
      </w:r>
      <w:r>
        <w:rPr>
          <w:rFonts w:ascii="Times New Roman;serif" w:hAnsi="Times New Roman;serif"/>
          <w:b w:val="false"/>
          <w:color w:val="000000"/>
          <w:sz w:val="24"/>
          <w:u w:val="single"/>
        </w:rPr>
        <w:t>Vice President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Vice President shall have the powers and duties delegated to such Vice President by the Board of Directors or the President. One Vice President may be designated by the Board of Directors to perform the duties and exercise the powers of the President in the event of the President’s absence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4.4.    </w:t>
      </w:r>
      <w:r>
        <w:rPr>
          <w:rFonts w:ascii="Times New Roman;serif" w:hAnsi="Times New Roman;serif"/>
          <w:b w:val="false"/>
          <w:color w:val="000000"/>
          <w:sz w:val="24"/>
          <w:u w:val="single"/>
        </w:rPr>
        <w:t>Treasurer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Treasurer shall have the responsibility for maintaining the financial records of the Corporation. The Treasurer shall make such disbursements of the funds of the Corporation as are authorized and shall render from time to time an account to the Board of Directors of all such transactions and of the financial condition of the Corporation. The Treasurer shall also perform other duties as the Board of Directors may from time to time prescribe.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4.5.    </w:t>
      </w:r>
      <w:r>
        <w:rPr>
          <w:rFonts w:ascii="Times New Roman;serif" w:hAnsi="Times New Roman;serif"/>
          <w:b w:val="false"/>
          <w:color w:val="000000"/>
          <w:sz w:val="24"/>
          <w:u w:val="single"/>
        </w:rPr>
        <w:t>Secretary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Secretary shall issue all authorized notices for, and shall keep minutes of, all meetings of the stockholders and the Board of Directors. The Secretary shall have charge of the corporate books and shall perform other duties as the Board of Directors may from time to time prescribe.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4.6.    </w:t>
      </w:r>
      <w:r>
        <w:rPr>
          <w:rFonts w:ascii="Times New Roman;serif" w:hAnsi="Times New Roman;serif"/>
          <w:b w:val="false"/>
          <w:color w:val="000000"/>
          <w:sz w:val="24"/>
          <w:u w:val="single"/>
        </w:rPr>
        <w:t>Delegation of Authority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from time to time delegate the powers or duties of any officer to any other officer or agent, notwithstanding any provision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4.7.    </w:t>
      </w:r>
      <w:r>
        <w:rPr>
          <w:rFonts w:ascii="Times New Roman;serif" w:hAnsi="Times New Roman;serif"/>
          <w:b w:val="false"/>
          <w:color w:val="000000"/>
          <w:sz w:val="24"/>
          <w:u w:val="single"/>
        </w:rPr>
        <w:t>Removal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remove any officer of the Corporation at any time, with or without cause.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4.8.    </w:t>
      </w:r>
      <w:r>
        <w:rPr>
          <w:rFonts w:ascii="Times New Roman;serif" w:hAnsi="Times New Roman;serif"/>
          <w:b w:val="false"/>
          <w:color w:val="000000"/>
          <w:sz w:val="24"/>
          <w:u w:val="single"/>
        </w:rPr>
        <w:t>Action with Respect to Securities of Other Companies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directed by the Board of Directors, the President, or any officer of the Corporation authorized by the President, shall have power to vote and otherwise act on behalf of the Corporation, in person or by proxy, at any meeting of stockholders or equityholders of, or with respect to any action of, stockholders or equityholders of any other entity in which the Corporation may hold securities and otherwise to exercise any and all rights and powers which the Corporation may possess by reason of its ownership of securities in such other entity.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5 —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5.1.    </w:t>
      </w:r>
      <w:r>
        <w:rPr>
          <w:rFonts w:ascii="Times New Roman;serif" w:hAnsi="Times New Roman;serif"/>
          <w:b w:val="false"/>
          <w:color w:val="000000"/>
          <w:sz w:val="24"/>
          <w:u w:val="single"/>
        </w:rPr>
        <w:t>Certificates of Stock</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Shares of the capital stock of the Corporation may be certificated or uncertificated, as provided in the DGCL. Stock certificates shall be signed by, or in the name of the Corporation by, (a) the chair of the Board of Directors (if any) or the vice-chair of the Board of Directors (if any), the President or a Vice President, and (b) the Secretary or an Assistant Secretary, or the Treasurer or an Assistant Treasurer, certifying the number of shares owned by such stockholder. Any signatures on a certificate may be by facsimile.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Transfers of Stock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Transfers of stock shall be made only upon the transfer books of the Corporation kept at an office of the Corporation (within or without the State of Delaware) or by transfer agents designated to transfer shares of the stock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5.3.    </w:t>
      </w:r>
      <w:r>
        <w:rPr>
          <w:rFonts w:ascii="Times New Roman;serif" w:hAnsi="Times New Roman;serif"/>
          <w:b w:val="false"/>
          <w:color w:val="000000"/>
          <w:sz w:val="24"/>
          <w:u w:val="single"/>
        </w:rPr>
        <w:t>Lost, Stolen or Destroyed Certificates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the loss, theft or destruction of any certificate of stock, another may be issued in its place pursuant to regulations as the Board of Directors may establish concerning proof of the loss, theft or destruction and concerning the giving of a satisfactory bond or indemnity.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5.4.    </w:t>
      </w:r>
      <w:r>
        <w:rPr>
          <w:rFonts w:ascii="Times New Roman;serif" w:hAnsi="Times New Roman;serif"/>
          <w:b w:val="false"/>
          <w:color w:val="000000"/>
          <w:sz w:val="24"/>
          <w:u w:val="single"/>
        </w:rPr>
        <w:t>Regulations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 transfer, conversion and registration of certificates of stock of the Corporation shall be governed by other regulations as the Board of Directors may establish.</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5.5.    </w:t>
      </w:r>
      <w:r>
        <w:rPr>
          <w:rFonts w:ascii="Times New Roman;serif" w:hAnsi="Times New Roman;serif"/>
          <w:b w:val="false"/>
          <w:color w:val="000000"/>
          <w:sz w:val="24"/>
          <w:u w:val="single"/>
        </w:rPr>
        <w:t>Record Date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6 — INDEMNIFICATION AND ADVANCEMENT OF EXPENSES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Corporation shall indemnify and hold harmless, to the fullest extent permitted by applicable law as it presently exists or may hereafter be amended, any person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who was or is made, or is threatened to be made, a party or is otherwise involved in any action, suit or proceeding, whether civil, criminal, administrative or investigative (a “</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by reason of the fact that an Indemnitee, or a person for whom an Indemnitee is the legal representative, is or was a director or an officer of the Corporation or, while a director or an officer of the Corporation, is or was serving at the request of the Corporation as a director, officer, employee, member, trustee or agent of another corporation or of a partnership, joint venture, trust, nonprofit entity or other enterprise (including, but not limited to, service with respect to employee benefit plans) (any such entity, an “</w:t>
      </w:r>
      <w:r>
        <w:rPr>
          <w:rFonts w:ascii="Times New Roman;serif" w:hAnsi="Times New Roman;serif"/>
          <w:b w:val="false"/>
          <w:color w:val="000000"/>
          <w:sz w:val="24"/>
          <w:u w:val="single"/>
        </w:rPr>
        <w:t>Other Entity</w:t>
      </w:r>
      <w:r>
        <w:rPr>
          <w:color w:val="000000"/>
        </w:rPr>
        <w:t>”</w:t>
      </w:r>
      <w:r>
        <w:rPr>
          <w:rFonts w:ascii="Times New Roman;serif" w:hAnsi="Times New Roman;serif"/>
          <w:b w:val="false"/>
          <w:color w:val="000000"/>
          <w:sz w:val="24"/>
        </w:rPr>
        <w:t>), against all liability and loss suffered (including, but not limited to, expenses (including, but not limited to, attorneys’ fees and expenses), judgments, fines and amounts paid in settlement actually and reasonably incurred by such Indemnitee in connection with such Proceeding). Notwithstanding the preceding sentence, the Corporation shall be required to indemnify an Indemnitee in connection with a Proceeding (or part thereof) commenced by such Indemnitee only if the commencement of such Proceeding (or part thereof) by the Indemnitee was authorized by the Board of Directors of the Corporation or the Proceeding (or part thereof) relates to the enforcement of the Corporation’s obligations under this Section 6.1.</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6.2.    </w:t>
      </w:r>
      <w:r>
        <w:rPr>
          <w:rFonts w:ascii="Times New Roman;serif" w:hAnsi="Times New Roman;serif"/>
          <w:b w:val="false"/>
          <w:color w:val="000000"/>
          <w:sz w:val="24"/>
          <w:u w:val="single"/>
        </w:rPr>
        <w:t>Advancement of Expenses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Corporation shall to the fullest extent not prohibited by applicable law pay the expenses (including, but not limited to, attorneys’ fees and expenses) incurred by an Indemnitee in defending any proceeding in advance of its final disposition,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Section 6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6.3.    </w:t>
      </w:r>
      <w:r>
        <w:rPr>
          <w:rFonts w:ascii="Times New Roman;serif" w:hAnsi="Times New Roman;serif"/>
          <w:b w:val="false"/>
          <w:color w:val="000000"/>
          <w:sz w:val="24"/>
          <w:u w:val="single"/>
        </w:rPr>
        <w:t>Claims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 claim for indemnification (following the final disposition of such proceeding) or advancement of expenses under this Section 6 is not paid in full within sixty (60) days after a written claim therefor by the Indemnitee has been received by the Corporation, the Indemnitee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file suit to recover the unpaid amount of such claim and, if successful in whole or in part, shall be entitled to be paid the expense of prosecuting such claim to the fullest extent permitted by law. In any such action the Corporation shall have the burden of proving that the Indemnitee is not entitled to the requested indemnification or advancement of expenses under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6.4.    </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purchase and maintain insurance on behalf of any person who is or was a director, officer, trustee, employee or agent of the Corporation, or was serving at the request of the Corporation as a director, officer, trustee, employee or agent of an Other Entity, against any liability asserted against the person and incurred by the person in any such capacity, or arising out of such person’s status as such, whether or not the Corporation would have the power or the obligation to indemnify such person against such liability under the provisions of this Section 6.</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6.5.    </w:t>
      </w:r>
      <w:r>
        <w:rPr>
          <w:rFonts w:ascii="Times New Roman;serif" w:hAnsi="Times New Roman;serif"/>
          <w:b w:val="false"/>
          <w:color w:val="000000"/>
          <w:sz w:val="24"/>
          <w:u w:val="single"/>
        </w:rPr>
        <w:t>Non-Exclusivity of Rights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rights conferred on any Indemnitee by this Section 6 are not exclusive of other rights arising under any bylaw, agreement, vote of directors or stockholders or otherwise, and shall inure to the benefit of the heirs and legal representatives of such Indemnitee.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6.6.    </w:t>
      </w:r>
      <w:r>
        <w:rPr>
          <w:rFonts w:ascii="Times New Roman;serif" w:hAnsi="Times New Roman;serif"/>
          <w:b w:val="false"/>
          <w:color w:val="000000"/>
          <w:sz w:val="24"/>
          <w:u w:val="single"/>
        </w:rPr>
        <w:t>Amounts Received from an Other Entity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6.7, the Corporation’s obligation, if any, to indemnify or to advance expenses to any Indemnitee who was or is serving at the Corporation’s request as a director, officer, employee, member, trustee or agent of an Other Entity shall be reduced by any amount such Indemnitee may collect as indemnification or advancement of expenses from such Other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6.7.    </w:t>
      </w:r>
      <w:r>
        <w:rPr>
          <w:rFonts w:ascii="Times New Roman;serif" w:hAnsi="Times New Roman;serif"/>
          <w:b w:val="false"/>
          <w:color w:val="000000"/>
          <w:sz w:val="24"/>
          <w:u w:val="single"/>
        </w:rPr>
        <w:t>Indemnification Priority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between the Corporation and any other person (other than an entity directly or indirectly controlled by the Corporation) who provide indemnification to the Indemnitees for their service to, or on behalf of, the Corporation (collectively, the “</w:t>
      </w:r>
      <w:r>
        <w:rPr>
          <w:rFonts w:ascii="Times New Roman;serif" w:hAnsi="Times New Roman;serif"/>
          <w:b w:val="false"/>
          <w:color w:val="000000"/>
          <w:sz w:val="24"/>
          <w:u w:val="single"/>
        </w:rPr>
        <w:t>Secondary Indemnitors</w:t>
      </w:r>
      <w:r>
        <w:rPr>
          <w:color w:val="000000"/>
        </w:rPr>
        <w:t>”</w:t>
      </w:r>
      <w:r>
        <w:rPr>
          <w:rFonts w:ascii="Times New Roman;serif" w:hAnsi="Times New Roman;serif"/>
          <w:b w:val="false"/>
          <w:color w:val="000000"/>
          <w:sz w:val="24"/>
        </w:rPr>
        <w:t xml:space="preserve">) (a) the Corporation shall be the full indemnitor of first resort in respect of indemnification or advancement of expenses in connection with any Jointly Indemnifiable Claims (as defined below), pursuant to and in accordance with the terms of this Section 6, irrespective of any right of indemnification, advancement of expenses or other right of recovery any Indemnitee may have from any Secondary Indemnitor (i.e., the Corporation’s obligations to such Indemnitees are primary and any obligation of any Secondary Indemnitor to advance expenses or to provide indemnification for the same loss or liability incurred by such Indemnitees is secondary to the Corporation’s obligations), (b) the Corporation shall be required to advance the full amount of expenses incurred by any such Indemnitee and shall be liable for the full amount of all liability and loss suffered by such Indemnitee (including, but not limited to, expenses (including, but not limited to, attorneys’ fees and expenses), judgments, fines and amounts paid in settlement actually and reasonably incurred by such Indemnitee in connection with such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regard to any rights any such Indemnitee may have against any Secondary Indemnitor, and (c) the Corporation irrevocably waives, relinquishes and releases each Secondary Indemnitor from any and all claims against such Secondary Indemnitor for contribution, subrogation or any other recovery of any kind in respect thereof. The Corporation shall indemnify each Secondary Indemnitor directly for any amounts that such Secondary Indemnitor pays as indemnification or advancement on behalf of any such Indemnitee and for which such Indemnitee may be entitled to indemnification from the Corporation in connection with Jointly Indemnifiable Claims. No right of indemnification, advancement of expenses or other right of recovery that an Indemnitee may have from any Secondary Indemnitor shall reduce or otherwise alter the rights of the Indemnitee or the obligations of the Corporation hereunder. No advancement or payment by any Secondary Indemnitor on behalf of any such Indemnitee with respect to any claim for which such Indemnitee has sought indemnification from the Corporation shall affect the foregoing and the Secondary Indemnitors shall be subrogated to the extent of such advancement or payment to all of the rights of recovery of such Indemnitee against the Corporation. Each Indemnitee shall execute all papers reasonably required and shall do all things that may be reasonably necessary to secure the rights of such Indemnitee’s Secondary Indemnitors under this Section 6.7, including the execution of such documents as may be necessary to enable the Secondary Indemnitors effectively to bring suit to enforce such rights, including in the right of the Corporation. Each of the Secondary Indemnitors shall be third-party beneficiaries with respect to this Section 6.7, entitled to enforce this Section 6.7. As used in this Section 6.7, the term “Jointly Indemnifiable Claims” shall be broadly construed and shall include, without limitation, any action, suit, proceeding or other matter for which an Indemnitee shall be entitled to indemnification or advancement of expenses from both a Secondary Indemnitor and the Corporation, whether pursuant to Delaware law, any agreement or certificate of incorporation, bylaws, partnership agreement, operating agreement, certificate of formation, certificate of limited partnership or comparable organizational documents of the Corporation or the Secondary Indemnitors,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6.8.    </w:t>
      </w:r>
      <w:r>
        <w:rPr>
          <w:rFonts w:ascii="Times New Roman;serif" w:hAnsi="Times New Roman;serif"/>
          <w:b w:val="false"/>
          <w:color w:val="000000"/>
          <w:sz w:val="24"/>
          <w:u w:val="single"/>
        </w:rPr>
        <w:t>Amendment or Repeal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right to indemnification or to advancement of expenses of any Indemnitee arising hereunder shall not be eliminated or impaired by an amendment to or repeal of this Section 6 after the occurrence of the act or omission that is the subject of the civil, criminal, administrative or investigative action, suit, proceeding or other matter for which indemnification or advancement of expenses is sought.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6.9.    </w:t>
      </w:r>
      <w:r>
        <w:rPr>
          <w:rFonts w:ascii="Times New Roman;serif" w:hAnsi="Times New Roman;serif"/>
          <w:b w:val="false"/>
          <w:color w:val="000000"/>
          <w:sz w:val="24"/>
          <w:u w:val="single"/>
        </w:rPr>
        <w:t>Other Indemnification and Advancement of Expenses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Section 6 shall not limit the right of the Corporation, to the extent and in the manner permitted by law, to indemnify and to advance expenses to persons other than Indemnitees when and as authorized by appropriate corporate 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6.10.    </w:t>
      </w:r>
      <w:r>
        <w:rPr>
          <w:rFonts w:ascii="Times New Roman;serif" w:hAnsi="Times New Roman;serif"/>
          <w:b w:val="false"/>
          <w:color w:val="000000"/>
          <w:sz w:val="24"/>
          <w:u w:val="single"/>
        </w:rPr>
        <w:t>Reliance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Indemnitees who after the date of the adoption of this Section 6 become or remain an Indemnitee described in Section 6.1 will be conclusively presumed to have relied on the rights to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indemnity, advancement of expenses and other rights contained in this Section 6 in entering into or continuing the service. The rights to indemnification and to the advancement of expenses conferred in this Section 6 will apply to claims made against any Indemnitee described in Section 6.1 arising out of acts or omissions that occurred or occur either before or after the adoption of this Section 6 in respect of service as a director or officer of the Corporation or other service described in Section 6.1.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7 — NOTICES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7.1.    </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herein or permitted by applicable law, notices to directors and stockholders shall be in writing and delivered personally or mailed to the directors or stockholders at their addresses appearing on the books of the Corporation. If mailed, notice to a stockholder of the Corporation shall be deemed given when deposited in the mail, postage prepaid, directed to a stockholder at such stockholder’s address as it appears on the records of the Corporation. Without limiting the manner by which notice otherwise may be given effectively to stockholders, any notice to stockholders of the Corporation may be given by electronic transmission in the manner provided in Section 232 of the DGCL.</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7.2.    </w:t>
      </w:r>
      <w:r>
        <w:rPr>
          <w:rFonts w:ascii="Times New Roman;serif" w:hAnsi="Times New Roman;serif"/>
          <w:b w:val="false"/>
          <w:color w:val="000000"/>
          <w:sz w:val="24"/>
          <w:u w:val="single"/>
        </w:rPr>
        <w:t>Waivers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written waiver of any notice, signed by a stockholder or director, or a waiver by electronic transmission by such person or entity, whether given before or after the time of the event for which notice is to be given, shall be deemed equivalent to the notice required to be given to such person or entity.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8 —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8.1.    </w:t>
      </w:r>
      <w:r>
        <w:rPr>
          <w:rFonts w:ascii="Times New Roman;serif" w:hAnsi="Times New Roman;serif"/>
          <w:b w:val="false"/>
          <w:color w:val="000000"/>
          <w:sz w:val="24"/>
          <w:u w:val="single"/>
        </w:rPr>
        <w:t>Corporate Seal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8.2.    </w:t>
      </w:r>
      <w:r>
        <w:rPr>
          <w:rFonts w:ascii="Times New Roman;serif" w:hAnsi="Times New Roman;serif"/>
          <w:b w:val="false"/>
          <w:color w:val="000000"/>
          <w:sz w:val="24"/>
          <w:u w:val="single"/>
        </w:rPr>
        <w:t>Reliance upon Books, Reports, and Records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director and each member of any committee designated by the Board of Directors of the Corporation shall, in the performance of their duties, be fully protected in relying in good faith upon the books and records of the Corporation and upon such information, opinions, reports or statements presented to the Corporation by any of its officers, agents or employees, or committees of the Board of Directors so designated, or by any other person or entity as to matters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 such director or committee member reasonably believes are within such other person’s or entity’s professional or expert competence and that has been selected with reasonable care by or on behalf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8.3.    </w:t>
      </w:r>
      <w:r>
        <w:rPr>
          <w:rFonts w:ascii="Times New Roman;serif" w:hAnsi="Times New Roman;serif"/>
          <w:b w:val="false"/>
          <w:color w:val="000000"/>
          <w:sz w:val="24"/>
          <w:u w:val="single"/>
        </w:rPr>
        <w:t>Fiscal Year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fiscal year of the Corporation shall be as fixed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8.4.    </w:t>
      </w:r>
      <w:r>
        <w:rPr>
          <w:rFonts w:ascii="Times New Roman;serif" w:hAnsi="Times New Roman;serif"/>
          <w:b w:val="false"/>
          <w:color w:val="000000"/>
          <w:sz w:val="24"/>
          <w:u w:val="single"/>
        </w:rPr>
        <w:t>Time Periods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applying any provision of these Bylaws that requires that an act be done or not be done a specified number of days before an event or that an act be done during a specified number of days before an event, calendar days shall be used, the day of the doing of the act shall be excluded, and the day of the event shall be included.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9 — AMENDMENTS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Bylaws may be altered, amended or repealed in accordance with the Certificate of Incorporation and the DGCL.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SECTION 10 — EMERGENCY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Emergency Bylaws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Section 10 shall be operative during any emergency, disaster or catastrophe, as referred to in Section 110 of the DGCL or other similar emergency condition (including a pandemic), as a result of which a quorum of the Board of Directors or a committee thereof cannot readily be convened for action (each, an “</w:t>
      </w:r>
      <w:r>
        <w:rPr>
          <w:rFonts w:ascii="Times New Roman;serif" w:hAnsi="Times New Roman;serif"/>
          <w:b w:val="false"/>
          <w:color w:val="000000"/>
          <w:sz w:val="24"/>
          <w:u w:val="single"/>
        </w:rPr>
        <w:t>Emergency</w:t>
      </w:r>
      <w:r>
        <w:rPr>
          <w:color w:val="000000"/>
        </w:rPr>
        <w:t>”</w:t>
      </w:r>
      <w:r>
        <w:rPr>
          <w:rFonts w:ascii="Times New Roman;serif" w:hAnsi="Times New Roman;serif"/>
          <w:b w:val="false"/>
          <w:color w:val="000000"/>
          <w:sz w:val="24"/>
        </w:rPr>
        <w:t>), notwithstanding any different or conflicting provision in the preceding Sections of these Bylaws or in the Certificate of Incorporation. To the extent not inconsistent with the provisions of this Section 10, the preceding Sections of these Bylaws and the provisions of the Certificate of Incorporation shall remain in effect during such Emergency, and upon termination of such Emergency, the provisions of this Section 10 shall cease to be operative unless and until another Emergency shall occur.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Meetings; Notice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During any Emergency, a meeting of the Board of Directors or any committee thereof may be called by any member of the Board of Directors or such committee or the chair of the Board of Directors,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10.3.    </w:t>
      </w:r>
      <w:r>
        <w:rPr>
          <w:rFonts w:ascii="Times New Roman;serif" w:hAnsi="Times New Roman;serif"/>
          <w:b w:val="false"/>
          <w:color w:val="000000"/>
          <w:sz w:val="24"/>
          <w:u w:val="single"/>
        </w:rPr>
        <w:t>Quorum</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meeting of the Board of Directors called in accordance with Section 10.2 above, the presence or participation of three (3) directors shall constitute a quorum for the transaction of business, and at any meeting of any committee of the Board of Directors called in accordance with Section 10.2 above, the presence or participation of one (1) committee member shall constitute a quorum for the transaction of business. In the event that the requisite number of directors is not able to attend a meeting of the Board of Directors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10.4.    </w:t>
      </w:r>
      <w:r>
        <w:rPr>
          <w:rFonts w:ascii="Times New Roman;serif" w:hAnsi="Times New Roman;serif"/>
          <w:b w:val="false"/>
          <w:color w:val="000000"/>
          <w:sz w:val="24"/>
          <w:u w:val="single"/>
        </w:rPr>
        <w:t>Liability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officer, director or employee of the Corporation acting in accordance with the provisions of this Section 10 shall be liable except for willful misconduct.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10.5.    </w:t>
      </w:r>
      <w:r>
        <w:rPr>
          <w:rFonts w:ascii="Times New Roman;serif" w:hAnsi="Times New Roman;serif"/>
          <w:b w:val="false"/>
          <w:color w:val="000000"/>
          <w:sz w:val="24"/>
          <w:u w:val="single"/>
        </w:rPr>
        <w:t>Amendments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meeting called in accordance with Section 10.2 above, the Board of Directors, or any committee thereof, as the case may be, may modify, amend or add to the provisions of this Section 10 as it deems it to be in the best interests of the Corporation and as is practical or necessary for the circumstances of the Emergency.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10.6.    </w:t>
      </w:r>
      <w:r>
        <w:rPr>
          <w:rFonts w:ascii="Times New Roman;serif" w:hAnsi="Times New Roman;serif"/>
          <w:b w:val="false"/>
          <w:color w:val="000000"/>
          <w:sz w:val="24"/>
          <w:u w:val="single"/>
        </w:rPr>
        <w:t>Repeal or Change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this Section 10 shall be subject to repeal or change by further action of the Board of Directors or by action of the stockholders pursuant to Section 9, but no such repeal or change shall modify the provisions of Section 10.4 above with regard to action taken prior to the time of such repeal or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10.7.    </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10, the term “Designated Officer” means an officer identified on a numbered list of officers of the Corporation who shall be deemed to be, in the order in which they appear on the list up until a quorum is obtained, directors of the Corporation, or members of a committee of the Board of Directors, as the case may be, for purposes of obtaining a quorum during an Emergency, if a quorum of directors or committee members, as the case may be, cannot otherwise be obtained during such Emergency, which officers have been designated by the Board of Directors from time to time but in any event prior to such time or times as an Emergency may have occurred.</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0"/>
        </w:rPr>
      </w:pPr>
      <w:r>
        <w:rPr>
          <w:rFonts w:ascii="Times New Roman;serif" w:hAnsi="Times New Roman;serif"/>
          <w:b/>
          <w:color w:val="000000"/>
          <w:sz w:val="20"/>
        </w:rPr>
        <w:t>LPL FINANCIAL HOLDINGS INC.</w:t>
      </w:r>
    </w:p>
    <w:p>
      <w:pPr>
        <w:pStyle w:val="TextBody"/>
        <w:bidi w:val="0"/>
        <w:spacing w:lineRule="auto" w:line="288" w:before="119" w:after="283"/>
        <w:jc w:val="center"/>
        <w:rPr>
          <w:rFonts w:ascii="Times New Roman;serif" w:hAnsi="Times New Roman;serif"/>
          <w:b w:val="false"/>
          <w:i/>
          <w:color w:val="000000"/>
          <w:sz w:val="20"/>
        </w:rPr>
      </w:pPr>
      <w:r>
        <w:rPr>
          <w:rFonts w:ascii="Times New Roman;serif" w:hAnsi="Times New Roman;serif"/>
          <w:b w:val="false"/>
          <w:i/>
          <w:color w:val="000000"/>
          <w:sz w:val="20"/>
        </w:rPr>
        <w:t>Non-Employee Director Compensation Policy</w:t>
      </w:r>
    </w:p>
    <w:p>
      <w:pPr>
        <w:pStyle w:val="TextBody"/>
        <w:bidi w:val="0"/>
        <w:spacing w:lineRule="auto" w:line="288" w:before="241" w:after="283"/>
        <w:jc w:val="both"/>
        <w:rPr>
          <w:rFonts w:ascii="Times New Roman;serif" w:hAnsi="Times New Roman;serif"/>
          <w:b/>
          <w:color w:val="000000"/>
          <w:sz w:val="20"/>
        </w:rPr>
      </w:pPr>
      <w:r>
        <w:rPr>
          <w:rFonts w:ascii="Times New Roman;serif" w:hAnsi="Times New Roman;serif"/>
          <w:b/>
          <w:color w:val="000000"/>
          <w:sz w:val="20"/>
        </w:rPr>
        <w:t>Annual Retainer</w:t>
      </w:r>
    </w:p>
    <w:p>
      <w:pPr>
        <w:pStyle w:val="TextBody"/>
        <w:bidi w:val="0"/>
        <w:spacing w:lineRule="auto" w:line="288" w:before="118" w:after="283"/>
        <w:ind w:left="0" w:right="0" w:hanging="360"/>
        <w:jc w:val="both"/>
        <w:rPr/>
      </w:pPr>
      <w:r>
        <w:rPr>
          <w:color w:val="000000"/>
        </w:rPr>
        <w:t>•</w:t>
      </w:r>
      <w:r>
        <w:rPr>
          <w:rFonts w:ascii="Times New Roman;serif" w:hAnsi="Times New Roman;serif"/>
          <w:b w:val="false"/>
          <w:color w:val="000000"/>
          <w:sz w:val="20"/>
        </w:rPr>
        <w:t>All non-employee directors receive an annual retainer of $335,000, which is paid in advance on the next business day following the Company’s annual meeting of stockholders (the “Annual Payment Date”). Of this amount, $110,000 is paid in a lump sum in cash and $225,000 is paid in the form of restricted shares of the Company’s common stock (the “Common Stock”).</w:t>
      </w:r>
    </w:p>
    <w:p>
      <w:pPr>
        <w:pStyle w:val="TextBody"/>
        <w:bidi w:val="0"/>
        <w:spacing w:lineRule="auto" w:line="288" w:before="118" w:after="283"/>
        <w:ind w:left="0" w:right="0" w:hanging="360"/>
        <w:jc w:val="both"/>
        <w:rPr/>
      </w:pPr>
      <w:r>
        <w:rPr>
          <w:color w:val="000000"/>
        </w:rPr>
        <w:t>•</w:t>
      </w:r>
      <w:r>
        <w:rPr>
          <w:rFonts w:ascii="Times New Roman;serif" w:hAnsi="Times New Roman;serif"/>
          <w:b w:val="false"/>
          <w:color w:val="000000"/>
          <w:sz w:val="20"/>
        </w:rPr>
        <w:t>The restricted shares are issued under the Company’s 2021 Omnibus Equity Incentive Plan (the “2021 Plan”) and vest in full on the date immediately prior to the date of the Company’s next annual meeting of stockholders (the “Vesting Date”). The number of restricted shares is determined by dividing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$225,000 by the average of the closing price per share of the Common Stock on The NASDAQ Stock Market for the trailing thirty consecutive trading days inclusive of the Annual Payment Date (the “Grant Price”), rounded down to the nearest whole share.</w:t>
      </w:r>
    </w:p>
    <w:p>
      <w:pPr>
        <w:pStyle w:val="TextBody"/>
        <w:bidi w:val="0"/>
        <w:spacing w:lineRule="auto" w:line="288" w:before="119" w:after="283"/>
        <w:ind w:left="0" w:right="0" w:hanging="360"/>
        <w:jc w:val="both"/>
        <w:rPr/>
      </w:pPr>
      <w:r>
        <w:rPr>
          <w:color w:val="000000"/>
        </w:rPr>
        <w:t>•</w:t>
      </w:r>
      <w:r>
        <w:rPr>
          <w:rFonts w:ascii="Times New Roman;serif" w:hAnsi="Times New Roman;serif"/>
          <w:b w:val="false"/>
          <w:color w:val="000000"/>
          <w:sz w:val="20"/>
        </w:rPr>
        <w:t>In lieu of the above cash payment, a non-employee director may make an election (an “Election”) to be issued, on the Annual Payment Date, a number of shares of the Common Stock under the 2021 Plan determined by dividing $110,000 by the Grant Price, rounded down to the nearest whole share. An Election must be delivered in writing (including electronic mail) prior to the Annual Payment Date during an open trading window under the Company’s insider trading policy.</w:t>
      </w:r>
    </w:p>
    <w:p>
      <w:pPr>
        <w:pStyle w:val="TextBody"/>
        <w:bidi w:val="0"/>
        <w:spacing w:lineRule="auto" w:line="288" w:before="242" w:after="283"/>
        <w:jc w:val="both"/>
        <w:rPr>
          <w:rFonts w:ascii="Times New Roman;serif" w:hAnsi="Times New Roman;serif"/>
          <w:b/>
          <w:color w:val="000000"/>
          <w:sz w:val="20"/>
        </w:rPr>
      </w:pPr>
      <w:r>
        <w:rPr>
          <w:rFonts w:ascii="Times New Roman;serif" w:hAnsi="Times New Roman;serif"/>
          <w:b/>
          <w:color w:val="000000"/>
          <w:sz w:val="20"/>
        </w:rPr>
        <w:t>Additional Service Retainers</w:t>
      </w:r>
    </w:p>
    <w:p>
      <w:pPr>
        <w:pStyle w:val="TextBody"/>
        <w:bidi w:val="0"/>
        <w:spacing w:lineRule="auto" w:line="288" w:before="117" w:after="283"/>
        <w:ind w:left="0" w:right="0" w:hanging="361"/>
        <w:jc w:val="both"/>
        <w:rPr/>
      </w:pPr>
      <w:r>
        <w:rPr>
          <w:color w:val="000000"/>
        </w:rPr>
        <w:t>•</w:t>
      </w:r>
      <w:r>
        <w:rPr>
          <w:rFonts w:ascii="Times New Roman;serif" w:hAnsi="Times New Roman;serif"/>
          <w:b w:val="false"/>
          <w:color w:val="000000"/>
          <w:sz w:val="20"/>
        </w:rPr>
        <w:t>Members of the standing committees of the Board of Directors receive annual service retainers in the following amounts, paid in cash in quarterly installments following the end of each quarter of service:</w:t>
      </w:r>
    </w:p>
    <w:p>
      <w:pPr>
        <w:pStyle w:val="TextBody"/>
        <w:bidi w:val="0"/>
        <w:spacing w:before="5" w:after="283"/>
        <w:jc w:val="left"/>
        <w:rPr/>
      </w:pPr>
      <w:r>
        <w:rPr/>
      </w:r>
    </w:p>
    <w:tbl>
      <w:tblPr>
        <w:tblW w:w="7092" w:type="dxa"/>
        <w:jc w:val="left"/>
        <w:tblInd w:w="0" w:type="dxa"/>
        <w:tblLayout w:type="fixed"/>
        <w:tblCellMar>
          <w:top w:w="28" w:type="dxa"/>
          <w:left w:w="28" w:type="dxa"/>
          <w:bottom w:w="28" w:type="dxa"/>
          <w:right w:w="28" w:type="dxa"/>
        </w:tblCellMar>
      </w:tblPr>
      <w:tblGrid>
        <w:gridCol w:w="1484"/>
        <w:gridCol w:w="1304"/>
        <w:gridCol w:w="1307"/>
        <w:gridCol w:w="259"/>
        <w:gridCol w:w="259"/>
        <w:gridCol w:w="263"/>
        <w:gridCol w:w="109"/>
        <w:gridCol w:w="109"/>
        <w:gridCol w:w="109"/>
        <w:gridCol w:w="553"/>
        <w:gridCol w:w="553"/>
        <w:gridCol w:w="783"/>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Times New Roman;serif" w:hAnsi="Times New Roman;serif"/>
                <w:b/>
                <w:color w:val="000000"/>
                <w:sz w:val="20"/>
              </w:rPr>
            </w:pPr>
            <w:r>
              <w:rPr>
                <w:rFonts w:ascii="Times New Roman;serif" w:hAnsi="Times New Roman;serif"/>
                <w:b/>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Times New Roman;serif" w:hAnsi="Times New Roman;serif"/>
                <w:b/>
                <w:color w:val="000000"/>
                <w:sz w:val="20"/>
              </w:rPr>
            </w:pPr>
            <w:r>
              <w:rPr>
                <w:rFonts w:ascii="Times New Roman;serif" w:hAnsi="Times New Roman;serif"/>
                <w:b/>
                <w:color w:val="000000"/>
                <w:sz w:val="20"/>
              </w:rPr>
              <w:t>Each Other Member</w:t>
            </w:r>
          </w:p>
        </w:tc>
      </w:tr>
      <w:tr>
        <w:trPr/>
        <w:tc>
          <w:tcPr>
            <w:tcW w:w="4095" w:type="dxa"/>
            <w:gridSpan w:val="3"/>
            <w:tcBorders/>
            <w:tcMar>
              <w:top w:w="0" w:type="dxa"/>
              <w:left w:w="0" w:type="dxa"/>
              <w:bottom w:w="0" w:type="dxa"/>
              <w:right w:w="0" w:type="dxa"/>
            </w:tcMar>
            <w:vAlign w:val="center"/>
          </w:tcPr>
          <w:p>
            <w:pPr>
              <w:pStyle w:val="TableContents"/>
              <w:bidi w:val="0"/>
              <w:spacing w:lineRule="atLeast" w:line="237" w:before="0" w:after="0"/>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37" w:before="0" w:after="0"/>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37" w:before="0" w:after="0"/>
              <w:jc w:val="right"/>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4095" w:type="dxa"/>
            <w:gridSpan w:val="3"/>
            <w:tcBorders/>
            <w:tcMar>
              <w:top w:w="0" w:type="dxa"/>
              <w:left w:w="0" w:type="dxa"/>
              <w:bottom w:w="0" w:type="dxa"/>
              <w:right w:w="0" w:type="dxa"/>
            </w:tcMar>
            <w:vAlign w:val="center"/>
          </w:tcPr>
          <w:p>
            <w:pPr>
              <w:pStyle w:val="TableContents"/>
              <w:bidi w:val="0"/>
              <w:spacing w:lineRule="atLeast" w:line="233"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Human Resources Committee</w:t>
            </w:r>
          </w:p>
        </w:tc>
        <w:tc>
          <w:tcPr>
            <w:tcW w:w="781" w:type="dxa"/>
            <w:gridSpan w:val="3"/>
            <w:tcBorders/>
            <w:tcMar>
              <w:top w:w="0" w:type="dxa"/>
              <w:left w:w="0" w:type="dxa"/>
              <w:bottom w:w="0" w:type="dxa"/>
              <w:right w:w="0" w:type="dxa"/>
            </w:tcMar>
            <w:vAlign w:val="center"/>
          </w:tcPr>
          <w:p>
            <w:pPr>
              <w:pStyle w:val="TableContents"/>
              <w:bidi w:val="0"/>
              <w:spacing w:lineRule="atLeast" w:line="233" w:before="0" w:after="0"/>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tLeast" w:line="233" w:before="0" w:after="0"/>
              <w:jc w:val="right"/>
              <w:rPr>
                <w:rFonts w:ascii="Times New Roman;serif" w:hAnsi="Times New Roman;serif"/>
                <w:b w:val="false"/>
                <w:color w:val="000000"/>
                <w:sz w:val="20"/>
              </w:rPr>
            </w:pPr>
            <w:r>
              <w:rPr>
                <w:rFonts w:ascii="Times New Roman;serif" w:hAnsi="Times New Roman;serif"/>
                <w:b w:val="false"/>
                <w:color w:val="000000"/>
                <w:sz w:val="20"/>
              </w:rPr>
              <w:t>$12,500</w:t>
            </w:r>
          </w:p>
        </w:tc>
      </w:tr>
      <w:tr>
        <w:trPr/>
        <w:tc>
          <w:tcPr>
            <w:tcW w:w="4095" w:type="dxa"/>
            <w:gridSpan w:val="3"/>
            <w:tcBorders/>
            <w:tcMar>
              <w:top w:w="0" w:type="dxa"/>
              <w:left w:w="0" w:type="dxa"/>
              <w:bottom w:w="0" w:type="dxa"/>
              <w:right w:w="0" w:type="dxa"/>
            </w:tcMar>
            <w:vAlign w:val="center"/>
          </w:tcPr>
          <w:p>
            <w:pPr>
              <w:pStyle w:val="TableContents"/>
              <w:bidi w:val="0"/>
              <w:spacing w:lineRule="atLeast" w:line="228" w:before="0" w:after="0"/>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w:t>
            </w:r>
          </w:p>
        </w:tc>
        <w:tc>
          <w:tcPr>
            <w:tcW w:w="781" w:type="dxa"/>
            <w:gridSpan w:val="3"/>
            <w:tcBorders/>
            <w:tcMar>
              <w:top w:w="0" w:type="dxa"/>
              <w:left w:w="0" w:type="dxa"/>
              <w:bottom w:w="0" w:type="dxa"/>
              <w:right w:w="0" w:type="dxa"/>
            </w:tcMar>
            <w:vAlign w:val="center"/>
          </w:tcPr>
          <w:p>
            <w:pPr>
              <w:pStyle w:val="TableContents"/>
              <w:bidi w:val="0"/>
              <w:spacing w:lineRule="atLeast" w:line="228" w:before="0" w:after="0"/>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tLeast" w:line="228" w:before="0" w:after="0"/>
              <w:jc w:val="right"/>
              <w:rPr>
                <w:rFonts w:ascii="Times New Roman;serif" w:hAnsi="Times New Roman;serif"/>
                <w:b w:val="false"/>
                <w:color w:val="000000"/>
                <w:sz w:val="20"/>
              </w:rPr>
            </w:pPr>
            <w:r>
              <w:rPr>
                <w:rFonts w:ascii="Times New Roman;serif" w:hAnsi="Times New Roman;serif"/>
                <w:b w:val="false"/>
                <w:color w:val="000000"/>
                <w:sz w:val="20"/>
              </w:rPr>
              <w:t>$10,000</w:t>
            </w:r>
          </w:p>
        </w:tc>
      </w:tr>
    </w:tbl>
    <w:p>
      <w:pPr>
        <w:pStyle w:val="TextBody"/>
        <w:bidi w:val="0"/>
        <w:spacing w:lineRule="auto" w:line="288" w:before="241" w:after="283"/>
        <w:ind w:left="0" w:right="0" w:hanging="361"/>
        <w:jc w:val="both"/>
        <w:rPr/>
      </w:pPr>
      <w:r>
        <w:rPr>
          <w:color w:val="000000"/>
        </w:rPr>
        <w:t>•</w:t>
      </w:r>
      <w:r>
        <w:rPr>
          <w:rFonts w:ascii="Times New Roman;serif" w:hAnsi="Times New Roman;serif"/>
          <w:b w:val="false"/>
          <w:color w:val="000000"/>
          <w:sz w:val="20"/>
        </w:rPr>
        <w:t>The Chair of the Board receives an additional annual service retainer of $175,000, paid in cash in quarterly installments following the end of each quarter of service.</w:t>
      </w:r>
    </w:p>
    <w:p>
      <w:pPr>
        <w:pStyle w:val="TextBody"/>
        <w:bidi w:val="0"/>
        <w:spacing w:lineRule="auto" w:line="288" w:before="242" w:after="283"/>
        <w:jc w:val="both"/>
        <w:rPr>
          <w:rFonts w:ascii="Times New Roman;serif" w:hAnsi="Times New Roman;serif"/>
          <w:b/>
          <w:color w:val="000000"/>
          <w:sz w:val="20"/>
        </w:rPr>
      </w:pPr>
      <w:r>
        <w:rPr>
          <w:rFonts w:ascii="Times New Roman;serif" w:hAnsi="Times New Roman;serif"/>
          <w:b/>
          <w:color w:val="000000"/>
          <w:sz w:val="20"/>
        </w:rPr>
        <w:t>Newly Elected Directors</w:t>
      </w:r>
    </w:p>
    <w:p>
      <w:pPr>
        <w:pStyle w:val="TextBody"/>
        <w:bidi w:val="0"/>
        <w:spacing w:lineRule="auto" w:line="288" w:before="117" w:after="283"/>
        <w:ind w:left="0" w:right="0" w:hanging="1"/>
        <w:jc w:val="both"/>
        <w:rPr>
          <w:rFonts w:ascii="Times New Roman;serif" w:hAnsi="Times New Roman;serif"/>
          <w:b w:val="false"/>
          <w:color w:val="000000"/>
          <w:sz w:val="20"/>
        </w:rPr>
      </w:pPr>
      <w:r>
        <w:rPr>
          <w:rFonts w:ascii="Times New Roman;serif" w:hAnsi="Times New Roman;serif"/>
          <w:b w:val="false"/>
          <w:color w:val="000000"/>
          <w:sz w:val="20"/>
        </w:rPr>
        <w:t>Following a non-employee director’s initial election to the Board of Directors other than on the date of an annual meeting of stockholders, he or she will receive a portion of the annual retainer (the “Pro-Rated Retainer”), payable on the first business day of the month immediately following such election (the “Election Payment Date”).</w:t>
      </w:r>
    </w:p>
    <w:p>
      <w:pPr>
        <w:pStyle w:val="TextBody"/>
        <w:bidi w:val="0"/>
        <w:spacing w:lineRule="auto" w:line="288" w:before="122" w:after="283"/>
        <w:ind w:left="0" w:right="0" w:hanging="361"/>
        <w:jc w:val="both"/>
        <w:rPr/>
      </w:pPr>
      <w:r>
        <w:rPr>
          <w:color w:val="000000"/>
        </w:rPr>
        <w:t>•</w:t>
      </w:r>
      <w:r>
        <w:rPr>
          <w:rFonts w:ascii="Times New Roman;serif" w:hAnsi="Times New Roman;serif"/>
          <w:b w:val="false"/>
          <w:color w:val="000000"/>
          <w:sz w:val="20"/>
        </w:rPr>
        <w:t>The cash portion of the Pro-Rated Retainer will be calculated by multiplying $110,000 by a fraction, the numerator of which is the number of full months between the Election Payment Date and the Vesting Date and the denominator of which is 12 (the “Cash Amount”).</w:t>
      </w:r>
    </w:p>
    <w:p>
      <w:pPr>
        <w:pStyle w:val="TextBody"/>
        <w:bidi w:val="0"/>
        <w:spacing w:lineRule="auto" w:line="288" w:before="119" w:after="283"/>
        <w:ind w:left="0" w:right="0" w:hanging="360"/>
        <w:jc w:val="both"/>
        <w:rPr/>
      </w:pPr>
      <w:r>
        <w:rPr>
          <w:color w:val="000000"/>
        </w:rPr>
        <w:t>•</w:t>
      </w:r>
      <w:r>
        <w:rPr>
          <w:rFonts w:ascii="Times New Roman;serif" w:hAnsi="Times New Roman;serif"/>
          <w:b w:val="false"/>
          <w:color w:val="000000"/>
          <w:sz w:val="20"/>
        </w:rPr>
        <w:t>The number of restricted shares to be issued will be determined by (i) multiplying $225,000 by a fraction, the numerator of which is the number of full months between the Election Payment Date and the Vesting Date and the denominator of which is 12, and (ii) dividing such product by the average of the closing price per share of the Common Stock on The NASDAQ Stock Market for the trailing thirty consecutive trading days inclusive of the Election Payment Date, rounded down to the nearest whole share. The restricted shares will be issued under the 2021 Plan and vest in full on the Vesting Date.</w:t>
      </w:r>
    </w:p>
    <w:p>
      <w:pPr>
        <w:pStyle w:val="TextBody"/>
        <w:bidi w:val="0"/>
        <w:spacing w:lineRule="auto" w:line="288" w:before="119" w:after="283"/>
        <w:ind w:left="0" w:right="0" w:hanging="359"/>
        <w:jc w:val="both"/>
        <w:rPr/>
      </w:pPr>
      <w:r>
        <w:rPr>
          <w:color w:val="000000"/>
        </w:rPr>
        <w:t>•</w:t>
      </w:r>
      <w:r>
        <w:rPr>
          <w:rFonts w:ascii="Times New Roman;serif" w:hAnsi="Times New Roman;serif"/>
          <w:b w:val="false"/>
          <w:color w:val="000000"/>
          <w:sz w:val="22"/>
        </w:rPr>
        <w:t>In lieu of the above cash payment, a non-employee director may make an election to be issued, on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3345"/>
                <wp:effectExtent l="0" t="0" r="0" b="0"/>
                <wp:wrapNone/>
                <wp:docPr id="96" name="Frame96"/>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499895-1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499895-1</w:t>
                      </w:r>
                    </w:p>
                  </w:txbxContent>
                </v:textbox>
                <w10:wrap type="none"/>
              </v:rect>
            </w:pict>
          </mc:Fallback>
        </mc:AlternateContent>
      </w:r>
    </w:p>
    <w:p>
      <w:pPr>
        <w:pStyle w:val="TextBody"/>
        <w:bidi w:val="0"/>
        <w:spacing w:lineRule="auto" w:line="288" w:before="78" w:after="283"/>
        <w:jc w:val="both"/>
        <w:rPr>
          <w:rFonts w:ascii="Times New Roman;serif" w:hAnsi="Times New Roman;serif"/>
          <w:b w:val="false"/>
          <w:color w:val="000000"/>
          <w:sz w:val="22"/>
        </w:rPr>
      </w:pPr>
      <w:r>
        <w:rPr>
          <w:rFonts w:ascii="Times New Roman;serif" w:hAnsi="Times New Roman;serif"/>
          <w:b w:val="false"/>
          <w:color w:val="000000"/>
          <w:sz w:val="22"/>
        </w:rPr>
        <w:t>Election Payment Date, a number of shares of Common Stock under the 2021 Plan determined by dividing the Cash Amount by the average of the closing price per share of the Common Stock on The NASDAQ Stock Market for the trailing thirty consecutive trading days inclusive of the Election Payment Date, rounded down to the nearest whole share. Such an election must be delivered in writing (including electronic mail) on or prior to the date of the director’s election to the Board of Directors.</w:t>
      </w:r>
    </w:p>
    <w:p>
      <w:pPr>
        <w:pStyle w:val="TextBody"/>
        <w:bidi w:val="0"/>
        <w:spacing w:lineRule="auto" w:line="280" w:before="120" w:after="283"/>
        <w:jc w:val="both"/>
        <w:rPr>
          <w:rFonts w:ascii="Times New Roman;serif" w:hAnsi="Times New Roman;serif"/>
          <w:b w:val="false"/>
          <w:color w:val="000000"/>
          <w:sz w:val="22"/>
        </w:rPr>
      </w:pPr>
      <w:r>
        <w:rPr>
          <w:rFonts w:ascii="Times New Roman;serif" w:hAnsi="Times New Roman;serif"/>
          <w:b w:val="false"/>
          <w:color w:val="000000"/>
          <w:sz w:val="22"/>
        </w:rPr>
        <w:t>Newly elected directors, and directors who are newly appointed to a committee, will also be entitled to pro-rated service retainers for any full month following his or her initial election to the Board of Directors or initial appointment to a committee of the Board of Directors, as applicable.</w:t>
      </w:r>
    </w:p>
    <w:p>
      <w:pPr>
        <w:pStyle w:val="TextBody"/>
        <w:bidi w:val="0"/>
        <w:spacing w:lineRule="auto" w:line="288" w:before="232" w:after="283"/>
        <w:jc w:val="both"/>
        <w:rPr>
          <w:rFonts w:ascii="Times New Roman;serif" w:hAnsi="Times New Roman;serif"/>
          <w:b w:val="false"/>
          <w:color w:val="000000"/>
          <w:sz w:val="22"/>
        </w:rPr>
      </w:pPr>
      <w:r>
        <w:rPr>
          <w:rFonts w:ascii="Times New Roman;serif" w:hAnsi="Times New Roman;serif"/>
          <w:b w:val="false"/>
          <w:color w:val="000000"/>
          <w:sz w:val="22"/>
        </w:rPr>
        <w:t>Directors may elect to defer their annual retainer, but not, for the avoidance of doubt, their additional service retainers, under the Company’s Non-Employee Director Deferred Compensation Plan. If the restricted stock portion of the annual retainer is deferred, a director will receive a grant of restricted stock units under the 2021 Plan in lieu of restricted stock.</w:t>
      </w:r>
    </w:p>
    <w:p>
      <w:pPr>
        <w:pStyle w:val="TextBody"/>
        <w:bidi w:val="0"/>
        <w:spacing w:lineRule="auto" w:line="280" w:before="240" w:after="283"/>
        <w:jc w:val="both"/>
        <w:rPr>
          <w:rFonts w:ascii="Times New Roman;serif" w:hAnsi="Times New Roman;serif"/>
          <w:b w:val="false"/>
          <w:color w:val="000000"/>
          <w:sz w:val="22"/>
        </w:rPr>
      </w:pPr>
      <w:r>
        <w:rPr>
          <w:rFonts w:ascii="Times New Roman;serif" w:hAnsi="Times New Roman;serif"/>
          <w:b w:val="false"/>
          <w:color w:val="000000"/>
          <w:sz w:val="22"/>
        </w:rPr>
        <w:t>In the discretion of the Board of Directors, the grant date of shares of Common Stock, including restricted shares, may be delayed until the next open trading window under the Company’s insider trading policy then in effect.</w:t>
      </w:r>
    </w:p>
    <w:p>
      <w:pPr>
        <w:pStyle w:val="TextBody"/>
        <w:bidi w:val="0"/>
        <w:spacing w:before="0" w:after="0"/>
        <w:jc w:val="left"/>
        <w:rPr/>
      </w:pPr>
      <w:r>
        <w:rPr/>
      </w:r>
    </w:p>
    <w:p>
      <w:pPr>
        <w:pStyle w:val="TextBody"/>
        <w:bidi w:val="0"/>
        <w:spacing w:before="103" w:after="283"/>
        <w:jc w:val="left"/>
        <w:rPr/>
      </w:pPr>
      <w:r>
        <w:rPr/>
      </w:r>
    </w:p>
    <w:p>
      <w:pPr>
        <w:pStyle w:val="TextBody"/>
        <w:bidi w:val="0"/>
        <w:spacing w:lineRule="auto" w:line="288"/>
        <w:jc w:val="both"/>
        <w:rPr>
          <w:rFonts w:ascii="Times New Roman;serif" w:hAnsi="Times New Roman;serif"/>
          <w:b w:val="false"/>
          <w:i/>
          <w:color w:val="000000"/>
          <w:sz w:val="22"/>
        </w:rPr>
      </w:pPr>
      <w:r>
        <w:rPr>
          <w:rFonts w:ascii="Times New Roman;serif" w:hAnsi="Times New Roman;serif"/>
          <w:b w:val="false"/>
          <w:i/>
          <w:color w:val="000000"/>
          <w:sz w:val="22"/>
        </w:rPr>
        <w:t>Effective as of May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6" w:before="0" w:after="0"/>
        <w:jc w:val="right"/>
        <w:rPr>
          <w:rFonts w:ascii="Times New Roman;serif" w:hAnsi="Times New Roman;serif"/>
          <w:b/>
          <w:color w:val="000000"/>
          <w:sz w:val="22"/>
        </w:rPr>
      </w:pPr>
      <w:r>
        <w:rPr>
          <w:rFonts w:ascii="Times New Roman;serif" w:hAnsi="Times New Roman;serif"/>
          <w:b/>
          <w:color w:val="000000"/>
          <w:sz w:val="22"/>
        </w:rPr>
        <w:t>Exhibit 22.1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3345"/>
                <wp:effectExtent l="0" t="0" r="0" b="0"/>
                <wp:wrapNone/>
                <wp:docPr id="97" name="Frame97"/>
                <a:graphic xmlns:a="http://schemas.openxmlformats.org/drawingml/2006/main">
                  <a:graphicData uri="http://schemas.microsoft.com/office/word/2010/wordprocessingShape">
                    <wps:wsp>
                      <wps:cNvSpPr txBox="1"/>
                      <wps:spPr>
                        <a:xfrm>
                          <a:off x="0" y="0"/>
                          <a:ext cx="6480175" cy="93345"/>
                        </a:xfrm>
                        <a:prstGeom prst="rect"/>
                        <a:solidFill>
                          <a:srgbClr val="FFFFFF"/>
                        </a:solidFill>
                      </wps:spPr>
                      <wps:txb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499895-1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499895-1</w:t>
                      </w:r>
                    </w:p>
                  </w:txbxContent>
                </v:textbox>
                <w10:wrap type="none"/>
              </v:rect>
            </w:pict>
          </mc:Fallback>
        </mc:AlternateContent>
      </w:r>
    </w:p>
    <w:p>
      <w:pPr>
        <w:pStyle w:val="TextBody"/>
        <w:bidi w:val="0"/>
        <w:spacing w:lineRule="auto" w:line="256"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List of Subsidiary Guarantors and Issuers of Guaranteed Securities</w:t>
      </w:r>
    </w:p>
    <w:p>
      <w:pPr>
        <w:pStyle w:val="TextBody"/>
        <w:bidi w:val="0"/>
        <w:spacing w:before="0" w:after="0"/>
        <w:jc w:val="center"/>
        <w:rPr/>
      </w:pPr>
      <w:r>
        <w:rPr/>
      </w:r>
    </w:p>
    <w:p>
      <w:pPr>
        <w:pStyle w:val="TextBody"/>
        <w:bidi w:val="0"/>
        <w:spacing w:lineRule="auto" w:line="268"/>
        <w:jc w:val="left"/>
        <w:rPr/>
      </w:pPr>
      <w:r>
        <w:rPr>
          <w:rFonts w:ascii="Times New Roman;serif" w:hAnsi="Times New Roman;serif"/>
          <w:b w:val="false"/>
          <w:color w:val="000000"/>
          <w:sz w:val="22"/>
          <w:shd w:fill="FFFFFF" w:val="clear"/>
        </w:rPr>
        <w:t xml:space="preserve">As of June 30, 2026, LPL Financial Holdings Inc., a Delaware corporation, has fully and unconditionally guaranteed the 5.700% Senior Notes due 2027, </w:t>
      </w:r>
      <w:r>
        <w:rPr>
          <w:rFonts w:ascii="Times New Roman;serif" w:hAnsi="Times New Roman;serif"/>
          <w:b w:val="false"/>
          <w:color w:val="000000"/>
          <w:sz w:val="22"/>
        </w:rPr>
        <w:t>the 4.900% an</w:t>
      </w:r>
      <w:r>
        <w:rPr>
          <w:rFonts w:ascii="Times New Roman;serif" w:hAnsi="Times New Roman;serif"/>
          <w:b w:val="false"/>
          <w:color w:val="000000"/>
          <w:sz w:val="22"/>
          <w:shd w:fill="FFFFFF" w:val="clear"/>
        </w:rPr>
        <w:t xml:space="preserve">d 6.750% Senior Notes due 2028, the </w:t>
      </w:r>
      <w:r>
        <w:rPr>
          <w:rFonts w:ascii="Times New Roman;serif" w:hAnsi="Times New Roman;serif"/>
          <w:b w:val="false"/>
          <w:color w:val="000000"/>
          <w:sz w:val="22"/>
        </w:rPr>
        <w:t>5.150% and 5.200% Senior Notes due 2030,</w:t>
      </w:r>
      <w:r>
        <w:rPr>
          <w:color w:val="000000"/>
          <w:shd w:fill="FFFFFF" w:val="clear"/>
        </w:rPr>
        <w:t xml:space="preserve"> </w:t>
      </w:r>
      <w:r>
        <w:rPr>
          <w:rFonts w:ascii="Times New Roman;serif" w:hAnsi="Times New Roman;serif"/>
          <w:b w:val="false"/>
          <w:color w:val="000000"/>
          <w:sz w:val="22"/>
          <w:shd w:fill="FFFFFF" w:val="clear"/>
        </w:rPr>
        <w:t xml:space="preserve">the 6.000% Senior Notes due 2034 and the </w:t>
      </w:r>
      <w:r>
        <w:rPr>
          <w:rFonts w:ascii="Times New Roman;serif" w:hAnsi="Times New Roman;serif"/>
          <w:b w:val="false"/>
          <w:color w:val="000000"/>
          <w:sz w:val="22"/>
        </w:rPr>
        <w:t>5.650% and 5.750% Senior Notes due 2035 issued by L</w:t>
      </w:r>
      <w:r>
        <w:rPr>
          <w:rFonts w:ascii="Times New Roman;serif" w:hAnsi="Times New Roman;serif"/>
          <w:b w:val="false"/>
          <w:color w:val="000000"/>
          <w:sz w:val="22"/>
          <w:shd w:fill="FFFFFF" w:val="clear"/>
        </w:rPr>
        <w:t>PL Holdings, Inc., a Massachusetts corporation, pursuant to offerings registered under the Securities Act of 1933,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31.1</w:t>
      </w:r>
      <w:r>
        <w:rPr>
          <w:color w:val="000000"/>
        </w:rPr>
        <w:t xml:space="preserve"> </w:t>
      </w:r>
    </w:p>
    <w:p>
      <w:pPr>
        <w:pStyle w:val="TextBody"/>
        <w:bidi w:val="0"/>
        <w:spacing w:lineRule="auto" w:line="288" w:before="0" w:after="0"/>
        <w:jc w:val="center"/>
        <w:rPr/>
      </w:pPr>
      <w:r>
        <w:rPr>
          <w:rFonts w:ascii="Arial;sans-serif" w:hAnsi="Arial;sans-serif"/>
          <w:b/>
          <w:color w:val="000000"/>
          <w:sz w:val="20"/>
        </w:rPr>
        <w:t>CERTIFICATION OF THE PRINCIPAL EXECUTIVE OFFICER</w:t>
      </w:r>
      <w:r>
        <w:rPr>
          <w:color w:val="000000"/>
        </w:rPr>
        <w:t xml:space="preserve"> </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 Richard Steinmeier, certify that: </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LPL Financial Holdings Inc.;</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3, 2026 </w:t>
      </w:r>
    </w:p>
    <w:tbl>
      <w:tblPr>
        <w:tblW w:w="2831" w:type="dxa"/>
        <w:jc w:val="right"/>
        <w:tblInd w:w="0" w:type="dxa"/>
        <w:tblLayout w:type="fixed"/>
        <w:tblCellMar>
          <w:top w:w="28" w:type="dxa"/>
          <w:left w:w="28" w:type="dxa"/>
          <w:bottom w:w="28" w:type="dxa"/>
          <w:right w:w="28" w:type="dxa"/>
        </w:tblCellMar>
      </w:tblPr>
      <w:tblGrid>
        <w:gridCol w:w="305"/>
        <w:gridCol w:w="269"/>
        <w:gridCol w:w="269"/>
        <w:gridCol w:w="269"/>
        <w:gridCol w:w="269"/>
        <w:gridCol w:w="269"/>
        <w:gridCol w:w="269"/>
        <w:gridCol w:w="269"/>
        <w:gridCol w:w="271"/>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Steinmeier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Steinmeier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31.2</w:t>
      </w:r>
      <w:r>
        <w:rPr>
          <w:color w:val="000000"/>
        </w:rPr>
        <w:t xml:space="preserve"> </w:t>
      </w:r>
    </w:p>
    <w:p>
      <w:pPr>
        <w:pStyle w:val="TextBody"/>
        <w:bidi w:val="0"/>
        <w:spacing w:lineRule="auto" w:line="288" w:before="0" w:after="0"/>
        <w:jc w:val="center"/>
        <w:rPr/>
      </w:pPr>
      <w:r>
        <w:rPr>
          <w:rFonts w:ascii="Arial;sans-serif" w:hAnsi="Arial;sans-serif"/>
          <w:b/>
          <w:color w:val="000000"/>
          <w:sz w:val="20"/>
        </w:rPr>
        <w:t>CERTIFICATION OF THE PRINCIPAL FINANCIAL OFFICER</w:t>
      </w:r>
      <w:r>
        <w:rPr>
          <w:color w:val="000000"/>
        </w:rPr>
        <w:t xml:space="preserve"> </w:t>
      </w:r>
    </w:p>
    <w:p>
      <w:pPr>
        <w:pStyle w:val="TextBody"/>
        <w:bidi w:val="0"/>
        <w:spacing w:before="0" w:after="0"/>
        <w:jc w:val="center"/>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 Matthew Audette, certify that: </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LPL Financial Holdings Inc.;</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3, 2026 </w:t>
      </w:r>
    </w:p>
    <w:tbl>
      <w:tblPr>
        <w:tblW w:w="3680" w:type="dxa"/>
        <w:jc w:val="right"/>
        <w:tblInd w:w="0" w:type="dxa"/>
        <w:tblLayout w:type="fixed"/>
        <w:tblCellMar>
          <w:top w:w="28" w:type="dxa"/>
          <w:left w:w="28" w:type="dxa"/>
          <w:bottom w:w="28" w:type="dxa"/>
          <w:right w:w="28" w:type="dxa"/>
        </w:tblCellMar>
      </w:tblPr>
      <w:tblGrid>
        <w:gridCol w:w="412"/>
        <w:gridCol w:w="362"/>
        <w:gridCol w:w="362"/>
        <w:gridCol w:w="362"/>
        <w:gridCol w:w="362"/>
        <w:gridCol w:w="362"/>
        <w:gridCol w:w="362"/>
        <w:gridCol w:w="362"/>
        <w:gridCol w:w="362"/>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Financial Officer</w:t>
            </w:r>
          </w:p>
          <w:p>
            <w:pPr>
              <w:pStyle w:val="TableContents"/>
              <w:bidi w:val="0"/>
              <w:spacing w:lineRule="auto" w:line="240" w:before="0" w:after="0"/>
              <w:jc w:val="left"/>
              <w:rPr/>
            </w:pPr>
            <w:r>
              <w:rPr>
                <w:rFonts w:ascii="Arial;sans-serif" w:hAnsi="Arial;sans-serif"/>
                <w:b w:val="false"/>
                <w:i/>
                <w:color w:val="000000"/>
                <w:sz w:val="20"/>
              </w:rPr>
              <w:t>(principal financial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jc w:val="righ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color w:val="000000"/>
          <w:sz w:val="20"/>
        </w:rPr>
        <w:t>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jc w:val="left"/>
        <w:rPr>
          <w:color w:val="000000"/>
        </w:rPr>
      </w:pPr>
      <w:r>
        <w:rPr>
          <w:color w:val="000000"/>
        </w:rPr>
        <w:t>     </w:t>
      </w:r>
      <w:r>
        <w:rPr>
          <w:rFonts w:ascii="Arial;sans-serif" w:hAnsi="Arial;sans-serif"/>
          <w:b w:val="false"/>
          <w:color w:val="000000"/>
          <w:sz w:val="20"/>
        </w:rPr>
        <w:t xml:space="preserve">In connection with the Quarterly Report on Form 10-Q of LPL Financial Holdings Inc. (the “Company”) for the period ending June 30, 2026 as filed with the Securities and Exchange Commission (“SEC”) on the date hereof (the “Report”), I, Richard Steinmeier, Chief Executive Officer of the Company, certify, pursuant to 18 U.S.C. 1350, as adopted pursuant to section 906 of the Sarbanes-Oxley Act of 2002, that: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A signed original of this written statement has been provided to the Company and will be retained by the Company and furnished to the SEC or its staff upon request.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3, 2026 </w:t>
      </w:r>
    </w:p>
    <w:p>
      <w:pPr>
        <w:pStyle w:val="TextBody"/>
        <w:bidi w:val="0"/>
        <w:spacing w:before="0" w:after="0"/>
        <w:jc w:val="left"/>
        <w:rPr/>
      </w:pPr>
      <w:r>
        <w:rPr/>
      </w:r>
    </w:p>
    <w:tbl>
      <w:tblPr>
        <w:tblW w:w="2575" w:type="dxa"/>
        <w:jc w:val="right"/>
        <w:tblInd w:w="0" w:type="dxa"/>
        <w:tblLayout w:type="fixed"/>
        <w:tblCellMar>
          <w:top w:w="28" w:type="dxa"/>
          <w:left w:w="28" w:type="dxa"/>
          <w:bottom w:w="28" w:type="dxa"/>
          <w:right w:w="28" w:type="dxa"/>
        </w:tblCellMar>
      </w:tblPr>
      <w:tblGrid>
        <w:gridCol w:w="273"/>
        <w:gridCol w:w="241"/>
        <w:gridCol w:w="241"/>
        <w:gridCol w:w="241"/>
        <w:gridCol w:w="241"/>
        <w:gridCol w:w="241"/>
        <w:gridCol w:w="241"/>
        <w:gridCol w:w="241"/>
        <w:gridCol w:w="243"/>
        <w:gridCol w:w="109"/>
        <w:gridCol w:w="109"/>
        <w:gridCol w:w="154"/>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Steinmeier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Steinmeier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3"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Chief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color w:val="000000"/>
          <w:sz w:val="20"/>
        </w:rPr>
        <w:t>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In connection with the Quarterly Report on Form 10-Q of LPL Financial Holdings Inc. (the “Company”) for the period ending June 30, 2026 as filed with the Securities and Exchange Commission (“SEC”) on the date hereof (the “Report”), I, Matthew Audette, Chief Financial Officer of the Company, certify, pursuant to 18 U.S.C. 1350, as adopted pursuant to section 906 of the Sarbanes-Oxley Act of 2002, that: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A signed original of this written statement has been provided to the Company and will be retained by the Company and furnished to the SEC or its staff upon request.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3, 2026 </w:t>
      </w:r>
    </w:p>
    <w:p>
      <w:pPr>
        <w:pStyle w:val="TextBody"/>
        <w:bidi w:val="0"/>
        <w:spacing w:before="0" w:after="0"/>
        <w:jc w:val="left"/>
        <w:rPr/>
      </w:pPr>
      <w:r>
        <w:rPr/>
      </w:r>
    </w:p>
    <w:tbl>
      <w:tblPr>
        <w:tblW w:w="3680" w:type="dxa"/>
        <w:jc w:val="right"/>
        <w:tblInd w:w="0" w:type="dxa"/>
        <w:tblLayout w:type="fixed"/>
        <w:tblCellMar>
          <w:top w:w="28" w:type="dxa"/>
          <w:left w:w="28" w:type="dxa"/>
          <w:bottom w:w="28" w:type="dxa"/>
          <w:right w:w="28" w:type="dxa"/>
        </w:tblCellMar>
      </w:tblPr>
      <w:tblGrid>
        <w:gridCol w:w="412"/>
        <w:gridCol w:w="362"/>
        <w:gridCol w:w="362"/>
        <w:gridCol w:w="362"/>
        <w:gridCol w:w="362"/>
        <w:gridCol w:w="362"/>
        <w:gridCol w:w="362"/>
        <w:gridCol w:w="362"/>
        <w:gridCol w:w="362"/>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49055</Words>
  <Characters>269702</Characters>
  <CharactersWithSpaces>317464</CharactersWithSpaces>
  <Paragraphs>4959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