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6"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October 27, 2014 was 98,808,921.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25"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580" w:type="dxa"/>
            <w:vAlign w:val="bottom"/>
            <w:gridSpan w:val="23"/>
          </w:tcPr>
          <w:p>
            <w:pPr>
              <w:spacing w:after="0"/>
              <w:rPr>
                <w:sz w:val="20"/>
                <w:szCs w:val="20"/>
                <w:color w:val="auto"/>
              </w:rPr>
            </w:pPr>
            <w:r>
              <w:rPr>
                <w:rFonts w:ascii="Arial" w:cs="Arial" w:eastAsia="Arial" w:hAnsi="Arial"/>
                <w:sz w:val="14"/>
                <w:szCs w:val="14"/>
                <w:b w:val="1"/>
                <w:bCs w:val="1"/>
                <w:color w:val="auto"/>
              </w:rPr>
              <w:t>Item Number</w:t>
            </w: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392"/>
        </w:trPr>
        <w:tc>
          <w:tcPr>
            <w:tcW w:w="105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8">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53">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54">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54">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4"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86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strategies, plans, liquidity, future share repurchases, and future dividends, including statements regarding projected savings, projected expenses, and anticipated improvements to the Company's operating model, services, and technology as a result of the Service Value Commitment,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October 30, 2014.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effect of current, pending and future legislation, regulation and regulatory actions, including disciplinary actions imposed by federal and state securities regulators and self-regulatory organizations; the costs of settling and remediating issues related to pending or future regulatory matters;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cybersecurity risks, and sourcing risks; and the other factors set forth in Part I, “Item 1A. Risk Factors” in the Company's 2013 Annual Report on Form 10-K, as may be amended or updated in our Quarterly Reports on Form 10-Q.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576"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520,388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527,419</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1,590,139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1,521,390</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340,369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299,101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998,016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878,421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121,283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107,447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354,494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318,718</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94,674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93,799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276,284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271,808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36,182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43,248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1,089,234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1,053,212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3,269,394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3,046,928</w:t>
            </w:r>
          </w:p>
        </w:tc>
        <w:tc>
          <w:tcPr>
            <w:tcW w:w="0" w:type="dxa"/>
            <w:vAlign w:val="bottom"/>
          </w:tcPr>
          <w:p>
            <w:pPr>
              <w:spacing w:after="0"/>
              <w:rPr>
                <w:sz w:val="1"/>
                <w:szCs w:val="1"/>
                <w:color w:val="auto"/>
              </w:rPr>
            </w:pP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746,001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724,835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2,242,206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2,086,075</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106,290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102,310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317,459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299,317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36,807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85,276</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24,519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21,432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70,618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61,451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49,649</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38,174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18,955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82,736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47,588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Brokerage, clearing and exchange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32,958</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32,598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31,401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Regulatory fees and other</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23,339</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9,928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26,473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19,851</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20,547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25,958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1,020,884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978,547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3,016,582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2,774,021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Non-operating interest expense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38,651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38,190</w:t>
            </w:r>
          </w:p>
        </w:tc>
        <w:tc>
          <w:tcPr>
            <w:tcW w:w="0" w:type="dxa"/>
            <w:vAlign w:val="bottom"/>
          </w:tcPr>
          <w:p>
            <w:pPr>
              <w:spacing w:after="0"/>
              <w:rPr>
                <w:sz w:val="1"/>
                <w:szCs w:val="1"/>
                <w:color w:val="auto"/>
              </w:rPr>
            </w:pPr>
          </w:p>
        </w:tc>
      </w:tr>
      <w:tr>
        <w:trPr>
          <w:trHeight w:val="264"/>
        </w:trPr>
        <w:tc>
          <w:tcPr>
            <w:tcW w:w="562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64"/>
        </w:trPr>
        <w:tc>
          <w:tcPr>
            <w:tcW w:w="56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expenses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1,033,781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991,910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3,055,233</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2,820,173</w:t>
            </w:r>
          </w:p>
        </w:tc>
        <w:tc>
          <w:tcPr>
            <w:tcW w:w="0" w:type="dxa"/>
            <w:vAlign w:val="bottom"/>
          </w:tcPr>
          <w:p>
            <w:pPr>
              <w:spacing w:after="0"/>
              <w:rPr>
                <w:sz w:val="1"/>
                <w:szCs w:val="1"/>
                <w:color w:val="auto"/>
              </w:rPr>
            </w:pPr>
          </w:p>
        </w:tc>
      </w:tr>
      <w:tr>
        <w:trPr>
          <w:trHeight w:val="247"/>
        </w:trPr>
        <w:tc>
          <w:tcPr>
            <w:tcW w:w="56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3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55,453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61,302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214,161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226,755</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22,181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23,671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84,663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89,316</w:t>
            </w:r>
          </w:p>
        </w:tc>
        <w:tc>
          <w:tcPr>
            <w:tcW w:w="0" w:type="dxa"/>
            <w:vAlign w:val="bottom"/>
          </w:tcPr>
          <w:p>
            <w:pPr>
              <w:spacing w:after="0"/>
              <w:rPr>
                <w:sz w:val="1"/>
                <w:szCs w:val="1"/>
                <w:color w:val="auto"/>
              </w:rPr>
            </w:pPr>
          </w:p>
        </w:tc>
      </w:tr>
      <w:tr>
        <w:trPr>
          <w:trHeight w:val="264"/>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33,272</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37,631</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129,498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137,439</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EARNINGS PER SHARE (NOTE 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24"/>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100,519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105,670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101,834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105,705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102,384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106,934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7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5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September</w:t>
            </w:r>
          </w:p>
        </w:tc>
      </w:tr>
      <w:tr>
        <w:trPr>
          <w:trHeight w:val="228"/>
        </w:trPr>
        <w:tc>
          <w:tcPr>
            <w:tcW w:w="6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auto"/>
            </w:tcBorders>
          </w:tcPr>
          <w:p>
            <w:pPr>
              <w:spacing w:after="0"/>
              <w:rPr>
                <w:sz w:val="19"/>
                <w:szCs w:val="19"/>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129,498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137,439</w:t>
            </w: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8"/>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(loss) on cash flow hedges, net of tax expense (benefit)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9"/>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($63), ($155), $863, and ($155) for the three and nine months ended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4"/>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September 30, 2014 and 2013, respectively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8"/>
        </w:trPr>
        <w:tc>
          <w:tcPr>
            <w:tcW w:w="6080" w:type="dxa"/>
            <w:vAlign w:val="bottom"/>
          </w:tcPr>
          <w:p>
            <w:pPr>
              <w:ind w:left="360"/>
              <w:spacing w:after="0"/>
              <w:rPr>
                <w:sz w:val="20"/>
                <w:szCs w:val="20"/>
                <w:color w:val="auto"/>
              </w:rPr>
            </w:pPr>
            <w:r>
              <w:rPr>
                <w:rFonts w:ascii="Arial" w:cs="Arial" w:eastAsia="Arial" w:hAnsi="Arial"/>
                <w:sz w:val="16"/>
                <w:szCs w:val="16"/>
                <w:color w:val="auto"/>
              </w:rPr>
              <w:t>Reclassification adjustment for realized gain on cash flow hedges included in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net income, net of tax expense of $85, $0, $113, and $0 for the three and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6080" w:type="dxa"/>
            <w:vAlign w:val="bottom"/>
          </w:tcPr>
          <w:p>
            <w:pPr>
              <w:ind w:left="520"/>
              <w:spacing w:after="0"/>
              <w:rPr>
                <w:sz w:val="20"/>
                <w:szCs w:val="20"/>
                <w:color w:val="auto"/>
              </w:rPr>
            </w:pPr>
            <w:r>
              <w:rPr>
                <w:rFonts w:ascii="Arial" w:cs="Arial" w:eastAsia="Arial" w:hAnsi="Arial"/>
                <w:sz w:val="16"/>
                <w:szCs w:val="16"/>
                <w:color w:val="auto"/>
              </w:rPr>
              <w:t>nine months ended September 30, 2014 and 2013, respectively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08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other comprehensive income (loss), net of tax</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40"/>
        </w:trPr>
        <w:tc>
          <w:tcPr>
            <w:tcW w:w="608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33,036</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37,381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130,679</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137,189</w:t>
            </w:r>
          </w:p>
        </w:tc>
      </w:tr>
      <w:tr>
        <w:trPr>
          <w:trHeight w:val="20"/>
        </w:trPr>
        <w:tc>
          <w:tcPr>
            <w:tcW w:w="6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9" w:right="239" w:bottom="1440" w:gutter="0" w:footer="0" w:header="0"/>
        </w:sectPr>
      </w:pPr>
    </w:p>
    <w:bookmarkStart w:id="5" w:name="page6"/>
    <w:bookmarkEnd w:id="5"/>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2013</w:t>
            </w:r>
          </w:p>
        </w:tc>
        <w:tc>
          <w:tcPr>
            <w:tcW w:w="0" w:type="dxa"/>
            <w:vAlign w:val="bottom"/>
          </w:tcPr>
          <w:p>
            <w:pPr>
              <w:spacing w:after="0"/>
              <w:rPr>
                <w:sz w:val="1"/>
                <w:szCs w:val="1"/>
                <w:color w:val="auto"/>
              </w:rPr>
            </w:pPr>
          </w:p>
        </w:tc>
      </w:tr>
      <w:tr>
        <w:trPr>
          <w:trHeight w:val="220"/>
        </w:trPr>
        <w:tc>
          <w:tcPr>
            <w:tcW w:w="8340" w:type="dxa"/>
            <w:vAlign w:val="bottom"/>
          </w:tcPr>
          <w:p>
            <w:pPr>
              <w:jc w:val="center"/>
              <w:ind w:left="2999"/>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459,494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418,507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512,351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 from:</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120"/>
              <w:spacing w:after="0"/>
              <w:rPr>
                <w:sz w:val="20"/>
                <w:szCs w:val="20"/>
                <w:color w:val="auto"/>
              </w:rPr>
            </w:pPr>
            <w:r>
              <w:rPr>
                <w:rFonts w:ascii="Arial" w:cs="Arial" w:eastAsia="Arial" w:hAnsi="Arial"/>
                <w:sz w:val="16"/>
                <w:szCs w:val="16"/>
                <w:color w:val="auto"/>
              </w:rPr>
              <w:t>Clients, net of allowance of $1,237 at September 30, 2014 and $588 at December 31, 2013</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342,304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373,675</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178,439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174,070</w:t>
            </w:r>
          </w:p>
        </w:tc>
        <w:tc>
          <w:tcPr>
            <w:tcW w:w="0" w:type="dxa"/>
            <w:vAlign w:val="bottom"/>
          </w:tcPr>
          <w:p>
            <w:pPr>
              <w:spacing w:after="0"/>
              <w:rPr>
                <w:sz w:val="1"/>
                <w:szCs w:val="1"/>
                <w:color w:val="auto"/>
              </w:rPr>
            </w:pPr>
          </w:p>
        </w:tc>
      </w:tr>
      <w:tr>
        <w:trPr>
          <w:trHeight w:val="260"/>
        </w:trPr>
        <w:tc>
          <w:tcPr>
            <w:tcW w:w="8340" w:type="dxa"/>
            <w:vAlign w:val="bottom"/>
          </w:tcPr>
          <w:p>
            <w:pPr>
              <w:ind w:left="120"/>
              <w:spacing w:after="0"/>
              <w:rPr>
                <w:sz w:val="20"/>
                <w:szCs w:val="20"/>
                <w:color w:val="auto"/>
              </w:rPr>
            </w:pPr>
            <w:r>
              <w:rPr>
                <w:rFonts w:ascii="Arial" w:cs="Arial" w:eastAsia="Arial" w:hAnsi="Arial"/>
                <w:sz w:val="16"/>
                <w:szCs w:val="16"/>
                <w:color w:val="auto"/>
              </w:rPr>
              <w:t>Others, net of allowance of $9,383 at September 30, 2014 and $7,091 at December 31, 2013</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281,411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272,018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owned:</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Trading — at fair value</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12,926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Securities borrowed</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7,102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340" w:type="dxa"/>
            <w:vAlign w:val="bottom"/>
          </w:tcPr>
          <w:p>
            <w:pPr>
              <w:ind w:left="40"/>
              <w:spacing w:after="0"/>
              <w:rPr>
                <w:sz w:val="20"/>
                <w:szCs w:val="20"/>
                <w:color w:val="auto"/>
              </w:rPr>
            </w:pPr>
            <w:r>
              <w:rPr>
                <w:rFonts w:ascii="Arial" w:cs="Arial" w:eastAsia="Arial" w:hAnsi="Arial"/>
                <w:sz w:val="16"/>
                <w:szCs w:val="16"/>
                <w:color w:val="auto"/>
              </w:rPr>
              <w:t>Fixed assets, net of accumulated depreciation and amortization of $300,823 at September 30, 2014 and $263,321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200"/>
              <w:spacing w:after="0"/>
              <w:rPr>
                <w:sz w:val="20"/>
                <w:szCs w:val="20"/>
                <w:color w:val="auto"/>
              </w:rPr>
            </w:pPr>
            <w:r>
              <w:rPr>
                <w:rFonts w:ascii="Arial" w:cs="Arial" w:eastAsia="Arial" w:hAnsi="Arial"/>
                <w:sz w:val="16"/>
                <w:szCs w:val="16"/>
                <w:color w:val="auto"/>
              </w:rPr>
              <w:t>at December 31, 2013</w:t>
            </w:r>
          </w:p>
        </w:tc>
        <w:tc>
          <w:tcPr>
            <w:tcW w:w="1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207,413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189,059</w:t>
            </w:r>
          </w:p>
        </w:tc>
        <w:tc>
          <w:tcPr>
            <w:tcW w:w="0" w:type="dxa"/>
            <w:vAlign w:val="bottom"/>
          </w:tcPr>
          <w:p>
            <w:pPr>
              <w:spacing w:after="0"/>
              <w:rPr>
                <w:sz w:val="1"/>
                <w:szCs w:val="1"/>
                <w:color w:val="auto"/>
              </w:rPr>
            </w:pPr>
          </w:p>
        </w:tc>
      </w:tr>
      <w:tr>
        <w:trPr>
          <w:trHeight w:val="22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issuance costs, net of accumulated amortization of $10,991 at September 30, 2014 and $7,751 at December</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31, 2013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16,281</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1,365,838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1,361,361</w:t>
            </w:r>
          </w:p>
        </w:tc>
        <w:tc>
          <w:tcPr>
            <w:tcW w:w="0" w:type="dxa"/>
            <w:vAlign w:val="bottom"/>
          </w:tcPr>
          <w:p>
            <w:pPr>
              <w:spacing w:after="0"/>
              <w:rPr>
                <w:sz w:val="1"/>
                <w:szCs w:val="1"/>
                <w:color w:val="auto"/>
              </w:rPr>
            </w:pPr>
          </w:p>
        </w:tc>
      </w:tr>
      <w:tr>
        <w:trPr>
          <w:trHeight w:val="22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$295,332 at September 30, 2014 and $266,285 at December</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31, 2013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440,526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464,522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155,193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139,991</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3,918,167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center"/>
              <w:ind w:left="2999"/>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Drafts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135,095</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194,971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clients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565,221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565,204</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38,315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43,157</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143,024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135,149</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287,219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301,644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68,817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73,739</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Senior secured credit facilities</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1,526,967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1,535,096</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 net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90,119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89,369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2,854,795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2,942,860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$.001 par value; 600,000,000 shares authorized; 118,124,141 shares issued at September 30,</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2014 and 117,112,465 shares issued at December 31, 2013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1,346,701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1,292,374</w:t>
            </w:r>
          </w:p>
        </w:tc>
        <w:tc>
          <w:tcPr>
            <w:tcW w:w="0" w:type="dxa"/>
            <w:vAlign w:val="bottom"/>
          </w:tcPr>
          <w:p>
            <w:pPr>
              <w:spacing w:after="0"/>
              <w:rPr>
                <w:sz w:val="1"/>
                <w:szCs w:val="1"/>
                <w:color w:val="auto"/>
              </w:rPr>
            </w:pPr>
          </w:p>
        </w:tc>
      </w:tr>
      <w:tr>
        <w:trPr>
          <w:trHeight w:val="228"/>
        </w:trPr>
        <w:tc>
          <w:tcPr>
            <w:tcW w:w="8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 18,187,765 shares at September 30, 2014 and 15,216,301 shares at December 31,</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2013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(506,205)</w:t>
            </w:r>
          </w:p>
        </w:tc>
        <w:tc>
          <w:tcPr>
            <w:tcW w:w="0" w:type="dxa"/>
            <w:vAlign w:val="bottom"/>
          </w:tcPr>
          <w:p>
            <w:pPr>
              <w:spacing w:after="0"/>
              <w:rPr>
                <w:sz w:val="1"/>
                <w:szCs w:val="1"/>
                <w:color w:val="auto"/>
              </w:rPr>
            </w:pP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371,079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313,570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1,063,372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1,099,971</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3,918,167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center"/>
              <w:ind w:left="299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4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jc w:val="center"/>
              <w:ind w:right="428"/>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loss,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137,439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137,189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(184,318)</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(48,672)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(48,672)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27,623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28,189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17,330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17,330</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1,919</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1,919</w:t>
            </w:r>
          </w:p>
        </w:tc>
        <w:tc>
          <w:tcPr>
            <w:tcW w:w="0" w:type="dxa"/>
            <w:vAlign w:val="bottom"/>
          </w:tcPr>
          <w:p>
            <w:pPr>
              <w:spacing w:after="0"/>
              <w:rPr>
                <w:sz w:val="1"/>
                <w:szCs w:val="1"/>
                <w:color w:val="auto"/>
              </w:rPr>
            </w:pPr>
          </w:p>
        </w:tc>
      </w:tr>
      <w:tr>
        <w:trPr>
          <w:trHeight w:val="243"/>
        </w:trPr>
        <w:tc>
          <w:tcPr>
            <w:tcW w:w="2740" w:type="dxa"/>
            <w:vAlign w:val="bottom"/>
          </w:tcPr>
          <w:p>
            <w:pPr>
              <w:jc w:val="center"/>
              <w:ind w:right="388"/>
              <w:spacing w:after="0"/>
              <w:rPr>
                <w:sz w:val="20"/>
                <w:szCs w:val="20"/>
                <w:color w:val="auto"/>
              </w:rPr>
            </w:pPr>
            <w:r>
              <w:rPr>
                <w:rFonts w:ascii="Arial" w:cs="Arial" w:eastAsia="Arial" w:hAnsi="Arial"/>
                <w:sz w:val="14"/>
                <w:szCs w:val="14"/>
                <w:color w:val="auto"/>
              </w:rPr>
              <w:t>BALANCE — September 30, 2013</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116,854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1,274,947</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14,313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(471,653)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288,496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1,091,657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jc w:val="center"/>
              <w:ind w:right="428"/>
              <w:spacing w:after="0"/>
              <w:rPr>
                <w:sz w:val="20"/>
                <w:szCs w:val="20"/>
                <w:color w:val="auto"/>
              </w:rPr>
            </w:pPr>
            <w:r>
              <w:rPr>
                <w:rFonts w:ascii="Arial" w:cs="Arial" w:eastAsia="Arial" w:hAnsi="Arial"/>
                <w:sz w:val="14"/>
                <w:szCs w:val="14"/>
                <w:color w:val="auto"/>
              </w:rPr>
              <w:t>BALANCE — December 31, 2013</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jc w:val="center"/>
              <w:ind w:right="428"/>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129,498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130,679</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64"/>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(150,021)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(72,104)</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24,141</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25,334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22,649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22,649</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7,537</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7,537</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jc w:val="center"/>
              <w:ind w:right="388"/>
              <w:spacing w:after="0"/>
              <w:rPr>
                <w:sz w:val="20"/>
                <w:szCs w:val="20"/>
                <w:color w:val="auto"/>
              </w:rPr>
            </w:pPr>
            <w:r>
              <w:rPr>
                <w:rFonts w:ascii="Arial" w:cs="Arial" w:eastAsia="Arial" w:hAnsi="Arial"/>
                <w:sz w:val="14"/>
                <w:szCs w:val="14"/>
                <w:color w:val="auto"/>
              </w:rPr>
              <w:t>BALANCE — September 30, 2014</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1,346,701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1,063,372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7"/>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85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137,439</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70,618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61,451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3,285</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22,649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17,330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disposal of fixed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(9,850)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Net changes in estimated fair value of contingent consideration obligations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4,131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Closure of NestWise</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149,390</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30,723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28,447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(14,472)</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(24,981)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(211,422)</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(29,988)</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13,697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0"/>
        </w:trPr>
        <w:tc>
          <w:tcPr>
            <w:tcW w:w="858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224,251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141,907</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49"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7"/>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85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(40,787)</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Purchase of intangible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Deposits of restricted cash</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64"/>
        </w:trPr>
        <w:tc>
          <w:tcPr>
            <w:tcW w:w="8580" w:type="dxa"/>
            <w:vAlign w:val="bottom"/>
          </w:tcPr>
          <w:p>
            <w:pPr>
              <w:ind w:left="360"/>
              <w:spacing w:after="0"/>
              <w:rPr>
                <w:sz w:val="20"/>
                <w:szCs w:val="20"/>
                <w:color w:val="auto"/>
              </w:rPr>
            </w:pPr>
            <w:r>
              <w:rPr>
                <w:rFonts w:ascii="Arial" w:cs="Arial" w:eastAsia="Arial" w:hAnsi="Arial"/>
                <w:sz w:val="16"/>
                <w:szCs w:val="16"/>
                <w:color w:val="auto"/>
              </w:rPr>
              <w:t>Purchases of minority interest investments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57"/>
        </w:trPr>
        <w:tc>
          <w:tcPr>
            <w:tcW w:w="85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(40,769)</w:t>
            </w:r>
          </w:p>
        </w:tc>
        <w:tc>
          <w:tcPr>
            <w:tcW w:w="0" w:type="dxa"/>
            <w:vAlign w:val="bottom"/>
          </w:tcPr>
          <w:p>
            <w:pPr>
              <w:spacing w:after="0"/>
              <w:rPr>
                <w:sz w:val="1"/>
                <w:szCs w:val="1"/>
                <w:color w:val="auto"/>
              </w:rPr>
            </w:pPr>
          </w:p>
        </w:tc>
      </w:tr>
      <w:tr>
        <w:trPr>
          <w:trHeight w:val="254"/>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(863,869)</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senior secured credit facilities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1,078,957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debt issuance costs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(175,722)</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(48,672)</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28,189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(201,227)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18,341</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119,479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516,584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459,494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585,740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38,433</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109,805</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100,999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8,114</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9,088</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251"/>
        </w:trPr>
        <w:tc>
          <w:tcPr>
            <w:tcW w:w="8580" w:type="dxa"/>
            <w:vAlign w:val="bottom"/>
          </w:tcPr>
          <w:p>
            <w:pPr>
              <w:ind w:left="360"/>
              <w:spacing w:after="0"/>
              <w:rPr>
                <w:sz w:val="20"/>
                <w:szCs w:val="20"/>
                <w:color w:val="auto"/>
              </w:rPr>
            </w:pPr>
            <w:r>
              <w:rPr>
                <w:rFonts w:ascii="Arial" w:cs="Arial" w:eastAsia="Arial" w:hAnsi="Arial"/>
                <w:sz w:val="16"/>
                <w:szCs w:val="16"/>
                <w:color w:val="auto"/>
              </w:rPr>
              <w:t>Pending settlement of treasury stock purchases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8,596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9"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3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8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unaudited condensed consolidated financial statements have been prepared pursuant to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2013, contained in the Company’s Annual Report on Form 10-K as filed with the SEC.</w:t>
      </w:r>
    </w:p>
    <w:p>
      <w:pPr>
        <w:spacing w:after="0" w:line="188" w:lineRule="exact"/>
        <w:rPr>
          <w:sz w:val="20"/>
          <w:szCs w:val="20"/>
          <w:color w:val="auto"/>
        </w:rPr>
      </w:pPr>
    </w:p>
    <w:p>
      <w:pPr>
        <w:jc w:val="both"/>
        <w:ind w:right="340" w:firstLine="486"/>
        <w:spacing w:after="0" w:line="266"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Company’s Annual Report on Form 10-K for the year ended December 31, 2013. There have been no significant changes to these accounting policies during the first nine months of 2014.</w:t>
      </w:r>
    </w:p>
    <w:p>
      <w:pPr>
        <w:spacing w:after="0" w:line="172" w:lineRule="exact"/>
        <w:rPr>
          <w:sz w:val="20"/>
          <w:szCs w:val="20"/>
          <w:color w:val="auto"/>
        </w:rPr>
      </w:pPr>
    </w:p>
    <w:p>
      <w:pPr>
        <w:jc w:val="both"/>
        <w:ind w:right="2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jc w:val="both"/>
        <w:ind w:right="1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7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two service channels: Independent Advisor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These service channels qualify as individual operating segments and are aggregated and viewed as one reportable segment due to their similar economic characteristics, products and services, production and distribution processes, and regulatory environment.</w:t>
      </w:r>
    </w:p>
    <w:p>
      <w:pPr>
        <w:spacing w:after="0" w:line="17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because of their short-term nature, approximate current fair value, with the exception of its held-to-maturity securities and indebtedness. The Company carries its held-to-maturity securities and indebtedness at amortized cost. The Company measures the implied fair value of its debt instruments using trading levels obtained from a third-party service provider. Accordingly, the debt instruments qualify as Level 2 fair value measurements. See Note 4.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detail regarding the Company’s fair value measurements. As of September 30, 2014, the carrying amount and fair value of the Company’s indebtedness was approximately $1,527.0 million and $1,513.1 million, respectively. As of December 31, 2013, the carrying amount and fair value was approximately $1,535.1 million and $1,533.3 million, respectively.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9"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There are no recent accounting pronouncements that would impact the Company's condensed consolidated statements of income, comprehensive income, financial condition, or cash flows.</w:t>
      </w:r>
    </w:p>
    <w:p>
      <w:pPr>
        <w:sectPr>
          <w:pgSz w:w="11900" w:h="16838" w:orient="portrait"/>
          <w:cols w:equalWidth="0" w:num="1">
            <w:col w:w="11360"/>
          </w:cols>
          <w:pgMar w:left="240" w:top="441" w:right="299" w:bottom="1440" w:gutter="0" w:footer="0" w:header="0"/>
        </w:sect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441" w:right="29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34" w:lineRule="exact"/>
        <w:rPr>
          <w:sz w:val="20"/>
          <w:szCs w:val="20"/>
          <w:color w:val="auto"/>
        </w:rPr>
      </w:pPr>
    </w:p>
    <w:p>
      <w:pPr>
        <w:jc w:val="both"/>
        <w:ind w:right="520" w:firstLine="486"/>
        <w:spacing w:after="0" w:line="264" w:lineRule="auto"/>
        <w:rPr>
          <w:sz w:val="20"/>
          <w:szCs w:val="20"/>
          <w:color w:val="auto"/>
        </w:rPr>
      </w:pPr>
      <w:r>
        <w:rPr>
          <w:rFonts w:ascii="Arial" w:cs="Arial" w:eastAsia="Arial" w:hAnsi="Arial"/>
          <w:sz w:val="18"/>
          <w:szCs w:val="18"/>
          <w:color w:val="auto"/>
        </w:rPr>
        <w:t>In February 2013, the Company committed to an expansion of its Service Value Commitment (the “Program”), an ongoing effort to position the Company's people, processes, and technology for sustainable long-term growth while improving the service experience of its advisors and delivering efficiencies in its operating model. The Program is expected to be completed in 2015.</w:t>
      </w:r>
    </w:p>
    <w:p>
      <w:pPr>
        <w:spacing w:after="0" w:line="195"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Company estimates total charges in connection with the Program will approach $65.0 million. These expenditures are comprised of outsourcing and other related costs, technology transformation costs, employee severance obligations and other related costs, as well as non-cash charges for impairment of certain fixed assets related to internally developed software.</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nine months ended September 30, 2014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4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Accrued Balance at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at September 30,</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3440" w:type="dxa"/>
            <w:vAlign w:val="bottom"/>
          </w:tcPr>
          <w:p>
            <w:pPr>
              <w:spacing w:after="0"/>
              <w:rPr>
                <w:sz w:val="17"/>
                <w:szCs w:val="17"/>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Incurred</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7"/>
                <w:szCs w:val="17"/>
                <w:color w:val="auto"/>
              </w:rPr>
            </w:pPr>
          </w:p>
        </w:tc>
        <w:tc>
          <w:tcPr>
            <w:tcW w:w="960" w:type="dxa"/>
            <w:vAlign w:val="bottom"/>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5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Outsourcing and other related costs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5,045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363</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20,326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26,000</w:t>
            </w:r>
          </w:p>
        </w:tc>
      </w:tr>
      <w:tr>
        <w:trPr>
          <w:trHeight w:val="260"/>
        </w:trPr>
        <w:tc>
          <w:tcPr>
            <w:tcW w:w="3440" w:type="dxa"/>
            <w:vAlign w:val="bottom"/>
          </w:tcPr>
          <w:p>
            <w:pPr>
              <w:ind w:left="40"/>
              <w:spacing w:after="0"/>
              <w:rPr>
                <w:sz w:val="20"/>
                <w:szCs w:val="20"/>
                <w:color w:val="auto"/>
              </w:rPr>
            </w:pPr>
            <w:r>
              <w:rPr>
                <w:rFonts w:ascii="Arial" w:cs="Arial" w:eastAsia="Arial" w:hAnsi="Arial"/>
                <w:sz w:val="16"/>
                <w:szCs w:val="16"/>
                <w:color w:val="auto"/>
              </w:rPr>
              <w:t>Technology transformation costs</w:t>
            </w:r>
          </w:p>
        </w:tc>
        <w:tc>
          <w:tcPr>
            <w:tcW w:w="50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15,954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3,455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25,223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27,000</w:t>
            </w:r>
          </w:p>
        </w:tc>
      </w:tr>
      <w:tr>
        <w:trPr>
          <w:trHeight w:val="228"/>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4"/>
        </w:trPr>
        <w:tc>
          <w:tcPr>
            <w:tcW w:w="3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costs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3,588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11,000</w:t>
            </w:r>
          </w:p>
        </w:tc>
      </w:tr>
      <w:tr>
        <w:trPr>
          <w:trHeight w:val="264"/>
        </w:trPr>
        <w:tc>
          <w:tcPr>
            <w:tcW w:w="34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5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1,000</w:t>
            </w:r>
          </w:p>
        </w:tc>
      </w:tr>
      <w:tr>
        <w:trPr>
          <w:trHeight w:val="24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25,362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7,406</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53,212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65,000</w:t>
            </w:r>
          </w:p>
        </w:tc>
      </w:tr>
      <w:tr>
        <w:trPr>
          <w:trHeight w:val="20"/>
        </w:trPr>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40" w:firstLine="648"/>
        <w:spacing w:after="0" w:line="269" w:lineRule="auto"/>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0" w:lineRule="exact"/>
        <w:rPr>
          <w:sz w:val="20"/>
          <w:szCs w:val="20"/>
          <w:color w:val="auto"/>
        </w:rPr>
      </w:pPr>
    </w:p>
    <w:p>
      <w:pPr>
        <w:ind w:left="520" w:right="60" w:firstLine="648"/>
        <w:spacing w:after="0" w:line="269" w:lineRule="auto"/>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2"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nine months ended September 30, 2014.</w:t>
      </w:r>
    </w:p>
    <w:p>
      <w:pPr>
        <w:spacing w:after="0" w:line="88"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September 30, 2014, the Company had the following financial assets and liabilities that are measured at fair value on a recurring basis:</w:t>
      </w:r>
    </w:p>
    <w:p>
      <w:pPr>
        <w:spacing w:after="0" w:line="72"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45"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91"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w:t>
      </w:r>
    </w:p>
    <w:p>
      <w:pPr>
        <w:sectPr>
          <w:pgSz w:w="11900" w:h="16838" w:orient="portrait"/>
          <w:cols w:equalWidth="0" w:num="1">
            <w:col w:w="11420"/>
          </w:cols>
          <w:pgMar w:left="240" w:top="441"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4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September 30, 2014, the Company did not adjust prices received from the independent third-party pricing services.</w:t>
      </w:r>
    </w:p>
    <w:p>
      <w:pPr>
        <w:spacing w:after="0" w:line="7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 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72" w:lineRule="exact"/>
        <w:rPr>
          <w:sz w:val="20"/>
          <w:szCs w:val="20"/>
          <w:color w:val="auto"/>
        </w:rPr>
      </w:pPr>
    </w:p>
    <w:p>
      <w:pPr>
        <w:ind w:right="11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liabilities that are measured using Level 3 inputs.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September 30, 2014:</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109,742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109,742</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7,497</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69</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12,857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12,926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71,145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75,854</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193,744</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4,778</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198,522</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527</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December 31, 2013:</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47,539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50,611</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310,535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313,607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39,504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of December 31, 2013, the Company had a contingent consideration obligation related to the acquisition of National Retirement Partners, Inc. (“NRP”). This obligation was based on the achievement of certain revenue-based targets for the twelve-month period ended November 30, 2013, in aggregate for those advisors joining LPL Financial LLC (“LPL Financial”) subsequent to the NRP acquisition for whom retirement plans comprise a significant part of their business. As of December 31, 2013, the Company had finalized the determination of the amount of contingent consideration to be paid to the former shareholders of NRP, resulting in a total payment of $39.3 million, which was made on February 19, 2014.</w:t>
      </w:r>
    </w:p>
    <w:p>
      <w:pPr>
        <w:spacing w:after="0" w:line="10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 risk. An increase in the discount rate will result in a decrease in the fair value of contingent consideration. Conversely, a decrease in the discount rate will result in an increase in the fair value of contingent consideration.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or gain,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2013</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loss</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6,795</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2014,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9,345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4,982</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9,317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May 2013, in conjunction with its Service Value Commitment program,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202"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To mitigate foreign currency risk arising from these annual anniversary events, the Company entered into four non-deliverable foreign currency contracts, all of which have been designated as cash flow hedges. The first cash flow hedge, with a notional amount of 560.4 million INR, or $8.5 million, settled in June 2014. The Company received a settlement of $1.0 million that will be reclassified out of accumulated other comprehensive income and recognized in net income ratably over a 12-month period ending May 31, 2015 to match the timing of the underlying hedged item.</w:t>
      </w:r>
    </w:p>
    <w:p>
      <w:pPr>
        <w:spacing w:after="0" w:line="20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details related to the remaining non-deliverable foreign currency contracts at September 30, 2014 are as follows (in millions, except foreign exchange rate):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6/2/2015</w:t>
            </w:r>
          </w:p>
        </w:tc>
        <w:tc>
          <w:tcPr>
            <w:tcW w:w="12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fair value of the derivative instruments,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bl>
    <w:p>
      <w:pPr>
        <w:spacing w:after="0" w:line="30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40" w:firstLine="486"/>
        <w:spacing w:after="0" w:line="282" w:lineRule="auto"/>
        <w:rPr>
          <w:sz w:val="20"/>
          <w:szCs w:val="20"/>
          <w:color w:val="auto"/>
        </w:rPr>
      </w:pPr>
      <w:r>
        <w:rPr>
          <w:rFonts w:ascii="Arial" w:cs="Arial" w:eastAsia="Arial" w:hAnsi="Arial"/>
          <w:sz w:val="18"/>
          <w:szCs w:val="18"/>
          <w:color w:val="auto"/>
        </w:rPr>
        <w:t xml:space="preserve">Goodwill and intangible assets were a result of various acquisitions. See Note 9.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2013 Annual Report on Form 10-K for a discussion of the components of goodwill and additional information regarding intangible assets.</w:t>
      </w:r>
    </w:p>
    <w:p>
      <w:pPr>
        <w:spacing w:after="0" w:line="21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May 13, 2013, the Company entered into the First Amendment and Incremental Assumption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Agreement (“Credit Agreement”) with its wholly owned subsidiary, LPL Holdings, Inc., and other parties thereto. The Credit Agreement amended the Company's previous credit agreement, which was dated March 29, 2012.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for details regarding the amendment of the Credit Agreement.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provides for a term loan A (“Term Loan A”), a term loan B (“Term Loan B”), and a revolving credit facility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Term Loan A had an initial principal amount of $459.4 million maturing on March 29, 2017; Term Loan B had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principal amount of $1,083.9 million maturing on March 29, 2019; and the Revolving Credit Facility has a borrowing capacity of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maturing on March 29, 2017.</w:t>
      </w:r>
    </w:p>
    <w:p>
      <w:pPr>
        <w:spacing w:after="0" w:line="225"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At the time the Company entered into the Credit Agreement, all mandatory payments required under Term Loan A were prepaid, with the remaining principal and accrued interest due upon maturity. Term Loan B includes quarterly payments at an annual rate of 1.0% of principal per year, with the remaining principal and accrued interest due upon maturity.</w:t>
      </w:r>
    </w:p>
    <w:p>
      <w:pPr>
        <w:spacing w:after="0" w:line="202" w:lineRule="exact"/>
        <w:rPr>
          <w:sz w:val="20"/>
          <w:szCs w:val="20"/>
          <w:color w:val="auto"/>
        </w:rPr>
      </w:pPr>
    </w:p>
    <w:p>
      <w:pPr>
        <w:ind w:right="220" w:firstLine="486"/>
        <w:spacing w:after="0" w:line="265" w:lineRule="auto"/>
        <w:rPr>
          <w:sz w:val="20"/>
          <w:szCs w:val="20"/>
          <w:color w:val="auto"/>
        </w:rPr>
      </w:pPr>
      <w:r>
        <w:rPr>
          <w:rFonts w:ascii="Arial" w:cs="Arial" w:eastAsia="Arial" w:hAnsi="Arial"/>
          <w:sz w:val="17"/>
          <w:szCs w:val="17"/>
          <w:color w:val="auto"/>
        </w:rPr>
        <w:t>Borrowings under Term Loan A and Term Loan B bear interest at a base rate equal to a LIBOR based rate (the “Eurodollar Rate”) plus the applicable interest rate margin, or an alternative base rate (“ABR”) plus the applicable interest rate margin. The Eurodollar Rate with respect to Term Loan B shall in no event be less than 0.75%. The ABR is equal to the greatest of (a) the prime rate in effect on such day; (b) the effective federal funds rate in effect on such day plus 0.50%; (c) the Eurodollar Rate plus 1.00%; or (d) solely in the case of Term Loan B,</w:t>
      </w:r>
    </w:p>
    <w:p>
      <w:pPr>
        <w:spacing w:after="0" w:line="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1.75%. The Company may repay outstanding loans under its Credit Agreement at any time without premium or penalty, other than customary “breakage” costs with respect to Eurodollar Rate loans.</w:t>
      </w:r>
    </w:p>
    <w:p>
      <w:pPr>
        <w:spacing w:after="0" w:line="88"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As of September 30, 2014, borrowings under the term loans bore interest at the Eurodollar Rate with an applicable interest rate margin of 2.50%. The Company’s outstanding borrowings were as follows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September 30, 2014</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2013</w:t>
            </w:r>
          </w:p>
        </w:tc>
        <w:tc>
          <w:tcPr>
            <w:tcW w:w="420" w:type="dxa"/>
            <w:vAlign w:val="bottom"/>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39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19"/>
                <w:szCs w:val="19"/>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9"/>
                <w:szCs w:val="19"/>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Rate</w:t>
            </w: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Rate</w:t>
            </w:r>
          </w:p>
        </w:tc>
      </w:tr>
      <w:tr>
        <w:trPr>
          <w:trHeight w:val="260"/>
        </w:trPr>
        <w:tc>
          <w:tcPr>
            <w:tcW w:w="3960" w:type="dxa"/>
            <w:vAlign w:val="bottom"/>
          </w:tcPr>
          <w:p>
            <w:pPr>
              <w:jc w:val="center"/>
              <w:ind w:right="1779"/>
              <w:spacing w:after="0"/>
              <w:rPr>
                <w:sz w:val="20"/>
                <w:szCs w:val="20"/>
                <w:color w:val="auto"/>
              </w:rPr>
            </w:pPr>
            <w:r>
              <w:rPr>
                <w:rFonts w:ascii="Arial" w:cs="Arial" w:eastAsia="Arial" w:hAnsi="Arial"/>
                <w:sz w:val="16"/>
                <w:szCs w:val="16"/>
                <w:color w:val="auto"/>
              </w:rPr>
              <w:t>Senior secured term loans:</w:t>
            </w: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280"/>
        </w:trPr>
        <w:tc>
          <w:tcPr>
            <w:tcW w:w="39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Term Loan 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2.65%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2.67% (3)</w:t>
            </w:r>
          </w:p>
        </w:tc>
      </w:tr>
      <w:tr>
        <w:trPr>
          <w:trHeight w:val="264"/>
        </w:trPr>
        <w:tc>
          <w:tcPr>
            <w:tcW w:w="39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Term Loan B</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1,067,592</w:t>
            </w:r>
          </w:p>
        </w:tc>
        <w:tc>
          <w:tcPr>
            <w:tcW w:w="1940" w:type="dxa"/>
            <w:vAlign w:val="bottom"/>
            <w:tcBorders>
              <w:bottom w:val="single" w:sz="8" w:color="CCEEFF"/>
            </w:tcBorders>
            <w:gridSpan w:val="3"/>
          </w:tcPr>
          <w:p>
            <w:pPr>
              <w:jc w:val="right"/>
              <w:ind w:right="300"/>
              <w:spacing w:after="0"/>
              <w:rPr>
                <w:sz w:val="20"/>
                <w:szCs w:val="20"/>
                <w:color w:val="auto"/>
              </w:rPr>
            </w:pPr>
            <w:r>
              <w:rPr>
                <w:rFonts w:ascii="Arial" w:cs="Arial" w:eastAsia="Arial" w:hAnsi="Arial"/>
                <w:sz w:val="16"/>
                <w:szCs w:val="16"/>
                <w:color w:val="auto"/>
              </w:rPr>
              <w:t>3.25% (2)</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1,075,721</w:t>
            </w:r>
          </w:p>
        </w:tc>
        <w:tc>
          <w:tcPr>
            <w:tcW w:w="184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6"/>
                <w:szCs w:val="16"/>
                <w:color w:val="auto"/>
              </w:rPr>
              <w:t>3.25% (4)</w:t>
            </w:r>
          </w:p>
        </w:tc>
      </w:tr>
      <w:tr>
        <w:trPr>
          <w:trHeight w:val="257"/>
        </w:trPr>
        <w:tc>
          <w:tcPr>
            <w:tcW w:w="3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borrowings</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1,526,967</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1,535,096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r>
      <w:tr>
        <w:trPr>
          <w:trHeight w:val="264"/>
        </w:trPr>
        <w:tc>
          <w:tcPr>
            <w:tcW w:w="3960" w:type="dxa"/>
            <w:vAlign w:val="bottom"/>
            <w:tcBorders>
              <w:bottom w:val="single" w:sz="8" w:color="CCEEFF"/>
            </w:tcBorders>
          </w:tcPr>
          <w:p>
            <w:pPr>
              <w:jc w:val="center"/>
              <w:ind w:right="1759"/>
              <w:spacing w:after="0"/>
              <w:rPr>
                <w:sz w:val="20"/>
                <w:szCs w:val="20"/>
                <w:color w:val="auto"/>
              </w:rPr>
            </w:pPr>
            <w:r>
              <w:rPr>
                <w:rFonts w:ascii="Arial" w:cs="Arial" w:eastAsia="Arial" w:hAnsi="Arial"/>
                <w:sz w:val="16"/>
                <w:szCs w:val="16"/>
                <w:color w:val="auto"/>
              </w:rPr>
              <w:t>Less current portion</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r>
      <w:tr>
        <w:trPr>
          <w:trHeight w:val="24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borrowings — net of current portion</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1,516,128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1,524,257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8890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8890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September 30, 2014, the Eurodollar Rate for Term Loan A was 0.15%.</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September 30, 2014, the elected LIBOR was less than 0.75%; as a result, the Eurodollar Rate for Term Loan B was 0.75%.</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2013, the Eurodollar Rate for Term Loan A was 0.17%.</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2013, the elected LIBOR was less than 0.75%; as a result, the Eurodollar Rate for Term Loan B was 0.75%.</w:t>
      </w:r>
    </w:p>
    <w:p>
      <w:pPr>
        <w:sectPr>
          <w:pgSz w:w="11900" w:h="16838" w:orient="portrait"/>
          <w:cols w:equalWidth="0" w:num="1">
            <w:col w:w="11420"/>
          </w:cols>
          <w:pgMar w:left="240" w:top="441" w:right="2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As of September 30, 2014, the Revolving Credit Facility was being used to support the issuance of $21.5 million of irrevocable letters of credit for the construction of the Company's San Diego office building and other items, with an applicable interest rate margin of 2.50%. The remaining available balance of $228.5 million was undrawn at September 30, 2014.</w:t>
      </w:r>
    </w:p>
    <w:p>
      <w:pPr>
        <w:spacing w:after="0" w:line="256"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September 30, 2014, the Company was in compliance with such covenants.</w:t>
      </w:r>
    </w:p>
    <w:p>
      <w:pPr>
        <w:spacing w:after="0" w:line="174"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$ 200.0 million limit, and allows for both collateralized and uncollateralized borrowings. The lines have not been utilized in 2014, but were utilized in 2013; however, there were no balances outstanding at September 30, 2014 or December 31, 2013.</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302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9"/>
                <w:szCs w:val="19"/>
                <w:color w:val="auto"/>
              </w:rPr>
            </w:pPr>
          </w:p>
        </w:tc>
        <w:tc>
          <w:tcPr>
            <w:tcW w:w="28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balance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4,637</w:t>
            </w:r>
          </w:p>
        </w:tc>
      </w:tr>
      <w:tr>
        <w:trPr>
          <w:trHeight w:val="251"/>
        </w:trPr>
        <w:tc>
          <w:tcPr>
            <w:tcW w:w="5460" w:type="dxa"/>
            <w:vAlign w:val="bottom"/>
          </w:tcPr>
          <w:p>
            <w:pPr>
              <w:ind w:left="40"/>
              <w:spacing w:after="0"/>
              <w:rPr>
                <w:sz w:val="20"/>
                <w:szCs w:val="20"/>
                <w:color w:val="auto"/>
              </w:rPr>
            </w:pPr>
            <w:r>
              <w:rPr>
                <w:rFonts w:ascii="Arial" w:cs="Arial" w:eastAsia="Arial" w:hAnsi="Arial"/>
                <w:sz w:val="16"/>
                <w:szCs w:val="16"/>
                <w:color w:val="auto"/>
              </w:rPr>
              <w:t>Weighted-average interest rate</w:t>
            </w:r>
          </w:p>
        </w:tc>
        <w:tc>
          <w:tcPr>
            <w:tcW w:w="96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w:t>
            </w:r>
          </w:p>
        </w:tc>
      </w:tr>
    </w:tbl>
    <w:p>
      <w:pPr>
        <w:spacing w:after="0" w:line="32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office space and equipment under various operating leases. These leases are generally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base rent and maintenance cost increases, which are recognized on a straight-line basis over the period of the leases. Total rental expense for all operating leases was approximately $6.5 million and $4.8 million for the three months ended September 30, 2014 and 2013, respectively, and $23.5 million and $14.7 million for the nine months ended September 30, 2014 and 2013, respectively.</w:t>
      </w:r>
    </w:p>
    <w:p>
      <w:pPr>
        <w:spacing w:after="0" w:line="253"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In March 2014 the Company entered into a lease agreement for additional office space in Charlotte, North Carolina with a lease commencement date of March 1, 2014 and an expiration date of February 28, 2017. Future minimum payments for this lease commitment are $0.2 million, $1.0 million, $1.1 million, and $0.2 million, for the years 2014, 2015, 2016, and 2017, respectively.</w:t>
      </w:r>
    </w:p>
    <w:p>
      <w:pPr>
        <w:spacing w:after="0" w:line="288"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261"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9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9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primarily to newly recruited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which may be forgivable. Due to timing differences, LPL Financial may make commitments to issue such loans prior to actually funding them. These unfunded commitments are generally contingent upon certain events occurring, including but not limited to the advisor joining LPL Financial. LPL Financial had no such significant unfunded commitments at September 30, 2014.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Legal Proceedings &amp; Regulatory Matters </w:t>
      </w:r>
      <w:r>
        <w:rPr>
          <w:rFonts w:ascii="Arial" w:cs="Arial" w:eastAsia="Arial" w:hAnsi="Arial"/>
          <w:sz w:val="18"/>
          <w:szCs w:val="18"/>
          <w:color w:val="auto"/>
        </w:rPr>
        <w:t>— The Company maintains insurance coverage for certain legal proceedings, including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involving client claims. With respect to client claims, the estimated losses on the majority of pending matters are less than the applicable deductibles of the insurance policies. The Company is also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20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In accordance with applicable accounting guidance, the Company establishes an accrual for legal proceedings and regulatory matters when it is both probable that a loss has been incurred and the amount of loss can be reasonably estimated. Where it is not probable that a loss has been incurred, but at least reasonably possible that a loss has been incurred, a disclosure of fact is made when the underlying loss or range of losses can also be reasonably estimated. Assessing the probability of a loss occurring and the amount of any loss related to a legal proceeding or regulatory matter is inherently difficult, requiring significant and complex judgments.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regarding potential exposures; potential opportunities for settlement and the status of any settlement discussions; and potential insurance coverage and indemnification, if available. The Company monitors these matters for new developments and re-assesses the likelihood that a loss will occur and the estimated range or amount of loss, if those amounts can be reasonably determined. Due to these considerations, the Company may have exposure to losses that are not yet predictable or cannot yet be reasonably estimated in amounts that exceed those that have been accrued.</w:t>
      </w:r>
    </w:p>
    <w:p>
      <w:pPr>
        <w:spacing w:after="0" w:line="265"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As of September 30, 2014, the Company had accrued a liability of $23.0 million for potential remediation of regulatory matters. As of September 30, 2014, management believes, based on available information and consideration the factors above, that the results of pending legal proceedings and regulatory matters, in the aggregate, will not have a material adverse effect on the Company’s financial condition, but may be material to operating results for any particular period.</w:t>
      </w:r>
    </w:p>
    <w:p>
      <w:pPr>
        <w:spacing w:after="0" w:line="23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September 30, 2014, the Company had received collateral primarily in connection with client margin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market value of approximately $379.8 million, which it can re-pledge, loan, or sell. Of these securities, approximately $31.9 million were client-owned securities pledged to the Options Clearing Corporation as collateral to secure client obligations related to options positions. As of September 30, 2014 there were no restrictions that materially limited the Company's ability to re-pledge, loan, or sell the remaining $347.9 million of client collateral.</w:t>
      </w:r>
    </w:p>
    <w:p>
      <w:pPr>
        <w:spacing w:after="0" w:line="25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$2.4 million and $1.4 million pledged to clearing organizations at September 30, 2014 and December 31, 2013, respectively.</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Brokerage, clearing, and custody services are provided by LPL Financial on a fully disclosed basis. LPL Financial also has a multi-year agreement to provide its investment advisory programs, platforms, technology, and additional processing and related services to the advisors of the broker-dealer subsidiary of a large global insurance company and the clients of such advisors at specified service levels. Failures by LPL Financial to meet certain specified service levels may result in service level credits against future fees payable by or give rise to a termination right for such broker-dealer. Termination fees may be payable by a terminating or breaching party depending on the specific cause of termination.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Board of Directors as well as certain limits under the Company's credit facilities. Cash dividends per share of common stock and total cash dividends paid on a quarterly basis were as follows for the periods indicated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1220" w:type="dxa"/>
            <w:vAlign w:val="bottom"/>
            <w:tcBorders>
              <w:bottom w:val="single" w:sz="8" w:color="auto"/>
            </w:tcBorders>
          </w:tcPr>
          <w:p>
            <w:pPr>
              <w:spacing w:after="0"/>
              <w:rPr>
                <w:sz w:val="19"/>
                <w:szCs w:val="19"/>
                <w:color w:val="auto"/>
              </w:rPr>
            </w:pPr>
          </w:p>
        </w:tc>
      </w:tr>
      <w:tr>
        <w:trPr>
          <w:trHeight w:val="198"/>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Dividend per</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 Cash</w:t>
            </w:r>
          </w:p>
        </w:tc>
        <w:tc>
          <w:tcPr>
            <w:tcW w:w="16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Dividend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Dividend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0.135</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0.135</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14.4</w:t>
            </w: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15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For the three months ended September 30, 2014 and 2013,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75"/>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 at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Paid Per</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Paid Per</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20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759,786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260"/>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2,566,630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97.3</w:t>
            </w:r>
          </w:p>
        </w:tc>
      </w:tr>
      <w:tr>
        <w:trPr>
          <w:trHeight w:val="27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531,426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531,426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47.06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3,326,416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38.04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126.5</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For the nine months ended September 30, 2014 and 2013,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264"/>
        </w:trPr>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Repurchase</w:t>
            </w:r>
          </w:p>
        </w:tc>
        <w:tc>
          <w:tcPr>
            <w:tcW w:w="1500" w:type="dxa"/>
            <w:vAlign w:val="bottom"/>
            <w:gridSpan w:val="3"/>
          </w:tcPr>
          <w:p>
            <w:pPr>
              <w:ind w:left="120"/>
              <w:spacing w:after="0"/>
              <w:rPr>
                <w:sz w:val="20"/>
                <w:szCs w:val="20"/>
                <w:color w:val="auto"/>
              </w:rPr>
            </w:pPr>
            <w:r>
              <w:rPr>
                <w:rFonts w:ascii="Arial" w:cs="Arial" w:eastAsia="Arial" w:hAnsi="Arial"/>
                <w:sz w:val="14"/>
                <w:szCs w:val="14"/>
                <w:b w:val="1"/>
                <w:bCs w:val="1"/>
                <w:color w:val="auto"/>
              </w:rPr>
              <w:t>at September 30,</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Paid Per</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2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27,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2,343,651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r>
      <w:tr>
        <w:trPr>
          <w:trHeight w:val="260"/>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May 28, 2013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1,306,288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2,566,630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97.3</w:t>
            </w:r>
          </w:p>
        </w:tc>
      </w:tr>
      <w:tr>
        <w:trPr>
          <w:trHeight w:val="27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10, 2014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1,683,424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48.77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4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2,989,712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4,910,281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37.54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184.3</w:t>
            </w: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details regarding the repurchase of shares from related parties.</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1" w:right="2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30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4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On November 17, 2010, the Company adopted a 2010 Omnibus Equity Incentive Plan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7"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There are 12,055,945 shares authorized for grant under the 2010 Plan. As of September 30, 2014, there were 6,292,812 shares reserved for issuance upon exercise or conversion of outstanding awards granted under the 2010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840" w:firstLine="486"/>
        <w:spacing w:after="0" w:line="256"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officer, and director stock options that have been granted during the nine months ended September 30, 2014:</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6.02</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44.25%</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20.51</w:t>
            </w:r>
          </w:p>
        </w:tc>
      </w:tr>
    </w:tbl>
    <w:p>
      <w:pPr>
        <w:spacing w:after="0" w:line="161"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nine months ended September 30, 2014:</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5.86</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33.70%</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21.73</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4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nine months ended September 30,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2013</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7,016,521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748,353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54.21</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(960,961)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25.12</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(376,378)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35.19</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September 30, 2014</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6,427,535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93,163</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September 30, 2014</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3,319,409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62,892</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September 30,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9"/>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6"/>
              </w:rPr>
              <w:t>Price</w:t>
            </w: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17,382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$15.84 - $23.02</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1,313,120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21.42</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1,250,803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21.34</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$23.41 - $30.00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1,631,196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926,796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27.62</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$31.60 - $32.33</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1,624,929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493,184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31.94</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$34.01 - $39.60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1,162,060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625,729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34.50</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$45.89 - $54.81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678,848</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54.26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54.81</w:t>
            </w:r>
          </w:p>
        </w:tc>
      </w:tr>
      <w:tr>
        <w:trPr>
          <w:trHeight w:val="240"/>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6,427,535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3,319,409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$3.8 million and $2.5 million during the three months ended September 30, 2014 and 2013, respectively, and $11.4 million and $9.8 million during the nine months ended September 30, 2014 and 2013, respectively, which is included in compensation and benefits expense on the unaudited condensed consolidated statements of income. As of September 30, 2014, total unrecognized compensation cost related to non-vested stock options granted to employees, officers, and directors was $25.3 million, which is expected to be recognized over a weighted-average period of 2.28 years.</w:t>
      </w:r>
    </w:p>
    <w:p>
      <w:pPr>
        <w:spacing w:after="0" w:line="2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to financial institutions based on the fair value of the awards at each reporting period. The Company recognized share-based compensation of $1.1 million and $1.6 million during the three months ended September 30, 2014 and 2013, respectively, and $5.9 million and $5.9 million for during the nine months ended September 30, 2014 and 2013, respectively, related to the vesting of stock options and warrants awarded to its advisors and financial institutions, which is classified within commission and advisory expense on the unaudited condensed consolidated statements of income. As of September 30, 2014, total unrecognized compensation cost related to non-vested stock options and warrants granted to advisors and financial institutions was $12.2 million, which is expected to be recognized over a weighted-average period of 2.52 years.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41"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Weighted-Average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Weighted-Average</w:t>
            </w:r>
          </w:p>
        </w:tc>
      </w:tr>
      <w:tr>
        <w:trPr>
          <w:trHeight w:val="189"/>
        </w:trPr>
        <w:tc>
          <w:tcPr>
            <w:tcW w:w="4240" w:type="dxa"/>
            <w:vAlign w:val="bottom"/>
          </w:tcPr>
          <w:p>
            <w:pPr>
              <w:spacing w:after="0"/>
              <w:rPr>
                <w:sz w:val="16"/>
                <w:szCs w:val="16"/>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Grant-Date</w:t>
            </w: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2013</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256,684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32.12</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15,846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376,582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48.94</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31.44</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32.96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(49,401)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38.92</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September 30, 2014</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41,149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544,446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43.19</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based on the grant date fair value over the requisite service period of the award, which generally equals the vesting period. The Company recognized $1.7 million and $0.6 million of share-based compensation related to the vesting of these restricted stock awards and restricted stock units during the three months ended September 30, 2014 and 2013, respectively, and $4.4 million and $ 1.6 million during the nine months ended September 30, 2014 and 2013, respectively, which is included in compensation and benefits expense on the unaudited condensed consolidated statements of income. As of September 30, 2014, total unrecognized compensation cost for restricted stock awards and restricted stock units granted to employees, officers, and directors was $13.0 million, which is expected to be recognized over a weighted-average remaining period of 2.29 years.</w:t>
      </w:r>
    </w:p>
    <w:p>
      <w:pPr>
        <w:spacing w:after="0" w:line="206"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In the second quarter of 2014, the Company began granting restricted stock units to its advisors and to financial institutions. The Company recognizes share-based compensation for restricted stock units granted to its advisors and to financial institutions based on the fair value of the awards at each reporting period. The Company recognized share-based compensation of $ 0.4 million and $0.6 million related to the vesting of these restricted stock units during the three and nine months ended September 30, 2014, which is classified within commission and advisory expense on the unaudited condensed consolidated statements of income. As of September 30, 2014, total unrecognized compensation cost for restricted stock units granted to advisors and financial institutions was $4.3 million, which is expected to be recognized over a weighted-average remaining period of 2.62 years.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41"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three and nine months ended September 30, 2014 and 2013 is as follows (in thousands,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74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5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September</w:t>
            </w:r>
          </w:p>
        </w:tc>
      </w:tr>
      <w:tr>
        <w:trPr>
          <w:trHeight w:val="228"/>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4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33,272</w:t>
            </w:r>
          </w:p>
        </w:tc>
        <w:tc>
          <w:tcPr>
            <w:tcW w:w="4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129,498</w:t>
            </w:r>
          </w:p>
        </w:tc>
        <w:tc>
          <w:tcPr>
            <w:tcW w:w="4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137,439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100,052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104,271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100,519</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105,670</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101,834</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105,705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102,384</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106,934</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0.33</w:t>
            </w:r>
          </w:p>
        </w:tc>
        <w:tc>
          <w:tcPr>
            <w:tcW w:w="48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1.26</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20"/>
        </w:trPr>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September 30, 2014 and 2013, stock options, warrants, and restricted stock units representing common share equivalents of 1,478,016 shares and 3,075,389 shares, respectively, were anti-dilutive. For the nine months ended September 30, 2014 and 2013, stock options, warrants, and restricted stock units representing common share equivalents of 1,344,782 shares and 3,744,198 shares, respectively, were anti-dilutive.</w:t>
      </w:r>
    </w:p>
    <w:p>
      <w:pPr>
        <w:spacing w:after="0" w:line="21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320" w:firstLine="405"/>
        <w:spacing w:after="0" w:line="253"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40.0% and 38.6% for the three months ended September 30, 2014 and 2013, respectively, and 39.5% and 39.4% for the nine months ended September 30, 2014 and 2013, respectively. Deferred income taxes reflect the net tax effects of temporary differences between the carrying amounts of assets and liabilities for financial reporting purposes and the amounts used for income tax purposes.</w:t>
      </w:r>
    </w:p>
    <w:p>
      <w:pPr>
        <w:spacing w:after="0" w:line="18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has related party transactions with TPG Capital, one of the Company's significant stockholders, as well as certain portfolio companies of TPG Capital. During the nine months ended September 30, 2014 and 2013 the Company recognized revenue for services provided to these portfolio companies of $0.7 million and $0.4 million, respectively. During the nine months ended September 30, 2014 and 2013, the Company incurred expenses for services provided by TPG Capital or these portfolio companies of $0.9 million and $0.4 million, respectively. As of September 30, 2014 and 2013, receivables from related parties were $0.1 million. As of September 30, 2014 and 2013, payables to related parties were $0.4 million and less than $0.1 million, respectively.</w:t>
      </w:r>
    </w:p>
    <w:p>
      <w:pPr>
        <w:spacing w:after="0" w:line="101"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During the nine months ended September 30, 2013, the Company incurred $0.8 million in expenses for services provided by Aplifi, Inc., a privately held technology company in which the Company held an equity interest until its sale in October 2013.</w:t>
      </w:r>
    </w:p>
    <w:p>
      <w:pPr>
        <w:spacing w:after="0" w:line="88"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On February 12, 2014, the Company entered into a share repurchase agreement with an investment fund associated with TPG Capital, pursuant to which the Company repurchased 1.9 million shares of its common stock at a price of $52.00 per share, for total consideration of $100.0 million.</w:t>
      </w:r>
    </w:p>
    <w:p>
      <w:pPr>
        <w:spacing w:after="0" w:line="23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w:t>
      </w:r>
    </w:p>
    <w:p>
      <w:pPr>
        <w:sectPr>
          <w:pgSz w:w="11900" w:h="16838" w:orient="portrait"/>
          <w:cols w:equalWidth="0" w:num="1">
            <w:col w:w="11420"/>
          </w:cols>
          <w:pgMar w:left="240" w:top="441"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1" w:right="2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$109.2 million with a minimum net capital requirement of $6.7 million and net capital in excess of the minimum requirement of $102.5 million as of September 30, 2014.</w:t>
      </w:r>
    </w:p>
    <w:p>
      <w:pPr>
        <w:spacing w:after="0" w:line="19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95"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As of September 30, 2014 and December 31, 2013, LPL Financial and PTC met all capital adequacy requirements to which they were subject.</w:t>
      </w:r>
    </w:p>
    <w:p>
      <w:pPr>
        <w:spacing w:after="0" w:line="22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or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On October 1, 2014, the Company entered into the Second Amendment, Extension and Incremental Assumption Agreement (“Amended Credit Agreement”) with its wholly owned subsidiary, LPL Holdings, Inc., and other parties thereto, which amended the Company's Credit Agreement, dated May 13, 2013. The Amended Credit Agreement extends the maturity date of Term Loan A and the Revolving Credit Facility to September 30, 2019, and increases the Revolving Credit Facility borrowing capacity to $400.0 million.</w:t>
      </w:r>
    </w:p>
    <w:p>
      <w:pPr>
        <w:spacing w:after="0" w:line="92"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On October 1, 2014, the Company's Board of Directors approved an increase in the Company's share repurchase plan by $150.0 million to a total of $217.9 million.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1" w:right="239" w:bottom="1440" w:gutter="0" w:footer="0" w:header="0"/>
        </w:sectPr>
      </w:pPr>
    </w:p>
    <w:bookmarkStart w:id="23" w:name="page24"/>
    <w:bookmarkEnd w:id="23"/>
    <w:p>
      <w:pPr>
        <w:jc w:val="center"/>
        <w:ind w:right="-1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On October 28, 2014, the Board of Directors declared a cash dividend of $0.24 per share on the Company's outstanding common stock to be paid on November 26, 2014 to stockholders of record on November 11, 2014.</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41"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13,900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4,400 financial advisors who are affiliated and licensed with insurance companies that use our customized clearing, advisory platforms, and technology solutions.</w:t>
      </w:r>
    </w:p>
    <w:p>
      <w:pPr>
        <w:spacing w:after="0" w:line="19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Fortigent Holdings Company, Inc. and its subsidiaries (“Fortigent”) provide solutions and consulting services to RIAs, banks, and trust companies serving high-net-worth clients, while The Private Trust Company, N.A. (“PTC”) manages trusts and family assets.</w:t>
      </w:r>
    </w:p>
    <w:p>
      <w:pPr>
        <w:spacing w:after="0" w:line="184"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204"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has been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3,397 employees, with primary offices in Boston, Charlotte, and San Diego.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11,000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index.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0" w:right="259" w:bottom="1440" w:gutter="0" w:footer="0" w:header="0"/>
        </w:sectPr>
      </w:pPr>
    </w:p>
    <w:bookmarkStart w:id="25" w:name="page26"/>
    <w:bookmarkEnd w:id="25"/>
    <w:p>
      <w:pPr>
        <w:ind w:right="62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74"/>
        </w:trPr>
        <w:tc>
          <w:tcPr>
            <w:tcW w:w="1500" w:type="dxa"/>
            <w:vAlign w:val="bottom"/>
            <w:tcBorders>
              <w:right w:val="single" w:sz="8" w:color="A5A5A5"/>
            </w:tcBorders>
          </w:tcPr>
          <w:p>
            <w:pPr>
              <w:spacing w:after="0"/>
              <w:rPr>
                <w:sz w:val="23"/>
                <w:szCs w:val="23"/>
                <w:color w:val="auto"/>
              </w:rPr>
            </w:pPr>
          </w:p>
        </w:tc>
        <w:tc>
          <w:tcPr>
            <w:tcW w:w="2420" w:type="dxa"/>
            <w:vAlign w:val="bottom"/>
            <w:tcBorders>
              <w:right w:val="single" w:sz="8" w:color="A5A5A5"/>
            </w:tcBorders>
            <w:shd w:val="clear" w:color="auto" w:fill="000000"/>
          </w:tcPr>
          <w:p>
            <w:pPr>
              <w:spacing w:after="0"/>
              <w:rPr>
                <w:sz w:val="23"/>
                <w:szCs w:val="23"/>
                <w:color w:val="auto"/>
              </w:rPr>
            </w:pPr>
          </w:p>
        </w:tc>
        <w:tc>
          <w:tcPr>
            <w:tcW w:w="2400" w:type="dxa"/>
            <w:vAlign w:val="bottom"/>
            <w:tcBorders>
              <w:right w:val="single" w:sz="8" w:color="A5A5A5"/>
            </w:tcBorders>
            <w:shd w:val="clear" w:color="auto" w:fill="000000"/>
          </w:tcPr>
          <w:p>
            <w:pPr>
              <w:spacing w:after="0"/>
              <w:rPr>
                <w:sz w:val="23"/>
                <w:szCs w:val="23"/>
                <w:color w:val="auto"/>
              </w:rPr>
            </w:pPr>
          </w:p>
        </w:tc>
        <w:tc>
          <w:tcPr>
            <w:tcW w:w="2940" w:type="dxa"/>
            <w:vAlign w:val="bottom"/>
            <w:tcBorders>
              <w:right w:val="single" w:sz="8" w:color="A5A5A5"/>
            </w:tcBorders>
            <w:gridSpan w:val="3"/>
            <w:shd w:val="clear" w:color="auto" w:fill="000000"/>
          </w:tcPr>
          <w:p>
            <w:pPr>
              <w:jc w:val="center"/>
              <w:spacing w:after="0"/>
              <w:rPr>
                <w:sz w:val="20"/>
                <w:szCs w:val="20"/>
                <w:color w:val="auto"/>
              </w:rPr>
            </w:pPr>
            <w:r>
              <w:rPr>
                <w:rFonts w:ascii="Arial" w:cs="Arial" w:eastAsia="Arial" w:hAnsi="Arial"/>
                <w:sz w:val="14"/>
                <w:szCs w:val="14"/>
                <w:color w:val="FFFFFF"/>
              </w:rPr>
              <w:t>Nine Months Ended September 30, 2014</w:t>
            </w: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100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6"/>
              </w:rPr>
              <w:t>Total</w:t>
            </w: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100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(millions)</w:t>
            </w: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Transactions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$1,590</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Brokerage asset levels</w:t>
            </w:r>
          </w:p>
        </w:tc>
        <w:tc>
          <w:tcPr>
            <w:tcW w:w="1000" w:type="dxa"/>
            <w:vAlign w:val="bottom"/>
            <w:tcBorders>
              <w:right w:val="single" w:sz="8" w:color="A5A5A5"/>
            </w:tcBorders>
            <w:vMerge w:val="continue"/>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100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100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auto"/>
              </w:rPr>
              <w:t>Advisory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Advisory asset levels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$998</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1000" w:type="dxa"/>
            <w:vAlign w:val="bottom"/>
            <w:tcBorders>
              <w:bottom w:val="single" w:sz="8" w:color="A5A5A5"/>
              <w:right w:val="single" w:sz="8" w:color="A5A5A5"/>
            </w:tcBorders>
            <w:vMerge w:val="continue"/>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Cash balances</w:t>
            </w:r>
          </w:p>
        </w:tc>
        <w:tc>
          <w:tcPr>
            <w:tcW w:w="10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Interest rates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asset levels</w:t>
            </w: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$354</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11%</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15"/>
                <w:szCs w:val="15"/>
                <w:color w:val="auto"/>
              </w:rPr>
            </w:pPr>
          </w:p>
        </w:tc>
        <w:tc>
          <w:tcPr>
            <w:tcW w:w="10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activity</w:t>
            </w:r>
          </w:p>
        </w:tc>
        <w:tc>
          <w:tcPr>
            <w:tcW w:w="10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auto"/>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auto"/>
              </w:rPr>
              <w:t>- Number of clients</w:t>
            </w:r>
          </w:p>
        </w:tc>
        <w:tc>
          <w:tcPr>
            <w:tcW w:w="100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10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advisors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$276</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1000" w:type="dxa"/>
            <w:vAlign w:val="bottom"/>
            <w:tcBorders>
              <w:right w:val="single" w:sz="8" w:color="A5A5A5"/>
            </w:tcBorders>
            <w:vMerge w:val="continue"/>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102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Advisor Seat and Technology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accounts</w:t>
            </w:r>
          </w:p>
        </w:tc>
        <w:tc>
          <w:tcPr>
            <w:tcW w:w="1000" w:type="dxa"/>
            <w:vAlign w:val="bottom"/>
            <w:tcBorders>
              <w:right w:val="single" w:sz="8" w:color="A5A5A5"/>
            </w:tcBorders>
            <w:vMerge w:val="continue"/>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100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spacing w:after="0"/>
              <w:rPr>
                <w:sz w:val="14"/>
                <w:szCs w:val="14"/>
                <w:color w:val="auto"/>
              </w:rPr>
            </w:pP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premium technology</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ind w:left="160"/>
              <w:spacing w:after="0"/>
              <w:rPr>
                <w:sz w:val="20"/>
                <w:szCs w:val="20"/>
                <w:color w:val="auto"/>
              </w:rPr>
            </w:pPr>
            <w:r>
              <w:rPr>
                <w:rFonts w:ascii="Arial" w:cs="Arial" w:eastAsia="Arial" w:hAnsi="Arial"/>
                <w:sz w:val="14"/>
                <w:szCs w:val="14"/>
                <w:color w:val="auto"/>
              </w:rPr>
              <w:t>subscribers</w:t>
            </w:r>
          </w:p>
        </w:tc>
        <w:tc>
          <w:tcPr>
            <w:tcW w:w="10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Margin account balances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$51</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Alternative investment transactions</w:t>
            </w:r>
          </w:p>
        </w:tc>
        <w:tc>
          <w:tcPr>
            <w:tcW w:w="1000" w:type="dxa"/>
            <w:vAlign w:val="bottom"/>
            <w:tcBorders>
              <w:right w:val="single" w:sz="8" w:color="A5A5A5"/>
            </w:tcBorders>
            <w:vMerge w:val="continue"/>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10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400" w:type="dxa"/>
            <w:vAlign w:val="bottom"/>
            <w:tcBorders>
              <w:right w:val="single" w:sz="8" w:color="A5A5A5"/>
            </w:tcBorders>
          </w:tcPr>
          <w:p>
            <w:pPr>
              <w:spacing w:after="0"/>
              <w:rPr>
                <w:sz w:val="20"/>
                <w:szCs w:val="20"/>
                <w:color w:val="auto"/>
              </w:rPr>
            </w:pP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$3,269</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10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400" w:type="dxa"/>
            <w:vAlign w:val="bottom"/>
            <w:tcBorders>
              <w:right w:val="single" w:sz="8" w:color="A5A5A5"/>
            </w:tcBorders>
          </w:tcPr>
          <w:p>
            <w:pPr>
              <w:spacing w:after="0"/>
              <w:rPr>
                <w:sz w:val="19"/>
                <w:szCs w:val="19"/>
                <w:color w:val="auto"/>
              </w:rPr>
            </w:pP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$2,228</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10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500" w:right="180"/>
        <w:spacing w:after="0" w:line="287" w:lineRule="auto"/>
        <w:rPr>
          <w:sz w:val="20"/>
          <w:szCs w:val="20"/>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 generally 85-90% of which is paid to advisors.</w:t>
      </w:r>
    </w:p>
    <w:p>
      <w:pPr>
        <w:spacing w:after="0" w:line="15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transaction-based sales commissions and trailing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Transaction-based sales commission revenues, which occur whenever clients trade securities or purchase various types of investment products, primarily represent gross commissions generated by our advisors. The levels of transaction-based sales commission revenues can vary from period to period based on the overall economic environment, number of trading days in the reporting period, and investment activity of our advisors' clients. We earn trailing commission revenues (a commission that is paid over time, such as 12(b)-1 fees) primarily on mutual funds and variable annuities held by clients of our advisors. Trailing commission revenues are recurring in nature and are earned based on the market value of investment holdings in trail-eligible assets.</w:t>
      </w:r>
    </w:p>
    <w:p>
      <w:pPr>
        <w:spacing w:after="0" w:line="185"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primarily represent fees charged on our corporate RIA platform provided through LPL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LLC (“LPL Financial”) to clients of our advisors based on the value of advisory assets. Advisory fees are typically billed to clients quarterly, in advance, and are recognized as revenue ratably during the quarter. The value of the assets in an advisory account on the billing date determines the amount billed, and accordingly, the revenues earned in the following three month period. The majority of our accounts are billed using values as of the last business day of each calendar quarter. Advisory revenues collected on our corporate RIA platform generally average 1.1% of the underlying assets, and can range anywhere from 0.5% to 3.0%.</w:t>
      </w:r>
    </w:p>
    <w:p>
      <w:pPr>
        <w:spacing w:after="0" w:line="205" w:lineRule="exact"/>
        <w:rPr>
          <w:sz w:val="20"/>
          <w:szCs w:val="20"/>
          <w:color w:val="auto"/>
        </w:rPr>
      </w:pPr>
    </w:p>
    <w:p>
      <w:pPr>
        <w:ind w:left="1140" w:right="80"/>
        <w:spacing w:after="0" w:line="253"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 of 1940, rather than through LPL Financial. The assets held under these investment advisory accounts custodied with LPL Financial are included in our advisory and brokerage assets, net new advisory assets, and advisory assets under custody metrics. The advisory revenue generated by an Independent RIA is earned by the Independent RIA, and accordingly is not included in our advisory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82" w:right="259" w:bottom="1440" w:gutter="0" w:footer="0" w:header="0"/>
        </w:sectPr>
      </w:pPr>
    </w:p>
    <w:bookmarkStart w:id="26" w:name="page27"/>
    <w:bookmarkEnd w:id="26"/>
    <w:p>
      <w:pPr>
        <w:ind w:left="1140" w:right="80"/>
        <w:spacing w:after="0" w:line="256" w:lineRule="auto"/>
        <w:rPr>
          <w:sz w:val="20"/>
          <w:szCs w:val="20"/>
          <w:color w:val="auto"/>
        </w:rPr>
      </w:pPr>
      <w:r>
        <w:rPr>
          <w:rFonts w:ascii="Arial" w:cs="Arial" w:eastAsia="Arial" w:hAnsi="Arial"/>
          <w:sz w:val="18"/>
          <w:szCs w:val="18"/>
          <w:color w:val="auto"/>
        </w:rPr>
        <w:t>revenue. However, we charge administrative fees to Independent RIAs for clearing and custody of these assets based on the value of assets within these advisory accounts. The administrative fees collected on our Independent RIA platform vary and can reach a maximum of 0.6% of the underlying assets.</w:t>
      </w:r>
    </w:p>
    <w:p>
      <w:pPr>
        <w:spacing w:after="0" w:line="202" w:lineRule="exact"/>
        <w:rPr>
          <w:sz w:val="20"/>
          <w:szCs w:val="20"/>
          <w:color w:val="auto"/>
        </w:rPr>
      </w:pPr>
    </w:p>
    <w:p>
      <w:pPr>
        <w:ind w:left="1140" w:right="60"/>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228"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294"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b w:val="1"/>
          <w:bCs w:val="1"/>
          <w:i w:val="1"/>
          <w:iCs w:val="1"/>
          <w:color w:val="auto"/>
        </w:rPr>
        <w:t xml:space="preserve">Transaction and Fee Revenues. </w:t>
      </w:r>
      <w:r>
        <w:rPr>
          <w:rFonts w:ascii="Arial" w:cs="Arial" w:eastAsia="Arial" w:hAnsi="Arial"/>
          <w:sz w:val="18"/>
          <w:szCs w:val="18"/>
          <w:color w:val="auto"/>
        </w:rPr>
        <w:t>Revenues earned from transactions and fees primarily consist of transaction fees and ticket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291"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b w:val="1"/>
          <w:bCs w:val="1"/>
          <w:i w:val="1"/>
          <w:iCs w:val="1"/>
          <w:color w:val="auto"/>
        </w:rPr>
        <w:t xml:space="preserve">Other Revenues. </w:t>
      </w:r>
      <w:r>
        <w:rPr>
          <w:rFonts w:ascii="Arial" w:cs="Arial" w:eastAsia="Arial" w:hAnsi="Arial"/>
          <w:sz w:val="18"/>
          <w:szCs w:val="18"/>
          <w:color w:val="auto"/>
        </w:rPr>
        <w:t>Other revenues include marketing allowances received from certain financial product manufacturers, primarily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offer alternative investments, such as non-traded real estate investment trusts and business development companies, mark-to-market gains or losses on assets held by us for the advisors' non-qualified deferred compensation plan and our model portfolios, revenues from our Retirement Partners program, interest income from client margin accounts and cash equivalents, net of operating interest expense, and other items.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333"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 and advisory revenues earned on each client's account (collectively, commission and advisory revenues earned by LPL Financial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207"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 advisors and financial institutions based on the fair value of the awards at each reporting period, and mark-to-market gains or losses on amounts designated by advisors as deferred commissions in a non-qualified deferred compensation plan. Non-GDC sensitive payout is correlated</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90" w:right="279" w:bottom="1440" w:gutter="0" w:footer="0" w:header="0"/>
        </w:sectPr>
      </w:pPr>
    </w:p>
    <w:bookmarkStart w:id="27" w:name="page28"/>
    <w:bookmarkEnd w:id="27"/>
    <w:p>
      <w:pPr>
        <w:ind w:right="40"/>
        <w:spacing w:after="0" w:line="262" w:lineRule="auto"/>
        <w:rPr>
          <w:sz w:val="20"/>
          <w:szCs w:val="20"/>
          <w:color w:val="auto"/>
        </w:rPr>
      </w:pPr>
      <w:r>
        <w:rPr>
          <w:rFonts w:ascii="Arial" w:cs="Arial" w:eastAsia="Arial" w:hAnsi="Arial"/>
          <w:sz w:val="18"/>
          <w:szCs w:val="18"/>
          <w:color w:val="auto"/>
        </w:rPr>
        <w:t>either to market movement or to the value of our stock. We believe that discussion of production payout, viewed in addition to, and not in lieu of, our production expenses, provides useful information to investors regarding our payouts to advisors.</w:t>
      </w:r>
    </w:p>
    <w:p>
      <w:pPr>
        <w:spacing w:after="0" w:line="66"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1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communications and data processing, regulatory fees, and other expenses. General and administrative expenses also include expenses for our hosting of certain advisor conferences that serve as training, sales, and marketing events.</w:t>
      </w:r>
    </w:p>
    <w:p>
      <w:pPr>
        <w:spacing w:after="0" w:line="276"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consist of intangible assets established through our acquisitions, as well as fixed assets, which include internally developed software, hardware, leasehold improvements, and other equipment.</w:t>
      </w:r>
    </w:p>
    <w:p>
      <w:pPr>
        <w:spacing w:after="0" w:line="276"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i w:val="1"/>
          <w:iCs w:val="1"/>
          <w:color w:val="auto"/>
        </w:rPr>
        <w:t xml:space="preserve">Restructuring Charges. </w:t>
      </w:r>
      <w:r>
        <w:rPr>
          <w:rFonts w:ascii="Arial" w:cs="Arial" w:eastAsia="Arial" w:hAnsi="Arial"/>
          <w:sz w:val="17"/>
          <w:szCs w:val="17"/>
          <w:color w:val="auto"/>
        </w:rPr>
        <w:t>Restructuring charges primarily represent expenses incurred as a result of our expansion of our Service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Commitment announced in 2013 (see Note 3. </w:t>
      </w:r>
      <w:r>
        <w:rPr>
          <w:rFonts w:ascii="Arial" w:cs="Arial" w:eastAsia="Arial" w:hAnsi="Arial"/>
          <w:sz w:val="17"/>
          <w:szCs w:val="17"/>
          <w:i w:val="1"/>
          <w:iCs w:val="1"/>
          <w:color w:val="auto"/>
        </w:rPr>
        <w:t>Restructuring</w:t>
      </w:r>
      <w:r>
        <w:rPr>
          <w:rFonts w:ascii="Arial" w:cs="Arial" w:eastAsia="Arial" w:hAnsi="Arial"/>
          <w:sz w:val="17"/>
          <w:szCs w:val="17"/>
          <w:color w:val="auto"/>
        </w:rPr>
        <w:t>, within the notes to unaudited condensed consolidated financial statements).</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Arial" w:cs="Arial" w:eastAsia="Arial" w:hAnsi="Arial"/>
          <w:sz w:val="18"/>
          <w:szCs w:val="18"/>
          <w:color w:val="auto"/>
        </w:rPr>
        <w:t>Other expenses represent charges incurred arising from the shutdown of our subsidiary NestWise, which ceased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the third quarter of 2013 (the “NestWise Closure”). The assets and liabilities acquired through the 2012 acquisition of Veritat Advisors Inc. (“Veritat”) were held at NestWise as a result of a merger of Veritat into NestWise. In connection with the NestWise Closure, we determined that a majority of the assets held at NestWise, consisting primarily of goodwill and fixed assets, had no future economic benefit. Accordingly, the carrying values of goodwill and fixed assets were derecognized during the third quarter of 2013. Additionally, we revised our estimate of the potential payment obligation to the former shareholders of Veritat, which resulted in a $7.8 million decrease in the estimated fair value of the contingent consideration obligation during the third quarter of 2013.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740" w:top="49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5"/>
          </w:tcPr>
          <w:p>
            <w:pPr>
              <w:ind w:left="5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spacing w:after="0"/>
              <w:rPr>
                <w:sz w:val="19"/>
                <w:szCs w:val="19"/>
                <w:color w:val="auto"/>
              </w:rPr>
            </w:pPr>
          </w:p>
        </w:tc>
      </w:tr>
      <w:tr>
        <w:trPr>
          <w:trHeight w:val="264"/>
        </w:trPr>
        <w:tc>
          <w:tcPr>
            <w:tcW w:w="70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13,563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464.8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414.7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12.1 %</w:t>
            </w: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billions)(2)(3)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r>
      <w:tr>
        <w:trPr>
          <w:trHeight w:val="260"/>
        </w:trPr>
        <w:tc>
          <w:tcPr>
            <w:tcW w:w="7000" w:type="dxa"/>
            <w:vAlign w:val="bottom"/>
          </w:tcPr>
          <w:p>
            <w:pPr>
              <w:ind w:left="80"/>
              <w:spacing w:after="0"/>
              <w:rPr>
                <w:sz w:val="20"/>
                <w:szCs w:val="20"/>
                <w:color w:val="auto"/>
              </w:rPr>
            </w:pPr>
            <w:r>
              <w:rPr>
                <w:rFonts w:ascii="Arial" w:cs="Arial" w:eastAsia="Arial" w:hAnsi="Arial"/>
                <w:sz w:val="16"/>
                <w:szCs w:val="16"/>
                <w:color w:val="auto"/>
              </w:rPr>
              <w:t>Net new advisory assets (in billions)(4)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26.2 %</w:t>
            </w:r>
          </w:p>
        </w:tc>
      </w:tr>
      <w:tr>
        <w:trPr>
          <w:trHeight w:val="280"/>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700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(13.4)%</w:t>
            </w:r>
          </w:p>
        </w:tc>
      </w:tr>
    </w:tbl>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9"/>
                <w:szCs w:val="19"/>
                <w:color w:val="auto"/>
              </w:rPr>
            </w:pPr>
          </w:p>
        </w:tc>
        <w:tc>
          <w:tcPr>
            <w:tcW w:w="28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60"/>
        </w:trPr>
        <w:tc>
          <w:tcPr>
            <w:tcW w:w="542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growth from prior period</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Recurring revenue as a % of net revenue(5)</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137.4</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1.29</w:t>
            </w:r>
          </w:p>
        </w:tc>
      </w:tr>
      <w:tr>
        <w:trPr>
          <w:trHeight w:val="280"/>
        </w:trPr>
        <w:tc>
          <w:tcPr>
            <w:tcW w:w="5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Gross margin (in millions)(6)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331.1</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317.0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990.6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927.9</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margin as a % of net revenue(6)</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Adjusted EBITDA (in millions)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387.2</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net revenue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Adjusted EBITDA as a % of gross margin(6)</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(in millions)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193.6</w:t>
            </w:r>
          </w:p>
        </w:tc>
      </w:tr>
      <w:tr>
        <w:trPr>
          <w:trHeight w:val="251"/>
        </w:trPr>
        <w:tc>
          <w:tcPr>
            <w:tcW w:w="5420" w:type="dxa"/>
            <w:vAlign w:val="bottom"/>
          </w:tcPr>
          <w:p>
            <w:pPr>
              <w:ind w:left="200"/>
              <w:spacing w:after="0"/>
              <w:rPr>
                <w:sz w:val="20"/>
                <w:szCs w:val="20"/>
                <w:color w:val="auto"/>
              </w:rPr>
            </w:pPr>
            <w:r>
              <w:rPr>
                <w:rFonts w:ascii="Arial" w:cs="Arial" w:eastAsia="Arial" w:hAnsi="Arial"/>
                <w:sz w:val="16"/>
                <w:szCs w:val="16"/>
                <w:color w:val="auto"/>
              </w:rPr>
              <w:t>Adjusted Earnings per share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1.81</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660" w:right="8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Set forth below are other client assets at September 30, 2014 and 2013, including retirement plan assets, and certain trust and high-net-worth assets, that are custodied with third-party providers and therefore excluded from advisory and brokerage assets (in billions):</w:t>
      </w:r>
    </w:p>
    <w:p>
      <w:pPr>
        <w:spacing w:after="0" w:line="160"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2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22"/>
                <w:szCs w:val="22"/>
                <w:color w:val="auto"/>
              </w:rPr>
            </w:pP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r>
      <w:tr>
        <w:trPr>
          <w:trHeight w:val="251"/>
        </w:trPr>
        <w:tc>
          <w:tcPr>
            <w:tcW w:w="7220" w:type="dxa"/>
            <w:vAlign w:val="bottom"/>
          </w:tcPr>
          <w:p>
            <w:pPr>
              <w:ind w:left="80"/>
              <w:spacing w:after="0"/>
              <w:rPr>
                <w:sz w:val="20"/>
                <w:szCs w:val="20"/>
                <w:color w:val="auto"/>
              </w:rPr>
            </w:pPr>
            <w:r>
              <w:rPr>
                <w:rFonts w:ascii="Arial" w:cs="Arial" w:eastAsia="Arial" w:hAnsi="Arial"/>
                <w:sz w:val="16"/>
                <w:szCs w:val="16"/>
                <w:color w:val="auto"/>
              </w:rPr>
              <w:t>Trust assets(b)</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70"/>
        </w:trPr>
        <w:tc>
          <w:tcPr>
            <w:tcW w:w="7220" w:type="dxa"/>
            <w:vAlign w:val="bottom"/>
          </w:tcPr>
          <w:p>
            <w:pPr>
              <w:ind w:left="80"/>
              <w:spacing w:after="0"/>
              <w:rPr>
                <w:sz w:val="20"/>
                <w:szCs w:val="20"/>
                <w:color w:val="auto"/>
              </w:rPr>
            </w:pPr>
            <w:r>
              <w:rPr>
                <w:rFonts w:ascii="Arial" w:cs="Arial" w:eastAsia="Arial" w:hAnsi="Arial"/>
                <w:sz w:val="16"/>
                <w:szCs w:val="16"/>
                <w:color w:val="auto"/>
              </w:rPr>
              <w:t>High-net-worth assets(c)</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3"/>
                <w:szCs w:val="23"/>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629475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1714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1"/>
          <w:szCs w:val="11"/>
          <w:color w:val="auto"/>
        </w:rPr>
        <w:t>_______________________</w:t>
      </w:r>
    </w:p>
    <w:p>
      <w:pPr>
        <w:spacing w:after="0" w:line="4" w:lineRule="exact"/>
        <w:rPr>
          <w:sz w:val="20"/>
          <w:szCs w:val="20"/>
          <w:color w:val="auto"/>
        </w:rPr>
      </w:pPr>
    </w:p>
    <w:p>
      <w:pPr>
        <w:ind w:left="980" w:right="40" w:hanging="324"/>
        <w:spacing w:after="0" w:line="25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September 30, 2014 and 2013, our retirement plan assets represent assets that are custodied with 36 third-party providers and 30 third-party providers, respectively, of retirement plan administrative services who provide reporting feeds. We estimate the total assets in retirement plans supported to be between $110.0 billion and $120.0 billion at September 30, 2014 and between $80.0 billion and $95.0 billion at September 30, 2013. If we receive reporting feeds in the future from providers for whom we do not currently receive feeds, we intend to include and identify such additional assets in this metric. Since September 30, 2013, we began receiving reporting feeds from 7 such providers, which accounted for $6.6 billion of the $19.6 billion increase in retirement plan assets.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22" w:right="239" w:bottom="1440" w:gutter="0" w:footer="0" w:header="0"/>
        </w:sectPr>
      </w:pPr>
    </w:p>
    <w:bookmarkStart w:id="29" w:name="page30"/>
    <w:bookmarkEnd w:id="29"/>
    <w:p>
      <w:pPr>
        <w:ind w:left="980" w:right="300" w:hanging="32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trust assets that are on the wealth management platform of the Concord Trust and Wealth Solutions division of LPL Financial (“Concord”).</w:t>
      </w:r>
    </w:p>
    <w:p>
      <w:pPr>
        <w:spacing w:after="0" w:line="196" w:lineRule="exact"/>
        <w:rPr>
          <w:sz w:val="20"/>
          <w:szCs w:val="20"/>
          <w:color w:val="auto"/>
        </w:rPr>
      </w:pPr>
    </w:p>
    <w:p>
      <w:pPr>
        <w:ind w:left="1200" w:hanging="539"/>
        <w:spacing w:after="0" w:line="262" w:lineRule="auto"/>
        <w:rPr>
          <w:sz w:val="20"/>
          <w:szCs w:val="20"/>
          <w:color w:val="auto"/>
        </w:rPr>
      </w:pPr>
      <w:r>
        <w:rPr>
          <w:rFonts w:ascii="Arial" w:cs="Arial" w:eastAsia="Arial" w:hAnsi="Arial"/>
          <w:sz w:val="18"/>
          <w:szCs w:val="18"/>
          <w:color w:val="auto"/>
        </w:rPr>
        <w:t>(c)Represents high-net-worth assets that are on the platform of performance reporting, investment research, and practice management services of Fortigent.</w:t>
      </w:r>
    </w:p>
    <w:p>
      <w:pPr>
        <w:spacing w:after="0" w:line="88" w:lineRule="exact"/>
        <w:rPr>
          <w:sz w:val="20"/>
          <w:szCs w:val="20"/>
          <w:color w:val="auto"/>
        </w:rPr>
      </w:pPr>
    </w:p>
    <w:p>
      <w:pPr>
        <w:ind w:left="660" w:right="24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93"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less account attrition and funds withdrawn from advisory accounts.</w:t>
      </w:r>
    </w:p>
    <w:p>
      <w:pPr>
        <w:spacing w:after="0" w:line="88" w:lineRule="exact"/>
        <w:rPr>
          <w:rFonts w:ascii="Arial" w:cs="Arial" w:eastAsia="Arial" w:hAnsi="Arial"/>
          <w:sz w:val="18"/>
          <w:szCs w:val="18"/>
          <w:color w:val="auto"/>
        </w:rPr>
      </w:pPr>
    </w:p>
    <w:p>
      <w:pPr>
        <w:jc w:val="both"/>
        <w:ind w:left="660" w:right="40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Recurring revenue, which is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93" w:lineRule="exact"/>
        <w:rPr>
          <w:rFonts w:ascii="Arial" w:cs="Arial" w:eastAsia="Arial" w:hAnsi="Arial"/>
          <w:sz w:val="18"/>
          <w:szCs w:val="18"/>
          <w:color w:val="auto"/>
        </w:rPr>
      </w:pPr>
    </w:p>
    <w:p>
      <w:pPr>
        <w:ind w:left="660" w:right="76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Because our gross margin amounts do not include any depreciation and amortization expense, we consider our gross margin amounts to be non-GAAP measures that may not be comparable to those of others in our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35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314"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100" w:hanging="120"/>
        <w:spacing w:after="0" w:line="25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jc w:val="both"/>
        <w:ind w:left="520" w:right="60" w:hanging="120"/>
        <w:spacing w:after="0" w:line="25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79"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11"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communications with our Board of Directors (the “Board”) concerning our financial performance; and</w:t>
      </w:r>
    </w:p>
    <w:p>
      <w:pPr>
        <w:spacing w:after="0" w:line="238"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79"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ectPr>
          <w:pgSz w:w="11900" w:h="16838" w:orient="portrait"/>
          <w:cols w:equalWidth="0" w:num="1">
            <w:col w:w="11400"/>
          </w:cols>
          <w:pgMar w:left="240" w:top="490" w:right="25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90" w:right="259" w:bottom="1440" w:gutter="0" w:footer="0" w:header="0"/>
          <w:type w:val="continuous"/>
        </w:sectPr>
      </w:pPr>
    </w:p>
    <w:bookmarkStart w:id="30" w:name="page31"/>
    <w:bookmarkEnd w:id="30"/>
    <w:p>
      <w:pPr>
        <w:ind w:right="5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22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137,439</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12,897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13,363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38,651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38,190</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84,663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89,316</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9,731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29,046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29,275</w:t>
            </w:r>
          </w:p>
        </w:tc>
      </w:tr>
      <w:tr>
        <w:trPr>
          <w:trHeight w:val="273"/>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14,885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41,572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32,176</w:t>
            </w:r>
          </w:p>
        </w:tc>
      </w:tr>
      <w:tr>
        <w:trPr>
          <w:trHeight w:val="25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92,869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96,097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323,430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326,396</w:t>
            </w:r>
          </w:p>
        </w:tc>
      </w:tr>
      <w:tr>
        <w:trPr>
          <w:trHeight w:val="27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11,405</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expenses(2)</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7,356</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costs(3)</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9,958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7,340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20,925</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costs(4)</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7,968</w:t>
            </w:r>
          </w:p>
        </w:tc>
      </w:tr>
      <w:tr>
        <w:trPr>
          <w:trHeight w:val="264"/>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Other(5)</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10,259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13,198</w:t>
            </w:r>
          </w:p>
        </w:tc>
      </w:tr>
      <w:tr>
        <w:trPr>
          <w:trHeight w:val="25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EBITDA Adjustments</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16,009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24,186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55,124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60,852</w:t>
            </w:r>
          </w:p>
        </w:tc>
      </w:tr>
      <w:tr>
        <w:trPr>
          <w:trHeight w:val="237"/>
        </w:trPr>
        <w:tc>
          <w:tcPr>
            <w:tcW w:w="5620" w:type="dxa"/>
            <w:vAlign w:val="bottom"/>
          </w:tcPr>
          <w:p>
            <w:pPr>
              <w:ind w:left="8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108,878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120,283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378,554</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387,248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3810</wp:posOffset>
            </wp:positionV>
            <wp:extent cx="368744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w:t>
      </w:r>
    </w:p>
    <w:p>
      <w:pPr>
        <w:spacing w:after="0" w:line="88"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primarily resulting from the expansion of our Service Value Commitment.</w:t>
      </w:r>
    </w:p>
    <w:p>
      <w:pPr>
        <w:spacing w:after="0" w:line="88"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prior senior secured credit facilities and the establishment of new senior secured credit facilities.</w:t>
      </w:r>
    </w:p>
    <w:p>
      <w:pPr>
        <w:spacing w:after="0" w:line="88" w:lineRule="exact"/>
        <w:rPr>
          <w:rFonts w:ascii="Arial" w:cs="Arial" w:eastAsia="Arial" w:hAnsi="Arial"/>
          <w:sz w:val="18"/>
          <w:szCs w:val="18"/>
          <w:color w:val="auto"/>
        </w:rPr>
      </w:pPr>
    </w:p>
    <w:p>
      <w:pPr>
        <w:ind w:left="660" w:right="40" w:hanging="328"/>
        <w:spacing w:after="0" w:line="25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for the three and nine months ended September 30, 2014 include approximately $0.6 million and $9.8 million, respectively, in parallel rent, property tax, common area maintenance expenses, and fixed asset disposals incurred in connection with our relocation to our San Diego office building. Results for the third quarter of 2013 include costs related to our decision to cease operations of our subsidiary NestWise LLC (the "NestWise Closure"), consisting of the derecognition of $10.2 million of goodwill, $6.9 million of fixed asset charges that were determined to have no future economic benefit, a $7.8 million decrease in the estimated fair value of contingent consideration as related milestones were not achieved, and severance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44" w:right="239" w:bottom="1440" w:gutter="0" w:footer="0" w:header="0"/>
        </w:sectPr>
      </w:pPr>
    </w:p>
    <w:bookmarkStart w:id="31" w:name="page32"/>
    <w:bookmarkEnd w:id="31"/>
    <w:p>
      <w:pPr>
        <w:ind w:left="660" w:right="880"/>
        <w:spacing w:after="0" w:line="309" w:lineRule="auto"/>
        <w:rPr>
          <w:sz w:val="20"/>
          <w:szCs w:val="20"/>
          <w:color w:val="auto"/>
        </w:rPr>
      </w:pPr>
      <w:r>
        <w:rPr>
          <w:rFonts w:ascii="Arial" w:cs="Arial" w:eastAsia="Arial" w:hAnsi="Arial"/>
          <w:sz w:val="18"/>
          <w:szCs w:val="18"/>
          <w:color w:val="auto"/>
        </w:rPr>
        <w:t>and termination benefits. Results for the nine months ended September 30, 2013 also include $2.7 million of severance and termination benefits related to a change in management structure. Other amounts include certain excise and other taxes.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Adjusted Earnings represents net income before: (a) employee share-based compensation expense, (b) amortization of intangible assets, (c) 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t>
      </w:r>
    </w:p>
    <w:p>
      <w:pPr>
        <w:spacing w:after="0" w:line="225"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8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the related share-based compensation expense is not a key measure of our current operating performance;</w:t>
      </w:r>
    </w:p>
    <w:p>
      <w:pPr>
        <w:spacing w:after="0" w:line="201" w:lineRule="exact"/>
        <w:rPr>
          <w:rFonts w:ascii="Arial" w:cs="Arial" w:eastAsia="Arial" w:hAnsi="Arial"/>
          <w:sz w:val="18"/>
          <w:szCs w:val="18"/>
          <w:color w:val="auto"/>
        </w:rPr>
      </w:pPr>
    </w:p>
    <w:p>
      <w:pPr>
        <w:ind w:left="520" w:right="18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40" w:hanging="120"/>
        <w:spacing w:after="0" w:line="25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25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use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31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310"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4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25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63" w:right="279" w:bottom="1440" w:gutter="0" w:footer="0" w:header="0"/>
        </w:sectPr>
      </w:pPr>
    </w:p>
    <w:bookmarkStart w:id="32" w:name="page33"/>
    <w:bookmarkEnd w:id="32"/>
    <w:p>
      <w:pPr>
        <w:ind w:right="3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the non-GAAP measures Adjusted Earnings and Adjusted Earnings per share for the three and nine months ended September 30, 2014 and 2013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137,439</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After-Tax:</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Adjustments(1)</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expense(2)</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8,255</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expenses(3)</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12,911</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costs</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4,916</w:t>
            </w:r>
          </w:p>
        </w:tc>
      </w:tr>
      <w:tr>
        <w:trPr>
          <w:trHeight w:val="264"/>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Other(4)</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6,993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7,164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8,806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EBITDA Adjustments</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9,586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15,915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34,245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38,074</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intangible assets(1)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17,834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18,063</w:t>
            </w:r>
          </w:p>
        </w:tc>
      </w:tr>
      <w:tr>
        <w:trPr>
          <w:trHeight w:val="240"/>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48,773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59,550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181,577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193,576</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Adjusted Earnings per share(5)</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w:t>
            </w:r>
          </w:p>
        </w:tc>
      </w:tr>
      <w:tr>
        <w:trPr>
          <w:trHeight w:val="224"/>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101,834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105,705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102,384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8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EBITDA Adjustments and amortization of intangible assets have been tax effected using a federal rate of 35.0% and the applicable effective state rate, which was 3.6% and 3.3%, net of the federal tax benefit, for the periods ended September 30, 2014 and 2013, respectively, except as noted below.</w:t>
      </w:r>
    </w:p>
    <w:p>
      <w:pPr>
        <w:spacing w:after="0" w:line="93" w:lineRule="exact"/>
        <w:rPr>
          <w:rFonts w:ascii="Arial" w:cs="Arial" w:eastAsia="Arial" w:hAnsi="Arial"/>
          <w:sz w:val="18"/>
          <w:szCs w:val="18"/>
          <w:color w:val="auto"/>
        </w:rPr>
      </w:pPr>
    </w:p>
    <w:p>
      <w:pPr>
        <w:ind w:left="660" w:right="40" w:hanging="328"/>
        <w:spacing w:after="0" w:line="25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and restricted stock units for which we receive a tax deduction upon vesting, and the full expense impact of incentive stock options granted to employees that qualify for preferential tax treatment and conversely for which we do not receive a tax deduction. Share-based compensation expense for vesting of incentive stock options was $0.7 million and $0.9 million for the three months ended September 30, 2014 and 2013, respectively, and $2.3 million and $3.2 million for the nine months ended September 30, 2014 and 2013, respectively.</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w:t>
      </w:r>
    </w:p>
    <w:p>
      <w:pPr>
        <w:spacing w:after="0" w:line="117"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for the three and nine months ended September 30, 2013 include the after-tax expense of severance and termination benefits and derecognition of fixed assets related to the NestWise Closure, for which we received a tax deduction, as well as the full expense impact of the derecognition of $10.2 million of goodwill and the $7.8 million decrease in the estimated fair value of contingent consideration related to the NestWise Closure, for which we did not receive a tax deduction. Other amounts include the after-tax expense of excise and other taxes.</w:t>
      </w:r>
    </w:p>
    <w:p>
      <w:pPr>
        <w:spacing w:after="0" w:line="9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After-Tax:</w:t>
            </w: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 per share</w:t>
            </w: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intangible assets per share</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0.17</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 per share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8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Service Value Commitment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23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February 2013, we committed to an expansion of our Service Value Commitment (the “Program”), an ongoing effort to position us for sustainable long-term growth by improving the service experience of our advisors and delivering efficiencies in our operating model. After assessing our information technology delivery, governance, organization, and strategy, we committed to undertake a course of action to reposition our labor force and invest in technology, human capital, marketing, and other key areas to enable future growth.</w:t>
      </w:r>
    </w:p>
    <w:p>
      <w:pPr>
        <w:spacing w:after="0" w:line="200"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Program is expected to be completed in 2015, and we estimate total charges of $65.0 million for technology transformation costs, outsourcing and other related costs, employee severance obligations and other related costs, and non-cash charges for impairment of certain fixed assets related to internally developed software.</w:t>
      </w:r>
    </w:p>
    <w:p>
      <w:pPr>
        <w:spacing w:after="0" w:line="202"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We expect to incur approximately $38.4 million of expense during 2014, of which we had incurred $25.4 million as of September 30, 2014, consisting of: $5.0 million for outsourcing and other services such as parallel processing provided by outside consultants; $ 16.0 million for the implementation of foundational changes to our technology platform and outsourcing of our disaster recovery facilities; and $4.4 million for employee severance and termination benefits related to positions that were outsourced as of September 30, 2014, within accounting, data reconciliation, operations, and insurance processing. We remain focused on the next wave of outsourced functions in the remainder of 2014, including additional opportunities in compliance and back office processing activities. By 2015, we expect annual pre-tax savings to approach $30.0 million.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information regarding the Program.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During the second quarter of 2013, and in conjunction with the Program, we entered into a long-term contractual obligation (the “Agreement”) with a third-party provider to enhance the quality, speed, and cost of our processes by outsourcing certain functions. The Agreement enables the third-party provider to use the services of its affiliates in India to provide services to us and provides that we settle the cost of our contractual obligation to the third-party provider each month in U.S. dollars. However, the Agreement provides that on each annual anniversary date of the signing of the Agreement, the price for services (as denominated in U.S. dollars) is to be adjusted for the then-current exchange rate between the U.S. dollar and the Indian rupee. Once an annual adjustment is calculated, there are no further modifications to the amounts paid by us to the third -party provider for fluctuations in the exchange rate until the reset on the next anniversary date of the signing of the Agreement. The third-party provider bore the risk of currency movement from the date of signing the Agreement until the reset on the first anniversary of its signing, and bears the risk during each period until the next annual reset date. We bear the risk of currency movement at each of the annual reset dates following the first anniversary.</w:t>
      </w:r>
    </w:p>
    <w:p>
      <w:pPr>
        <w:spacing w:after="0" w:line="21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Upon completion of the Program, we estimate annual costs for our long-term contractual obligation with the third-party provider to be approximately $10.0 million. We use derivative financial instruments consisting solely of non-deliverable foreign currency contracts, all of which have been designated as cash flow hedges. These instruments are operating effectively as intended and our use of them has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188"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unaudited condensed consolidated financial statements for additional information regarding our derivative financial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nine months ended September 30, 2014. See our 2013 Annual Report on Form 10-K for 2013 activity.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9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The Federal Reserve remained highly accommodative in the third quarter of 2014, extending, but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68" w:right="299" w:bottom="1440" w:gutter="0" w:footer="0" w:header="0"/>
        </w:sectPr>
      </w:pPr>
    </w:p>
    <w:bookmarkStart w:id="34" w:name="page35"/>
    <w:bookmarkEnd w:id="34"/>
    <w:p>
      <w:pPr>
        <w:ind w:right="40"/>
        <w:spacing w:after="0" w:line="252" w:lineRule="auto"/>
        <w:rPr>
          <w:sz w:val="20"/>
          <w:szCs w:val="20"/>
          <w:color w:val="auto"/>
        </w:rPr>
      </w:pPr>
      <w:r>
        <w:rPr>
          <w:rFonts w:ascii="Arial" w:cs="Arial" w:eastAsia="Arial" w:hAnsi="Arial"/>
          <w:sz w:val="18"/>
          <w:szCs w:val="18"/>
          <w:color w:val="auto"/>
        </w:rPr>
        <w:t>continuing to wind down, its bond buying program while maintaining a 0.0% to 0.25% target range for the federal funds rate. At its September policy meeting, the Federal Reserve reaffirmed its rate policy and stated that it would continue to assess labor markets, inflation levels, financial developments, and general economic conditions to determine how long to keep the federal funds target rate near zero. It also restated that rates would be held near zero for a “considerable time” after it ended its bond purchase program, which did end in late October 2014. The Federal Reserve has underscored that it would take a balanced approach once it began to raise rates and that it could keep rates below what members would consider normal in the longer term if conditions warranted, even if inflation and labor markets were near levels consistent with its mandate.</w:t>
      </w:r>
    </w:p>
    <w:p>
      <w:pPr>
        <w:spacing w:after="0" w:line="99"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As a result of the accommodative monetary policy, interest rates, including the rate on overnight funds, remain low on a historical basis, with the average federal funds effective rate for the third quarter of 2014 at 9 basis points. The lower interest rate environment and fee compression, resulting from contract repricing in order to keep yields on our cash sweep programs competitive, has had a negative impact on our profitability on our cash sweep programs, and fee compression is expected to increase further in 2015 and 2016. Additionally, we’ve seen decreasing levels of demand for fixed income and fixed annuity products as investors move to equity and alternative products.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Another macro-economic factor affecting our business is the valuation of equity securities across the various markets in the United States. The S&amp;P 500 index closed the quarter at 1,972, up 0.6% from its close on June 30, 2014, the seventh consecutive quarter of positive returns, and reflected a 6.7% year-to-date gain through September 30, 2014. Investor confidence remained stable as the market showed signs of incremental economic growth despite volatility and continued tapering of the Federal Reserve’s bond buying program. Consumer spending rebounded toward the end of the summer while September marked the sixth consecutive month of job gains, and the third quarter also included strong performance by the U.S. dollar. While the market demonstrated impressive resilience through the third quarter, lingering economic worries remain about geopolitical concerns, Federal Reserve monetary policy, U.S. and global growth rates, and policy uncertainty in Washington, D.C.</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8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and nine months ended September 30, 2014 and 2013. Where appropriate, we have identified specific events and changes that affect comparability or identification or monitoring of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28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460" w:type="dxa"/>
            <w:vAlign w:val="bottom"/>
          </w:tcPr>
          <w:p>
            <w:pPr>
              <w:spacing w:after="0"/>
              <w:rPr>
                <w:sz w:val="19"/>
                <w:szCs w:val="19"/>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1360" w:type="dxa"/>
            <w:vAlign w:val="bottom"/>
          </w:tcPr>
          <w:p>
            <w:pPr>
              <w:spacing w:after="0"/>
              <w:rPr>
                <w:sz w:val="19"/>
                <w:szCs w:val="19"/>
                <w:color w:val="auto"/>
              </w:rPr>
            </w:pPr>
          </w:p>
        </w:tc>
      </w:tr>
      <w:tr>
        <w:trPr>
          <w:trHeight w:val="264"/>
        </w:trPr>
        <w:tc>
          <w:tcPr>
            <w:tcW w:w="3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20" w:type="dxa"/>
            <w:vAlign w:val="bottom"/>
            <w:gridSpan w:val="4"/>
          </w:tcPr>
          <w:p>
            <w:pPr>
              <w:ind w:left="8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520,388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527,419</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1,590,139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1,521,390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Advisory</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340,369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299,101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13.8 %</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998,016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878,421</w:t>
            </w:r>
          </w:p>
        </w:tc>
        <w:tc>
          <w:tcPr>
            <w:tcW w:w="1360" w:type="dxa"/>
            <w:vAlign w:val="bottom"/>
          </w:tcPr>
          <w:p>
            <w:pPr>
              <w:jc w:val="right"/>
              <w:spacing w:after="0"/>
              <w:rPr>
                <w:sz w:val="20"/>
                <w:szCs w:val="20"/>
                <w:color w:val="auto"/>
              </w:rPr>
            </w:pPr>
            <w:r>
              <w:rPr>
                <w:rFonts w:ascii="Arial" w:cs="Arial" w:eastAsia="Arial" w:hAnsi="Arial"/>
                <w:sz w:val="16"/>
                <w:szCs w:val="16"/>
                <w:color w:val="auto"/>
              </w:rPr>
              <w:t>13.6 %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121,283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107,447</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12.9 %</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354,494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318,718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94,674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93,799</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0.9 %</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276,284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271,808</w:t>
            </w:r>
          </w:p>
        </w:tc>
        <w:tc>
          <w:tcPr>
            <w:tcW w:w="13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12,520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25,446</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(50.8)%</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50,461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56,591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44"/>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1,089,234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1,053,212</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3.4 %</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3,269,394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3,046,928</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7.3 %</w:t>
            </w:r>
          </w:p>
        </w:tc>
      </w:tr>
      <w:tr>
        <w:trPr>
          <w:trHeight w:val="27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Expenses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Production</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758,091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736,195</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3.0 %</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2,278,800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2,119,033</w:t>
            </w:r>
          </w:p>
        </w:tc>
        <w:tc>
          <w:tcPr>
            <w:tcW w:w="13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102,310</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3.9 %</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317,459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299,317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122,056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102,834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18.7 %</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323,232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265,075</w:t>
            </w:r>
          </w:p>
        </w:tc>
        <w:tc>
          <w:tcPr>
            <w:tcW w:w="1360" w:type="dxa"/>
            <w:vAlign w:val="bottom"/>
          </w:tcPr>
          <w:p>
            <w:pPr>
              <w:jc w:val="right"/>
              <w:spacing w:after="0"/>
              <w:rPr>
                <w:sz w:val="20"/>
                <w:szCs w:val="20"/>
                <w:color w:val="auto"/>
              </w:rPr>
            </w:pPr>
            <w:r>
              <w:rPr>
                <w:rFonts w:ascii="Arial" w:cs="Arial" w:eastAsia="Arial" w:hAnsi="Arial"/>
                <w:sz w:val="16"/>
                <w:szCs w:val="16"/>
                <w:color w:val="auto"/>
              </w:rPr>
              <w:t>21.9 %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21,432</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14.4 %</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70,618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61,451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Restructuring charges</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6,482</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53.2 %</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26,473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19,851</w:t>
            </w:r>
          </w:p>
        </w:tc>
        <w:tc>
          <w:tcPr>
            <w:tcW w:w="1360" w:type="dxa"/>
            <w:vAlign w:val="bottom"/>
          </w:tcPr>
          <w:p>
            <w:pPr>
              <w:jc w:val="right"/>
              <w:spacing w:after="0"/>
              <w:rPr>
                <w:sz w:val="20"/>
                <w:szCs w:val="20"/>
                <w:color w:val="auto"/>
              </w:rPr>
            </w:pPr>
            <w:r>
              <w:rPr>
                <w:rFonts w:ascii="Arial" w:cs="Arial" w:eastAsia="Arial" w:hAnsi="Arial"/>
                <w:sz w:val="16"/>
                <w:szCs w:val="16"/>
                <w:color w:val="auto"/>
              </w:rPr>
              <w:t>33.4 %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9,294</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9,294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44"/>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1,020,884</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978,547</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4.3 %</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3,016,582</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2,774,021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8.7 %</w:t>
            </w:r>
          </w:p>
        </w:tc>
      </w:tr>
      <w:tr>
        <w:trPr>
          <w:trHeight w:val="257"/>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Non-operating interest expense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13,363</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38,190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64"/>
        </w:trPr>
        <w:tc>
          <w:tcPr>
            <w:tcW w:w="3000" w:type="dxa"/>
            <w:vAlign w:val="bottom"/>
          </w:tcPr>
          <w:p>
            <w:pPr>
              <w:ind w:left="8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7,962</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7"/>
        </w:trPr>
        <w:tc>
          <w:tcPr>
            <w:tcW w:w="3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expenses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1,033,781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991,910</w:t>
            </w:r>
          </w:p>
        </w:tc>
        <w:tc>
          <w:tcPr>
            <w:tcW w:w="146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4.2 %</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3,055,233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2,820,173</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198"/>
        </w:trPr>
        <w:tc>
          <w:tcPr>
            <w:tcW w:w="3000" w:type="dxa"/>
            <w:vAlign w:val="bottom"/>
          </w:tcPr>
          <w:p>
            <w:pPr>
              <w:ind w:left="20"/>
              <w:spacing w:after="0"/>
              <w:rPr>
                <w:sz w:val="20"/>
                <w:szCs w:val="20"/>
                <w:color w:val="auto"/>
              </w:rPr>
            </w:pPr>
            <w:r>
              <w:rPr>
                <w:rFonts w:ascii="Arial" w:cs="Arial" w:eastAsia="Arial" w:hAnsi="Arial"/>
                <w:sz w:val="16"/>
                <w:szCs w:val="16"/>
                <w:color w:val="auto"/>
              </w:rPr>
              <w:t>Income before provision for income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4"/>
        </w:trPr>
        <w:tc>
          <w:tcPr>
            <w:tcW w:w="3000" w:type="dxa"/>
            <w:vAlign w:val="bottom"/>
          </w:tcPr>
          <w:p>
            <w:pPr>
              <w:ind w:left="220"/>
              <w:spacing w:after="0"/>
              <w:rPr>
                <w:sz w:val="20"/>
                <w:szCs w:val="20"/>
                <w:color w:val="auto"/>
              </w:rPr>
            </w:pPr>
            <w:r>
              <w:rPr>
                <w:rFonts w:ascii="Arial" w:cs="Arial" w:eastAsia="Arial" w:hAnsi="Arial"/>
                <w:sz w:val="16"/>
                <w:szCs w:val="16"/>
                <w:color w:val="auto"/>
              </w:rPr>
              <w:t>taxes</w:t>
            </w: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55,453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61,302</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214,161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226,755</w:t>
            </w:r>
          </w:p>
        </w:tc>
        <w:tc>
          <w:tcPr>
            <w:tcW w:w="13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8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22,181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23,671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84,663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89,316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61"/>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37,631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129,498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137,439</w:t>
            </w:r>
          </w:p>
        </w:tc>
        <w:tc>
          <w:tcPr>
            <w:tcW w:w="13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189"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September 30, 2014 and 2013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206,382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189,401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16,981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153,875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135,992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17,883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13.2 %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36,631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35,772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21,165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21,352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13,350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11.1 %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15.4 %</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520,388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527,419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278,375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319,526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(41,151)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207,893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34,120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16.4 %</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520,388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527,419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Commission revenue decreased by $ 7.0 million, or 1.3%, for the three months ended September 30, 2014 compared with the same period in 2013, due primarily to a decrease in alternative investments, namely non-traded real estate investment trusts (“REITs”). Activity in the third quarter of 2013, benefited from liquidity events in several large REITs that allowed for reinvestment into the same type of investments. This resulted in third quarter 2013 alternative investment commissions being much higher than previous or subsequent periods.</w:t>
      </w:r>
    </w:p>
    <w:p>
      <w:pPr>
        <w:spacing w:after="0" w:line="312"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Increases in trailing revenues for mutual funds and variable and group annuities reflects improved investor engagement and strong market conditions, resulting in the increase of the underlying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nine months ended September 30, 2014 and 2013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611,286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597,925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456,839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423,289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33,550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7.9 %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148,285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168,001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126,187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77,544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48,643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62.7 %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82,245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88,889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65,591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65,814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57,615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60,993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41,571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38,229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3,342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8.7 %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1,590,139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1,521,390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68,749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893,628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917,042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696,511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604,348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92,163</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15.2 %</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1,590,139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1,521,390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68,749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Commission revenue increased by $68.7 million, or 4.5%, for the nine months ended September 30, 2014 compared with the same period in 2013, due primarily to an increase in sales-based activity for fixed annuities and increases in trailing revenues for mutual funds and variable and group annuities. Such growth reflects improved investor engagement and strong market conditions, resulting in the increase of the underlying assets.</w:t>
      </w:r>
    </w:p>
    <w:p>
      <w:pPr>
        <w:spacing w:after="0" w:line="150"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Fixed annuity sales-based commissions have risen, despite historically low interest rates, as investors have sought income streams with minimal risk to principal. Commissions from fixed annuities also include commissions earned on indexed annuities.</w:t>
      </w:r>
    </w:p>
    <w:p>
      <w:pPr>
        <w:spacing w:after="0" w:line="142"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The decrease in alternative investments was due primarily to activity in the nine months ended September 30, 2013, in which commission revenues benefited from liquidity events in several large REITs that allowed for reinvestment into the same type of investments. This resulted in the nine months ended September 30, 2013, alternative investment commissions being much higher than previous or subsequent periods.</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Advisory Revenues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within our advisory assets under custody for the three and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2014 and 2013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167.3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169.5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141.1</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Net new advisory assets for the three and nine months ended September 30, 2014 and 2013 have only a limited impact on advisory fee revenue for those respective periods, given the comparatively large assets at the beginning of each period. Rather, net new advisory assets are anticipated to be a larger driver of advisory revenue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82" w:right="239" w:bottom="1440" w:gutter="0" w:footer="0" w:header="0"/>
        </w:sectPr>
      </w:pPr>
    </w:p>
    <w:bookmarkStart w:id="38" w:name="page39"/>
    <w:bookmarkEnd w:id="38"/>
    <w:p>
      <w:pPr>
        <w:ind w:right="580"/>
        <w:spacing w:after="0" w:line="262" w:lineRule="auto"/>
        <w:rPr>
          <w:sz w:val="20"/>
          <w:szCs w:val="20"/>
          <w:color w:val="auto"/>
        </w:rPr>
      </w:pPr>
      <w:r>
        <w:rPr>
          <w:rFonts w:ascii="Arial" w:cs="Arial" w:eastAsia="Arial" w:hAnsi="Arial"/>
          <w:sz w:val="18"/>
          <w:szCs w:val="18"/>
          <w:color w:val="auto"/>
        </w:rPr>
        <w:t>in future reporting periods. Net new advisory assets were $4.8 billion for the three months ended September 30, 2014, resulting from the continued shift by our existing advisors from brokerage towards more advisory business.</w:t>
      </w:r>
    </w:p>
    <w:p>
      <w:pPr>
        <w:spacing w:after="0" w:line="304"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Advisory revenue for a particular quarter is predominately driven by the prior quarter-end advisory assets under management. Advisory revenues increased by $41.3 million, or 13.8%, for the three months ended September 30, 2014 compared to the same period in 2013. The growth in advisory revenue is due to net new advisory assets resulting from increased investor engagement and strong advisor productivity, newly recruited advisors that were added in the second quarter of 2014, as well as market gains as represented by higher levels of the S&amp;P 500 index on the applicable billing dates in 2014 compared to 2013. The S&amp;P 500 index closed at 1,960 on June 30, 2014, which is a 22.0% increase over the close of 1,606 on June 30, 2013.</w:t>
      </w:r>
    </w:p>
    <w:p>
      <w:pPr>
        <w:spacing w:after="0" w:line="31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Independent RIA model has continued to attract advisors as they seek the freedom to run their business in a manner that best enables them to meet their clients' needs. This continued shift of advisors to the Independent RIA platform (for which we custody assets but do not earn advisory revenues for managing such assets) has caused the rate of revenue growth of advisory assets under management to lag behind the rate of growth of advisory assets under custody. Advisory revenues do not include fees for advisory services charged by Independent RIA advisors to their clients. Accordingly, there is no corresponding payout. However, there are administrative fees charged to Independent RIA advisors including custody and clearing fees, based on the value of assets.</w:t>
      </w:r>
    </w:p>
    <w:p>
      <w:pPr>
        <w:spacing w:after="0" w:line="31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Advisory revenues increased by $119.6 million, or 13.6%, for the nine months ended September 30, 2014 compared with the same period in 2013. This growth is attributable to the same net new advisory asset flows and shift of advisors toward more advisory business that has impacted our quarterly performance, and to a positive market impact for the nine months ended September 30, 2014.</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September 30, 2014 and 2013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Independent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58.4%</w:t>
            </w:r>
          </w:p>
        </w:tc>
      </w:tr>
      <w:tr>
        <w:trPr>
          <w:trHeight w:val="24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Asset-based revenues increased by $ 13.8 million, or 12.9%, to $121.3 million for the three months ended September 30, 2014 compared with the same period in 2013. Revenues for sponsorship programs and record-keeping services, which are largely based on underlying asset values, increased due to the impact of the higher average market indices on the value of such underlying assets and net new sales of eligible assets. The S&amp;P 500 index for the three months ended September 30, 2014 averaged 1,976, an increase of 18.0% over the average in the prior-year period. Asset-based revenues also include revenues from our cash sweep programs, which decreased by $4.1 million, or 14.0%, to $25.2 million for the three months ended September 30, 2014 from $ 29.3 million for the three months ended September 30, 2013. The decrease in our cash sweep revenues is a result of fee compression resulting from contract repricing and a decrease of 7.9% in average assets in our cash sweep programs, which were $23.3 billion and $25.3 billion for the three months ended September 30, 2014 and 2013, respectively.</w:t>
      </w:r>
    </w:p>
    <w:p>
      <w:pPr>
        <w:spacing w:after="0" w:line="280"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Asset-based revenues increased by $ 35.8 million, or 11.2%, to $354.5 million for the nine months ended September 30, 2014 compared with the same period in 2013. Revenues for record-keeping services and from product sponsors, which are each largely based on underlying asset values, increased due to the impact of the higher average market indices on the value of such underlying assets and net new sales of eligible assets. The S&amp;P 500 index for the nine months ended September 30, 2014 averaged 1,905, an increase of 19.0% over the average in the prior year period. Asset-based revenues also include revenues from our cash sweep programs, which decreased by $17.9 million, or 19.5%, to $73.9 million for the nine months ended September 30, 2014 from</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44" w:right="239" w:bottom="1440" w:gutter="0" w:footer="0" w:header="0"/>
        </w:sectPr>
      </w:pPr>
    </w:p>
    <w:bookmarkStart w:id="39" w:name="page40"/>
    <w:bookmarkEnd w:id="39"/>
    <w:p>
      <w:pPr>
        <w:ind w:right="20"/>
        <w:spacing w:after="0" w:line="254" w:lineRule="auto"/>
        <w:rPr>
          <w:sz w:val="20"/>
          <w:szCs w:val="20"/>
          <w:color w:val="auto"/>
        </w:rPr>
      </w:pPr>
      <w:r>
        <w:rPr>
          <w:rFonts w:ascii="Arial" w:cs="Arial" w:eastAsia="Arial" w:hAnsi="Arial"/>
          <w:sz w:val="18"/>
          <w:szCs w:val="18"/>
          <w:color w:val="auto"/>
        </w:rPr>
        <w:t>$91.8 million for the nine months ended September 30, 2013. The decrease is due to fee compression that resulted from a repricing of certain contracts that underlie our cash sweep programs, a year-over-year 3 basis point decline in the average federal funds effective rate to 0.08% for the nine months ended September 30, 2014, and a decrease of 2.1% in average assets in our cash sweep programs, which were $23.6 billion and $24.1 billion for the nine months ended September 30, 2014 and 2013,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Transaction and fee revenues increased by $0.9 million, or 0.9%, for the three months ended September 30, 2014 compared with the same period in 2013, which were driven primarily by higher trade volumes in certain advisory accounts and an increase in the average number of advisors.</w:t>
      </w:r>
    </w:p>
    <w:p>
      <w:pPr>
        <w:spacing w:after="0" w:line="324" w:lineRule="exact"/>
        <w:rPr>
          <w:sz w:val="20"/>
          <w:szCs w:val="20"/>
          <w:color w:val="auto"/>
        </w:rPr>
      </w:pPr>
    </w:p>
    <w:p>
      <w:pPr>
        <w:jc w:val="both"/>
        <w:ind w:right="360" w:firstLine="486"/>
        <w:spacing w:after="0" w:line="256" w:lineRule="auto"/>
        <w:rPr>
          <w:sz w:val="20"/>
          <w:szCs w:val="20"/>
          <w:color w:val="auto"/>
        </w:rPr>
      </w:pPr>
      <w:r>
        <w:rPr>
          <w:rFonts w:ascii="Arial" w:cs="Arial" w:eastAsia="Arial" w:hAnsi="Arial"/>
          <w:sz w:val="18"/>
          <w:szCs w:val="18"/>
          <w:color w:val="auto"/>
        </w:rPr>
        <w:t>Transaction and fee revenues increased by $4.5 million, or 1.6%, for the nine months ended September 30, 2014 compared with the same period in 2013, which were driven primarily by higher trade volumes in certain advisory accounts and a 2.8% increase in the average number of advisors.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Other revenues decreased by $ 12.9 million, or 50.8%, to $12.5 million for the three months ended September 30, 2014 compared with the same period in 2013. The primary contributor to such decrease for the three months ended September 30, 2014 was alternative investment marketing allowances received from product sponsor programs, which decreased by $ 9.8 million compared to the same period in 2013, driven primarily by decreased sales of alternative investments. Other revenue includes gains or losses on assets held for the advisor non-qualified deferred compensation plan. Losses were $1.8 million for the three months ended September 30, 2014, compared to gains of $1.6 million for the three months ended September 30, 2013. The gains or losses on assets held for the advisor non-qualified deferred compensation plan were offset by increases or decreases in non-GDC sensitive production expenses as noted below.</w:t>
      </w:r>
    </w:p>
    <w:p>
      <w:pPr>
        <w:spacing w:after="0" w:line="27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Other revenues decreased by $6.1 million, or 10.8%, to $50.5 million for the nine months ended September 30, 2014 compared to 2013. The primary contributor to such decrease for the nine months ended September 30, 2014 was alternative investment marketing allowances received from product sponsor programs, which decreased by $3.7 million compared to the same period in 2013, driven primarily by decreased sales of alternative investments. Other revenue includes gains or losses on assets held for the advisor non-qualified deferred compensation plan. Gains were $0.8 million for the nine months ended September 30, 2014, compared to gains of $4.3 million for the same period in 2013. The gains or losses on assets held for the advisor non-qualified deferred compensation plan were offset by the increases or decreases in non-GDC sensitive production expenses as noted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nine months ended September 30, 2014 and 2013:</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26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Three Months Ended September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Nine Months Ended September</w:t>
            </w:r>
          </w:p>
        </w:tc>
        <w:tc>
          <w:tcPr>
            <w:tcW w:w="900" w:type="dxa"/>
            <w:vAlign w:val="bottom"/>
          </w:tcPr>
          <w:p>
            <w:pPr>
              <w:spacing w:after="0"/>
              <w:rPr>
                <w:sz w:val="16"/>
                <w:szCs w:val="16"/>
                <w:color w:val="auto"/>
              </w:rPr>
            </w:pPr>
          </w:p>
        </w:tc>
      </w:tr>
      <w:tr>
        <w:trPr>
          <w:trHeight w:val="228"/>
        </w:trPr>
        <w:tc>
          <w:tcPr>
            <w:tcW w:w="406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4"/>
        </w:trPr>
        <w:tc>
          <w:tcPr>
            <w:tcW w:w="40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Base payout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(64 bps)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 bps)</w:t>
            </w:r>
          </w:p>
        </w:tc>
      </w:tr>
      <w:tr>
        <w:trPr>
          <w:trHeight w:val="264"/>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Production based bonuses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 bps</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 bps)</w:t>
            </w:r>
          </w:p>
        </w:tc>
      </w:tr>
      <w:tr>
        <w:trPr>
          <w:trHeight w:val="257"/>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87.28%</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(60 bps)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 bps)</w:t>
            </w:r>
          </w:p>
        </w:tc>
      </w:tr>
      <w:tr>
        <w:trPr>
          <w:trHeight w:val="264"/>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Non-GDC sensitive payout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(43 bps)</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 bps)</w:t>
            </w:r>
          </w:p>
        </w:tc>
      </w:tr>
      <w:tr>
        <w:trPr>
          <w:trHeight w:val="240"/>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(103 bps)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 bps)</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Production expenses increased by $21.9 million, or 3.0%, for the three months ended September 30, 2014 compared with the same period in 2013. The increase correlates with our commission and advisory revenues, which increased by 4.1% during the same period. Our GDC sensitive payout ratio was 86.68% for the three months ended September 30, 2014, compared to 87.28% for the prior-year period. The base payout rate decreased by 64 basis points in part due to the growth of our advisory platform, which on average has a lower base rate than our brokerage platform. The decrease in non-GDC sensitive payout is attributable to decreased advisor share-based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57" w:right="259" w:bottom="1440" w:gutter="0" w:footer="0" w:header="0"/>
        </w:sectPr>
      </w:pPr>
    </w:p>
    <w:bookmarkStart w:id="40" w:name="page41"/>
    <w:bookmarkEnd w:id="40"/>
    <w:p>
      <w:pPr>
        <w:ind w:right="220"/>
        <w:spacing w:after="0" w:line="262" w:lineRule="auto"/>
        <w:rPr>
          <w:sz w:val="20"/>
          <w:szCs w:val="20"/>
          <w:color w:val="auto"/>
        </w:rPr>
      </w:pPr>
      <w:r>
        <w:rPr>
          <w:rFonts w:ascii="Arial" w:cs="Arial" w:eastAsia="Arial" w:hAnsi="Arial"/>
          <w:sz w:val="18"/>
          <w:szCs w:val="18"/>
          <w:color w:val="auto"/>
        </w:rPr>
        <w:t>compensation for the three months ended September 30, 2014 compared to the same period in 2013 correlating to market movement in our stock and the advisor non-qualified deferred compensation plan as noted above.</w:t>
      </w:r>
    </w:p>
    <w:p>
      <w:pPr>
        <w:spacing w:after="0" w:line="3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Production expenses increased by $159.8 million, or 7.5%, for the nine months ended September 30, 2014 compared with the same period in 2013. The increase correlates with our commission and advisory revenues, which increased by 7.8% during the same period. Our production payout was 86.68% for the nine months ended September 30, 2014, compared to 86.93% for the prior year period. The decrease in non-GDC sensitive payout ratio is attributable to decreased advisor share-based compensation correlating to market movement in our stock and production expenses related to the advisor non-qualified deferred compensation plan as noted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Compensation and benefits expense increased by $4.0 million, or 3.9%, for the three months ended September 30, 2014 compared with the same period in 2013. This was primarily driven by a 9.4% increase in our average number of full-time employees from 3,094 for the three months ended September 30, 2013 to 3,386 for the three months ended September 30, 2014, to support business growth and investments in staffing related to service and compliance.</w:t>
      </w:r>
    </w:p>
    <w:p>
      <w:pPr>
        <w:spacing w:after="0" w:line="32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Compensation and benefits expense increased by $18.1 million, or 6.1%, for the nine months ended September 30, 2014 compared with the same period in 2013. Our average number of full-time employees increased 10.2% from 3,012 for the nine months ended September 30, 2013 to 3,320 for the nine months ended September 30, 2014, due to higher staffing levels to support investments in staffing related to service and compliance and increased levels of advisor and client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and administrative expenses increased by $19.2 million, or 18.7%, to $122.1 million for the three months ended September 30,</w:t>
      </w:r>
    </w:p>
    <w:p>
      <w:pPr>
        <w:spacing w:after="0" w:line="9"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2014 compared with the same period in 2013. The primary driver behind the increase was an increase of $19.2 million for professional services. The increase in professional services includes the estimated costs of the investigation, settlement, and resolution of regulatory matters.</w:t>
      </w:r>
    </w:p>
    <w:p>
      <w:pPr>
        <w:spacing w:after="0" w:line="310"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General and administrative expenses increased by $ 58.2 million, or 21.9%, to $323.2 million for the nine months ended September 30, 2014 compared with the same period in 2013. The primary drivers behind the increase were increases of $35.1 million for professional services, $8.3 million for business development and promotional expenses, and $ 9.8 million for parallel rent, property tax, common area maintenance expenses, and fixed asset disposals incurred in connection with the relocation to our San Diego office building. The increase in professional services includes the estimated costs of the investigation, settlement, and resolution of regulatory matters.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For the three and nine months ended September 30, 2014, depreciation and amortization increased by $3.1 million, or 14.4%, and $9.2 million, or 14.9%, respectively, compared with the same periods in 2013. The increases were due primarily to capital assets placed into service during the latter half of 2013 related to the San Diego office building and capitalized software.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 xml:space="preserve">Restructuring charges increased by $3.4 million, or 53.2%, and $6.6 million, or 33.4%, for the three and nine months ended September 30, 2014, respectively, compared with the same periods in 2013. These charges relate primarily to consulting fees paid to support our technology transformation as well as employee severance obligations and other related costs and non-cash charges for impairment incurred through our expansion of our Service Value Commitment. Refer to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details regarding this matter.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35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Other expenses for the three and nine months ended September 30, 2013 include the derecognition of fixed assets of $6.9 million and goodwill of $10.2 million, incurred as a result of the NestWise Closure, which ceased operations during the third quarter of 2013. The assets were from the 2012 acquisition of Veritat by NestWise, and were determined to have no future economic benefit. Additionally, we revised our estimate of the potential payment obligation to the former shareholders of Veritat, which resulted in a $7.8 million decrease in the estimated fair value of contingent consideration during the three and nine months ended September 30, 2013.</w:t>
      </w:r>
    </w:p>
    <w:p>
      <w:pPr>
        <w:sectPr>
          <w:pgSz w:w="11900" w:h="16838" w:orient="portrait"/>
          <w:cols w:equalWidth="0" w:num="1">
            <w:col w:w="11360"/>
          </w:cols>
          <w:pgMar w:left="240" w:top="544" w:right="299" w:bottom="1440" w:gutter="0" w:footer="0" w:header="0"/>
        </w:sect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544" w:right="2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Interest expense represents non-operating interest expense for our senior secured credit facilities. Interest expense decreased by $0.5 million, or 3.5%, for the three months ended September 30, 2014 compared with the same period in 2013. Additionally, interest expense increased by $0.5 million, or 1.2%, for the nine months ended September 30, 2014, compared with the same periods in 2013. The changes in interest expense for the 2014 periods are due to changes in the level of outstanding indebtedness following the amendment to the credit agreement in May 2013.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80" w:firstLine="500"/>
        <w:spacing w:after="0" w:line="254" w:lineRule="auto"/>
        <w:rPr>
          <w:sz w:val="20"/>
          <w:szCs w:val="20"/>
          <w:color w:val="auto"/>
        </w:rPr>
      </w:pPr>
      <w:r>
        <w:rPr>
          <w:rFonts w:ascii="Arial" w:cs="Arial" w:eastAsia="Arial" w:hAnsi="Arial"/>
          <w:sz w:val="18"/>
          <w:szCs w:val="18"/>
          <w:color w:val="auto"/>
        </w:rPr>
        <w:t>Losses from the extinguishment of debt totaled $8.0 million for the nine months ended September 30, 2013. In May 2013, we refinanced and amended our previous credit agreement and effectively increased our borrowing by approximately $236.1 million, with net proceeds used primarily for working capital requirements and other general corporate purposes. Accordingly, we wrote off $8.0 million of unamortized debt issuance costs that had no future economic benefit related to our prior credit agreement.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20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During the three months ended September 30, 2014, we recorded income tax expense of $22.2 million, compared with $23.7 million in the prior year period. Our effective income tax rate was 40.0% and 38.6% for the three months ended September 30, 2014 and 2013, respectively.</w:t>
      </w:r>
    </w:p>
    <w:p>
      <w:pPr>
        <w:spacing w:after="0" w:line="310" w:lineRule="exact"/>
        <w:rPr>
          <w:sz w:val="20"/>
          <w:szCs w:val="20"/>
          <w:color w:val="auto"/>
        </w:rPr>
      </w:pPr>
    </w:p>
    <w:p>
      <w:pPr>
        <w:ind w:right="20" w:firstLine="486"/>
        <w:spacing w:after="0" w:line="291" w:lineRule="auto"/>
        <w:rPr>
          <w:sz w:val="20"/>
          <w:szCs w:val="20"/>
          <w:color w:val="auto"/>
        </w:rPr>
      </w:pPr>
      <w:r>
        <w:rPr>
          <w:rFonts w:ascii="Arial" w:cs="Arial" w:eastAsia="Arial" w:hAnsi="Arial"/>
          <w:sz w:val="17"/>
          <w:szCs w:val="17"/>
          <w:color w:val="auto"/>
        </w:rPr>
        <w:t>During the nine months ended September 30, 2014, we recorded income tax expense of $84.7 million, compared with $89.3 million in the prior year period. Our effective income tax rate was 39.5% and 39.4% for the nine months ended September 30, 2014 and 2013,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 Cash requirements and liquidity needs are primarily funded through our cash flow from operations and our capacity for additional borrowing.</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224,251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141,907</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(80,114)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(40,769)</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18,341</w:t>
            </w:r>
          </w:p>
        </w:tc>
      </w:tr>
      <w:tr>
        <w:trPr>
          <w:trHeight w:val="247"/>
        </w:trPr>
        <w:tc>
          <w:tcPr>
            <w:tcW w:w="83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119,479</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459,494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585,740</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Net cash provided by or used in operating activities includes net income adjusted for non-cash expenses. Operating assets and liabilities include balances related to settlement and funding of client transactions, receivables from product sponsors, and accrued commissions and advisory expenses due to our advisors. Operating assets and liabilities that arise from the settlement and funding of transactions by our advisors’ clients are the principal</w:t>
      </w:r>
    </w:p>
    <w:p>
      <w:pPr>
        <w:sectPr>
          <w:pgSz w:w="11900" w:h="16838" w:orient="portrait"/>
          <w:cols w:equalWidth="0" w:num="1">
            <w:col w:w="11420"/>
          </w:cols>
          <w:pgMar w:left="240" w:top="526"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26" w:right="239" w:bottom="1440" w:gutter="0" w:footer="0" w:header="0"/>
          <w:type w:val="continuous"/>
        </w:sectPr>
      </w:pPr>
    </w:p>
    <w:bookmarkStart w:id="42" w:name="page43"/>
    <w:bookmarkEnd w:id="42"/>
    <w:p>
      <w:pPr>
        <w:ind w:right="320"/>
        <w:spacing w:after="0" w:line="262" w:lineRule="auto"/>
        <w:rPr>
          <w:sz w:val="20"/>
          <w:szCs w:val="20"/>
          <w:color w:val="auto"/>
        </w:rPr>
      </w:pPr>
      <w:r>
        <w:rPr>
          <w:rFonts w:ascii="Arial" w:cs="Arial" w:eastAsia="Arial" w:hAnsi="Arial"/>
          <w:sz w:val="18"/>
          <w:szCs w:val="18"/>
          <w:color w:val="auto"/>
        </w:rPr>
        <w:t>cause of changes to our net cash from operating activities and can fluctuate significantly from day to day and period to period depending on overall trends and clients' behaviors.</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cash provided by operating activities for the nine months ended September 30, 2014 and 2013 totaled $224.3 million and $141.9 million, respectively. The change in cash flows between periods primarily reflects the impact of client trading and settlement activity and represented a net source of funds of $50.1 million in 2014, compared to a net use of funds of $90.8 million in 2013. Cash flows from operating activities for 2014 also included uses of cash for an increase in receivables from others of $31.2 million and a total change of $22.2 million in income taxes receivable and payable. The net use of funds in 2013 was offset by net income of $137.4 million, depreciation and amortization of $61.5 million, and unamortized debt issuance costs of $8.0 million, which were written off as a charge to earnings stemming from our May 2013 debt refinancing.</w:t>
      </w:r>
    </w:p>
    <w:p>
      <w:pPr>
        <w:spacing w:after="0" w:line="20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Net cash used in investing activities for the nine months ended September 30, 2014 and 2013 totaled $80.1 million and $40.8 million, respectively. The net cash used in 2014 primarily consisted of $78.8 million in capital expenditures and the purchase of intangible assets. The net cash used in 2013 included $40.8 million in capital expenditures.</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Net cash used in financing activities for the nine months ended September 30, 2014 totaled $201.2 million. Net cash provided by financing activities for the nine months ended September 30, 2013 totaled $18.3 million. Cash flows used in financing activities in 2014 primarily consisted of $ 150.0 million for repurchases of common stock and $72.1 million for cash dividends paid, partially offset by $25.3 million in proceeds from stock option exercises. Cash flows provided by financing activities in 2013 include $1,079.0 million in proceeds from the issuance on senior debt, $ 863.9 million to pay down term loans under our senior secured credit facility, $175.7 million for repurchases of common stock, and $48.7 million of cash dividends paid.</w:t>
      </w:r>
    </w:p>
    <w:p>
      <w:pPr>
        <w:spacing w:after="0" w:line="209"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the revolving credit facility available through our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entity and bank trust subsidiaries and have met all such requirements and expect to continue to do so for the foreseeable future. We regularly evaluate our existing indebtedness based on a number of factors, including our capital requirements, future prospects, contractual restrictions, the availability of refinancing on attractive terms, and general market conditions. Notwithstanding the foregoing, see the Risks Related to our Debt section within Part I, “Item 1A. Risk Factors” in our 2013 Annual Report on Form 10-K for more information about the risks associated with our debt obligations and their potential effect on our liquidity.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Board has periodically approved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liquidity needs.</w:t>
      </w:r>
    </w:p>
    <w:p>
      <w:pPr>
        <w:spacing w:after="0" w:line="20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For the three months ended September 30, 2014 and 2013, we had the following activity under our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at September 30,</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759,786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38.40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2,566,630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97.3</w:t>
            </w:r>
          </w:p>
        </w:tc>
      </w:tr>
      <w:tr>
        <w:trPr>
          <w:trHeight w:val="27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531,426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47.06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531,426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47.06</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3,326,416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38.04</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126.5</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90" w:right="239" w:bottom="1440" w:gutter="0" w:footer="0" w:header="0"/>
        </w:sectPr>
      </w:pPr>
    </w:p>
    <w:bookmarkStart w:id="43" w:name="page44"/>
    <w:bookmarkEnd w:id="43"/>
    <w:p>
      <w:pPr>
        <w:ind w:right="80" w:firstLine="486"/>
        <w:spacing w:after="0" w:line="262" w:lineRule="auto"/>
        <w:rPr>
          <w:sz w:val="20"/>
          <w:szCs w:val="20"/>
          <w:color w:val="auto"/>
        </w:rPr>
      </w:pPr>
      <w:r>
        <w:rPr>
          <w:rFonts w:ascii="Arial" w:cs="Arial" w:eastAsia="Arial" w:hAnsi="Arial"/>
          <w:sz w:val="18"/>
          <w:szCs w:val="18"/>
          <w:color w:val="auto"/>
        </w:rPr>
        <w:t>For the nine months ended September 30, 2014 and 2013, we had the following activity under our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at September 30,</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2,343,651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1,306,288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52.00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2,566,630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97.3</w:t>
            </w:r>
          </w:p>
        </w:tc>
      </w:tr>
      <w:tr>
        <w:trPr>
          <w:trHeight w:val="27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1,683,424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48.77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2,989,712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4,910,281</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37.54</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184.3</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On February 12, 2014, we entered into a share repurchase agreement with an investment fund associated with TPG Capital, pursuant to which we repurchased 1.9 million shares of our common stock at a price of $52.00 per share, for total consideration of $100.0 million.</w:t>
      </w:r>
    </w:p>
    <w:p>
      <w:pPr>
        <w:spacing w:after="0" w:line="88" w:lineRule="exact"/>
        <w:rPr>
          <w:sz w:val="20"/>
          <w:szCs w:val="20"/>
          <w:color w:val="auto"/>
        </w:rPr>
      </w:pPr>
    </w:p>
    <w:p>
      <w:pPr>
        <w:ind w:right="780" w:firstLine="486"/>
        <w:spacing w:after="0" w:line="449" w:lineRule="auto"/>
        <w:rPr>
          <w:sz w:val="20"/>
          <w:szCs w:val="20"/>
          <w:color w:val="auto"/>
        </w:rPr>
      </w:pPr>
      <w:r>
        <w:rPr>
          <w:rFonts w:ascii="Arial" w:cs="Arial" w:eastAsia="Arial" w:hAnsi="Arial"/>
          <w:sz w:val="18"/>
          <w:szCs w:val="18"/>
          <w:color w:val="auto"/>
        </w:rPr>
        <w:t xml:space="preserve">On October 1, 2014, the Board approved an increase in our share repurchase plan by $150.0 million to a total of $217.9 million. </w:t>
      </w:r>
      <w:r>
        <w:rPr>
          <w:rFonts w:ascii="Arial" w:cs="Arial" w:eastAsia="Arial" w:hAnsi="Arial"/>
          <w:sz w:val="18"/>
          <w:szCs w:val="18"/>
          <w:b w:val="1"/>
          <w:bCs w:val="1"/>
          <w:i w:val="1"/>
          <w:iCs w:val="1"/>
          <w:color w:val="auto"/>
        </w:rPr>
        <w:t>Dividends</w:t>
      </w:r>
    </w:p>
    <w:p>
      <w:pPr>
        <w:spacing w:after="0" w:line="3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our Board as well as certain limits under our credit facilities. Cash dividends per share of common stock and total cash dividends paid quarterly were as follows for the periods indicated (in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Total Cash</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Dividend</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Share</w:t>
            </w:r>
          </w:p>
        </w:tc>
        <w:tc>
          <w:tcPr>
            <w:tcW w:w="240" w:type="dxa"/>
            <w:vAlign w:val="bottom"/>
          </w:tcPr>
          <w:p>
            <w:pPr>
              <w:spacing w:after="0"/>
              <w:rPr>
                <w:sz w:val="19"/>
                <w:szCs w:val="19"/>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0.135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0.135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bl>
    <w:p>
      <w:pPr>
        <w:spacing w:after="0" w:line="269" w:lineRule="exact"/>
        <w:rPr>
          <w:sz w:val="20"/>
          <w:szCs w:val="20"/>
          <w:color w:val="auto"/>
        </w:rPr>
      </w:pPr>
    </w:p>
    <w:p>
      <w:pPr>
        <w:ind w:right="960" w:firstLine="486"/>
        <w:spacing w:after="0" w:line="262" w:lineRule="auto"/>
        <w:rPr>
          <w:sz w:val="20"/>
          <w:szCs w:val="20"/>
          <w:color w:val="auto"/>
        </w:rPr>
      </w:pPr>
      <w:r>
        <w:rPr>
          <w:rFonts w:ascii="Arial" w:cs="Arial" w:eastAsia="Arial" w:hAnsi="Arial"/>
          <w:sz w:val="18"/>
          <w:szCs w:val="18"/>
          <w:color w:val="auto"/>
        </w:rPr>
        <w:t>On October 28, 2014, the Board declared a cash dividend of $0.24 per share on our outstanding common stock to be paid on November 26, 2014 to all stockholders of record on November 11,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39"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loan, or sell securities that collateralize those margin accounts. As of September 30, 2014, we had received collateral primarily in connection with client margin loans with a fair value of approximately $379.8 million, which can be re-pledged, loaned, or sold. Of these securities, approximately $31.9 million had been pledged to the Options Clearing Corporation as collateral to secure certain client obligations related to options positions. As of September 30, 2014 there were no restrictions that materially limited our ability to re-pledge, loan, or sell the remaining $347.9 million of client collateral.</w:t>
      </w:r>
    </w:p>
    <w:p>
      <w:pPr>
        <w:spacing w:after="0" w:line="104"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funds drawn on our uncommitted lines of credit at our broker-dealer subsidiary LPL Financial, or under our revolving credit facility.</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September 30, 2014, LPL Financial's excess net capital was $102.5 million.</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pursuant to the SEC's Uniform Net Capital Rule.</w:t>
      </w:r>
    </w:p>
    <w:p>
      <w:pPr>
        <w:spacing w:after="0" w:line="19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net capital falls below 5.0% of aggregate debit balances. At September 30, 2014, LPL Financial's net capital was $109.2 million and its early warning requirement was $16.8 million. LPL Financial typically maintains net capital in excess of the early warning level to maintain its ability to grow its business, demonstrate the stability of its operations, and provide a safeguard in the event of sustained levels of market volatility.</w:t>
      </w:r>
    </w:p>
    <w:p>
      <w:pPr>
        <w:spacing w:after="0" w:line="203"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35-day rolling period requires approval from FINRA. In addition, payment of dividends is restricted if LPL Financial's net capital would be less than the FINRA early warning requirement of 5.0% of aggregate debit balances.</w:t>
      </w:r>
    </w:p>
    <w:p>
      <w:pPr>
        <w:spacing w:after="0" w:line="202" w:lineRule="exact"/>
        <w:rPr>
          <w:sz w:val="20"/>
          <w:szCs w:val="20"/>
          <w:color w:val="auto"/>
        </w:rPr>
      </w:pPr>
    </w:p>
    <w:p>
      <w:pPr>
        <w:jc w:val="both"/>
        <w:ind w:right="800" w:firstLine="486"/>
        <w:spacing w:after="0" w:line="256" w:lineRule="auto"/>
        <w:rPr>
          <w:sz w:val="20"/>
          <w:szCs w:val="20"/>
          <w:color w:val="auto"/>
        </w:rPr>
      </w:pPr>
      <w:r>
        <w:rPr>
          <w:rFonts w:ascii="Arial" w:cs="Arial" w:eastAsia="Arial" w:hAnsi="Arial"/>
          <w:sz w:val="18"/>
          <w:szCs w:val="18"/>
          <w:color w:val="auto"/>
        </w:rPr>
        <w:t>Our subsidiary,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34"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 xml:space="preserve">On May 13, 2013, we entered into the First Amendment and Incremental Assumption Agreement (“Credit Agreement”) with our wholly owned subsidiary, LPL Holdings, Inc., and other parties thereto. The Credit Agreement amended our previous credit agreement, dated as of March 29, 2012.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within the notes to unaudited condensed consolidated financial statements, for details regarding the amendment of the Credit Agreement.</w:t>
      </w:r>
    </w:p>
    <w:p>
      <w:pPr>
        <w:spacing w:after="0" w:line="187"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Credit Agreement includes a term loan A (“Term Loan A”), a term loan B, which had an initial principal amount of $459.4 million maturing on March 29, 2017; (“Term Loan B”), which had an initial principal amount of $1,083.9 million maturing on March 29, 2019; and the revolving credit facility (“Revolving Credit Facility”), which had an initial borrowing capacity of $250.0 million maturing on March 29, 2017.</w:t>
      </w:r>
    </w:p>
    <w:p>
      <w:pPr>
        <w:spacing w:after="0" w:line="19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we maintain three uncommitted lines of credit at LPL Financial. Two of the lines have unspecified limits and are primarily dependent on our ability to provide sufficient collateral. The third line had a $200.0 million limit at September 30, 2014 and December 31, 2013, and allows for both collateralized and uncollateralized borrowings. The lines were utilized in 2013; however, there were no balances outstanding at September 30, 2014 or December 31, 2013.</w:t>
      </w:r>
    </w:p>
    <w:p>
      <w:pPr>
        <w:spacing w:after="0" w:line="20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While our term loans are unhedged as of September 30, 2014, the risk of variability on our floating interest rate is partially mitigated by our cash sweep programs and client margin loans, which carry floating interest rates, as well as fees received from our cash sweep programs. At September 30, 2014, our receivables from our advisors’ clients for margin loan activity were approximately $271.3 million, and the balance of deposits in the cash sweep programs was $24.0 billion.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3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Borrowings under Term Loan A and Term Loan B bear interest at a base rate equal to either a LIBOR based rate (the “Eurodollar Rate”) plus the applicable interest rate margin, or an alternative base rate (“ABR”) plus the applicable interest rate margin. The Eurodollar Rate with respect to Term Loan B shall in no event be less than 0.75%. The ABR is equal to the greatest of (a) the prime rate in effect on such day; (b) the effective federal funds</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9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rate in effect on such day plus 0.50%; (c) the Eurodollar Rate plus 1.00%; or (d) solely in the case of Term Loan B, 1.75%.</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As of September 30, 2014, borrowings under the term loans bear interest at the Eurodollar Rate with an applicable interest rate margin of 2.50%. Borrowings under our Revolving Credit Facility bear interest with an applicable interest rate margin of 2.50%. The applicable interest rate margin on Term Loan A and the Revolving Credit Facility could change depending on our total leverage ratio.</w:t>
      </w:r>
    </w:p>
    <w:p>
      <w:pPr>
        <w:spacing w:after="0" w:line="20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addition to paying interest on outstanding principal under the Credit Agreement, we are required to pay a commitment fee to the lenders under the Revolving Credit Facility in respect of the unutilized commitments thereunder. The commitment fee rate at September 30, 2014 was 0.50% for our Revolving Credit Facility, but is subject to change depending on our leverage ratio. We must also pay customary letter of credit fees.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Credit Agreement requires us to prepay outstanding amounts under our senior secured term loan facility subject to certain exceptions, with:</w:t>
      </w:r>
    </w:p>
    <w:p>
      <w:pPr>
        <w:spacing w:after="0" w:line="196" w:lineRule="exact"/>
        <w:rPr>
          <w:sz w:val="20"/>
          <w:szCs w:val="20"/>
          <w:color w:val="auto"/>
        </w:rPr>
      </w:pPr>
    </w:p>
    <w:p>
      <w:pPr>
        <w:ind w:left="520" w:right="20" w:hanging="120"/>
        <w:spacing w:after="0" w:line="25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w:t>
      </w:r>
    </w:p>
    <w:p>
      <w:pPr>
        <w:spacing w:after="0" w:line="93"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Credit Agreement; and</w:t>
      </w:r>
    </w:p>
    <w:p>
      <w:pPr>
        <w:spacing w:after="0" w:line="117" w:lineRule="exact"/>
        <w:rPr>
          <w:rFonts w:ascii="Arial" w:cs="Arial" w:eastAsia="Arial" w:hAnsi="Arial"/>
          <w:sz w:val="18"/>
          <w:szCs w:val="18"/>
          <w:color w:val="auto"/>
        </w:rPr>
      </w:pPr>
    </w:p>
    <w:p>
      <w:pPr>
        <w:ind w:left="520" w:right="100" w:hanging="120"/>
        <w:spacing w:after="0" w:line="25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solely in the case of Term Loan B, 50% (percentage will be reduced to 0% if our total leverage ratio is 3.00 to 1.00 or less) of our annual excess cash flow (as defined in the Credit Agreement) adjusted for, among other things, changes in our net working capital (as of September 30, 2014 our total leverage ratio was 2.56).</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Term Loan A and Term Loan B in any order at our direction. Any other mandatory prepayments described above will be applied to scheduled installments of principal of Term Loan A and Term Loan B in direct order. We may voluntarily repay outstanding term loans under the Credit Agreement at any time without premium or penalty, other than customary “breakage” costs with respect to Eurodollar Rate loans.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At the time we entered into the Credit Agreement, we prepaid all mandatory payments required under Term Loan A with the remaining principal and accrued interest due upon maturity. Term Loan B includes quarterly payments at an annual rate of 1.0% of principal per year with the remaining principal and accrued interest due upon maturity. Any outstanding principal under the Revolving Credit Facility will be due upon maturity.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Credit Agreement are secured primarily through pledges of the capital stock in certain of our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may restrict our ability to:</w:t>
      </w:r>
    </w:p>
    <w:p>
      <w:pPr>
        <w:spacing w:after="0" w:line="117" w:lineRule="exact"/>
        <w:rPr>
          <w:sz w:val="20"/>
          <w:szCs w:val="20"/>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investments, loans, or advances; or</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appreciation rights plan, any management or employee stock ownership plan, stock subscription plan, employment termination agreement or any employment agreements</w:t>
      </w:r>
    </w:p>
    <w:p>
      <w:pPr>
        <w:sectPr>
          <w:pgSz w:w="11900" w:h="16838" w:orient="portrait"/>
          <w:cols w:equalWidth="0" w:num="1">
            <w:col w:w="11400"/>
          </w:cols>
          <w:pgMar w:left="240" w:top="490" w:right="259"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490" w:right="259" w:bottom="1440" w:gutter="0" w:footer="0" w:header="0"/>
          <w:type w:val="continuous"/>
        </w:sectPr>
      </w:pPr>
    </w:p>
    <w:bookmarkStart w:id="46" w:name="page47"/>
    <w:bookmarkEnd w:id="46"/>
    <w:p>
      <w:pPr>
        <w:spacing w:after="0" w:line="250" w:lineRule="auto"/>
        <w:rPr>
          <w:sz w:val="20"/>
          <w:szCs w:val="20"/>
          <w:color w:val="auto"/>
        </w:rPr>
      </w:pPr>
      <w:r>
        <w:rPr>
          <w:rFonts w:ascii="Arial" w:cs="Arial" w:eastAsia="Arial" w:hAnsi="Arial"/>
          <w:sz w:val="18"/>
          <w:szCs w:val="18"/>
          <w:color w:val="auto"/>
        </w:rPr>
        <w:t>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Amended Credit Agreement, (iii) tax liabilities to the extent attributable to our business and our subsidiaries and (iv) dividends and other distributions in an aggregate amount not to exceed the sum of (a) the greater of $250,000,000 or 6.75% of our consolidated total assets, (b) the available amount (as defined in the Credit Agreement), (c) the available equity amount (as defined in the Credit Agreement), and</w:t>
      </w:r>
    </w:p>
    <w:p>
      <w:pPr>
        <w:spacing w:after="0" w:line="3" w:lineRule="exact"/>
        <w:rPr>
          <w:sz w:val="20"/>
          <w:szCs w:val="20"/>
          <w:color w:val="auto"/>
        </w:rPr>
      </w:pPr>
    </w:p>
    <w:p>
      <w:pPr>
        <w:ind w:right="80" w:firstLine="8"/>
        <w:spacing w:after="0" w:line="256"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incremental dividend amount (as defined in the Credit Agreement). Notwithstanding the foregoing, we may make unlimited dividends and distributions provided that after giving pro forma effect thereto, our total leverage ratio does not exceed 2.0. As of September 30, 2014, we have the ability to make dividends and distributions or repurchase our capital stock totaling $359.6 million, subject to approval by the Board.</w:t>
      </w:r>
    </w:p>
    <w:p>
      <w:pPr>
        <w:spacing w:after="0" w:line="94"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share repurchase programs approved in September 2012, May 2013, and February 2014 were authorized by the Board pursuant to item (iv) above. Any future declarations of quarterly cash dividends will be authorized pursuant to item (iv) above.</w:t>
      </w:r>
    </w:p>
    <w:p>
      <w:pPr>
        <w:spacing w:after="0" w:line="88"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Each of our financial ratios is measured at the end of each fiscal quarter. Our Credit Agreement provides us with a right to cure in the event we fail to comply with our leverage ratio test or our interest coverage ratio test. We must exercise this right to cure within ten days of the delivery of our quarterly certificate calculating the financial ratios for that quarter.</w:t>
      </w:r>
    </w:p>
    <w:p>
      <w:pPr>
        <w:spacing w:after="0" w:line="9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 leverage ratio test and interest coverage ratio test use a Credit Agreement Adjusted EBITDA, which starts with Adjusted EBITDA and then excludes the recognition of share-based compensation expense from equity awards granted to advisors and financial institutions based on the fair value of the awards at each reporting period as well as other items, including employee severance costs, employee signing costs, and employee retention or completion bonuses.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covenant requirements and actual ratios as of September 30, 2014 and December 31, 2013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19"/>
                <w:szCs w:val="19"/>
                <w:color w:val="auto"/>
              </w:rPr>
            </w:pPr>
          </w:p>
        </w:tc>
        <w:tc>
          <w:tcPr>
            <w:tcW w:w="2880" w:type="dxa"/>
            <w:vAlign w:val="bottom"/>
            <w:gridSpan w:val="4"/>
          </w:tcPr>
          <w:p>
            <w:pPr>
              <w:ind w:left="640"/>
              <w:spacing w:after="0"/>
              <w:rPr>
                <w:sz w:val="20"/>
                <w:szCs w:val="20"/>
                <w:color w:val="auto"/>
              </w:rPr>
            </w:pPr>
            <w:r>
              <w:rPr>
                <w:rFonts w:ascii="Arial" w:cs="Arial" w:eastAsia="Arial" w:hAnsi="Arial"/>
                <w:sz w:val="16"/>
                <w:szCs w:val="16"/>
                <w:b w:val="1"/>
                <w:bCs w:val="1"/>
                <w:color w:val="auto"/>
              </w:rPr>
              <w:t>September 30, 2014</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2013</w:t>
            </w:r>
          </w:p>
        </w:tc>
      </w:tr>
      <w:tr>
        <w:trPr>
          <w:trHeight w:val="198"/>
        </w:trPr>
        <w:tc>
          <w:tcPr>
            <w:tcW w:w="5820" w:type="dxa"/>
            <w:vAlign w:val="bottom"/>
          </w:tcPr>
          <w:p>
            <w:pPr>
              <w:spacing w:after="0"/>
              <w:rPr>
                <w:sz w:val="17"/>
                <w:szCs w:val="17"/>
                <w:color w:val="auto"/>
              </w:rPr>
            </w:pP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r>
      <w:tr>
        <w:trPr>
          <w:trHeight w:val="228"/>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Financial Ratio</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Requirement</w:t>
            </w:r>
          </w:p>
        </w:tc>
        <w:tc>
          <w:tcPr>
            <w:tcW w:w="1140" w:type="dxa"/>
            <w:vAlign w:val="bottom"/>
          </w:tcPr>
          <w:p>
            <w:pPr>
              <w:ind w:left="100"/>
              <w:spacing w:after="0"/>
              <w:rPr>
                <w:sz w:val="20"/>
                <w:szCs w:val="20"/>
                <w:color w:val="auto"/>
              </w:rPr>
            </w:pPr>
            <w:r>
              <w:rPr>
                <w:rFonts w:ascii="Arial" w:cs="Arial" w:eastAsia="Arial" w:hAnsi="Arial"/>
                <w:sz w:val="16"/>
                <w:szCs w:val="16"/>
                <w:b w:val="1"/>
                <w:bCs w:val="1"/>
                <w:color w:val="auto"/>
              </w:rPr>
              <w:t>Actual Ratio</w:t>
            </w:r>
          </w:p>
        </w:tc>
      </w:tr>
      <w:tr>
        <w:trPr>
          <w:trHeight w:val="25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4.25</w:t>
            </w:r>
          </w:p>
        </w:tc>
        <w:tc>
          <w:tcPr>
            <w:tcW w:w="12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4.25</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2.34</w:t>
            </w: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3.00</w:t>
            </w:r>
          </w:p>
        </w:tc>
        <w:tc>
          <w:tcPr>
            <w:tcW w:w="1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10.91</w:t>
            </w:r>
          </w:p>
        </w:tc>
      </w:tr>
    </w:tbl>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2014 and December 31, 2013 we were in compliance with all of our covenant requirements.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16.</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March 2014 we entered into a lease agreement for additional office space in Charlotte, North Carolina with a lease commencement date of March 1, 2014 and an expiration date of February 28, 2017. Future minimum payments for this lease commitment are $0.2 million, $1.0 million, $1.1 million, and $0.2 million, for the years 2014, 2015, 2016, and 2017, respectively.</w:t>
      </w:r>
    </w:p>
    <w:p>
      <w:pPr>
        <w:spacing w:after="0" w:line="256" w:lineRule="exact"/>
        <w:rPr>
          <w:sz w:val="20"/>
          <w:szCs w:val="20"/>
          <w:color w:val="auto"/>
        </w:rPr>
      </w:pPr>
    </w:p>
    <w:p>
      <w:pPr>
        <w:ind w:right="380" w:firstLine="486"/>
        <w:spacing w:after="0" w:line="253" w:lineRule="auto"/>
        <w:rPr>
          <w:sz w:val="20"/>
          <w:szCs w:val="20"/>
          <w:color w:val="auto"/>
        </w:rPr>
      </w:pPr>
      <w:r>
        <w:rPr>
          <w:rFonts w:ascii="Arial" w:cs="Arial" w:eastAsia="Arial" w:hAnsi="Arial"/>
          <w:sz w:val="18"/>
          <w:szCs w:val="18"/>
          <w:color w:val="auto"/>
        </w:rPr>
        <w:t xml:space="preserve">In the three months ended September 30, 2014 there have been no material changes in our contractual obligations, other than in the ordinary course of business, from those above or disclosed in our 2013 Annual Report on Form 10-K. See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within the notes to unaudited condensed consolidated financial statements, as well as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section within Part II, “Item 7. Management’s Discussion and Analysis of Financial Condition and Results of Operations” in our 2013 Annual Report on Form 10-K, for further detail on operating lease obligations and obligations under noncancelable service contracts.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8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30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At September 30, 2014,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2013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2013 Annual Report on Form 10-K. The accounting principles used in preparing our unaudited condensed consolidated financial statements conform in all material respects to GAAP.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3"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There are no recent accounting pronouncements that would impact our condensed consolidated statements of income, comprehensive income, financial condition,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on pending client activities that which are monitored by our Client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Client Support Services department. Our research department develops model portfolios that are used by advisors in developing client portfolios. We currently maintain approximately 190 accounts based on model portfolios. At the time a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established at the inception of each new model.</w:t>
      </w:r>
    </w:p>
    <w:p>
      <w:pPr>
        <w:spacing w:after="0" w:line="212"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At September 30, 2014, the fair value of our trading securities owned were $12.9 million. Securities sold, but not yet purchased were immaterial at September 30, 2014. The fair value of securities included within other assets were $75.9 million at September 30, 2014. See Note</w:t>
      </w:r>
    </w:p>
    <w:p>
      <w:pPr>
        <w:spacing w:after="0" w:line="1" w:lineRule="exact"/>
        <w:rPr>
          <w:sz w:val="20"/>
          <w:szCs w:val="20"/>
          <w:color w:val="auto"/>
        </w:rPr>
      </w:pPr>
    </w:p>
    <w:p>
      <w:pPr>
        <w:ind w:right="40" w:firstLine="8"/>
        <w:spacing w:after="0" w:line="254" w:lineRule="auto"/>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within the notes to unaudited condensed consolidated financial statements for information regarding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trading securities owned, securities sold, but not yet purchased and other assets associated with our client facilitation activities. See Note 5.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unaudited condensed consolidated financial statements for information regarding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securities held to maturity.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22" w:right="239" w:bottom="1440" w:gutter="0" w:footer="0" w:header="0"/>
        </w:sectPr>
      </w:pPr>
    </w:p>
    <w:bookmarkStart w:id="48" w:name="page49"/>
    <w:bookmarkEnd w:id="48"/>
    <w:p>
      <w:pPr>
        <w:ind w:right="36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trailing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September 30, 2014, all of the outstanding debt under our Credit Agreement, $1.5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9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September 30, 2014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10"/>
                <w:szCs w:val="10"/>
                <w:color w:val="auto"/>
              </w:rPr>
            </w:pPr>
          </w:p>
        </w:tc>
        <w:tc>
          <w:tcPr>
            <w:tcW w:w="90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1,067,592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1,526,967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60" w:right="520"/>
        <w:spacing w:after="0" w:line="282"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unaudited condensed consolidated financial statements for additional information regarding variable interest rate and applicable interest rate margin on our outstanding borrowings.</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set lower fees.</w:t>
      </w:r>
    </w:p>
    <w:p>
      <w:pPr>
        <w:spacing w:after="0" w:line="193"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average Federal Reserve effective federal funds rate (“FFER”) for the three months ended September 30, 2014 was 0.09%. The following table reflects the approximate annual impact to asset-based revenues on our insured cash programs (assuming that client balances at September 30, 2014 remain unchanged) of an upward or downward change in short-term interest rates of one basis point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- 2.60%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bl>
    <w:p>
      <w:pPr>
        <w:spacing w:after="0" w:line="161"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2.60%, may vary depending on the FRS committee's strategy in response to a change in interest rate levels, the significance of a change and actual balances at the time of such 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Financial by clients to support margin lending or derivative trading is insufficient to meet client’s contractual obligations to LPL Financial. We bear credit risk on the activities of our advisors’ clients, including the execution, settlement, and financing of various transactions on behalf of these clients.</w:t>
      </w:r>
    </w:p>
    <w:p>
      <w:pPr>
        <w:spacing w:after="0" w:line="204"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90" w:right="239" w:bottom="1440" w:gutter="0" w:footer="0" w:header="0"/>
        </w:sectPr>
      </w:pPr>
    </w:p>
    <w:bookmarkStart w:id="49" w:name="page50"/>
    <w:bookmarkEnd w:id="49"/>
    <w:p>
      <w:pPr>
        <w:ind w:right="120"/>
        <w:spacing w:after="0" w:line="256" w:lineRule="auto"/>
        <w:rPr>
          <w:sz w:val="20"/>
          <w:szCs w:val="20"/>
          <w:color w:val="auto"/>
        </w:rPr>
      </w:pPr>
      <w:r>
        <w:rPr>
          <w:rFonts w:ascii="Arial" w:cs="Arial" w:eastAsia="Arial" w:hAnsi="Arial"/>
          <w:sz w:val="18"/>
          <w:szCs w:val="18"/>
          <w:color w:val="auto"/>
        </w:rPr>
        <w:t>purposes of margin lending, cash is not used as collateral) and securities in the client’s account. Under many of these agreements, we are permitted to re-pledge, loan, or sell these securities held as collateral and use these securities to enter into securities lending arrangements or to deliver to counterparties to cover short positions.</w:t>
      </w:r>
    </w:p>
    <w:p>
      <w:pPr>
        <w:spacing w:after="0" w:line="20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losses on margin accounts were immaterial and did not exceed $0.1 million during the nine months ended September 30, 2014 and 2013.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Operational risk is defined as the risk of loss from the failure of internal controls, people, processes, procedures, or third parties.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and electronic data processing and communications systems. In the event of a breakdown, unauthorized access,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section within Part I, “Item 1A. Risk Factors” in our 2013 Annual Report on Form 10-K for more information about the risks associated with our technology, including risks related to security, and the potential related effects on our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12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2013 Annual Report on Form 10-K. In recent quarters,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2013 Annual Report on Form 10-K for more information about the risks associated with operating within our regulatory environment, and the potential related effects on our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4"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We employ an enterprise risk management (“ERM”) framework that is intended to address key risks and responsibilities, enable us to execute our business strategy, and protect our firm and its franchise. Our framework is designed to promote clear lines of risk management accountability and a structured escalation process for key risk information and events.</w:t>
      </w:r>
    </w:p>
    <w:p>
      <w:pPr>
        <w:spacing w:after="0" w:line="195"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auto"/>
        </w:rPr>
        <w:t>Our risk management governance approach includes our Board and certain of its committees; the Risk Oversight Committee of LPL Financial (the “ROC”) and its subcommittees; the Internal Audit department and the Governance, Risk and Compliance (the “GRC”) department of LPL Financial; and business line management. We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9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regularly reevaluate and, when necessary, modify our processes to improve the identification and escalation of risks and events.</w:t>
      </w:r>
    </w:p>
    <w:p>
      <w:pPr>
        <w:spacing w:after="0" w:line="207"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i w:val="1"/>
          <w:iCs w:val="1"/>
          <w:color w:val="auto"/>
        </w:rPr>
        <w:t>Audit Committee of the Board</w:t>
      </w:r>
      <w:r>
        <w:rPr>
          <w:rFonts w:ascii="Arial" w:cs="Arial" w:eastAsia="Arial" w:hAnsi="Arial"/>
          <w:sz w:val="18"/>
          <w:szCs w:val="18"/>
          <w:color w:val="auto"/>
        </w:rPr>
        <w:t>. In addition to its other responsibilities, the Audit Committee of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reviews</w:t>
      </w:r>
      <w:r>
        <w:rPr>
          <w:rFonts w:ascii="Arial" w:cs="Arial" w:eastAsia="Arial" w:hAnsi="Arial"/>
          <w:sz w:val="18"/>
          <w:szCs w:val="18"/>
          <w:i w:val="1"/>
          <w:iCs w:val="1"/>
          <w:color w:val="auto"/>
        </w:rPr>
        <w:t xml:space="preserve"> </w:t>
      </w:r>
      <w:r>
        <w:rPr>
          <w:rFonts w:ascii="Arial" w:cs="Arial" w:eastAsia="Arial" w:hAnsi="Arial"/>
          <w:sz w:val="18"/>
          <w:szCs w:val="18"/>
          <w:color w:val="auto"/>
        </w:rPr>
        <w:t>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180" w:lineRule="exact"/>
        <w:rPr>
          <w:sz w:val="20"/>
          <w:szCs w:val="20"/>
          <w:color w:val="auto"/>
        </w:rPr>
      </w:pPr>
    </w:p>
    <w:p>
      <w:pPr>
        <w:ind w:right="60" w:firstLine="486"/>
        <w:spacing w:after="0" w:line="266" w:lineRule="auto"/>
        <w:rPr>
          <w:sz w:val="20"/>
          <w:szCs w:val="20"/>
          <w:color w:val="auto"/>
        </w:rPr>
      </w:pPr>
      <w:r>
        <w:rPr>
          <w:rFonts w:ascii="Arial" w:cs="Arial" w:eastAsia="Arial" w:hAnsi="Arial"/>
          <w:sz w:val="18"/>
          <w:szCs w:val="18"/>
          <w:i w:val="1"/>
          <w:iCs w:val="1"/>
          <w:color w:val="auto"/>
        </w:rPr>
        <w:t>Compensation and Human Resources Committee of the Board</w:t>
      </w:r>
      <w:r>
        <w:rPr>
          <w:rFonts w:ascii="Arial" w:cs="Arial" w:eastAsia="Arial" w:hAnsi="Arial"/>
          <w:sz w:val="18"/>
          <w:szCs w:val="18"/>
          <w:color w:val="auto"/>
        </w:rPr>
        <w:t>. In addition to its other responsibilities, the Compensation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17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i w:val="1"/>
          <w:iCs w:val="1"/>
          <w:color w:val="auto"/>
        </w:rPr>
        <w:t>Risk Oversight Committee of LPL Financial</w:t>
      </w:r>
      <w:r>
        <w:rPr>
          <w:rFonts w:ascii="Arial" w:cs="Arial" w:eastAsia="Arial" w:hAnsi="Arial"/>
          <w:sz w:val="18"/>
          <w:szCs w:val="18"/>
          <w:color w:val="auto"/>
        </w:rPr>
        <w:t>. The Audit Committee has mandated that the ROC oversee our risk management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those of our subsidiaries. As of October 30, 2014, the Chief Risk Officer of LPL Financial serves as chair, and an Executive Vice President, Deputy General Counsel of LPL Financial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As of October 30, 2014, each member of the Management Committee of LPL Financial and the three other Managing Directors (Managing Director, Chief Investment Officer; Managing Director, Independent Advisor Services; and Managing Director, Institution Services) serve on the ROC. Additional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and control procedures and related exceptions, certain new and complex products and business arrangements, transactions with significant risk elements, and identified emerging risks.</w:t>
      </w:r>
    </w:p>
    <w:p>
      <w:pPr>
        <w:spacing w:after="0" w:line="211"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18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i w:val="1"/>
          <w:iCs w:val="1"/>
          <w:color w:val="auto"/>
        </w:rPr>
        <w:t>Subcommittees of the Risk Oversight Committee</w:t>
      </w:r>
      <w:r>
        <w:rPr>
          <w:rFonts w:ascii="Arial" w:cs="Arial" w:eastAsia="Arial" w:hAnsi="Arial"/>
          <w:sz w:val="18"/>
          <w:szCs w:val="18"/>
          <w:color w:val="auto"/>
        </w:rPr>
        <w:t>. The ROC has established multiple subcommittees that cover key areas of risk. The</w:t>
      </w:r>
      <w:r>
        <w:rPr>
          <w:rFonts w:ascii="Arial" w:cs="Arial" w:eastAsia="Arial" w:hAnsi="Arial"/>
          <w:sz w:val="18"/>
          <w:szCs w:val="18"/>
          <w:i w:val="1"/>
          <w:iCs w:val="1"/>
          <w:color w:val="auto"/>
        </w:rPr>
        <w:t xml:space="preserve"> </w:t>
      </w:r>
      <w:r>
        <w:rPr>
          <w:rFonts w:ascii="Arial" w:cs="Arial" w:eastAsia="Arial" w:hAnsi="Arial"/>
          <w:sz w:val="18"/>
          <w:szCs w:val="18"/>
          <w:color w:val="auto"/>
        </w:rPr>
        <w:t>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hotline allegations; and oversight of disclosures related to our financial reporting.</w:t>
      </w:r>
    </w:p>
    <w:p>
      <w:pPr>
        <w:spacing w:after="0" w:line="184"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i w:val="1"/>
          <w:iCs w:val="1"/>
          <w:color w:val="auto"/>
        </w:rPr>
        <w:t xml:space="preserve">Internal Audit Department. </w:t>
      </w:r>
      <w:r>
        <w:rPr>
          <w:rFonts w:ascii="Arial" w:cs="Arial" w:eastAsia="Arial" w:hAnsi="Arial"/>
          <w:sz w:val="18"/>
          <w:szCs w:val="18"/>
          <w:color w:val="auto"/>
        </w:rPr>
        <w:t>The Internal Audit department provides independent verification of the effectiveness of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by conducting risk assessments and audits designed to identify and cover important risk categories. The Internal Audit department provides regular reports to the ROC and reports to the Audit Committee at least as often as quarterly.</w:t>
      </w:r>
    </w:p>
    <w:p>
      <w:pPr>
        <w:spacing w:after="0" w:line="176"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i w:val="1"/>
          <w:iCs w:val="1"/>
          <w:color w:val="auto"/>
        </w:rPr>
        <w:t>Control Groups</w:t>
      </w:r>
      <w:r>
        <w:rPr>
          <w:rFonts w:ascii="Arial" w:cs="Arial" w:eastAsia="Arial" w:hAnsi="Arial"/>
          <w:sz w:val="18"/>
          <w:szCs w:val="18"/>
          <w:color w:val="auto"/>
        </w:rPr>
        <w:t>. The GRC department provides compliance oversight and guidance, and conducts various risk and other assessments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regulatory and firm-specific risks and requirements. The GRC department reports to the Chief Risk Officer, who reviews the results of the firm’s risk management process with the ROC, the Audit Committee and the Board as necessary. We also consider the Internal Audit department to be a control group.</w:t>
      </w:r>
    </w:p>
    <w:p>
      <w:pPr>
        <w:spacing w:after="0" w:line="180" w:lineRule="exact"/>
        <w:rPr>
          <w:sz w:val="20"/>
          <w:szCs w:val="20"/>
          <w:color w:val="auto"/>
        </w:rPr>
      </w:pPr>
    </w:p>
    <w:p>
      <w:pPr>
        <w:ind w:right="140" w:firstLine="486"/>
        <w:spacing w:after="0" w:line="274" w:lineRule="auto"/>
        <w:rPr>
          <w:sz w:val="20"/>
          <w:szCs w:val="20"/>
          <w:color w:val="auto"/>
        </w:rPr>
      </w:pPr>
      <w:r>
        <w:rPr>
          <w:rFonts w:ascii="Arial" w:cs="Arial" w:eastAsia="Arial" w:hAnsi="Arial"/>
          <w:sz w:val="17"/>
          <w:szCs w:val="17"/>
          <w:i w:val="1"/>
          <w:iCs w:val="1"/>
          <w:color w:val="auto"/>
        </w:rPr>
        <w:t xml:space="preserve">Business Line Management. </w:t>
      </w:r>
      <w:r>
        <w:rPr>
          <w:rFonts w:ascii="Arial" w:cs="Arial" w:eastAsia="Arial" w:hAnsi="Arial"/>
          <w:sz w:val="17"/>
          <w:szCs w:val="17"/>
          <w:color w:val="auto"/>
        </w:rPr>
        <w:t>Each business line is responsible for managing its risk, and business line management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keeping senior management, including the members of the ROC, informed of operational risk and escalating risk matters (as defined by the Company’s escalation policies). We regularly conduct firm-wide escalation training for our employees. Certain business lines, including Client Support Services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19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addition to the ERM framework, we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9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compliance with industry regulation and codes of ethics to govern employee and advisor conduct, among other matters.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third quarter ended September 30, 2014 that have materially affected, or are reasonably likely to materially affect, our internal control over financial reporting.</w:t>
      </w:r>
    </w:p>
    <w:p>
      <w:pPr>
        <w:spacing w:after="0" w:line="250"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May 14, 2013, the Committee of Sponsoring Organizations of the Treadway Commission ("COSO") issued an updated version of its Internal Control - Integrated Framework (the "2013 Framework"). Originally issued in 1992 (the "1992 Framework"), the framework helps organizations design, implement, and evaluate the effectiveness of internal control concepts and simplify their use and application. The 1992 Framework remains available during the transition period, which extends to December 15, 2014, after which time COSO will consider it superseded by the 2013 Framework. As of September 30, 2014, the Company continues to utilize the 1992 Framework during the transition to the 2013 Framework, which will be completed by the end of 2014.</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90" w:right="2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86"/>
        <w:spacing w:after="0" w:line="282" w:lineRule="auto"/>
        <w:rPr>
          <w:sz w:val="20"/>
          <w:szCs w:val="20"/>
          <w:color w:val="auto"/>
        </w:rPr>
      </w:pPr>
      <w:r>
        <w:rPr>
          <w:rFonts w:ascii="Arial" w:cs="Arial" w:eastAsia="Arial" w:hAnsi="Arial"/>
          <w:sz w:val="18"/>
          <w:szCs w:val="18"/>
          <w:color w:val="252525"/>
        </w:rPr>
        <w:t xml:space="preserve">See Note 9. </w:t>
      </w:r>
      <w:r>
        <w:rPr>
          <w:rFonts w:ascii="Arial" w:cs="Arial" w:eastAsia="Arial" w:hAnsi="Arial"/>
          <w:sz w:val="18"/>
          <w:szCs w:val="18"/>
          <w:i w:val="1"/>
          <w:iCs w:val="1"/>
          <w:color w:val="252525"/>
        </w:rPr>
        <w:t>Commitments and Contingencies</w:t>
      </w:r>
      <w:r>
        <w:rPr>
          <w:rFonts w:ascii="Arial" w:cs="Arial" w:eastAsia="Arial" w:hAnsi="Arial"/>
          <w:sz w:val="18"/>
          <w:szCs w:val="18"/>
          <w:color w:val="252525"/>
        </w:rPr>
        <w:t>, within the notes to unaudited condensed consolidated financial statements for disclosure of matters related to regulatory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2013 Annual Report on Form 10-K, except for the risk factor “Anti-takeover provisions in our certificate of incorporation and bylaws could prevent or delay a change in control of our Company,” which was revised to reflect the declassification of the Board that occurred during the quarter ending June 30, 2014 and which revised risk factor was set forth in Part II, “Item 1A. Risk Factors” in the Company's quarterly report on Form 10-Q for the quarter ended June 30, 2014.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September 30,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July 1, 2014 through July 31, 2014</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44,624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47.95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44,624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90,788,355</w:t>
            </w:r>
          </w:p>
        </w:tc>
        <w:tc>
          <w:tcPr>
            <w:tcW w:w="0" w:type="dxa"/>
            <w:vAlign w:val="bottom"/>
          </w:tcPr>
          <w:p>
            <w:pPr>
              <w:spacing w:after="0"/>
              <w:rPr>
                <w:sz w:val="1"/>
                <w:szCs w:val="1"/>
                <w:color w:val="auto"/>
              </w:rPr>
            </w:pPr>
          </w:p>
        </w:tc>
      </w:tr>
      <w:tr>
        <w:trPr>
          <w:trHeight w:val="260"/>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August 1, 2014 through August 31, 2014</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486,802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46.98</w:t>
            </w:r>
          </w:p>
        </w:tc>
        <w:tc>
          <w:tcPr>
            <w:tcW w:w="100" w:type="dxa"/>
            <w:vAlign w:val="bottom"/>
          </w:tcPr>
          <w:p>
            <w:pPr>
              <w:spacing w:after="0"/>
              <w:rPr>
                <w:sz w:val="22"/>
                <w:szCs w:val="22"/>
                <w:color w:val="auto"/>
              </w:rPr>
            </w:pP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486,802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September 1, 2014 through September 30, 2014</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67,927,079</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July 1, 2014 through September 30, 2014</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531,426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47.06</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531,426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67,927,079</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6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94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1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522"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8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(previously filed as Exhibit 3.1 to the</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Current Report on Form 8-K (File Number 001-34963) on May 9, 2014,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80" w:type="dxa"/>
            <w:vAlign w:val="bottom"/>
          </w:tcPr>
          <w:p>
            <w:pPr>
              <w:ind w:left="180"/>
              <w:spacing w:after="0"/>
              <w:rPr>
                <w:sz w:val="20"/>
                <w:szCs w:val="20"/>
                <w:color w:val="auto"/>
              </w:rPr>
            </w:pPr>
            <w:r>
              <w:rPr>
                <w:rFonts w:ascii="Arial" w:cs="Arial" w:eastAsia="Arial" w:hAnsi="Arial"/>
                <w:sz w:val="18"/>
                <w:szCs w:val="18"/>
                <w:color w:val="auto"/>
              </w:rPr>
              <w:t>Fifth Amended and Restated Bylaws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34963) on March 12, 2014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80" w:type="dxa"/>
            <w:vAlign w:val="bottom"/>
          </w:tcPr>
          <w:p>
            <w:pPr>
              <w:ind w:left="180"/>
              <w:spacing w:after="0"/>
              <w:rPr>
                <w:sz w:val="20"/>
                <w:szCs w:val="20"/>
                <w:color w:val="auto"/>
              </w:rPr>
            </w:pPr>
            <w:r>
              <w:rPr>
                <w:rFonts w:ascii="Arial" w:cs="Arial" w:eastAsia="Arial" w:hAnsi="Arial"/>
                <w:sz w:val="18"/>
                <w:szCs w:val="18"/>
                <w:color w:val="auto"/>
              </w:rPr>
              <w:t>Second Amendment, Extension and Incremental Assumption Agreement dated October 1, 2014, among Holdings, LPL</w:t>
            </w:r>
          </w:p>
        </w:tc>
      </w:tr>
      <w:tr>
        <w:trPr>
          <w:trHeight w:val="203"/>
        </w:trPr>
        <w:tc>
          <w:tcPr>
            <w:tcW w:w="920" w:type="dxa"/>
            <w:vAlign w:val="bottom"/>
          </w:tcPr>
          <w:p>
            <w:pPr>
              <w:spacing w:after="0"/>
              <w:rPr>
                <w:sz w:val="17"/>
                <w:szCs w:val="17"/>
                <w:color w:val="auto"/>
              </w:rPr>
            </w:pPr>
          </w:p>
        </w:tc>
        <w:tc>
          <w:tcPr>
            <w:tcW w:w="10080" w:type="dxa"/>
            <w:vAlign w:val="bottom"/>
          </w:tcPr>
          <w:p>
            <w:pPr>
              <w:ind w:left="180"/>
              <w:spacing w:after="0" w:line="202" w:lineRule="exact"/>
              <w:rPr>
                <w:sz w:val="20"/>
                <w:szCs w:val="20"/>
                <w:color w:val="auto"/>
              </w:rPr>
            </w:pPr>
            <w:r>
              <w:rPr>
                <w:rFonts w:ascii="Arial" w:cs="Arial" w:eastAsia="Arial" w:hAnsi="Arial"/>
                <w:sz w:val="18"/>
                <w:szCs w:val="18"/>
                <w:color w:val="auto"/>
                <w:w w:val="99"/>
              </w:rPr>
              <w:t>Holdings, Inc., the other Credit Parties signatory thereto, the several Lenders and Additional Lenders parties thereto, Bank of</w:t>
            </w:r>
          </w:p>
        </w:tc>
      </w:tr>
      <w:tr>
        <w:trPr>
          <w:trHeight w:val="203"/>
        </w:trPr>
        <w:tc>
          <w:tcPr>
            <w:tcW w:w="920" w:type="dxa"/>
            <w:vAlign w:val="bottom"/>
          </w:tcPr>
          <w:p>
            <w:pPr>
              <w:spacing w:after="0"/>
              <w:rPr>
                <w:sz w:val="17"/>
                <w:szCs w:val="17"/>
                <w:color w:val="auto"/>
              </w:rPr>
            </w:pPr>
          </w:p>
        </w:tc>
        <w:tc>
          <w:tcPr>
            <w:tcW w:w="10080" w:type="dxa"/>
            <w:vAlign w:val="bottom"/>
          </w:tcPr>
          <w:p>
            <w:pPr>
              <w:ind w:left="180"/>
              <w:spacing w:after="0" w:line="202" w:lineRule="exact"/>
              <w:rPr>
                <w:sz w:val="20"/>
                <w:szCs w:val="20"/>
                <w:color w:val="auto"/>
              </w:rPr>
            </w:pPr>
            <w:r>
              <w:rPr>
                <w:rFonts w:ascii="Arial" w:cs="Arial" w:eastAsia="Arial" w:hAnsi="Arial"/>
                <w:sz w:val="18"/>
                <w:szCs w:val="18"/>
                <w:color w:val="auto"/>
              </w:rPr>
              <w:t>America, N.A., as Administrative Agent, Collateral Agent, Letter of Credit Issuer and Swingline Lender, J.P.Morgan Chase</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Bank, N.A., as future administrative agent and the other parties thereto*</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10080" w:type="dxa"/>
            <w:vAlign w:val="bottom"/>
          </w:tcPr>
          <w:p>
            <w:pPr>
              <w:ind w:left="180"/>
              <w:spacing w:after="0"/>
              <w:rPr>
                <w:sz w:val="20"/>
                <w:szCs w:val="20"/>
                <w:color w:val="auto"/>
              </w:rPr>
            </w:pPr>
            <w:r>
              <w:rPr>
                <w:rFonts w:ascii="Arial" w:cs="Arial" w:eastAsia="Arial" w:hAnsi="Arial"/>
                <w:sz w:val="18"/>
                <w:szCs w:val="18"/>
                <w:color w:val="auto"/>
              </w:rPr>
              <w:t>First Amendment to Stockholders' Agreement dated September 24, 2014, by and between LPL Financial Holdings, Inc. and</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TPG Partners IV, L.P.*</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8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Filed herewith.</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20"/>
          </w:cols>
          <w:pgMar w:left="240" w:top="360" w:right="339" w:bottom="1440" w:gutter="0" w:footer="0" w:header="0"/>
        </w:sectPr>
      </w:pPr>
    </w:p>
    <w:bookmarkStart w:id="55" w:name="page56"/>
    <w:bookmarkEnd w:id="55"/>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60"/>
          </w:cols>
          <w:pgMar w:left="240" w:top="360" w:right="799" w:bottom="1440" w:gutter="0" w:footer="0" w:header="0"/>
        </w:sectPr>
      </w:pPr>
    </w:p>
    <w:bookmarkStart w:id="56" w:name="page57"/>
    <w:bookmarkEnd w:id="56"/>
    <w:p>
      <w:pPr>
        <w:ind w:left="7580"/>
        <w:spacing w:after="0"/>
        <w:rPr>
          <w:sz w:val="20"/>
          <w:szCs w:val="20"/>
          <w:color w:val="auto"/>
        </w:rPr>
      </w:pPr>
      <w:r>
        <w:rPr>
          <w:rFonts w:ascii="Arial" w:cs="Arial" w:eastAsia="Arial" w:hAnsi="Arial"/>
          <w:sz w:val="18"/>
          <w:szCs w:val="18"/>
          <w:b w:val="1"/>
          <w:bCs w:val="1"/>
          <w:color w:val="auto"/>
        </w:rPr>
        <w:t>Exhibit 10.1</w:t>
      </w:r>
    </w:p>
    <w:p>
      <w:pPr>
        <w:spacing w:after="0" w:line="254"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EXTENSION AND INCREMENTAL ASSUMPTION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1, 2014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LPL FINANCIAL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Holdings,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LPL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CERTAIN SUBSIDIARIES OF LPL FINANCIAL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Subsidiary Guarantors,</w:t>
      </w:r>
    </w:p>
    <w:p>
      <w:pPr>
        <w:spacing w:after="0" w:line="146"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THE LENDERS AND ADDITIONAL LENDERS PARTY HERETO,</w:t>
      </w:r>
    </w:p>
    <w:p>
      <w:pPr>
        <w:spacing w:after="0" w:line="16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as Administrative Agent and Current Agent</w:t>
      </w:r>
    </w:p>
    <w:p>
      <w:pPr>
        <w:spacing w:after="0" w:line="146"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and</w:t>
      </w:r>
    </w:p>
    <w:p>
      <w:pPr>
        <w:spacing w:after="0" w:line="16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Future Agent</w:t>
      </w:r>
    </w:p>
    <w:p>
      <w:pPr>
        <w:spacing w:after="0" w:line="30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 MORGAN SECURITIES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SUNTRUST ROBINSON HUMPHREY, INC.,</w:t>
      </w:r>
    </w:p>
    <w:p>
      <w:pPr>
        <w:jc w:val="center"/>
        <w:spacing w:after="0"/>
        <w:rPr>
          <w:sz w:val="20"/>
          <w:szCs w:val="20"/>
          <w:color w:val="auto"/>
        </w:rPr>
      </w:pPr>
      <w:r>
        <w:rPr>
          <w:rFonts w:ascii="Arial" w:cs="Arial" w:eastAsia="Arial" w:hAnsi="Arial"/>
          <w:sz w:val="20"/>
          <w:szCs w:val="20"/>
          <w:color w:val="auto"/>
        </w:rPr>
        <w:t>WELLS FARGO SECURITIES, LLC,</w:t>
      </w:r>
    </w:p>
    <w:p>
      <w:pPr>
        <w:jc w:val="center"/>
        <w:spacing w:after="0"/>
        <w:rPr>
          <w:sz w:val="20"/>
          <w:szCs w:val="20"/>
          <w:color w:val="auto"/>
        </w:rPr>
      </w:pPr>
      <w:r>
        <w:rPr>
          <w:rFonts w:ascii="Arial" w:cs="Arial" w:eastAsia="Arial" w:hAnsi="Arial"/>
          <w:sz w:val="20"/>
          <w:szCs w:val="20"/>
          <w:color w:val="auto"/>
        </w:rPr>
        <w:t>MERRILL LYNCH, PIERCE, FENNER &amp; SMITH INCORPORATED,</w:t>
      </w:r>
    </w:p>
    <w:p>
      <w:pPr>
        <w:jc w:val="center"/>
        <w:spacing w:after="0"/>
        <w:rPr>
          <w:sz w:val="20"/>
          <w:szCs w:val="20"/>
          <w:color w:val="auto"/>
        </w:rPr>
      </w:pPr>
      <w:r>
        <w:rPr>
          <w:rFonts w:ascii="Arial" w:cs="Arial" w:eastAsia="Arial" w:hAnsi="Arial"/>
          <w:sz w:val="20"/>
          <w:szCs w:val="20"/>
          <w:color w:val="auto"/>
        </w:rPr>
        <w:t>CITIZENS BANK, N.A.,</w:t>
      </w:r>
    </w:p>
    <w:p>
      <w:pPr>
        <w:jc w:val="center"/>
        <w:spacing w:after="0"/>
        <w:rPr>
          <w:sz w:val="20"/>
          <w:szCs w:val="20"/>
          <w:color w:val="auto"/>
        </w:rPr>
      </w:pPr>
      <w:r>
        <w:rPr>
          <w:rFonts w:ascii="Arial" w:cs="Arial" w:eastAsia="Arial" w:hAnsi="Arial"/>
          <w:sz w:val="20"/>
          <w:szCs w:val="20"/>
          <w:color w:val="auto"/>
        </w:rPr>
        <w:t>MORGAN STANLEY SENIOR FUNDING, INC.,</w:t>
      </w:r>
    </w:p>
    <w:p>
      <w:pPr>
        <w:jc w:val="center"/>
        <w:spacing w:after="0"/>
        <w:rPr>
          <w:sz w:val="20"/>
          <w:szCs w:val="20"/>
          <w:color w:val="auto"/>
        </w:rPr>
      </w:pPr>
      <w:r>
        <w:rPr>
          <w:rFonts w:ascii="Arial" w:cs="Arial" w:eastAsia="Arial" w:hAnsi="Arial"/>
          <w:sz w:val="20"/>
          <w:szCs w:val="20"/>
          <w:color w:val="auto"/>
        </w:rPr>
        <w:t>GOLDMAN SACHS BANK USA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CITIGROUP GLOBAL MARKETS INC.,</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BBVA COMPASS,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Documentation Agent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 MORGAN SECURITIES LLC, SUNTRUST BANK,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WELLS FARGO SECURITIES, LLC, MERRILL LYNCH, PIERCE, FENNER &amp; SMITH INCORPORATED, CITIZENS BANK, N.A.,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MORGAN STANLEY SENIOR FUNDING, INC., GOLDMAN SACHS BANK USA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CITIGROUP GLOBAL MARKETS INC.</w:t>
      </w:r>
    </w:p>
    <w:p>
      <w:pPr>
        <w:jc w:val="center"/>
        <w:spacing w:after="0"/>
        <w:rPr>
          <w:sz w:val="20"/>
          <w:szCs w:val="20"/>
          <w:color w:val="auto"/>
        </w:rPr>
      </w:pPr>
      <w:r>
        <w:rPr>
          <w:rFonts w:ascii="Arial" w:cs="Arial" w:eastAsia="Arial" w:hAnsi="Arial"/>
          <w:sz w:val="20"/>
          <w:szCs w:val="20"/>
          <w:color w:val="auto"/>
        </w:rPr>
        <w:t>as Co-Syndication Agents</w:t>
      </w:r>
    </w:p>
    <w:p>
      <w:pPr>
        <w:sectPr>
          <w:pgSz w:w="11900" w:h="16838" w:orient="portrait"/>
          <w:cols w:equalWidth="0" w:num="1">
            <w:col w:w="10880"/>
          </w:cols>
          <w:pgMar w:left="520" w:top="553" w:right="49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SECOND AMENDMENT, EXTENSION AND INCREMENTAL ASSUMPTION AGREEMENT</w:t>
      </w:r>
    </w:p>
    <w:p>
      <w:pPr>
        <w:spacing w:after="0" w:line="23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This SECOND AMENDMENT, EXTENSION AND INCREMENTAL ASSUMPTION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October 1, 2014, is made by and among LPL HOLDINGS, INC., a Massachusetts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LPL FINANCIAL HOLDINGS INC., a Delaware corporation (“</w:t>
      </w:r>
      <w:r>
        <w:rPr>
          <w:rFonts w:ascii="Arial" w:cs="Arial" w:eastAsia="Arial" w:hAnsi="Arial"/>
          <w:sz w:val="21"/>
          <w:szCs w:val="21"/>
          <w:u w:val="single" w:color="auto"/>
          <w:color w:val="auto"/>
        </w:rPr>
        <w:t>Holdings</w:t>
      </w:r>
      <w:r>
        <w:rPr>
          <w:rFonts w:ascii="Arial" w:cs="Arial" w:eastAsia="Arial" w:hAnsi="Arial"/>
          <w:sz w:val="21"/>
          <w:szCs w:val="21"/>
          <w:color w:val="auto"/>
        </w:rPr>
        <w:t>”), each subsidiary of the Borrower listed on the signature pages hereto (the “</w:t>
      </w:r>
      <w:r>
        <w:rPr>
          <w:rFonts w:ascii="Arial" w:cs="Arial" w:eastAsia="Arial" w:hAnsi="Arial"/>
          <w:sz w:val="21"/>
          <w:szCs w:val="21"/>
          <w:u w:val="single" w:color="auto"/>
          <w:color w:val="auto"/>
        </w:rPr>
        <w:t>Subsidiary Guarantors</w:t>
      </w:r>
      <w:r>
        <w:rPr>
          <w:rFonts w:ascii="Arial" w:cs="Arial" w:eastAsia="Arial" w:hAnsi="Arial"/>
          <w:sz w:val="21"/>
          <w:szCs w:val="21"/>
          <w:color w:val="auto"/>
        </w:rPr>
        <w:t>”; the Subsidiary Guarantors, together with Holdings, the “</w:t>
      </w:r>
      <w:r>
        <w:rPr>
          <w:rFonts w:ascii="Arial" w:cs="Arial" w:eastAsia="Arial" w:hAnsi="Arial"/>
          <w:sz w:val="21"/>
          <w:szCs w:val="21"/>
          <w:u w:val="single" w:color="auto"/>
          <w:color w:val="auto"/>
        </w:rPr>
        <w:t>Guarantors</w:t>
      </w:r>
      <w:r>
        <w:rPr>
          <w:rFonts w:ascii="Arial" w:cs="Arial" w:eastAsia="Arial" w:hAnsi="Arial"/>
          <w:sz w:val="21"/>
          <w:szCs w:val="21"/>
          <w:color w:val="auto"/>
        </w:rPr>
        <w:t>”; and the Guarantors, together with the Borrower, the “</w:t>
      </w:r>
      <w:r>
        <w:rPr>
          <w:rFonts w:ascii="Arial" w:cs="Arial" w:eastAsia="Arial" w:hAnsi="Arial"/>
          <w:sz w:val="21"/>
          <w:szCs w:val="21"/>
          <w:u w:val="single" w:color="auto"/>
          <w:color w:val="auto"/>
        </w:rPr>
        <w:t>Credit Parties</w:t>
      </w:r>
      <w:r>
        <w:rPr>
          <w:rFonts w:ascii="Arial" w:cs="Arial" w:eastAsia="Arial" w:hAnsi="Arial"/>
          <w:sz w:val="21"/>
          <w:szCs w:val="21"/>
          <w:color w:val="auto"/>
        </w:rPr>
        <w:t>”), each of the undersigned banks and other financial institutions which is a “Lender” or an “Additional Lender” under (and as defined in) the Amended Credit Agreement (as defined below), BANK OF AMERICA, N.A., as administrative agent for the Lenders under, and as defined in, the Credit Agreement (as defined below)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also as collateral agent for the Lenders (in such capacities, “</w:t>
      </w:r>
      <w:r>
        <w:rPr>
          <w:rFonts w:ascii="Arial" w:cs="Arial" w:eastAsia="Arial" w:hAnsi="Arial"/>
          <w:sz w:val="21"/>
          <w:szCs w:val="21"/>
          <w:u w:val="single" w:color="auto"/>
          <w:color w:val="auto"/>
        </w:rPr>
        <w:t>Current Agent</w:t>
      </w:r>
      <w:r>
        <w:rPr>
          <w:rFonts w:ascii="Arial" w:cs="Arial" w:eastAsia="Arial" w:hAnsi="Arial"/>
          <w:sz w:val="21"/>
          <w:szCs w:val="21"/>
          <w:color w:val="auto"/>
        </w:rPr>
        <w:t>” hereunder), and JPMORGAN CHASE BANK, N.A., as the future administrative agent and future collateral agent (in such capacities, “</w:t>
      </w:r>
      <w:r>
        <w:rPr>
          <w:rFonts w:ascii="Arial" w:cs="Arial" w:eastAsia="Arial" w:hAnsi="Arial"/>
          <w:sz w:val="21"/>
          <w:szCs w:val="21"/>
          <w:u w:val="single" w:color="auto"/>
          <w:color w:val="auto"/>
        </w:rPr>
        <w:t>Future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Agent</w:t>
      </w:r>
      <w:r>
        <w:rPr>
          <w:rFonts w:ascii="Arial" w:cs="Arial" w:eastAsia="Arial" w:hAnsi="Arial"/>
          <w:sz w:val="21"/>
          <w:szCs w:val="21"/>
          <w:color w:val="auto"/>
        </w:rPr>
        <w:t>”; and together with the Current Agent, the “</w:t>
      </w:r>
      <w:r>
        <w:rPr>
          <w:rFonts w:ascii="Arial" w:cs="Arial" w:eastAsia="Arial" w:hAnsi="Arial"/>
          <w:sz w:val="21"/>
          <w:szCs w:val="21"/>
          <w:u w:val="single" w:color="auto"/>
          <w:color w:val="auto"/>
        </w:rPr>
        <w:t>Agents</w:t>
      </w:r>
      <w:r>
        <w:rPr>
          <w:rFonts w:ascii="Arial" w:cs="Arial" w:eastAsia="Arial" w:hAnsi="Arial"/>
          <w:sz w:val="21"/>
          <w:szCs w:val="21"/>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STATEMENTS</w:t>
      </w:r>
      <w:r>
        <w:rPr>
          <w:rFonts w:ascii="Arial" w:cs="Arial" w:eastAsia="Arial" w:hAnsi="Arial"/>
          <w:sz w:val="22"/>
          <w:szCs w:val="22"/>
          <w:color w:val="auto"/>
        </w:rPr>
        <w:t>:</w:t>
      </w:r>
    </w:p>
    <w:p>
      <w:pPr>
        <w:spacing w:after="0" w:line="382" w:lineRule="exact"/>
        <w:rPr>
          <w:sz w:val="20"/>
          <w:szCs w:val="20"/>
          <w:color w:val="auto"/>
        </w:rPr>
      </w:pPr>
    </w:p>
    <w:p>
      <w:pPr>
        <w:jc w:val="both"/>
        <w:ind w:firstLine="1305"/>
        <w:spacing w:after="0" w:line="294" w:lineRule="auto"/>
        <w:tabs>
          <w:tab w:leader="none" w:pos="2197"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Borrower, Holdings, the Administrative Agent, the arrangers and other agents party thereto, and the banks and other financial institutions from time to time party thereto as lenders are parties to that certain Credit Agreement, originally dated as of March 29, 2012 (as amended by that certain First Amendment and Incremental Assumption Agreement, dated as of May 13, 2013, and as otherwise amended, modified or supplemented from time to time prior to the date hereof,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as further amended by this Agreement,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Capitalized terms not otherwise defined in this Agreement have the same meanings as specified in the Credit Agreement;</w:t>
      </w:r>
    </w:p>
    <w:p>
      <w:pPr>
        <w:spacing w:after="0" w:line="257" w:lineRule="exact"/>
        <w:rPr>
          <w:rFonts w:ascii="Arial" w:cs="Arial" w:eastAsia="Arial" w:hAnsi="Arial"/>
          <w:sz w:val="19"/>
          <w:szCs w:val="19"/>
          <w:color w:val="auto"/>
        </w:rPr>
      </w:pPr>
    </w:p>
    <w:p>
      <w:pPr>
        <w:jc w:val="both"/>
        <w:ind w:firstLine="1305"/>
        <w:spacing w:after="0" w:line="258" w:lineRule="exact"/>
        <w:tabs>
          <w:tab w:leader="none" w:pos="2197"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The Incremental Revolving Refinancing Facility and the Incremental Revolving Increase</w:t>
      </w:r>
      <w:r>
        <w:rPr>
          <w:rFonts w:ascii="Arial" w:cs="Arial" w:eastAsia="Arial" w:hAnsi="Arial"/>
          <w:sz w:val="19"/>
          <w:szCs w:val="19"/>
          <w:color w:val="auto"/>
        </w:rPr>
        <w:t>. Section 2.14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Credit Agreement provides that the Borrower, Holdings, each Lender and each Additional Lender providing Additional/Replacement Revolving Credit Commitments, as part of an Additional/Replacement Revolving Credit Facility, and the Administrative Agent, may enter into an “Incremental Agreement” to provide for the later</w:t>
      </w:r>
      <w:r>
        <w:rPr>
          <w:rFonts w:ascii="MS PGothic" w:cs="MS PGothic" w:eastAsia="MS PGothic" w:hAnsi="MS PGothic"/>
          <w:sz w:val="19"/>
          <w:szCs w:val="19"/>
          <w:color w:val="auto"/>
        </w:rPr>
        <w:t>‑</w:t>
      </w:r>
      <w:r>
        <w:rPr>
          <w:rFonts w:ascii="Arial" w:cs="Arial" w:eastAsia="Arial" w:hAnsi="Arial"/>
          <w:sz w:val="19"/>
          <w:szCs w:val="19"/>
          <w:color w:val="auto"/>
        </w:rPr>
        <w:t xml:space="preserve">maturing Additional/Replacement Revolving Credit Facility contemplated to be made pursuant to this Agreement to refinance and replace the existing Revolving Credit Facility under the Credit Agreement. Section 2.14 of the Credit Agreement also provides that the Borrower, Holdings, each Lender and each Additional Lender providing an Incremental Revolving Increase Commitment (as defined below) pursuant to an Incremental Revolving Credit Commitment Increase (with respect to the new Additional/Replacement Revolving Credit Facility), and the Administrative Agent, may enter into an “Incremental Agreement” to provide for the Incremental Revolving Credit Commitment Increase contemplated to be made pursuant to this Agreement. The Borrower has requested that the Lenders and the Additional Lenders listed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hereinafter collectively referred to as the “</w:t>
      </w:r>
      <w:r>
        <w:rPr>
          <w:rFonts w:ascii="Arial" w:cs="Arial" w:eastAsia="Arial" w:hAnsi="Arial"/>
          <w:sz w:val="19"/>
          <w:szCs w:val="19"/>
          <w:u w:val="single" w:color="auto"/>
          <w:color w:val="auto"/>
        </w:rPr>
        <w:t>Incremental Revolving Lenders</w:t>
      </w:r>
      <w:r>
        <w:rPr>
          <w:rFonts w:ascii="Arial" w:cs="Arial" w:eastAsia="Arial" w:hAnsi="Arial"/>
          <w:sz w:val="19"/>
          <w:szCs w:val="19"/>
          <w:color w:val="auto"/>
        </w:rPr>
        <w:t>”, collectively provide, on the Second Amendment Effective Date (as defined below), pursuant to the terms hereof (a) the Incremental Revolving Refinancing Facility (as defined below) to replace the existing Revolving Credit Facility</w:t>
      </w:r>
    </w:p>
    <w:p>
      <w:pPr>
        <w:sectPr>
          <w:pgSz w:w="11900" w:h="16838" w:orient="portrait"/>
          <w:cols w:equalWidth="0" w:num="1">
            <w:col w:w="11420"/>
          </w:cols>
          <w:pgMar w:left="240" w:top="522" w:right="239" w:bottom="1440" w:gutter="0" w:footer="0" w:header="0"/>
        </w:sectPr>
      </w:pPr>
    </w:p>
    <w:bookmarkStart w:id="58" w:name="page59"/>
    <w:bookmarkEnd w:id="58"/>
    <w:p>
      <w:pPr>
        <w:jc w:val="both"/>
        <w:spacing w:after="0" w:line="292" w:lineRule="auto"/>
        <w:rPr>
          <w:sz w:val="20"/>
          <w:szCs w:val="20"/>
          <w:color w:val="auto"/>
        </w:rPr>
      </w:pPr>
      <w:r>
        <w:rPr>
          <w:rFonts w:ascii="Arial" w:cs="Arial" w:eastAsia="Arial" w:hAnsi="Arial"/>
          <w:sz w:val="19"/>
          <w:szCs w:val="19"/>
          <w:color w:val="auto"/>
        </w:rPr>
        <w:t>with a new revolving credit facility with a maturity date extended from March 29, 2017 to September 30, 2019 (subject to a springing maturity requirement, as set forth in the Amended Credit Agreement), and (b) an Incremental Revolving Credit Commitment Increase in the revolving commitments available under the aforementioned Incremental Revolving Refinancing Facility, in an aggregate principal amount equal to $150,000,000 (the “</w:t>
      </w:r>
      <w:r>
        <w:rPr>
          <w:rFonts w:ascii="Arial" w:cs="Arial" w:eastAsia="Arial" w:hAnsi="Arial"/>
          <w:sz w:val="19"/>
          <w:szCs w:val="19"/>
          <w:u w:val="single" w:color="auto"/>
          <w:color w:val="auto"/>
        </w:rPr>
        <w:t>Incremental Revolver Increase</w:t>
      </w:r>
      <w:r>
        <w:rPr>
          <w:rFonts w:ascii="Arial" w:cs="Arial" w:eastAsia="Arial" w:hAnsi="Arial"/>
          <w:sz w:val="19"/>
          <w:szCs w:val="19"/>
          <w:color w:val="auto"/>
        </w:rPr>
        <w:t xml:space="preserve">”), and each Incremental Revolving Lender is prepared to provide a portion of such Incremental Revolving Refinancing Facility and/or such Incremental Revolver Increase, in each case in the corresponding amounts set forth in the applicable columns opposite such Incremental Revolving Lender’s name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and in each case subject to the other terms and conditions set forth herein;</w:t>
      </w:r>
    </w:p>
    <w:p>
      <w:pPr>
        <w:spacing w:after="0" w:line="260" w:lineRule="exact"/>
        <w:rPr>
          <w:sz w:val="20"/>
          <w:szCs w:val="20"/>
          <w:color w:val="auto"/>
        </w:rPr>
      </w:pPr>
    </w:p>
    <w:p>
      <w:pPr>
        <w:jc w:val="both"/>
        <w:ind w:firstLine="1305"/>
        <w:spacing w:after="0" w:line="286" w:lineRule="auto"/>
        <w:tabs>
          <w:tab w:leader="none" w:pos="2197"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The Initial Tranche A Term Loan Extension and Refinancing</w:t>
      </w:r>
      <w:r>
        <w:rPr>
          <w:rFonts w:ascii="Arial" w:cs="Arial" w:eastAsia="Arial" w:hAnsi="Arial"/>
          <w:sz w:val="19"/>
          <w:szCs w:val="19"/>
          <w:color w:val="auto"/>
        </w:rPr>
        <w:t>. Section 2.15 of the Credit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provides that the Credit Parties, the Administrative Agent and the applicable Extending Lenders may establish an Extended Term Facility pursuant to an Extension Agreement. Section 2.14 of the Credit Agreement provides that the Borrower, Holdings, each Lender and each Additional Lender providing Incremental Term Loan Commitments, as part of an Incremental Term Loan Facility, and the Administrative Agent, may enter into an “Incremental Agreement” to provide for the later-maturing Incremental Term Loan Facility contemplated to be made pursuant to this Agreement and used to ratably refinance a portion of the remaining, unextended Initial Tranche A Term Loans. The Borrower (a) desires to extend the maturity date of all of the outstanding Initial Tranche A Term Loans from March 29, 2017 to September 30, 2019, subject to a springing maturity requirement, as set forth in the Amended Credit Agreement (the “</w:t>
      </w:r>
      <w:r>
        <w:rPr>
          <w:rFonts w:ascii="Arial" w:cs="Arial" w:eastAsia="Arial" w:hAnsi="Arial"/>
          <w:sz w:val="19"/>
          <w:szCs w:val="19"/>
          <w:u w:val="single" w:color="auto"/>
          <w:color w:val="auto"/>
        </w:rPr>
        <w:t>Tranche A Extension</w:t>
      </w:r>
      <w:r>
        <w:rPr>
          <w:rFonts w:ascii="Arial" w:cs="Arial" w:eastAsia="Arial" w:hAnsi="Arial"/>
          <w:sz w:val="19"/>
          <w:szCs w:val="19"/>
          <w:color w:val="auto"/>
        </w:rPr>
        <w:t xml:space="preserve">”), and (b) has requested that, to the extent that any Initial Tranche A Term Loans remain unextended, that the Lenders and Additional Lenders listed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hereto, hereinafter collectively referred to as the “</w:t>
      </w:r>
      <w:r>
        <w:rPr>
          <w:rFonts w:ascii="Arial" w:cs="Arial" w:eastAsia="Arial" w:hAnsi="Arial"/>
          <w:sz w:val="19"/>
          <w:szCs w:val="19"/>
          <w:u w:val="single" w:color="auto"/>
          <w:color w:val="auto"/>
        </w:rPr>
        <w:t>Incremental Term Lenders</w:t>
      </w:r>
      <w:r>
        <w:rPr>
          <w:rFonts w:ascii="Arial" w:cs="Arial" w:eastAsia="Arial" w:hAnsi="Arial"/>
          <w:sz w:val="19"/>
          <w:szCs w:val="19"/>
          <w:color w:val="auto"/>
        </w:rPr>
        <w:t xml:space="preserve">”, provide, on the Second Amendment Effective Date, pursuant to the terms hereof, new Incremental Tranche A Term Loans to refinance a portion of the unextended Initial Tranche A Term Loans (such Incremental Tranche A Term Loans to be issued on the same terms, and subject to the same conditions, as the Extended Term Loans referenced above), in each case in a principal amount set forth opposite each such Incremental Term Lender’s name under the heading “2019 Refinancing Extended Tranche A Term Loan Amount”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this Agreement;</w:t>
      </w:r>
    </w:p>
    <w:p>
      <w:pPr>
        <w:spacing w:after="0" w:line="267" w:lineRule="exact"/>
        <w:rPr>
          <w:rFonts w:ascii="Arial" w:cs="Arial" w:eastAsia="Arial" w:hAnsi="Arial"/>
          <w:sz w:val="19"/>
          <w:szCs w:val="19"/>
          <w:color w:val="auto"/>
        </w:rPr>
      </w:pPr>
    </w:p>
    <w:p>
      <w:pPr>
        <w:jc w:val="both"/>
        <w:ind w:firstLine="1305"/>
        <w:spacing w:after="0" w:line="253" w:lineRule="auto"/>
        <w:tabs>
          <w:tab w:leader="none" w:pos="2197"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Agency Replacement Consents</w:t>
      </w:r>
      <w:r>
        <w:rPr>
          <w:rFonts w:ascii="Arial" w:cs="Arial" w:eastAsia="Arial" w:hAnsi="Arial"/>
          <w:sz w:val="22"/>
          <w:szCs w:val="22"/>
          <w:color w:val="auto"/>
        </w:rPr>
        <w:t>. The Borrower desires to obtain the consent of all Lenders and all</w:t>
      </w:r>
      <w:r>
        <w:rPr>
          <w:rFonts w:ascii="Arial" w:cs="Arial" w:eastAsia="Arial" w:hAnsi="Arial"/>
          <w:sz w:val="22"/>
          <w:szCs w:val="22"/>
          <w:i w:val="1"/>
          <w:iCs w:val="1"/>
          <w:color w:val="auto"/>
        </w:rPr>
        <w:t xml:space="preserve"> </w:t>
      </w:r>
      <w:r>
        <w:rPr>
          <w:rFonts w:ascii="Arial" w:cs="Arial" w:eastAsia="Arial" w:hAnsi="Arial"/>
          <w:sz w:val="22"/>
          <w:szCs w:val="22"/>
          <w:color w:val="auto"/>
        </w:rPr>
        <w:t>Additional Lenders party hereto to the making of certain other amendments to the Credit Agreement and the other Credit Documents to facilitate the future resignation and replacement of the Current Agent by the Future Agent;</w:t>
      </w:r>
    </w:p>
    <w:p>
      <w:pPr>
        <w:spacing w:after="0" w:line="293"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Dividend Amendment</w:t>
      </w:r>
      <w:r>
        <w:rPr>
          <w:rFonts w:ascii="Arial" w:cs="Arial" w:eastAsia="Arial" w:hAnsi="Arial"/>
          <w:sz w:val="22"/>
          <w:szCs w:val="22"/>
          <w:color w:val="auto"/>
        </w:rPr>
        <w:t>. The Borrower desires to increase the amount of the “fixed” part of the general</w:t>
      </w:r>
      <w:r>
        <w:rPr>
          <w:rFonts w:ascii="Arial" w:cs="Arial" w:eastAsia="Arial" w:hAnsi="Arial"/>
          <w:sz w:val="22"/>
          <w:szCs w:val="22"/>
          <w:i w:val="1"/>
          <w:iCs w:val="1"/>
          <w:color w:val="auto"/>
        </w:rPr>
        <w:t xml:space="preserve"> </w:t>
      </w:r>
      <w:r>
        <w:rPr>
          <w:rFonts w:ascii="Arial" w:cs="Arial" w:eastAsia="Arial" w:hAnsi="Arial"/>
          <w:sz w:val="22"/>
          <w:szCs w:val="22"/>
          <w:color w:val="auto"/>
        </w:rPr>
        <w:t>Dividends basket in Section 10.6(h) of the Credit Agreement from $250,000,000 to $400,000,000 (the “</w:t>
      </w:r>
      <w:r>
        <w:rPr>
          <w:rFonts w:ascii="Arial" w:cs="Arial" w:eastAsia="Arial" w:hAnsi="Arial"/>
          <w:sz w:val="22"/>
          <w:szCs w:val="22"/>
          <w:u w:val="single" w:color="auto"/>
          <w:color w:val="auto"/>
        </w:rPr>
        <w:t>Dividend Amendment</w:t>
      </w:r>
      <w:r>
        <w:rPr>
          <w:rFonts w:ascii="Arial" w:cs="Arial" w:eastAsia="Arial" w:hAnsi="Arial"/>
          <w:sz w:val="22"/>
          <w:szCs w:val="22"/>
          <w:color w:val="auto"/>
        </w:rPr>
        <w:t>”); and</w:t>
      </w:r>
    </w:p>
    <w:p>
      <w:pPr>
        <w:spacing w:after="0" w:line="293" w:lineRule="exact"/>
        <w:rPr>
          <w:rFonts w:ascii="Arial" w:cs="Arial" w:eastAsia="Arial" w:hAnsi="Arial"/>
          <w:sz w:val="22"/>
          <w:szCs w:val="22"/>
          <w:color w:val="auto"/>
        </w:rPr>
      </w:pPr>
    </w:p>
    <w:p>
      <w:pPr>
        <w:jc w:val="both"/>
        <w:ind w:right="20" w:firstLine="1305"/>
        <w:spacing w:after="0" w:line="253" w:lineRule="auto"/>
        <w:tabs>
          <w:tab w:leader="none" w:pos="2197"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Borrower, the other Credit Parties, the Agents, and the Lenders and Additional Lenders party hereto have agreed, subject to the terms and conditions set forth below, to amend the Credit Agreement as hereinafter set forth in accordance with Sections 2.14, 2.15 and 13.1 of the Credit Agreement.</w:t>
      </w:r>
    </w:p>
    <w:p>
      <w:pPr>
        <w:sectPr>
          <w:pgSz w:w="11900" w:h="16838" w:orient="portrait"/>
          <w:cols w:equalWidth="0" w:num="1">
            <w:col w:w="11420"/>
          </w:cols>
          <w:pgMar w:left="240" w:top="537" w:right="239" w:bottom="1440" w:gutter="0" w:footer="0" w:header="0"/>
        </w:sectPr>
      </w:pPr>
    </w:p>
    <w:bookmarkStart w:id="59" w:name="page60"/>
    <w:bookmarkEnd w:id="59"/>
    <w:p>
      <w:pPr>
        <w:ind w:firstLine="1297"/>
        <w:spacing w:after="0" w:line="293" w:lineRule="auto"/>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21"/>
          <w:szCs w:val="21"/>
          <w:b w:val="1"/>
          <w:bCs w:val="1"/>
          <w:u w:val="single" w:color="auto"/>
          <w:color w:val="auto"/>
        </w:rPr>
        <w:t>Revolver Transactions</w:t>
      </w:r>
      <w:r>
        <w:rPr>
          <w:rFonts w:ascii="Arial" w:cs="Arial" w:eastAsia="Arial" w:hAnsi="Arial"/>
          <w:sz w:val="21"/>
          <w:szCs w:val="21"/>
          <w:color w:val="auto"/>
        </w:rPr>
        <w:t>. Pursuant to Section 2.14 of the Credit Agreement, and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satisfaction of the conditions precedent set forth in Section 7 hereof, on and as of the Second Amendment Effective Date:</w:t>
      </w:r>
    </w:p>
    <w:p>
      <w:pPr>
        <w:spacing w:after="0" w:line="248" w:lineRule="exact"/>
        <w:rPr>
          <w:sz w:val="20"/>
          <w:szCs w:val="20"/>
          <w:color w:val="auto"/>
        </w:rPr>
      </w:pPr>
    </w:p>
    <w:p>
      <w:pPr>
        <w:jc w:val="both"/>
        <w:ind w:firstLine="656"/>
        <w:spacing w:after="0" w:line="285" w:lineRule="auto"/>
        <w:tabs>
          <w:tab w:leader="none" w:pos="1536"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color w:val="auto"/>
        </w:rPr>
        <w:t>The Incremental Revolving Refinancing Facility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 Each Incremental Revolving Lender hereby agrees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upon, and subject to, the occurrence of the Second Amendment Effective Date, (A) such Incremental Revolving Lender shall make, as contemplated by Section 2.14 of the Credit Agreement, a new Additional/Replacement Revolving Credit Commitment in an amount equal to the amount set forth opposite such Incremental Revolving Lender’s name under the heading “Incremental Revolving Refinancing Commitments”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to this Agreement, in each case as part of a new Class of revolving credit commitments constituting an Additional/Replacement Revolving Credit Facility, which is to be made pursuant hereto, and on the terms and conditions that are applicable to the “Revolving Credit Facility” (as defined in the Amended Credit Agreement), except that the aggregate principal amount all Additional/Replacement Revolving Credit Commitments thereunder shall initially be $250,000,000, and such Additional/Replacement Revolving Credit Facility shall be referred to herein as the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Refinancing Facility</w:t>
      </w:r>
      <w:r>
        <w:rPr>
          <w:rFonts w:ascii="Arial" w:cs="Arial" w:eastAsia="Arial" w:hAnsi="Arial"/>
          <w:sz w:val="19"/>
          <w:szCs w:val="19"/>
          <w:color w:val="auto"/>
        </w:rPr>
        <w:t>”; and (B) such Incremental Revolving Lender shall (1) in the case of an Incremental Revolving Lender that is already a Lender under the Credit Agreement, continue to be a “Lender”, and shall become an “Additional/Replacement Revolving Credit Lender” for all purposes of, and subject to all the obligations of an “Additional/Replacement Revolving Credit Lender” and a “Lender” under the Amended Credit Agreement and the other Credit Documents and (2) in the case of an Incremental Revolving Lender that is not an existing Lender under the Credit Agreement (immediately prior to the Second Amendment Effective Date), be deemed to be, and shall become, an “Additional Lender”, an “Additional/Replacement Revolving Credit Lender” and a “Lender” for all purposes of, and subject to all the obligations of an “Additional Lender”, an “Additional/Replacement Revolving Credit Lender” and a “Lender” under the Amended Credit Agreement and the other Credit Documents. Each Credit Party and Bank of America, N.A., in its capacity as the Administrative Agent, Letter of Credit Issuer and Swingline Lender, hereby agree that, from and after the Second Amendment Effective Date, each Incremental Revolving Lender shall be deemed to be, and shall be and/or shall become, an “Additional Lender”, an “Additional/Replacement Revolving Credit Lender” and a “Lender”, as applicable, for all purposes of, and with all the rights and remedies of an “Additional Lender”, an “Additional/Replacement Revolving Credit Lender” and a “Lender”, as applicable, under, the Amended Credit Agreement and the other Credit Documents.</w:t>
      </w:r>
    </w:p>
    <w:p>
      <w:pPr>
        <w:spacing w:after="0" w:line="200" w:lineRule="exact"/>
        <w:rPr>
          <w:rFonts w:ascii="Arial" w:cs="Arial" w:eastAsia="Arial" w:hAnsi="Arial"/>
          <w:sz w:val="19"/>
          <w:szCs w:val="19"/>
          <w:color w:val="auto"/>
        </w:rPr>
      </w:pPr>
    </w:p>
    <w:p>
      <w:pPr>
        <w:spacing w:after="0" w:line="323" w:lineRule="exact"/>
        <w:rPr>
          <w:rFonts w:ascii="Arial" w:cs="Arial" w:eastAsia="Arial" w:hAnsi="Arial"/>
          <w:sz w:val="19"/>
          <w:szCs w:val="19"/>
          <w:color w:val="auto"/>
        </w:rPr>
      </w:pPr>
    </w:p>
    <w:p>
      <w:pPr>
        <w:jc w:val="both"/>
        <w:ind w:left="660" w:firstLine="645"/>
        <w:spacing w:after="0" w:line="253" w:lineRule="auto"/>
        <w:tabs>
          <w:tab w:leader="none" w:pos="1907" w:val="left"/>
        </w:tabs>
        <w:numPr>
          <w:ilvl w:val="1"/>
          <w:numId w:val="39"/>
        </w:numPr>
        <w:rPr>
          <w:rFonts w:ascii="Arial" w:cs="Arial" w:eastAsia="Arial" w:hAnsi="Arial"/>
          <w:sz w:val="22"/>
          <w:szCs w:val="22"/>
          <w:color w:val="auto"/>
        </w:rPr>
      </w:pPr>
      <w:r>
        <w:rPr>
          <w:rFonts w:ascii="Arial" w:cs="Arial" w:eastAsia="Arial" w:hAnsi="Arial"/>
          <w:sz w:val="22"/>
          <w:szCs w:val="22"/>
          <w:color w:val="auto"/>
        </w:rPr>
        <w:t>Each Incremental Revolving Lender, each Credit Party and Bank of America, N.A., in its capacity as the Administrative Agent, Letter of Credit Issuer and Swingline Lender, hereby agree that this Agreement is an “Incremental Agreement”, as defined in Section 2.14(e) of the Credit Agreement.</w:t>
      </w:r>
    </w:p>
    <w:p>
      <w:pPr>
        <w:spacing w:after="0" w:line="293" w:lineRule="exact"/>
        <w:rPr>
          <w:rFonts w:ascii="Arial" w:cs="Arial" w:eastAsia="Arial" w:hAnsi="Arial"/>
          <w:sz w:val="22"/>
          <w:szCs w:val="22"/>
          <w:color w:val="auto"/>
        </w:rPr>
      </w:pPr>
    </w:p>
    <w:p>
      <w:pPr>
        <w:jc w:val="both"/>
        <w:ind w:left="660" w:firstLine="645"/>
        <w:spacing w:after="0" w:line="302" w:lineRule="auto"/>
        <w:tabs>
          <w:tab w:leader="none" w:pos="1932" w:val="left"/>
        </w:tabs>
        <w:numPr>
          <w:ilvl w:val="1"/>
          <w:numId w:val="39"/>
        </w:numPr>
        <w:rPr>
          <w:rFonts w:ascii="Arial" w:cs="Arial" w:eastAsia="Arial" w:hAnsi="Arial"/>
          <w:sz w:val="19"/>
          <w:szCs w:val="19"/>
          <w:color w:val="auto"/>
        </w:rPr>
      </w:pPr>
      <w:r>
        <w:rPr>
          <w:rFonts w:ascii="Arial" w:cs="Arial" w:eastAsia="Arial" w:hAnsi="Arial"/>
          <w:sz w:val="19"/>
          <w:szCs w:val="19"/>
          <w:color w:val="auto"/>
        </w:rPr>
        <w:t>In accordance with the provisions of Section 5.2(e)(ii) and clause (ii) of the proviso to Section 2.14(b) of the Credit Agreement, the existing Revolving Credit Commitments under the Credit Agreement shall be immediately and permanently reduced by an amount equal to the aggregate principal amount of Additional/Replacement Revolving Credit Commitments made under the Incremental Revolving Refinancing Facility, and to</w:t>
      </w:r>
    </w:p>
    <w:p>
      <w:pPr>
        <w:sectPr>
          <w:pgSz w:w="11900" w:h="16838" w:orient="portrait"/>
          <w:cols w:equalWidth="0" w:num="1">
            <w:col w:w="11420"/>
          </w:cols>
          <w:pgMar w:left="240" w:top="531" w:right="239" w:bottom="1440" w:gutter="0" w:footer="0" w:header="0"/>
        </w:sectPr>
      </w:pPr>
    </w:p>
    <w:bookmarkStart w:id="60" w:name="page61"/>
    <w:bookmarkEnd w:id="60"/>
    <w:p>
      <w:pPr>
        <w:jc w:val="both"/>
        <w:ind w:left="4"/>
        <w:spacing w:after="0" w:line="260" w:lineRule="auto"/>
        <w:rPr>
          <w:sz w:val="20"/>
          <w:szCs w:val="20"/>
          <w:color w:val="auto"/>
        </w:rPr>
      </w:pPr>
      <w:r>
        <w:rPr>
          <w:rFonts w:ascii="Arial" w:cs="Arial" w:eastAsia="Arial" w:hAnsi="Arial"/>
          <w:sz w:val="21"/>
          <w:szCs w:val="21"/>
          <w:color w:val="auto"/>
        </w:rPr>
        <w:t xml:space="preserve">the extent that there are any Revolving Credit Loans outstanding under the Revolving Credit Facility on the Second Amendment Date, such outstanding Revolving Credit Loans shall be refinanced with Additional/Replacement Revolving Credit Loans made under the Incremental Revolving Refinancing Facility (which Additional/Replacement Revolving Credit Loans shall be funded in cash, </w:t>
      </w:r>
      <w:r>
        <w:rPr>
          <w:rFonts w:ascii="Arial" w:cs="Arial" w:eastAsia="Arial" w:hAnsi="Arial"/>
          <w:sz w:val="21"/>
          <w:szCs w:val="21"/>
          <w:u w:val="single" w:color="auto"/>
          <w:color w:val="auto"/>
        </w:rPr>
        <w:t>or</w:t>
      </w:r>
      <w:r>
        <w:rPr>
          <w:rFonts w:ascii="Arial" w:cs="Arial" w:eastAsia="Arial" w:hAnsi="Arial"/>
          <w:sz w:val="21"/>
          <w:szCs w:val="21"/>
          <w:color w:val="auto"/>
        </w:rPr>
        <w:t xml:space="preserve"> with respect to each Incremental Revolving Lender that is also a Revolving Credit Lender under the Credit Agreement, through the exchange of such Incremental Revolving Lender’s outstanding Revolving Credit Loans, up to the full outstanding amount of such Revolving Credit Loans (with any deficiency to be funded in cash by such Incremental Revolving Lender)).</w:t>
      </w:r>
    </w:p>
    <w:p>
      <w:pPr>
        <w:spacing w:after="0" w:line="289" w:lineRule="exact"/>
        <w:rPr>
          <w:sz w:val="20"/>
          <w:szCs w:val="20"/>
          <w:color w:val="auto"/>
        </w:rPr>
      </w:pPr>
    </w:p>
    <w:p>
      <w:pPr>
        <w:jc w:val="both"/>
        <w:ind w:left="4" w:firstLine="645"/>
        <w:spacing w:after="0" w:line="250" w:lineRule="auto"/>
        <w:tabs>
          <w:tab w:leader="none" w:pos="1212"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Borrower and the Letter of Credit Issuer each hereby agrees that each Letter of Credit outstanding under the Revolving Credit Facility (immediately prior to the consummation of the transactions set forth in the preceding clauses of this Section 1(a)) shall be deemed to constitute a Letter of Credit issued pursuant to the Incremental Revolving Refinancing Facility.</w:t>
      </w:r>
    </w:p>
    <w:p>
      <w:pPr>
        <w:spacing w:after="0" w:line="296" w:lineRule="exact"/>
        <w:rPr>
          <w:rFonts w:ascii="Arial" w:cs="Arial" w:eastAsia="Arial" w:hAnsi="Arial"/>
          <w:sz w:val="22"/>
          <w:szCs w:val="22"/>
          <w:color w:val="auto"/>
        </w:rPr>
      </w:pPr>
    </w:p>
    <w:p>
      <w:pPr>
        <w:jc w:val="both"/>
        <w:ind w:left="4" w:firstLine="645"/>
        <w:spacing w:after="0" w:line="259" w:lineRule="auto"/>
        <w:tabs>
          <w:tab w:leader="none" w:pos="1280" w:val="left"/>
        </w:tabs>
        <w:numPr>
          <w:ilvl w:val="1"/>
          <w:numId w:val="40"/>
        </w:numPr>
        <w:rPr>
          <w:rFonts w:ascii="Arial" w:cs="Arial" w:eastAsia="Arial" w:hAnsi="Arial"/>
          <w:sz w:val="21"/>
          <w:szCs w:val="21"/>
          <w:color w:val="auto"/>
        </w:rPr>
      </w:pPr>
      <w:r>
        <w:rPr>
          <w:rFonts w:ascii="Arial" w:cs="Arial" w:eastAsia="Arial" w:hAnsi="Arial"/>
          <w:sz w:val="21"/>
          <w:szCs w:val="21"/>
          <w:color w:val="auto"/>
        </w:rPr>
        <w:t>After giving effect to all of the transactions set forth in the preceding clauses of this Section 1(a), the Additional/Replacement Revolving Credit Facility established pursuant hereto and referred to herein as the “Incremental Revolving Refinancing Facility” shall become, and shall be referred to as, the “Revolving Credit Facility”, and the “Additional/Replacement Revolving Credit Commitments”, the “Additional/Replacement Revolving Credit Lenders” and the “Additional/Replacement Revolving Credit Loans” thereunder shall become, and shall be referred to as, the “Revolving Credit Commitments”, the “Revolving Credit Lenders” and the “Revolving Credit Loans”, respectively, in each case under, as defined in, and for all purposes of (x) the Amended Credit Agreement, and the other Credit Documents as amended by this Agreement, and (y) Section 1(b) of this Agreement.</w:t>
      </w:r>
    </w:p>
    <w:p>
      <w:pPr>
        <w:spacing w:after="0" w:line="286" w:lineRule="exact"/>
        <w:rPr>
          <w:rFonts w:ascii="Arial" w:cs="Arial" w:eastAsia="Arial" w:hAnsi="Arial"/>
          <w:sz w:val="21"/>
          <w:szCs w:val="21"/>
          <w:color w:val="auto"/>
        </w:rPr>
      </w:pPr>
    </w:p>
    <w:p>
      <w:pPr>
        <w:jc w:val="both"/>
        <w:ind w:left="-656" w:firstLine="656"/>
        <w:spacing w:after="0" w:line="287" w:lineRule="auto"/>
        <w:tabs>
          <w:tab w:leader="none" w:pos="892" w:val="left"/>
        </w:tabs>
        <w:numPr>
          <w:ilvl w:val="0"/>
          <w:numId w:val="41"/>
        </w:numPr>
        <w:rPr>
          <w:rFonts w:ascii="Arial" w:cs="Arial" w:eastAsia="Arial" w:hAnsi="Arial"/>
          <w:sz w:val="19"/>
          <w:szCs w:val="19"/>
          <w:color w:val="auto"/>
        </w:rPr>
      </w:pPr>
      <w:r>
        <w:rPr>
          <w:rFonts w:ascii="Arial" w:cs="Arial" w:eastAsia="Arial" w:hAnsi="Arial"/>
          <w:sz w:val="19"/>
          <w:szCs w:val="19"/>
          <w:b w:val="1"/>
          <w:bCs w:val="1"/>
          <w:i w:val="1"/>
          <w:iCs w:val="1"/>
          <w:color w:val="auto"/>
        </w:rPr>
        <w:t>The Incremental Revolving Increase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 Each Incremental Revolving Lender hereby agrees that, subject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occurrence of the Second Amendment Effective Date and immediately following the consummation of the transactions set forth in Section 1(a) above, (A) such Incremental Revolving Lender shall make, as contemplated by Section 2.14 of the Credit Agreement, an increased Revolving Credit Commitment in an amount equal to the amount set forth opposite such Incremental Revolving Lender’s name under the heading “Incremental Revolving Increase Commitments”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to this Agreement (each, an “</w:t>
      </w:r>
      <w:r>
        <w:rPr>
          <w:rFonts w:ascii="Arial" w:cs="Arial" w:eastAsia="Arial" w:hAnsi="Arial"/>
          <w:sz w:val="19"/>
          <w:szCs w:val="19"/>
          <w:u w:val="single" w:color="auto"/>
          <w:color w:val="auto"/>
        </w:rPr>
        <w:t>Incremental Revolving Increase Commitment</w:t>
      </w:r>
      <w:r>
        <w:rPr>
          <w:rFonts w:ascii="Arial" w:cs="Arial" w:eastAsia="Arial" w:hAnsi="Arial"/>
          <w:sz w:val="19"/>
          <w:szCs w:val="19"/>
          <w:color w:val="auto"/>
        </w:rPr>
        <w:t>”), in each case constituting part of an Incremental Revolving Credit Commitment Increase made pursuant hereto; and (B) such Incremental Revolving Lender shall (1) in the case of an Incremental Revolving Lender that is already a Lender under the Credit Agreement (including if such Incremental Revolving Lender became a Lender after giving effect to Incremental Revolving Refinancing Facility), continue to be a “Revolving Credit Lender” and a “Lender”, and shall become an “Incremental Revolving Credit Commitment Increase Lender”, in each case for all purposes of, and subject to all the obligations of a “Revolving Credit Lender”, a “Lender” and an “Incremental Revolving Credit Commitment Increase Lender” under the Amended Credit Agreement and the other Credit Documents, and (2) in the case of an Incremental Revolving Lender that is not an existing Lender under the Credit Agreement, be deemed to be, and shall become, an “Additional</w:t>
      </w:r>
    </w:p>
    <w:p>
      <w:pPr>
        <w:sectPr>
          <w:pgSz w:w="11900" w:h="16838" w:orient="portrait"/>
          <w:cols w:equalWidth="0" w:num="1">
            <w:col w:w="10764"/>
          </w:cols>
          <w:pgMar w:left="896" w:top="537" w:right="239" w:bottom="1440" w:gutter="0" w:footer="0" w:header="0"/>
        </w:sectPr>
      </w:pPr>
    </w:p>
    <w:bookmarkStart w:id="61" w:name="page62"/>
    <w:bookmarkEnd w:id="61"/>
    <w:p>
      <w:pPr>
        <w:jc w:val="both"/>
        <w:spacing w:after="0" w:line="286" w:lineRule="auto"/>
        <w:rPr>
          <w:sz w:val="20"/>
          <w:szCs w:val="20"/>
          <w:color w:val="auto"/>
        </w:rPr>
      </w:pPr>
      <w:r>
        <w:rPr>
          <w:rFonts w:ascii="Arial" w:cs="Arial" w:eastAsia="Arial" w:hAnsi="Arial"/>
          <w:sz w:val="19"/>
          <w:szCs w:val="19"/>
          <w:color w:val="auto"/>
        </w:rPr>
        <w:t xml:space="preserve">Lender”, an “Incremental Revolving Credit Commitment Increase Lender” and a “Lender” for all purposes of, and subject to all the obligations of an “Additional Lender”, an “Incremental Revolving Credit Commitment Increase Lender” and a “Lender” under the Amended Credit Agreement and the other Credit Documents. Each Credit Party and the Administrative Agent hereby agree that, from and after the Second Amendment Effective Date and immediately following the consummation of the transactions set forth in Section 1(a) above, each Incremental Revolving Lender with an Incremental Revolving Increase Commitment shall be deemed to be, and shall be, a “Revolving Credit Lender”, an “Incremental Revolving Credit Commitment Increase Lender” and a “Lender”, as applicable, for all purposes of, and with all the rights and remedies of a “Revolving Credit Lender”, an “Incremental Revolving Credit Commitment Increase Lender” and a “Lender”, as applicable, under, the Amended Credit Agreement and the other Credit Documents. From and after the Second Amendment Effective Date and immediately following the consummation of the transactions set forth in Section 1(a) above, each reference in the Amended Credit Agreement to any Incremental Revolving Lender’s Revolving Credit Commitments shall include its Incremental Revolving Increase Commitment as acquired pursuant to this Agreement, and as set forth opposite its name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to this Agreement under the heading “Incremental Revolving Increase Commitments” on such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As of the Second Amendment Effective Date, and after the consummation of the transactions set forth in this Section 1(b), each Incremental Revolving Lender’s aggregate Revolving Credit Commitment under the Amended Credit Agreement shall be the amount set forth opposite its name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to this Agreement under the heading “Aggregate Revolving Commitments”.</w:t>
      </w:r>
    </w:p>
    <w:p>
      <w:pPr>
        <w:spacing w:after="0" w:line="200" w:lineRule="exact"/>
        <w:rPr>
          <w:sz w:val="20"/>
          <w:szCs w:val="20"/>
          <w:color w:val="auto"/>
        </w:rPr>
      </w:pPr>
    </w:p>
    <w:p>
      <w:pPr>
        <w:spacing w:after="0" w:line="324" w:lineRule="exact"/>
        <w:rPr>
          <w:sz w:val="20"/>
          <w:szCs w:val="20"/>
          <w:color w:val="auto"/>
        </w:rPr>
      </w:pPr>
    </w:p>
    <w:p>
      <w:pPr>
        <w:jc w:val="both"/>
        <w:ind w:left="660" w:firstLine="645"/>
        <w:spacing w:after="0" w:line="302" w:lineRule="auto"/>
        <w:tabs>
          <w:tab w:leader="none" w:pos="2221"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Incremental Revolving Lender hereby acknowledges the provisions of Section 2.14(f)(ii) of the Amended Credit Agreement, and consents and agrees to (i) the assignments and assumptions of participations in outstanding Swingline Loans and Letters of Credit which shall be made pursuant thereto, and (ii) the making of the Revolving Credit Loans by such Incremental Revolving Lender which may be required to be made pursuant thereto.</w:t>
      </w:r>
    </w:p>
    <w:p>
      <w:pPr>
        <w:spacing w:after="0" w:line="250" w:lineRule="exact"/>
        <w:rPr>
          <w:rFonts w:ascii="Arial" w:cs="Arial" w:eastAsia="Arial" w:hAnsi="Arial"/>
          <w:sz w:val="19"/>
          <w:szCs w:val="19"/>
          <w:color w:val="auto"/>
        </w:rPr>
      </w:pPr>
    </w:p>
    <w:p>
      <w:pPr>
        <w:ind w:left="660" w:firstLine="645"/>
        <w:spacing w:after="0" w:line="287" w:lineRule="auto"/>
        <w:tabs>
          <w:tab w:leader="none" w:pos="2281" w:val="left"/>
        </w:tabs>
        <w:numPr>
          <w:ilvl w:val="0"/>
          <w:numId w:val="42"/>
        </w:numPr>
        <w:rPr>
          <w:rFonts w:ascii="Arial" w:cs="Arial" w:eastAsia="Arial" w:hAnsi="Arial"/>
          <w:sz w:val="21"/>
          <w:szCs w:val="21"/>
          <w:color w:val="auto"/>
        </w:rPr>
      </w:pPr>
      <w:r>
        <w:rPr>
          <w:rFonts w:ascii="Arial" w:cs="Arial" w:eastAsia="Arial" w:hAnsi="Arial"/>
          <w:sz w:val="21"/>
          <w:szCs w:val="21"/>
          <w:color w:val="auto"/>
        </w:rPr>
        <w:t>Each Incremental Revolving Lender, each Credit Party and the Administrative Agent each hereby agree that this Agreement is an “Incremental Agreement”, as defined in Section 2.14(e) of the Credit Agreement</w:t>
      </w:r>
      <w:r>
        <w:rPr>
          <w:rFonts w:ascii="Arial" w:cs="Arial" w:eastAsia="Arial" w:hAnsi="Arial"/>
          <w:sz w:val="21"/>
          <w:szCs w:val="21"/>
          <w:color w:val="1F497D"/>
        </w:rPr>
        <w:t>.</w:t>
      </w:r>
    </w:p>
    <w:p>
      <w:pPr>
        <w:spacing w:after="0" w:line="254" w:lineRule="exact"/>
        <w:rPr>
          <w:sz w:val="20"/>
          <w:szCs w:val="20"/>
          <w:color w:val="auto"/>
        </w:rPr>
      </w:pPr>
    </w:p>
    <w:p>
      <w:pPr>
        <w:ind w:left="1300"/>
        <w:spacing w:after="0"/>
        <w:tabs>
          <w:tab w:leader="none" w:pos="376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The Tranche A Term Loan Transactions</w:t>
      </w:r>
      <w:r>
        <w:rPr>
          <w:rFonts w:ascii="Arial" w:cs="Arial" w:eastAsia="Arial" w:hAnsi="Arial"/>
          <w:sz w:val="19"/>
          <w:szCs w:val="19"/>
          <w:color w:val="auto"/>
        </w:rPr>
        <w:t>.</w:t>
      </w:r>
    </w:p>
    <w:p>
      <w:pPr>
        <w:spacing w:after="0" w:line="334" w:lineRule="exact"/>
        <w:rPr>
          <w:sz w:val="20"/>
          <w:szCs w:val="20"/>
          <w:color w:val="auto"/>
        </w:rPr>
      </w:pPr>
    </w:p>
    <w:p>
      <w:pPr>
        <w:jc w:val="both"/>
        <w:ind w:firstLine="656"/>
        <w:spacing w:after="0" w:line="253" w:lineRule="auto"/>
        <w:tabs>
          <w:tab w:leader="none" w:pos="1536" w:val="left"/>
        </w:tabs>
        <w:numPr>
          <w:ilvl w:val="0"/>
          <w:numId w:val="43"/>
        </w:numPr>
        <w:rPr>
          <w:rFonts w:ascii="Arial" w:cs="Arial" w:eastAsia="Arial" w:hAnsi="Arial"/>
          <w:sz w:val="22"/>
          <w:szCs w:val="22"/>
          <w:color w:val="auto"/>
        </w:rPr>
      </w:pPr>
      <w:r>
        <w:rPr>
          <w:rFonts w:ascii="Arial" w:cs="Arial" w:eastAsia="Arial" w:hAnsi="Arial"/>
          <w:sz w:val="22"/>
          <w:szCs w:val="22"/>
          <w:b w:val="1"/>
          <w:bCs w:val="1"/>
          <w:i w:val="1"/>
          <w:iCs w:val="1"/>
          <w:color w:val="auto"/>
        </w:rPr>
        <w:t>The Initial Tranche A Term Loan Maturity Date Extension</w:t>
      </w:r>
      <w:r>
        <w:rPr>
          <w:rFonts w:ascii="Arial" w:cs="Arial" w:eastAsia="Arial" w:hAnsi="Arial"/>
          <w:sz w:val="22"/>
          <w:szCs w:val="22"/>
          <w:color w:val="auto"/>
        </w:rPr>
        <w:t>. Pursuant to Section 2.15 of the Credit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subject to the satisfaction of the conditions precedent set forth in Section 7 hereof, on and as of the Second Amendment Effective Date:</w:t>
      </w:r>
    </w:p>
    <w:p>
      <w:pPr>
        <w:spacing w:after="0" w:line="293" w:lineRule="exact"/>
        <w:rPr>
          <w:rFonts w:ascii="Arial" w:cs="Arial" w:eastAsia="Arial" w:hAnsi="Arial"/>
          <w:sz w:val="22"/>
          <w:szCs w:val="22"/>
          <w:color w:val="auto"/>
        </w:rPr>
      </w:pPr>
    </w:p>
    <w:p>
      <w:pPr>
        <w:jc w:val="both"/>
        <w:ind w:left="660" w:firstLine="645"/>
        <w:spacing w:after="0" w:line="247" w:lineRule="auto"/>
        <w:tabs>
          <w:tab w:leader="none" w:pos="21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each Submitting Initial Tranche A Term Lender (as defined below) hereby (A) irrevocably offers for exchange into 2019 Initial Extended Tranche A Term Loans (as defined in the Amended Credit Agreement) an amount of the Initial Tranche A Term Loans held by such Lender equal to the amount set forth with respect to such Initial Tranche A Term Loans on such Submitting Initial Tranche A Term Lender’s signature page hereto, and (B) agrees that as of the Second Amendment Effective Date, (x) the amount of its Initial Tranche A Term Loans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 opposite such Submitting Initial</w:t>
      </w:r>
    </w:p>
    <w:p>
      <w:pPr>
        <w:sectPr>
          <w:pgSz w:w="11900" w:h="16838" w:orient="portrait"/>
          <w:cols w:equalWidth="0" w:num="1">
            <w:col w:w="11420"/>
          </w:cols>
          <w:pgMar w:left="240" w:top="537" w:right="239" w:bottom="1440" w:gutter="0" w:footer="0" w:header="0"/>
        </w:sectPr>
      </w:pPr>
    </w:p>
    <w:bookmarkStart w:id="62" w:name="page63"/>
    <w:bookmarkEnd w:id="62"/>
    <w:p>
      <w:pPr>
        <w:jc w:val="both"/>
        <w:ind w:left="4"/>
        <w:spacing w:after="0" w:line="245" w:lineRule="auto"/>
        <w:rPr>
          <w:sz w:val="20"/>
          <w:szCs w:val="20"/>
          <w:color w:val="auto"/>
        </w:rPr>
      </w:pPr>
      <w:r>
        <w:rPr>
          <w:rFonts w:ascii="Arial" w:cs="Arial" w:eastAsia="Arial" w:hAnsi="Arial"/>
          <w:sz w:val="22"/>
          <w:szCs w:val="22"/>
          <w:color w:val="auto"/>
        </w:rPr>
        <w:t xml:space="preserve">Tranche A Term Lender’s name under the heading “2019 Initial Extended Tranche A Term Loan Amount” shall be exchanged for, and shall be reclassified to become, 2019 Initial Extended Tranche A Term Loans pursuant to the provisions of Section 2.15(a)(i) of the Credit Agreement, and such Submitting Initial Tranche A Term Lender shall become a 2019 Extended Tranche A Term Lender (as defined in the Amended Credit Agreement) with respect thereto, and (y) the remainder (if any) of such Submitting Initial Tranche A Term Lender’s Initial Tranche A Term Loans will remain outstanding, but shall be reclassified as 2017 Initial Tranche A Term Loans (as defined in the Amended Credit Agreement), in the amount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 opposite such Submitting Initial Tranche A Term Lender’s name under the heading “2017 Initial Tranche A Term Loan Amount”, on the same terms as in existence prior to the Second Amendment Effective Date (other than those terms that are amended pursuant to Section 2.15 of the Credit Agreement and Section 3 hereof);</w:t>
      </w:r>
    </w:p>
    <w:p>
      <w:pPr>
        <w:spacing w:after="0" w:line="308" w:lineRule="exact"/>
        <w:rPr>
          <w:sz w:val="20"/>
          <w:szCs w:val="20"/>
          <w:color w:val="auto"/>
        </w:rPr>
      </w:pPr>
    </w:p>
    <w:p>
      <w:pPr>
        <w:jc w:val="both"/>
        <w:ind w:left="4" w:firstLine="645"/>
        <w:spacing w:after="0" w:line="247" w:lineRule="auto"/>
        <w:tabs>
          <w:tab w:leader="none" w:pos="1564"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as of the Second Amendment Effective Date, the Initial Tranche A Term Loans of each Initial Tranche A Term Lender that is not a party hereto shall remain outstanding as Initial Tranche A Term Loans but shall be reclassified as 2017 Initial Term Loans in the amount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 opposite such Initial Tranche A Term Lender’s name under the heading “2017 Initial Tranche A Term Loan Amount”, on the same terms as in existence prior to the Second Amendment Effective Date (other than those terms that are amended pursuant to Section 2.15 of the Credit Agreement and Section 3 hereof);</w:t>
      </w:r>
    </w:p>
    <w:p>
      <w:pPr>
        <w:spacing w:after="0" w:line="301" w:lineRule="exact"/>
        <w:rPr>
          <w:rFonts w:ascii="Arial" w:cs="Arial" w:eastAsia="Arial" w:hAnsi="Arial"/>
          <w:sz w:val="22"/>
          <w:szCs w:val="22"/>
          <w:color w:val="auto"/>
        </w:rPr>
      </w:pPr>
    </w:p>
    <w:p>
      <w:pPr>
        <w:jc w:val="both"/>
        <w:ind w:left="4" w:firstLine="645"/>
        <w:spacing w:after="0" w:line="291" w:lineRule="auto"/>
        <w:tabs>
          <w:tab w:leader="none" w:pos="1624" w:val="left"/>
        </w:tabs>
        <w:numPr>
          <w:ilvl w:val="1"/>
          <w:numId w:val="44"/>
        </w:numPr>
        <w:rPr>
          <w:rFonts w:ascii="Arial" w:cs="Arial" w:eastAsia="Arial" w:hAnsi="Arial"/>
          <w:sz w:val="19"/>
          <w:szCs w:val="19"/>
          <w:color w:val="auto"/>
        </w:rPr>
      </w:pPr>
      <w:r>
        <w:rPr>
          <w:rFonts w:ascii="Arial" w:cs="Arial" w:eastAsia="Arial" w:hAnsi="Arial"/>
          <w:sz w:val="19"/>
          <w:szCs w:val="19"/>
          <w:color w:val="auto"/>
        </w:rPr>
        <w:t>each Submitting Initial Tranche A Term Lender, each Credit Party and the Administrative Agent each hereby agree that (A) this Agreement is an “Extension Agreement”, as defined in Section 2.15(c) of the Credit Agreement,</w:t>
      </w:r>
    </w:p>
    <w:p>
      <w:pPr>
        <w:spacing w:after="0" w:line="1" w:lineRule="exact"/>
        <w:rPr>
          <w:rFonts w:ascii="Arial" w:cs="Arial" w:eastAsia="Arial" w:hAnsi="Arial"/>
          <w:sz w:val="19"/>
          <w:szCs w:val="19"/>
          <w:color w:val="auto"/>
        </w:rPr>
      </w:pPr>
    </w:p>
    <w:p>
      <w:pPr>
        <w:jc w:val="both"/>
        <w:ind w:left="4" w:hanging="4"/>
        <w:spacing w:after="0" w:line="288" w:lineRule="auto"/>
        <w:tabs>
          <w:tab w:leader="none" w:pos="349"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Initial Tranche A Term Loans constitute an “Existing Term Loan Class” for the purposes of Section 2.15(a)(i) of the Credit Agreement, (C) the 2019 Initial Extended Tranche A Term Loans are “Extended Term Loans” for the purposes of Section 2.15 of the Credit Agreement, (D) the Second Amendment Effective Date is the applicable “Extension Date” with respect to the 2019 Extended Tranche A Term Loans, (E) the 2019 Extended Tranche A Term Loan Facility (as defined in the Amended Credit Agreement) is an “Extended Term Loan Facility” for the purposes of Section 2.15 of the Credit Agreement, and (F) the 2019 Extended Tranche A Term Lenders (as defined in the Amended Credit Agreement) are “Extending Term Lenders” for the purposes of Section 2.15 of the Credit Agreement;</w:t>
      </w:r>
    </w:p>
    <w:p>
      <w:pPr>
        <w:spacing w:after="0" w:line="267" w:lineRule="exact"/>
        <w:rPr>
          <w:rFonts w:ascii="Arial" w:cs="Arial" w:eastAsia="Arial" w:hAnsi="Arial"/>
          <w:sz w:val="19"/>
          <w:szCs w:val="19"/>
          <w:color w:val="auto"/>
        </w:rPr>
      </w:pPr>
    </w:p>
    <w:p>
      <w:pPr>
        <w:jc w:val="both"/>
        <w:ind w:left="4" w:firstLine="645"/>
        <w:spacing w:after="0" w:line="247" w:lineRule="auto"/>
        <w:tabs>
          <w:tab w:leader="none" w:pos="1612" w:val="left"/>
        </w:tabs>
        <w:numPr>
          <w:ilvl w:val="1"/>
          <w:numId w:val="45"/>
        </w:numPr>
        <w:rPr>
          <w:rFonts w:ascii="Arial" w:cs="Arial" w:eastAsia="Arial" w:hAnsi="Arial"/>
          <w:sz w:val="22"/>
          <w:szCs w:val="22"/>
          <w:color w:val="auto"/>
        </w:rPr>
      </w:pPr>
      <w:r>
        <w:rPr>
          <w:rFonts w:ascii="Arial" w:cs="Arial" w:eastAsia="Arial" w:hAnsi="Arial"/>
          <w:sz w:val="22"/>
          <w:szCs w:val="22"/>
          <w:color w:val="auto"/>
        </w:rPr>
        <w:t>as used herein, “</w:t>
      </w:r>
      <w:r>
        <w:rPr>
          <w:rFonts w:ascii="Arial" w:cs="Arial" w:eastAsia="Arial" w:hAnsi="Arial"/>
          <w:sz w:val="22"/>
          <w:szCs w:val="22"/>
          <w:u w:val="single" w:color="auto"/>
          <w:color w:val="auto"/>
        </w:rPr>
        <w:t>Submitting Initial Tranche A Term Lender</w:t>
      </w:r>
      <w:r>
        <w:rPr>
          <w:rFonts w:ascii="Arial" w:cs="Arial" w:eastAsia="Arial" w:hAnsi="Arial"/>
          <w:sz w:val="22"/>
          <w:szCs w:val="22"/>
          <w:color w:val="auto"/>
        </w:rPr>
        <w:t>” shall mean, each Initial Tranche A Term Lender that submits to the Administrative Agent a signature page to this Agreement offering to exchange all or a portion of such Initial Tranche A Term Lender’s Initial Tranche A Term Loans for 2019 Extended Tranche A Term Loans at or prior to the Consent Deadline (as defined below) and the “</w:t>
      </w:r>
      <w:r>
        <w:rPr>
          <w:rFonts w:ascii="Arial" w:cs="Arial" w:eastAsia="Arial" w:hAnsi="Arial"/>
          <w:sz w:val="22"/>
          <w:szCs w:val="22"/>
          <w:u w:val="single" w:color="auto"/>
          <w:color w:val="auto"/>
        </w:rPr>
        <w:t>Submitted Initial Term Loan Amount</w:t>
      </w:r>
      <w:r>
        <w:rPr>
          <w:rFonts w:ascii="Arial" w:cs="Arial" w:eastAsia="Arial" w:hAnsi="Arial"/>
          <w:sz w:val="22"/>
          <w:szCs w:val="22"/>
          <w:color w:val="auto"/>
        </w:rPr>
        <w:t>” of each Lender shall mean the principal amount of such Initial Tranche A Term Loans submitted for exchange by such Lender as set forth on its signature page to this Agreement; and</w:t>
      </w:r>
    </w:p>
    <w:p>
      <w:pPr>
        <w:spacing w:after="0" w:line="301" w:lineRule="exact"/>
        <w:rPr>
          <w:rFonts w:ascii="Arial" w:cs="Arial" w:eastAsia="Arial" w:hAnsi="Arial"/>
          <w:sz w:val="22"/>
          <w:szCs w:val="22"/>
          <w:color w:val="auto"/>
        </w:rPr>
      </w:pPr>
    </w:p>
    <w:p>
      <w:pPr>
        <w:jc w:val="both"/>
        <w:ind w:left="4" w:firstLine="645"/>
        <w:spacing w:after="0" w:line="250" w:lineRule="auto"/>
        <w:tabs>
          <w:tab w:leader="none" w:pos="1552" w:val="left"/>
        </w:tabs>
        <w:numPr>
          <w:ilvl w:val="1"/>
          <w:numId w:val="45"/>
        </w:numPr>
        <w:rPr>
          <w:rFonts w:ascii="Arial" w:cs="Arial" w:eastAsia="Arial" w:hAnsi="Arial"/>
          <w:sz w:val="22"/>
          <w:szCs w:val="22"/>
          <w:color w:val="auto"/>
        </w:rPr>
      </w:pPr>
      <w:r>
        <w:rPr>
          <w:rFonts w:ascii="Arial" w:cs="Arial" w:eastAsia="Arial" w:hAnsi="Arial"/>
          <w:sz w:val="22"/>
          <w:szCs w:val="22"/>
          <w:color w:val="auto"/>
        </w:rPr>
        <w:t>on and after the date of delivery of a duly executed signature page by any Submitting Initial Tranche A Term Lender, until the Second Amendment Effective Date, all Initial Tranche A Term Loans comprising the Submitted Initial Term Loan Amount of each Initial Tranche A Term Lender shall continue to be subject to the offer for exchange described</w:t>
      </w:r>
    </w:p>
    <w:p>
      <w:pPr>
        <w:sectPr>
          <w:pgSz w:w="11900" w:h="16838" w:orient="portrait"/>
          <w:cols w:equalWidth="0" w:num="1">
            <w:col w:w="10764"/>
          </w:cols>
          <w:pgMar w:left="896" w:top="537" w:right="239" w:bottom="1440" w:gutter="0" w:footer="0" w:header="0"/>
        </w:sectPr>
      </w:pPr>
    </w:p>
    <w:bookmarkStart w:id="63" w:name="page64"/>
    <w:bookmarkEnd w:id="63"/>
    <w:p>
      <w:pPr>
        <w:ind w:left="4" w:right="20"/>
        <w:spacing w:after="0" w:line="263" w:lineRule="auto"/>
        <w:rPr>
          <w:sz w:val="20"/>
          <w:szCs w:val="20"/>
          <w:color w:val="auto"/>
        </w:rPr>
      </w:pPr>
      <w:r>
        <w:rPr>
          <w:rFonts w:ascii="Arial" w:cs="Arial" w:eastAsia="Arial" w:hAnsi="Arial"/>
          <w:sz w:val="22"/>
          <w:szCs w:val="22"/>
          <w:color w:val="auto"/>
        </w:rPr>
        <w:t>above, notwithstanding any later transfer and/or assignment of all or a portion of such Submitted Initial Term Loan Amount to an Eligible Assignee prior to the Second Amendment Effective Date.</w:t>
      </w:r>
    </w:p>
    <w:p>
      <w:pPr>
        <w:spacing w:after="0" w:line="283" w:lineRule="exact"/>
        <w:rPr>
          <w:sz w:val="20"/>
          <w:szCs w:val="20"/>
          <w:color w:val="auto"/>
        </w:rPr>
      </w:pPr>
    </w:p>
    <w:p>
      <w:pPr>
        <w:ind w:left="-656" w:firstLine="656"/>
        <w:spacing w:after="0" w:line="343" w:lineRule="auto"/>
        <w:tabs>
          <w:tab w:leader="none" w:pos="892"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The Incremental Tranche A Refinancing Facility</w:t>
      </w:r>
      <w:r>
        <w:rPr>
          <w:rFonts w:ascii="Arial" w:cs="Arial" w:eastAsia="Arial" w:hAnsi="Arial"/>
          <w:sz w:val="19"/>
          <w:szCs w:val="19"/>
          <w:color w:val="auto"/>
        </w:rPr>
        <w:t>. Pursuant to Section 2.14 of the Credit Agreement, and subject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satisfaction of the conditions precedent set forth in Section 7 hereof, on and as of the Second Amendment Effective Date:</w:t>
      </w:r>
    </w:p>
    <w:p>
      <w:pPr>
        <w:spacing w:after="0" w:line="212" w:lineRule="exact"/>
        <w:rPr>
          <w:rFonts w:ascii="Arial" w:cs="Arial" w:eastAsia="Arial" w:hAnsi="Arial"/>
          <w:sz w:val="19"/>
          <w:szCs w:val="19"/>
          <w:color w:val="auto"/>
        </w:rPr>
      </w:pPr>
    </w:p>
    <w:p>
      <w:pPr>
        <w:jc w:val="both"/>
        <w:ind w:left="4" w:firstLine="645"/>
        <w:spacing w:after="0" w:line="284" w:lineRule="auto"/>
        <w:tabs>
          <w:tab w:leader="none" w:pos="1504"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each Incremental Term Lender hereby agrees that, subject to the occurrence of the Incremental Term Loan Effective Date and immediately following the consummation of the transactions set forth in Section 2(a) above, (A) as contemplated by Section 2.14 of the Credit Agreement, such Incremental Term Lender shall have a new Incremental Term Loan Commitment, and shall make Incremental Tranche A Term Loans pursuant thereto on the Second Amendment Closing Date, in each case in an amount equal to the amount set forth opposite such Incremental Term Lender’s name under the heading “2019 Refinancing Tranche A Term Loan Amount”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this Agreement, in each case on the terms and conditions that are applicable to the “2019 Extended Tranche A Term Loan Facility” (as defined in the Amended Credit Agreement) and such Incremental Term Loan Facility shall be referred to herein as the “</w:t>
      </w:r>
      <w:r>
        <w:rPr>
          <w:rFonts w:ascii="Arial" w:cs="Arial" w:eastAsia="Arial" w:hAnsi="Arial"/>
          <w:sz w:val="19"/>
          <w:szCs w:val="19"/>
          <w:u w:val="single" w:color="auto"/>
          <w:color w:val="auto"/>
        </w:rPr>
        <w:t>Incremental Tranche A Refinancing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Facility</w:t>
      </w:r>
      <w:r>
        <w:rPr>
          <w:rFonts w:ascii="Arial" w:cs="Arial" w:eastAsia="Arial" w:hAnsi="Arial"/>
          <w:sz w:val="19"/>
          <w:szCs w:val="19"/>
          <w:color w:val="auto"/>
        </w:rPr>
        <w:t xml:space="preserve">”; and (B) such Incremental Term Lender shall (x) in the case of an Incremental Term Lender that is a Tranche A Lender under the Credit Agreement, continue to be a “Tranche A Lender” and a “Lender” for all purposes of, and subject to all the obligations of a “Tranche A Lender” and a “Lender” under the Amended Credit Agreement and the other Credit Documents, (y) in the case of an Incremental Term Lender that is a Lender, but is not a Tranche A Lender, under the Credit Agreement, continue to be a “Lender”, and be deemed to be, and shall become, a “Tranche A Lender”, for all purposes of, and subject to all the obligations of a “Tranche A Lender” and a “Lender” under the Amended Credit Agreement and the other Credit Documents, and (z) in the case of an Incremental Term Lender that is not an existing Lender under the Credit Agreement, be deemed to be, and shall become, an “Additional Lender”, a “Tranche A Lender” and a “Lender” for all purposes of, and subject to all the obligations of an “Additional Lender”, a “Tranche A Lender” and a “Lender” under the Amended Credit Agreement and the other Credit Documents. Each Credit Party and the Administrative Agent hereby agree that, from and after the Second Amendment Effective Date and immediately following the consummation of the transactions set forth in Section 2(a) above, each Incremental Term Lender shall be deemed to be, and shall become, an “Additional Lender”, a “Tranche A Lender” and a “Lender”, as applicable, for all purposes of, and with all the rights and remedies of an “Additional Lender”, a “Tranche A Lender” and a “Lender”, as applicable, under, the Amended Credit Agreement and the other Credit Documents. From and after the Second Amendment Effective Date and immediately following the consummation of the transactions set forth in Section 2(a) above, each reference in the Credit Agreement to any 2019 Extended Tranche A Term Lender’s 2019 Extended Tranche A Term Loan Commitment or 2019 Extended Tranche A Term Loans shall include the Incremental Term Loan Commitment and the Incremental Term Loans made by such 2019 Extended Tranche A Term Lender (as an Incremental Term Lender hereunder) pursuant to this Section 2(b), and as set forth opposite its name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this Agreement under the heading “2019 Refinancing Extended</w:t>
      </w:r>
    </w:p>
    <w:p>
      <w:pPr>
        <w:sectPr>
          <w:pgSz w:w="11900" w:h="16838" w:orient="portrait"/>
          <w:cols w:equalWidth="0" w:num="1">
            <w:col w:w="10764"/>
          </w:cols>
          <w:pgMar w:left="896" w:top="537" w:right="239" w:bottom="1440" w:gutter="0" w:footer="0" w:header="0"/>
        </w:sectPr>
      </w:pPr>
    </w:p>
    <w:bookmarkStart w:id="64" w:name="page65"/>
    <w:bookmarkEnd w:id="64"/>
    <w:p>
      <w:pPr>
        <w:jc w:val="both"/>
        <w:ind w:left="660"/>
        <w:spacing w:after="0" w:line="292" w:lineRule="auto"/>
        <w:rPr>
          <w:sz w:val="20"/>
          <w:szCs w:val="20"/>
          <w:color w:val="auto"/>
        </w:rPr>
      </w:pPr>
      <w:r>
        <w:rPr>
          <w:rFonts w:ascii="Arial" w:cs="Arial" w:eastAsia="Arial" w:hAnsi="Arial"/>
          <w:sz w:val="19"/>
          <w:szCs w:val="19"/>
          <w:color w:val="auto"/>
        </w:rPr>
        <w:t xml:space="preserve">Tranche A Term Loan Amount”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this Agreement. The amount that is the sum of each 2019 Extended Tranche A Term Lender’s 2019 Initial Extended Tranche A Term Loan Amount and its 2019 Refinancing Extended Tranche A Term Loan Amount” shall be set forth opposite its name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this Agreement under the heading “2019 Extended Tranche A Total Term Loan Amount”. For the avoidance of doubt, all 2019 Initial Extended Tranche A Term Loans and all 2019 Refinancing Extended Tranche A Term Loans shall be 2019 Extended Tranche A Term Loans under the 2019 Extended Tranche A Term Loan Facility (in each case pursuant to, and as defined in, the Amended Credit Agreement) and shall be a single Class for all purposes of the Amended Credit Agreement and the other Credit Documents;</w:t>
      </w:r>
    </w:p>
    <w:p>
      <w:pPr>
        <w:spacing w:after="0" w:line="260" w:lineRule="exact"/>
        <w:rPr>
          <w:sz w:val="20"/>
          <w:szCs w:val="20"/>
          <w:color w:val="auto"/>
        </w:rPr>
      </w:pPr>
    </w:p>
    <w:p>
      <w:pPr>
        <w:jc w:val="both"/>
        <w:ind w:left="660" w:firstLine="645"/>
        <w:spacing w:after="0" w:line="250" w:lineRule="auto"/>
        <w:tabs>
          <w:tab w:leader="none" w:pos="2221" w:val="left"/>
        </w:tabs>
        <w:numPr>
          <w:ilvl w:val="0"/>
          <w:numId w:val="47"/>
        </w:numPr>
        <w:rPr>
          <w:rFonts w:ascii="Arial" w:cs="Arial" w:eastAsia="Arial" w:hAnsi="Arial"/>
          <w:sz w:val="22"/>
          <w:szCs w:val="22"/>
          <w:color w:val="auto"/>
        </w:rPr>
      </w:pPr>
      <w:r>
        <w:rPr>
          <w:rFonts w:ascii="Arial" w:cs="Arial" w:eastAsia="Arial" w:hAnsi="Arial"/>
          <w:sz w:val="22"/>
          <w:szCs w:val="22"/>
          <w:color w:val="auto"/>
        </w:rPr>
        <w:t>each Incremental Term Lender, each Credit Party and the Administrative Agent each hereby agree that this Agreement is an “Incremental Agreement”, as defined in Section 2.14(e) of the Credit Agreement and that the “Incremental Facility Closing Date” shall be the Second Amendment Effective Date immediately following the consummation of the transactions set forth in Section 2(a) above; and</w:t>
      </w:r>
    </w:p>
    <w:p>
      <w:pPr>
        <w:spacing w:after="0" w:line="296" w:lineRule="exact"/>
        <w:rPr>
          <w:rFonts w:ascii="Arial" w:cs="Arial" w:eastAsia="Arial" w:hAnsi="Arial"/>
          <w:sz w:val="22"/>
          <w:szCs w:val="22"/>
          <w:color w:val="auto"/>
        </w:rPr>
      </w:pPr>
    </w:p>
    <w:p>
      <w:pPr>
        <w:jc w:val="both"/>
        <w:ind w:left="660" w:firstLine="645"/>
        <w:spacing w:after="0" w:line="250" w:lineRule="auto"/>
        <w:tabs>
          <w:tab w:leader="none" w:pos="2281"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accordance with the provisions of Section 5.2(a)(i) and clause (i) of the proviso to Section 2.14(b) of the Credit Agreement, all of the Net Cash Proceeds from the Incremental Term Loans made by the Incremental Term Lenders pursuant to this Section 2(b) shall be immediately applied to the ratable prepayment of outstanding 2017 Initial Tranche A Term Loans (as defined in the Amended Credit Agreement).</w:t>
      </w:r>
    </w:p>
    <w:p>
      <w:pPr>
        <w:spacing w:after="0" w:line="290"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Initial Amendments</w:t>
      </w:r>
      <w:r>
        <w:rPr>
          <w:rFonts w:ascii="Arial" w:cs="Arial" w:eastAsia="Arial" w:hAnsi="Arial"/>
          <w:sz w:val="19"/>
          <w:szCs w:val="19"/>
          <w:color w:val="auto"/>
        </w:rPr>
        <w:t>. Pursuant to Sections 2.14, 2.15 and 13.1 of the Credit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and subject to the satisfaction of the conditions precedent set forth in Section 7 hereof, effective on and as of the Second Amendment Effective Date, the Credit Agreement is hereby amended (a) to delete the struck text (indicated textually in the same manner as the following example: </w:t>
      </w:r>
      <w:r>
        <w:rPr>
          <w:rFonts w:ascii="Arial" w:cs="Arial" w:eastAsia="Arial" w:hAnsi="Arial"/>
          <w:sz w:val="19"/>
          <w:szCs w:val="19"/>
          <w:color w:val="FF0000"/>
          <w:strike w:val="1"/>
        </w:rPr>
        <w:t>struck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color w:val="0000FF"/>
        </w:rPr>
        <w:t>double-underlined text</w:t>
      </w:r>
      <w:r>
        <w:rPr>
          <w:rFonts w:ascii="Arial" w:cs="Arial" w:eastAsia="Arial" w:hAnsi="Arial"/>
          <w:sz w:val="19"/>
          <w:szCs w:val="19"/>
          <w:color w:val="auto"/>
        </w:rPr>
        <w:t>) as set forth in the pages of the Amended Credit Agreement attached as Annex I-A hereto, and (b) to replace Exhibit D previously attached to the Credit Agreement with the corresponding Exhibit D attached hereto, thereby amending and restating in its entirety such Exhibit (collectively, the “Initial Amendments”), except that any Schedule or Exhibit to the Credit Agreement not amended pursuant to the terms of this Agreement or otherwise included as part of such Annex I</w:t>
      </w:r>
      <w:r>
        <w:rPr>
          <w:rFonts w:ascii="MS PGothic" w:cs="MS PGothic" w:eastAsia="MS PGothic" w:hAnsi="MS PGothic"/>
          <w:sz w:val="19"/>
          <w:szCs w:val="19"/>
          <w:color w:val="auto"/>
        </w:rPr>
        <w:t>‑</w:t>
      </w:r>
      <w:r>
        <w:rPr>
          <w:rFonts w:ascii="Arial" w:cs="Arial" w:eastAsia="Arial" w:hAnsi="Arial"/>
          <w:sz w:val="19"/>
          <w:szCs w:val="19"/>
          <w:color w:val="auto"/>
        </w:rPr>
        <w:t>A shall remain in effect without any amendment or other modification thereto.</w:t>
      </w:r>
    </w:p>
    <w:p>
      <w:pPr>
        <w:spacing w:after="0" w:line="307"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Dividend Amendment Consent and Other Amendments</w:t>
      </w:r>
      <w:r>
        <w:rPr>
          <w:rFonts w:ascii="Arial" w:cs="Arial" w:eastAsia="Arial" w:hAnsi="Arial"/>
          <w:sz w:val="22"/>
          <w:szCs w:val="22"/>
          <w:color w:val="auto"/>
        </w:rPr>
        <w:t>. Pursuant to Section 13.1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Credit Agreement, and subject to the satisfaction of the conditions precedent set forth in Section 8 hereof, each of the Lenders and Additional Lenders, the Borrower, the Administrative Agent and the Future Agent hereby each irrevocably agree that, effective on and as of the Post-Amendment Effective Date, the Credit Agreement is hereby amended to delete the struck text (indicated textually in the same manner as the following example: </w:t>
      </w:r>
      <w:r>
        <w:rPr>
          <w:rFonts w:ascii="Arial" w:cs="Arial" w:eastAsia="Arial" w:hAnsi="Arial"/>
          <w:sz w:val="22"/>
          <w:szCs w:val="22"/>
          <w:color w:val="FF0000"/>
          <w:strike w:val="1"/>
        </w:rPr>
        <w:t>struck text</w:t>
      </w:r>
      <w:r>
        <w:rPr>
          <w:rFonts w:ascii="Arial" w:cs="Arial" w:eastAsia="Arial" w:hAnsi="Arial"/>
          <w:sz w:val="22"/>
          <w:szCs w:val="22"/>
          <w:color w:val="auto"/>
        </w:rPr>
        <w:t xml:space="preserve">), and to add the double-underlined text (indicated textually in the same manner as the following example: </w:t>
      </w:r>
      <w:r>
        <w:rPr>
          <w:rFonts w:ascii="Arial" w:cs="Arial" w:eastAsia="Arial" w:hAnsi="Arial"/>
          <w:sz w:val="22"/>
          <w:szCs w:val="22"/>
          <w:color w:val="0000FF"/>
        </w:rPr>
        <w:t>double-underlined text</w:t>
      </w:r>
      <w:r>
        <w:rPr>
          <w:rFonts w:ascii="Arial" w:cs="Arial" w:eastAsia="Arial" w:hAnsi="Arial"/>
          <w:sz w:val="22"/>
          <w:szCs w:val="22"/>
          <w:color w:val="auto"/>
        </w:rPr>
        <w:t>) as set forth in the pages of the Amended Credit Agreement attached as Annex I-B hereto.</w:t>
      </w:r>
    </w:p>
    <w:p>
      <w:pPr>
        <w:sectPr>
          <w:pgSz w:w="11900" w:h="16838" w:orient="portrait"/>
          <w:cols w:equalWidth="0" w:num="1">
            <w:col w:w="11420"/>
          </w:cols>
          <w:pgMar w:left="240" w:top="537" w:right="239" w:bottom="1440" w:gutter="0" w:footer="0" w:header="0"/>
        </w:sectPr>
      </w:pPr>
    </w:p>
    <w:bookmarkStart w:id="65" w:name="page66"/>
    <w:bookmarkEnd w:id="65"/>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Agency Replacement Consents</w:t>
      </w:r>
      <w:r>
        <w:rPr>
          <w:rFonts w:ascii="Arial" w:cs="Arial" w:eastAsia="Arial" w:hAnsi="Arial"/>
          <w:sz w:val="22"/>
          <w:szCs w:val="22"/>
          <w:color w:val="auto"/>
        </w:rPr>
        <w:t>. Pursuant to Sections 12.8 and 13.1 of the Credit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subject to the satisfaction of the conditions precedent set forth in Section 8 hereof, each Lender party hereto, each Additional Lender party hereto, the Agents, the Swingline Lender and each Letter of Credit Issuer party hereto hereby irrevocably consents to:</w:t>
      </w:r>
    </w:p>
    <w:p>
      <w:pPr>
        <w:spacing w:after="0" w:line="294" w:lineRule="exact"/>
        <w:rPr>
          <w:sz w:val="20"/>
          <w:szCs w:val="20"/>
          <w:color w:val="auto"/>
        </w:rPr>
      </w:pPr>
    </w:p>
    <w:p>
      <w:pPr>
        <w:jc w:val="both"/>
        <w:ind w:left="660" w:firstLine="645"/>
        <w:spacing w:after="0" w:line="250" w:lineRule="auto"/>
        <w:tabs>
          <w:tab w:leader="none" w:pos="2196"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replacement of the Current Agent with the Future Agent pursuant to an agency resignation and assignment agreement (or other similar agreement), made on terms and conditions reasonably satisfactory to the Current Agent, the Future Agent and the Borrower, to be entered into among the Current Agent, the Future Agent and the Borrower (an “</w:t>
      </w:r>
      <w:r>
        <w:rPr>
          <w:rFonts w:ascii="Arial" w:cs="Arial" w:eastAsia="Arial" w:hAnsi="Arial"/>
          <w:sz w:val="22"/>
          <w:szCs w:val="22"/>
          <w:u w:val="single" w:color="auto"/>
          <w:color w:val="auto"/>
        </w:rPr>
        <w:t>Agency Assignment Agreement</w:t>
      </w:r>
      <w:r>
        <w:rPr>
          <w:rFonts w:ascii="Arial" w:cs="Arial" w:eastAsia="Arial" w:hAnsi="Arial"/>
          <w:sz w:val="22"/>
          <w:szCs w:val="22"/>
          <w:color w:val="auto"/>
        </w:rPr>
        <w:t>”); and</w:t>
      </w:r>
    </w:p>
    <w:p>
      <w:pPr>
        <w:spacing w:after="0" w:line="296" w:lineRule="exact"/>
        <w:rPr>
          <w:rFonts w:ascii="Arial" w:cs="Arial" w:eastAsia="Arial" w:hAnsi="Arial"/>
          <w:sz w:val="22"/>
          <w:szCs w:val="22"/>
          <w:color w:val="auto"/>
        </w:rPr>
      </w:pPr>
    </w:p>
    <w:p>
      <w:pPr>
        <w:jc w:val="both"/>
        <w:ind w:left="660" w:firstLine="645"/>
        <w:spacing w:after="0" w:line="294" w:lineRule="auto"/>
        <w:tabs>
          <w:tab w:leader="none" w:pos="22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subject to the satisfaction of the conditions precedent set forth in Section 9 hereof, the amendment of the Amended Credit Agreement (i) to delete the struck text (indicated textually in the same manner as the following example: </w:t>
      </w:r>
      <w:r>
        <w:rPr>
          <w:rFonts w:ascii="Arial" w:cs="Arial" w:eastAsia="Arial" w:hAnsi="Arial"/>
          <w:sz w:val="19"/>
          <w:szCs w:val="19"/>
          <w:color w:val="FF0000"/>
          <w:strike w:val="1"/>
        </w:rPr>
        <w:t>struck text</w:t>
      </w:r>
      <w:r>
        <w:rPr>
          <w:rFonts w:ascii="Arial" w:cs="Arial" w:eastAsia="Arial" w:hAnsi="Arial"/>
          <w:sz w:val="19"/>
          <w:szCs w:val="19"/>
          <w:color w:val="000000"/>
        </w:rPr>
        <w:t>) and to add the double-underlined text (indicated textually in the same manner as the following example:</w:t>
      </w:r>
      <w:r>
        <w:rPr>
          <w:rFonts w:ascii="Arial" w:cs="Arial" w:eastAsia="Arial" w:hAnsi="Arial"/>
          <w:sz w:val="19"/>
          <w:szCs w:val="19"/>
          <w:color w:val="FF0000"/>
        </w:rPr>
        <w:t xml:space="preserve"> </w:t>
      </w:r>
      <w:r>
        <w:rPr>
          <w:rFonts w:ascii="Arial" w:cs="Arial" w:eastAsia="Arial" w:hAnsi="Arial"/>
          <w:sz w:val="19"/>
          <w:szCs w:val="19"/>
          <w:color w:val="0000FF"/>
        </w:rPr>
        <w:t>double-underlined text</w:t>
      </w:r>
      <w:r>
        <w:rPr>
          <w:rFonts w:ascii="Arial" w:cs="Arial" w:eastAsia="Arial" w:hAnsi="Arial"/>
          <w:sz w:val="19"/>
          <w:szCs w:val="19"/>
          <w:color w:val="000000"/>
        </w:rPr>
        <w:t>) as set forth in the pages of the Amended Credit Agreement attached as</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Annex I-C</w:t>
      </w:r>
      <w:r>
        <w:rPr>
          <w:rFonts w:ascii="Arial" w:cs="Arial" w:eastAsia="Arial" w:hAnsi="Arial"/>
          <w:sz w:val="19"/>
          <w:szCs w:val="19"/>
          <w:color w:val="0000FF"/>
        </w:rPr>
        <w:t xml:space="preserve"> </w:t>
      </w:r>
      <w:r>
        <w:rPr>
          <w:rFonts w:ascii="Arial" w:cs="Arial" w:eastAsia="Arial" w:hAnsi="Arial"/>
          <w:sz w:val="19"/>
          <w:szCs w:val="19"/>
          <w:color w:val="000000"/>
        </w:rPr>
        <w:t>hereto, and (ii) to replace</w:t>
      </w:r>
      <w:r>
        <w:rPr>
          <w:rFonts w:ascii="Arial" w:cs="Arial" w:eastAsia="Arial" w:hAnsi="Arial"/>
          <w:sz w:val="19"/>
          <w:szCs w:val="19"/>
          <w:color w:val="0000FF"/>
        </w:rPr>
        <w:t xml:space="preserve"> </w:t>
      </w:r>
      <w:r>
        <w:rPr>
          <w:rFonts w:ascii="Arial" w:cs="Arial" w:eastAsia="Arial" w:hAnsi="Arial"/>
          <w:sz w:val="19"/>
          <w:szCs w:val="19"/>
          <w:color w:val="000000"/>
        </w:rPr>
        <w:t xml:space="preserve">Schedule 13.2 previously attached to the Credit Agreement with the corresponding </w:t>
      </w:r>
      <w:r>
        <w:rPr>
          <w:rFonts w:ascii="Arial" w:cs="Arial" w:eastAsia="Arial" w:hAnsi="Arial"/>
          <w:sz w:val="19"/>
          <w:szCs w:val="19"/>
          <w:u w:val="single" w:color="auto"/>
          <w:color w:val="000000"/>
        </w:rPr>
        <w:t>Schedule 13.2</w:t>
      </w:r>
      <w:r>
        <w:rPr>
          <w:rFonts w:ascii="Arial" w:cs="Arial" w:eastAsia="Arial" w:hAnsi="Arial"/>
          <w:sz w:val="19"/>
          <w:szCs w:val="19"/>
          <w:color w:val="000000"/>
        </w:rPr>
        <w:t xml:space="preserve"> attached hereto, thereby amending and restating in its entirety such Schedule 13.2 (such amendments, the “</w:t>
      </w:r>
      <w:r>
        <w:rPr>
          <w:rFonts w:ascii="Arial" w:cs="Arial" w:eastAsia="Arial" w:hAnsi="Arial"/>
          <w:sz w:val="19"/>
          <w:szCs w:val="19"/>
          <w:u w:val="single" w:color="auto"/>
          <w:color w:val="000000"/>
        </w:rPr>
        <w:t>Agency Replacement Amendments</w:t>
      </w:r>
      <w:r>
        <w:rPr>
          <w:rFonts w:ascii="Arial" w:cs="Arial" w:eastAsia="Arial" w:hAnsi="Arial"/>
          <w:sz w:val="19"/>
          <w:szCs w:val="19"/>
          <w:color w:val="000000"/>
        </w:rPr>
        <w:t>”).</w:t>
      </w:r>
    </w:p>
    <w:p>
      <w:pPr>
        <w:spacing w:after="0" w:line="25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Each of the Credit Parties hereby represents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on and as of the Second Amendment Effective Date, to the Agents, the Lenders and Additional Lenders, the Swingline Lender and each Letter of Credit Issuer, that:</w:t>
      </w:r>
    </w:p>
    <w:p>
      <w:pPr>
        <w:spacing w:after="0" w:line="290" w:lineRule="exact"/>
        <w:rPr>
          <w:sz w:val="20"/>
          <w:szCs w:val="20"/>
          <w:color w:val="auto"/>
        </w:rPr>
      </w:pPr>
    </w:p>
    <w:p>
      <w:pPr>
        <w:jc w:val="both"/>
        <w:ind w:left="660" w:firstLine="645"/>
        <w:spacing w:after="0" w:line="292" w:lineRule="auto"/>
        <w:tabs>
          <w:tab w:leader="none" w:pos="2196"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set forth in the Credit Agreement and in the other Credit Documents are true and correct in all material respects with the same effect as though such representations and warranties had been made on and as of the Second Amendment Effective Date, except to the extent such representations and warranties expressly relate to an earlier date, in which case such representations and warranties shall have been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and warranty that is qualified as to “materiality”, “Material Adverse Effect” or similar language shall be true and correct in all respects on the Second Amendment Effective Date, or on such earlier date, as the case may be (after giving effect to such qualification).</w:t>
      </w:r>
    </w:p>
    <w:p>
      <w:pPr>
        <w:spacing w:after="0" w:line="259" w:lineRule="exact"/>
        <w:rPr>
          <w:rFonts w:ascii="Arial" w:cs="Arial" w:eastAsia="Arial" w:hAnsi="Arial"/>
          <w:sz w:val="19"/>
          <w:szCs w:val="19"/>
          <w:color w:val="auto"/>
        </w:rPr>
      </w:pPr>
    </w:p>
    <w:p>
      <w:pPr>
        <w:jc w:val="both"/>
        <w:ind w:left="660" w:firstLine="645"/>
        <w:spacing w:after="0" w:line="312" w:lineRule="auto"/>
        <w:tabs>
          <w:tab w:leader="none" w:pos="2209" w:val="left"/>
        </w:tabs>
        <w:numPr>
          <w:ilvl w:val="0"/>
          <w:numId w:val="49"/>
        </w:numPr>
        <w:rPr>
          <w:rFonts w:ascii="Arial" w:cs="Arial" w:eastAsia="Arial" w:hAnsi="Arial"/>
          <w:sz w:val="19"/>
          <w:szCs w:val="19"/>
          <w:color w:val="auto"/>
        </w:rPr>
      </w:pPr>
      <w:r>
        <w:rPr>
          <w:rFonts w:ascii="Arial" w:cs="Arial" w:eastAsia="Arial" w:hAnsi="Arial"/>
          <w:sz w:val="19"/>
          <w:szCs w:val="19"/>
          <w:color w:val="auto"/>
        </w:rPr>
        <w:t>It has the corporate or other organizational power to execute, deliver and perform this Agreement, and it has taken all necessary corporate or other organizational action required to be taken by it to authorize the execution, delivery and performance of this Agreement and the consummation of the transactions contemplated hereby.</w:t>
      </w:r>
    </w:p>
    <w:p>
      <w:pPr>
        <w:spacing w:after="0" w:line="241" w:lineRule="exact"/>
        <w:rPr>
          <w:rFonts w:ascii="Arial" w:cs="Arial" w:eastAsia="Arial" w:hAnsi="Arial"/>
          <w:sz w:val="19"/>
          <w:szCs w:val="19"/>
          <w:color w:val="auto"/>
        </w:rPr>
      </w:pPr>
    </w:p>
    <w:p>
      <w:pPr>
        <w:ind w:left="2200" w:hanging="895"/>
        <w:spacing w:after="0"/>
        <w:tabs>
          <w:tab w:leader="none" w:pos="22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At the time of and after giving effect to this Agreement, no Default or Event of Default has occurred and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 continuing.</w:t>
      </w:r>
    </w:p>
    <w:p>
      <w:pPr>
        <w:sectPr>
          <w:pgSz w:w="11900" w:h="16838" w:orient="portrait"/>
          <w:cols w:equalWidth="0" w:num="1">
            <w:col w:w="11420"/>
          </w:cols>
          <w:pgMar w:left="240" w:top="531" w:right="239" w:bottom="1440" w:gutter="0" w:footer="0" w:header="0"/>
        </w:sectPr>
      </w:pPr>
    </w:p>
    <w:bookmarkStart w:id="66" w:name="page67"/>
    <w:bookmarkEnd w:id="66"/>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b w:val="1"/>
          <w:bCs w:val="1"/>
          <w:u w:val="single" w:color="auto"/>
          <w:color w:val="auto"/>
        </w:rPr>
        <w:t>Conditions to Second Amendment Effectiveness</w:t>
      </w:r>
      <w:r>
        <w:rPr>
          <w:rFonts w:ascii="Arial" w:cs="Arial" w:eastAsia="Arial" w:hAnsi="Arial"/>
          <w:sz w:val="22"/>
          <w:szCs w:val="22"/>
          <w:color w:val="auto"/>
        </w:rPr>
        <w:t>. This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of various Lenders and Additional Lenders party hereto to make and/or extend the maturity of their respective Commitments and Loans hereunder, as provided in Sections 1 and 2 hereof, shall become effective on and as of the first Business Day on which the following conditions shall have been satisfied or waived by the applicable Lenders and Additional Lenders party hereto (the “</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w:t>
      </w:r>
    </w:p>
    <w:p>
      <w:pPr>
        <w:spacing w:after="0" w:line="301" w:lineRule="exact"/>
        <w:rPr>
          <w:sz w:val="20"/>
          <w:szCs w:val="20"/>
          <w:color w:val="auto"/>
        </w:rPr>
      </w:pPr>
    </w:p>
    <w:p>
      <w:pPr>
        <w:jc w:val="both"/>
        <w:ind w:left="660" w:firstLine="1293"/>
        <w:spacing w:after="0" w:line="248" w:lineRule="auto"/>
        <w:tabs>
          <w:tab w:leader="none" w:pos="2845"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Administrative Agent shall have received, no later than September 30, 2014 (the “</w:t>
      </w:r>
      <w:r>
        <w:rPr>
          <w:rFonts w:ascii="Arial" w:cs="Arial" w:eastAsia="Arial" w:hAnsi="Arial"/>
          <w:sz w:val="22"/>
          <w:szCs w:val="22"/>
          <w:u w:val="single" w:color="auto"/>
          <w:color w:val="auto"/>
        </w:rPr>
        <w:t>Consent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Deadline</w:t>
      </w:r>
      <w:r>
        <w:rPr>
          <w:rFonts w:ascii="Arial" w:cs="Arial" w:eastAsia="Arial" w:hAnsi="Arial"/>
          <w:sz w:val="22"/>
          <w:szCs w:val="22"/>
          <w:color w:val="auto"/>
        </w:rPr>
        <w:t>”) counterparts of this Agreement, duly executed and delivered on behalf of (i) the Borrower, (ii) Holdings, (iii) each Subsidiary Guarantor, (iv) the Administrative Agent and Current Agent, (v) the Future Agent, (vi) each Incremental Term Lender, (vii) each Submitting Initial Tranche A Term Lender, (viii) each Incremental Revolving Lender, (ix) the Swingline Lender and (x) each Letter of Credit Issuer;</w:t>
      </w:r>
    </w:p>
    <w:p>
      <w:pPr>
        <w:spacing w:after="0" w:line="300" w:lineRule="exact"/>
        <w:rPr>
          <w:rFonts w:ascii="Arial" w:cs="Arial" w:eastAsia="Arial" w:hAnsi="Arial"/>
          <w:sz w:val="22"/>
          <w:szCs w:val="22"/>
          <w:color w:val="auto"/>
        </w:rPr>
      </w:pPr>
    </w:p>
    <w:p>
      <w:pPr>
        <w:jc w:val="both"/>
        <w:ind w:left="660" w:firstLine="1293"/>
        <w:spacing w:after="0" w:line="260" w:lineRule="auto"/>
        <w:tabs>
          <w:tab w:leader="none" w:pos="2857"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Administrative Agent shall have received (i) with respect to the Tranche A Extension, a duly executed and complete Term Loan Extension Request from the Borrower, issued with respect to the Tranche A Extension and made in compliance with Section 2.15(a)(i), (ii) with respect to the Incremental Revolving Refinancing Facility, a written notice by the Borrower of its request for Additional/Replacement Revolving Credit Commitments pursuant to Section 2.14(a) and (iii) with respect to the Incremental Tranche A Term Loans, (A) a written notice by the Borrower of its request for Incremental Tranche A Term Loans pursuant to Section 2.14(a) and (B) a Notice of Borrowing on or prior to the Second Amendment Effective Date;</w:t>
      </w:r>
    </w:p>
    <w:p>
      <w:pPr>
        <w:spacing w:after="0" w:line="289" w:lineRule="exact"/>
        <w:rPr>
          <w:rFonts w:ascii="Arial" w:cs="Arial" w:eastAsia="Arial" w:hAnsi="Arial"/>
          <w:sz w:val="21"/>
          <w:szCs w:val="21"/>
          <w:color w:val="auto"/>
        </w:rPr>
      </w:pPr>
    </w:p>
    <w:p>
      <w:pPr>
        <w:jc w:val="both"/>
        <w:ind w:left="660" w:firstLine="1293"/>
        <w:spacing w:after="0" w:line="246" w:lineRule="auto"/>
        <w:tabs>
          <w:tab w:leader="none" w:pos="2845"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Administrative Agent shall have received (i) a certified copy of the resolutions, in form and substance reasonably satisfactory to the Administrative Agent, of the board of directors, other managers or general partner of the Borrower and each other Credit Party (or a duly authorized committee thereof) authorizing the execution, delivery and performance of this Agreement and the performance of the Amended Credit Agreement and the other Credit Documents to which such Credit Party is a party, in each case as modified by this Agreement, certified as of the Second Amendment Effective Date by an Authorized Officer of such Credit Party as being in full force and effect without modification or amendment, and (ii) good standing certificates for such Credit Party for each jurisdiction in which such Credit Party is organized;</w:t>
      </w:r>
    </w:p>
    <w:p>
      <w:pPr>
        <w:spacing w:after="0" w:line="302" w:lineRule="exact"/>
        <w:rPr>
          <w:rFonts w:ascii="Arial" w:cs="Arial" w:eastAsia="Arial" w:hAnsi="Arial"/>
          <w:sz w:val="22"/>
          <w:szCs w:val="22"/>
          <w:color w:val="auto"/>
        </w:rPr>
      </w:pPr>
    </w:p>
    <w:p>
      <w:pPr>
        <w:jc w:val="both"/>
        <w:ind w:left="660" w:firstLine="1293"/>
        <w:spacing w:after="0" w:line="248" w:lineRule="auto"/>
        <w:tabs>
          <w:tab w:leader="none" w:pos="2857"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incumbency certificates and/or other certificates of Authorized Officers of the Borrower and each other Credit Party as the Administrative Agent may reasonably require evidencing the identity, authority and capacity of each Authorized Officer of such Credit Party authorized to act as an Authorized Officer in connection with this Agreement, the Amended Credit Agreement and the other Credit Documents to which such Credit Party is a party;</w:t>
      </w:r>
    </w:p>
    <w:p>
      <w:pPr>
        <w:spacing w:after="0" w:line="300" w:lineRule="exact"/>
        <w:rPr>
          <w:rFonts w:ascii="Arial" w:cs="Arial" w:eastAsia="Arial" w:hAnsi="Arial"/>
          <w:sz w:val="22"/>
          <w:szCs w:val="22"/>
          <w:color w:val="auto"/>
        </w:rPr>
      </w:pPr>
    </w:p>
    <w:p>
      <w:pPr>
        <w:jc w:val="both"/>
        <w:ind w:left="660" w:firstLine="1293"/>
        <w:spacing w:after="0" w:line="253" w:lineRule="auto"/>
        <w:tabs>
          <w:tab w:leader="none" w:pos="2845"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Ropes &amp; Gray LLP, counsel to Holdings, the Borrower and the other Credit Parties, an executed legal opinion covering such matters as the Agents may reasonably request and otherwise reasonably satisfactory to the Agents;</w:t>
      </w:r>
    </w:p>
    <w:p>
      <w:pPr>
        <w:sectPr>
          <w:pgSz w:w="11900" w:h="16838" w:orient="portrait"/>
          <w:cols w:equalWidth="0" w:num="1">
            <w:col w:w="11420"/>
          </w:cols>
          <w:pgMar w:left="240" w:top="531" w:right="239" w:bottom="1440" w:gutter="0" w:footer="0" w:header="0"/>
        </w:sectPr>
      </w:pPr>
    </w:p>
    <w:bookmarkStart w:id="67" w:name="page68"/>
    <w:bookmarkEnd w:id="67"/>
    <w:p>
      <w:pPr>
        <w:jc w:val="both"/>
        <w:ind w:firstLine="1293"/>
        <w:spacing w:after="0" w:line="246" w:lineRule="auto"/>
        <w:tabs>
          <w:tab w:leader="none" w:pos="2161"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contained (i) in Section 6 of this Agreement, and (ii) in Section 8 of the Credit Agreement and in the other Credit Documents, shall, in each case, be true and correct in all material respects, on and as of the Second Amendment Effective Date, except to the extent such representations and warranties specifically refer to an earlier date, in which case they are true and correct as of such earlier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representation and warranty that is qualified as to “materiality”, “Material Adverse Effect” or similar language shall be true and correct in all respects on the Second Amendment Effective Date or on such earlier date, as the case may be (after giving effect to such qualification);</w:t>
      </w:r>
    </w:p>
    <w:p>
      <w:pPr>
        <w:spacing w:after="0" w:line="305" w:lineRule="exact"/>
        <w:rPr>
          <w:rFonts w:ascii="Arial" w:cs="Arial" w:eastAsia="Arial" w:hAnsi="Arial"/>
          <w:sz w:val="22"/>
          <w:szCs w:val="22"/>
          <w:color w:val="auto"/>
        </w:rPr>
      </w:pPr>
    </w:p>
    <w:p>
      <w:pPr>
        <w:jc w:val="both"/>
        <w:ind w:firstLine="1293"/>
        <w:spacing w:after="0" w:line="253" w:lineRule="auto"/>
        <w:tabs>
          <w:tab w:leader="none" w:pos="2197"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Default or Event of Default exists immediately before or immediately after giving effect to this Agreement, and the consummation of the extensions of credit, extensions of maturity dates, and other transactions set forth herein;</w:t>
      </w:r>
    </w:p>
    <w:p>
      <w:pPr>
        <w:spacing w:after="0" w:line="293" w:lineRule="exact"/>
        <w:rPr>
          <w:rFonts w:ascii="Arial" w:cs="Arial" w:eastAsia="Arial" w:hAnsi="Arial"/>
          <w:sz w:val="22"/>
          <w:szCs w:val="22"/>
          <w:color w:val="auto"/>
        </w:rPr>
      </w:pPr>
    </w:p>
    <w:p>
      <w:pPr>
        <w:jc w:val="both"/>
        <w:ind w:firstLine="1293"/>
        <w:spacing w:after="0" w:line="261" w:lineRule="auto"/>
        <w:tabs>
          <w:tab w:leader="none" w:pos="2197" w:val="left"/>
        </w:tabs>
        <w:numPr>
          <w:ilvl w:val="0"/>
          <w:numId w:val="51"/>
        </w:numPr>
        <w:rPr>
          <w:rFonts w:ascii="Arial" w:cs="Arial" w:eastAsia="Arial" w:hAnsi="Arial"/>
          <w:sz w:val="21"/>
          <w:szCs w:val="21"/>
          <w:color w:val="auto"/>
        </w:rPr>
      </w:pPr>
      <w:r>
        <w:rPr>
          <w:rFonts w:ascii="Arial" w:cs="Arial" w:eastAsia="Arial" w:hAnsi="Arial"/>
          <w:sz w:val="21"/>
          <w:szCs w:val="21"/>
          <w:color w:val="auto"/>
        </w:rPr>
        <w:t>with respect to the Incremental Revolver Increase, after giving effect to any borrowings under the Incremental Revolver Increase and any Specified Transactions being consummated in connection therewith, the Borrower and the Restricted Subsidiaries would be in compliance on a Pro Forma Basis with the requirements of Sections 10.9 and 10.10 of the Credit Agreement as of the most recently ended Test Period on or prior to the incurrence such borrowings under the Incremental Revolver Increase, calculated on a Pro Forma Basis, in each case as if the Incremental Revolver Increase had been outstanding on the first day of such Test Period;</w:t>
      </w:r>
    </w:p>
    <w:p>
      <w:pPr>
        <w:spacing w:after="0" w:line="288" w:lineRule="exact"/>
        <w:rPr>
          <w:rFonts w:ascii="Arial" w:cs="Arial" w:eastAsia="Arial" w:hAnsi="Arial"/>
          <w:sz w:val="21"/>
          <w:szCs w:val="21"/>
          <w:color w:val="auto"/>
        </w:rPr>
      </w:pPr>
    </w:p>
    <w:p>
      <w:pPr>
        <w:jc w:val="both"/>
        <w:ind w:firstLine="1293"/>
        <w:spacing w:after="0" w:line="253" w:lineRule="auto"/>
        <w:tabs>
          <w:tab w:leader="none" w:pos="214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dated as of the Second Amendment Effective Date, signed by an Authorized Officer of the Borrower certifying as to compliance with the conditions precedent set forth in clauses (f), (g) and (h) of this Section 7;</w:t>
      </w:r>
    </w:p>
    <w:p>
      <w:pPr>
        <w:spacing w:after="0" w:line="293" w:lineRule="exact"/>
        <w:rPr>
          <w:rFonts w:ascii="Arial" w:cs="Arial" w:eastAsia="Arial" w:hAnsi="Arial"/>
          <w:sz w:val="22"/>
          <w:szCs w:val="22"/>
          <w:color w:val="auto"/>
        </w:rPr>
      </w:pPr>
    </w:p>
    <w:p>
      <w:pPr>
        <w:jc w:val="both"/>
        <w:ind w:firstLine="1293"/>
        <w:spacing w:after="0" w:line="263" w:lineRule="exact"/>
        <w:tabs>
          <w:tab w:leader="none" w:pos="214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Administrative Agent shall have received all documentation and other information reasonably requested in writing at least five Business Days prior to the date hereof in order to allow any Additional Lenders to comply with applicable “know your customer” and anti</w:t>
      </w:r>
      <w:r>
        <w:rPr>
          <w:rFonts w:ascii="MS PGothic" w:cs="MS PGothic" w:eastAsia="MS PGothic" w:hAnsi="MS PGothic"/>
          <w:sz w:val="19"/>
          <w:szCs w:val="19"/>
          <w:color w:val="auto"/>
        </w:rPr>
        <w:t>‑</w:t>
      </w:r>
      <w:r>
        <w:rPr>
          <w:rFonts w:ascii="Arial" w:cs="Arial" w:eastAsia="Arial" w:hAnsi="Arial"/>
          <w:sz w:val="19"/>
          <w:szCs w:val="19"/>
          <w:color w:val="auto"/>
        </w:rPr>
        <w:t>money laundering rules and regulations, including without limitation, the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PATRIOT ACT;</w:t>
      </w:r>
    </w:p>
    <w:p>
      <w:pPr>
        <w:spacing w:after="0" w:line="309" w:lineRule="exact"/>
        <w:rPr>
          <w:rFonts w:ascii="Arial" w:cs="Arial" w:eastAsia="Arial" w:hAnsi="Arial"/>
          <w:sz w:val="19"/>
          <w:szCs w:val="19"/>
          <w:color w:val="auto"/>
        </w:rPr>
      </w:pPr>
    </w:p>
    <w:p>
      <w:pPr>
        <w:jc w:val="both"/>
        <w:ind w:firstLine="1293"/>
        <w:spacing w:after="0" w:line="253" w:lineRule="auto"/>
        <w:tabs>
          <w:tab w:leader="none" w:pos="219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Administrative Agent shall have received a solvency certificate from the chief financial officer of the Borrower as to the solvency (on a consolidated basis) of the Borrower and its Subsidiaries as of the Second Amendment Effective Date;</w:t>
      </w:r>
    </w:p>
    <w:p>
      <w:pPr>
        <w:spacing w:after="0" w:line="293" w:lineRule="exact"/>
        <w:rPr>
          <w:rFonts w:ascii="Arial" w:cs="Arial" w:eastAsia="Arial" w:hAnsi="Arial"/>
          <w:sz w:val="22"/>
          <w:szCs w:val="22"/>
          <w:color w:val="auto"/>
        </w:rPr>
      </w:pPr>
    </w:p>
    <w:p>
      <w:pPr>
        <w:jc w:val="both"/>
        <w:ind w:firstLine="1293"/>
        <w:spacing w:after="0" w:line="253" w:lineRule="auto"/>
        <w:tabs>
          <w:tab w:leader="none" w:pos="214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Borrower shall have paid all reasonable out of pocket costs and expenses of the Agents (including the reasonable fees, disbursements and other charges of counsel) for which invoices have been presented at least two Business Days prior to the Second Amendment Effective Date; and</w:t>
      </w:r>
    </w:p>
    <w:p>
      <w:pPr>
        <w:spacing w:after="0" w:line="293" w:lineRule="exact"/>
        <w:rPr>
          <w:rFonts w:ascii="Arial" w:cs="Arial" w:eastAsia="Arial" w:hAnsi="Arial"/>
          <w:sz w:val="22"/>
          <w:szCs w:val="22"/>
          <w:color w:val="auto"/>
        </w:rPr>
      </w:pPr>
    </w:p>
    <w:p>
      <w:pPr>
        <w:jc w:val="both"/>
        <w:ind w:firstLine="1293"/>
        <w:spacing w:after="0" w:line="312" w:lineRule="auto"/>
        <w:tabs>
          <w:tab w:leader="none" w:pos="2257"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Borrower shall have paid to the Administrative Agent, for the account of (i) each of the “Joint Lead Arrangers and Joint Bookrunners” listed as such on the cover sheet of this Agreement (each a “</w:t>
      </w:r>
      <w:r>
        <w:rPr>
          <w:rFonts w:ascii="Arial" w:cs="Arial" w:eastAsia="Arial" w:hAnsi="Arial"/>
          <w:sz w:val="19"/>
          <w:szCs w:val="19"/>
          <w:u w:val="single" w:color="auto"/>
          <w:color w:val="auto"/>
        </w:rPr>
        <w:t>JLA</w:t>
      </w:r>
      <w:r>
        <w:rPr>
          <w:rFonts w:ascii="Arial" w:cs="Arial" w:eastAsia="Arial" w:hAnsi="Arial"/>
          <w:sz w:val="19"/>
          <w:szCs w:val="19"/>
          <w:color w:val="auto"/>
        </w:rPr>
        <w:t>”), all fees payable to such JLA pursuant to each applicable fee letter made between or among the Borrower and the various JLAs, and</w:t>
      </w:r>
    </w:p>
    <w:p>
      <w:pPr>
        <w:sectPr>
          <w:pgSz w:w="11900" w:h="16838" w:orient="portrait"/>
          <w:cols w:equalWidth="0" w:num="1">
            <w:col w:w="10760"/>
          </w:cols>
          <w:pgMar w:left="900" w:top="537" w:right="239" w:bottom="1440" w:gutter="0" w:footer="0" w:header="0"/>
        </w:sectPr>
      </w:pPr>
    </w:p>
    <w:bookmarkStart w:id="68" w:name="page69"/>
    <w:bookmarkEnd w:id="68"/>
    <w:p>
      <w:pPr>
        <w:ind w:left="324" w:hanging="324"/>
        <w:spacing w:after="0"/>
        <w:tabs>
          <w:tab w:leader="none" w:pos="32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Lenders and Additional Lenders party hereto:</w:t>
      </w:r>
    </w:p>
    <w:p>
      <w:pPr>
        <w:spacing w:after="0" w:line="327" w:lineRule="exact"/>
        <w:rPr>
          <w:rFonts w:ascii="Arial" w:cs="Arial" w:eastAsia="Arial" w:hAnsi="Arial"/>
          <w:sz w:val="22"/>
          <w:szCs w:val="22"/>
          <w:color w:val="auto"/>
        </w:rPr>
      </w:pPr>
    </w:p>
    <w:p>
      <w:pPr>
        <w:jc w:val="both"/>
        <w:ind w:left="644" w:firstLine="1301"/>
        <w:spacing w:after="0" w:line="247" w:lineRule="auto"/>
        <w:tabs>
          <w:tab w:leader="none" w:pos="2425" w:val="left"/>
        </w:tabs>
        <w:numPr>
          <w:ilvl w:val="1"/>
          <w:numId w:val="52"/>
        </w:numPr>
        <w:rPr>
          <w:rFonts w:ascii="Arial" w:cs="Arial" w:eastAsia="Arial" w:hAnsi="Arial"/>
          <w:sz w:val="22"/>
          <w:szCs w:val="22"/>
          <w:color w:val="auto"/>
        </w:rPr>
      </w:pPr>
      <w:r>
        <w:rPr>
          <w:rFonts w:ascii="Arial" w:cs="Arial" w:eastAsia="Arial" w:hAnsi="Arial"/>
          <w:sz w:val="22"/>
          <w:szCs w:val="22"/>
          <w:color w:val="auto"/>
        </w:rPr>
        <w:t>for each Lender or Additional Lender holding any “Revolving Credit Commitments” pursuant to, and as defined in, the Amended Credit Agreement as of the Second Amendment Effective Date (immediately following the effectiveness of this Agreement), a non-refundable fee in an amount equal to 0.20% of the aggregate principal amount of the “Revolving Credit Commitments” (as defined in the Amended Credit Agreement) of such Lender or Additional Lender as of the Second Amendment Effective Date (immediately following the effectiveness of this Agreement);</w:t>
      </w:r>
    </w:p>
    <w:p>
      <w:pPr>
        <w:spacing w:after="0" w:line="301" w:lineRule="exact"/>
        <w:rPr>
          <w:rFonts w:ascii="Arial" w:cs="Arial" w:eastAsia="Arial" w:hAnsi="Arial"/>
          <w:sz w:val="22"/>
          <w:szCs w:val="22"/>
          <w:color w:val="auto"/>
        </w:rPr>
      </w:pPr>
    </w:p>
    <w:p>
      <w:pPr>
        <w:jc w:val="both"/>
        <w:ind w:left="644" w:firstLine="1301"/>
        <w:spacing w:after="0" w:line="259" w:lineRule="auto"/>
        <w:tabs>
          <w:tab w:leader="none" w:pos="2471"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for each Lender or Additional Lender holding any “Revolving Credit Commitments” pursuant to, and as defined in, the Amended Credit Agreement as of the Second Amendment Effective Date (immediately following the effectiveness of this Agreement), an additional non-refundable fee in an amount equal to 0.20% of the </w:t>
      </w:r>
      <w:r>
        <w:rPr>
          <w:rFonts w:ascii="Arial" w:cs="Arial" w:eastAsia="Arial" w:hAnsi="Arial"/>
          <w:sz w:val="21"/>
          <w:szCs w:val="21"/>
          <w:i w:val="1"/>
          <w:iCs w:val="1"/>
          <w:color w:val="auto"/>
        </w:rPr>
        <w:t xml:space="preserve">difference </w:t>
      </w:r>
      <w:r>
        <w:rPr>
          <w:rFonts w:ascii="Arial" w:cs="Arial" w:eastAsia="Arial" w:hAnsi="Arial"/>
          <w:sz w:val="21"/>
          <w:szCs w:val="21"/>
          <w:color w:val="auto"/>
        </w:rPr>
        <w:t>(if a positive number) between (x) the aggregate principal amount of the “Revolving Credit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Commitments” (as defined in the Amended Credit Agreement) of such Lender or Additional Lender as of the Second Amendment Effective Date (immediately following the effectiveness of this Agreement), </w:t>
      </w:r>
      <w:r>
        <w:rPr>
          <w:rFonts w:ascii="Arial" w:cs="Arial" w:eastAsia="Arial" w:hAnsi="Arial"/>
          <w:sz w:val="21"/>
          <w:szCs w:val="21"/>
          <w:i w:val="1"/>
          <w:iCs w:val="1"/>
          <w:color w:val="auto"/>
        </w:rPr>
        <w:t>minus</w:t>
      </w:r>
      <w:r>
        <w:rPr>
          <w:rFonts w:ascii="Arial" w:cs="Arial" w:eastAsia="Arial" w:hAnsi="Arial"/>
          <w:sz w:val="21"/>
          <w:szCs w:val="21"/>
          <w:color w:val="auto"/>
        </w:rPr>
        <w:t>, (y) the aggregate principal amount of the Revolving Credit Commitments under the Credit Agreement held by such Lender or Additional Lender immediately prior to the Second Amendment Effective Date (and without giving effect to any of the transactions in this Agreement);</w:t>
      </w:r>
    </w:p>
    <w:p>
      <w:pPr>
        <w:spacing w:after="0" w:line="288" w:lineRule="exact"/>
        <w:rPr>
          <w:rFonts w:ascii="Arial" w:cs="Arial" w:eastAsia="Arial" w:hAnsi="Arial"/>
          <w:sz w:val="21"/>
          <w:szCs w:val="21"/>
          <w:color w:val="auto"/>
        </w:rPr>
      </w:pPr>
    </w:p>
    <w:p>
      <w:pPr>
        <w:jc w:val="both"/>
        <w:ind w:left="644" w:firstLine="1301"/>
        <w:spacing w:after="0" w:line="247" w:lineRule="auto"/>
        <w:tabs>
          <w:tab w:leader="none" w:pos="2617" w:val="left"/>
        </w:tabs>
        <w:numPr>
          <w:ilvl w:val="1"/>
          <w:numId w:val="52"/>
        </w:numPr>
        <w:rPr>
          <w:rFonts w:ascii="Arial" w:cs="Arial" w:eastAsia="Arial" w:hAnsi="Arial"/>
          <w:sz w:val="22"/>
          <w:szCs w:val="22"/>
          <w:color w:val="auto"/>
        </w:rPr>
      </w:pPr>
      <w:r>
        <w:rPr>
          <w:rFonts w:ascii="Arial" w:cs="Arial" w:eastAsia="Arial" w:hAnsi="Arial"/>
          <w:sz w:val="22"/>
          <w:szCs w:val="22"/>
          <w:color w:val="auto"/>
        </w:rPr>
        <w:t>for each Lender or Additional Lender holding any “2019 Extended Tranche A Term Loans” pursuant to, and as defined in, the Amended Credit Agreement as of the Second Amendment Effective Date (immediately following the effectiveness of this Agreement), a non-refundable fee in an amount equal to 0.20% of the aggregate principal amount of the “2019 Extended Tranche A Term Loans” (as defined in the Amended Credit Agreement) of such Lender or Additional Lender as of the Second Amendment Effective Date (immediately following the effectiveness of this Agreement); and</w:t>
      </w:r>
    </w:p>
    <w:p>
      <w:pPr>
        <w:spacing w:after="0" w:line="301" w:lineRule="exact"/>
        <w:rPr>
          <w:rFonts w:ascii="Arial" w:cs="Arial" w:eastAsia="Arial" w:hAnsi="Arial"/>
          <w:sz w:val="22"/>
          <w:szCs w:val="22"/>
          <w:color w:val="auto"/>
        </w:rPr>
      </w:pPr>
    </w:p>
    <w:p>
      <w:pPr>
        <w:jc w:val="both"/>
        <w:ind w:left="644" w:firstLine="1301"/>
        <w:spacing w:after="0" w:line="259" w:lineRule="auto"/>
        <w:tabs>
          <w:tab w:leader="none" w:pos="2605"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for each Lender or Additional Lender holding any “2019 Extended Tranche A Term Loans” pursuant to, and as defined in, the Amended Credit Agreement as of the Second Amendment Effective Date (immediately following the effectiveness of this Agreement), an additional non-refundable fee in an amount equal to 0.20% of the </w:t>
      </w:r>
      <w:r>
        <w:rPr>
          <w:rFonts w:ascii="Arial" w:cs="Arial" w:eastAsia="Arial" w:hAnsi="Arial"/>
          <w:sz w:val="21"/>
          <w:szCs w:val="21"/>
          <w:i w:val="1"/>
          <w:iCs w:val="1"/>
          <w:color w:val="auto"/>
        </w:rPr>
        <w:t>difference</w:t>
      </w:r>
      <w:r>
        <w:rPr>
          <w:rFonts w:ascii="Arial" w:cs="Arial" w:eastAsia="Arial" w:hAnsi="Arial"/>
          <w:sz w:val="21"/>
          <w:szCs w:val="21"/>
          <w:color w:val="auto"/>
        </w:rPr>
        <w:t xml:space="preserve"> (if a positive number) between (x) the aggregate principal amount of the “2019 Extended Tranche A Term Loans” (as defined in the Amended Credit Agreement) of such Lender or Additional Lender as of the Second Amendment Effective Date (immediately following the effectiveness of this Agreement), </w:t>
      </w:r>
      <w:r>
        <w:rPr>
          <w:rFonts w:ascii="Arial" w:cs="Arial" w:eastAsia="Arial" w:hAnsi="Arial"/>
          <w:sz w:val="21"/>
          <w:szCs w:val="21"/>
          <w:i w:val="1"/>
          <w:iCs w:val="1"/>
          <w:color w:val="auto"/>
        </w:rPr>
        <w:t>minus</w:t>
      </w:r>
      <w:r>
        <w:rPr>
          <w:rFonts w:ascii="Arial" w:cs="Arial" w:eastAsia="Arial" w:hAnsi="Arial"/>
          <w:sz w:val="21"/>
          <w:szCs w:val="21"/>
          <w:color w:val="auto"/>
        </w:rPr>
        <w:t>, (y) the aggregate principal amount of the Initial Tranche A Term Loans under the Credit Agreement held by such Lender or Additional Lender immediately prior to the Second Amendment Effective Date (and without giving effect to any of the transactions in this Agreement).</w:t>
      </w:r>
    </w:p>
    <w:p>
      <w:pPr>
        <w:sectPr>
          <w:pgSz w:w="11900" w:h="16838" w:orient="portrait"/>
          <w:cols w:equalWidth="0" w:num="1">
            <w:col w:w="10764"/>
          </w:cols>
          <w:pgMar w:left="896" w:top="537" w:right="239" w:bottom="1440" w:gutter="0" w:footer="0" w:header="0"/>
        </w:sectPr>
      </w:pPr>
    </w:p>
    <w:bookmarkStart w:id="69" w:name="page70"/>
    <w:bookmarkEnd w:id="69"/>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b w:val="1"/>
          <w:bCs w:val="1"/>
          <w:u w:val="single" w:color="auto"/>
          <w:color w:val="auto"/>
        </w:rPr>
        <w:t>Conditions to Post-Amendment Effective Date</w:t>
      </w:r>
      <w:r>
        <w:rPr>
          <w:rFonts w:ascii="Arial" w:cs="Arial" w:eastAsia="Arial" w:hAnsi="Arial"/>
          <w:sz w:val="22"/>
          <w:szCs w:val="22"/>
          <w:color w:val="auto"/>
        </w:rPr>
        <w:t>. The Dividend Amendment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amendments to be made pursuant to Section 4 hereof (collectively, the “</w:t>
      </w:r>
      <w:r>
        <w:rPr>
          <w:rFonts w:ascii="Arial" w:cs="Arial" w:eastAsia="Arial" w:hAnsi="Arial"/>
          <w:sz w:val="22"/>
          <w:szCs w:val="22"/>
          <w:u w:val="single" w:color="auto"/>
          <w:color w:val="auto"/>
        </w:rPr>
        <w:t>Delayed Amendments</w:t>
      </w:r>
      <w:r>
        <w:rPr>
          <w:rFonts w:ascii="Arial" w:cs="Arial" w:eastAsia="Arial" w:hAnsi="Arial"/>
          <w:sz w:val="22"/>
          <w:szCs w:val="22"/>
          <w:color w:val="auto"/>
        </w:rPr>
        <w:t>”) shall become effective on and as of the first Business Day on which the following conditions precedent shall have been satisfied or waived by the Required Lenders (determined as of the applicable date on which such “Required Lenders” consent is obtained) (the “</w:t>
      </w:r>
      <w:r>
        <w:rPr>
          <w:rFonts w:ascii="Arial" w:cs="Arial" w:eastAsia="Arial" w:hAnsi="Arial"/>
          <w:sz w:val="22"/>
          <w:szCs w:val="22"/>
          <w:u w:val="single" w:color="auto"/>
          <w:color w:val="auto"/>
        </w:rPr>
        <w:t>Post-Amendment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301" w:lineRule="exact"/>
        <w:rPr>
          <w:sz w:val="20"/>
          <w:szCs w:val="20"/>
          <w:color w:val="auto"/>
        </w:rPr>
      </w:pPr>
    </w:p>
    <w:p>
      <w:pPr>
        <w:jc w:val="both"/>
        <w:ind w:left="660" w:firstLine="1293"/>
        <w:spacing w:after="0" w:line="343" w:lineRule="auto"/>
        <w:tabs>
          <w:tab w:leader="none" w:pos="284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Second Amendment Effective Date shall have occurred prior to, or shall occur contemporaneously with, the Post-Amendment Effective Date, in each case in accordance with Section 7 of this Agreement;</w:t>
      </w:r>
    </w:p>
    <w:p>
      <w:pPr>
        <w:spacing w:after="0" w:line="212" w:lineRule="exact"/>
        <w:rPr>
          <w:rFonts w:ascii="Arial" w:cs="Arial" w:eastAsia="Arial" w:hAnsi="Arial"/>
          <w:sz w:val="19"/>
          <w:szCs w:val="19"/>
          <w:color w:val="auto"/>
        </w:rPr>
      </w:pPr>
    </w:p>
    <w:p>
      <w:pPr>
        <w:jc w:val="both"/>
        <w:ind w:left="660" w:firstLine="1293"/>
        <w:spacing w:after="0" w:line="260" w:lineRule="auto"/>
        <w:tabs>
          <w:tab w:leader="none" w:pos="28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Administrative Agent (as defined in the Amended Credit Agreement as of the Post-Amendment Effective Date) shall have received counterparts of this Agreement and the duly executed and delivered originals or copies of such other agreements (including executed counterparts thereof) which constitute amendments to the Amended Credit Agreement (and which amendments specifically include the consent of the Lenders (as defined in the Amended Credit Agreement as of the Post-Amendment Effective Date) party thereto to the Delayed Amendments) as may be reasonably required by the Administrative Agent, in each case duly executed and delivered on behalf of the Required Lenders (determined after giving effect to the Initial Amendments);</w:t>
      </w:r>
    </w:p>
    <w:p>
      <w:pPr>
        <w:spacing w:after="0" w:line="289" w:lineRule="exact"/>
        <w:rPr>
          <w:rFonts w:ascii="Arial" w:cs="Arial" w:eastAsia="Arial" w:hAnsi="Arial"/>
          <w:sz w:val="21"/>
          <w:szCs w:val="21"/>
          <w:color w:val="auto"/>
        </w:rPr>
      </w:pPr>
    </w:p>
    <w:p>
      <w:pPr>
        <w:jc w:val="both"/>
        <w:ind w:left="660" w:firstLine="1293"/>
        <w:spacing w:after="0" w:line="271" w:lineRule="auto"/>
        <w:tabs>
          <w:tab w:leader="none" w:pos="2845"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Administrative Agent shall have received from Ropes &amp; Gray LLP, counsel to Holdings, the Borrower and the other Credit Parties, an executed legal opinion covering such matters as related to the Delayed Amendments as the Agents may reasonably request and otherwise reasonably satisfactory to the Agents;</w:t>
      </w:r>
    </w:p>
    <w:p>
      <w:pPr>
        <w:spacing w:after="0" w:line="275" w:lineRule="exact"/>
        <w:rPr>
          <w:rFonts w:ascii="Arial" w:cs="Arial" w:eastAsia="Arial" w:hAnsi="Arial"/>
          <w:sz w:val="21"/>
          <w:szCs w:val="21"/>
          <w:color w:val="auto"/>
        </w:rPr>
      </w:pPr>
    </w:p>
    <w:p>
      <w:pPr>
        <w:jc w:val="both"/>
        <w:ind w:left="660" w:firstLine="1293"/>
        <w:spacing w:after="0" w:line="260" w:lineRule="auto"/>
        <w:tabs>
          <w:tab w:leader="none" w:pos="28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contained in Section 8 of the Credit Agreement and in the other Credit Documents, shall, in each case, be true and correct in all material respects, on and as of the Post-Amendment Effective Date (and giving full effect to the Delayed Amendments), except to the extent such representations and warranties specifically refer to an earlier date, in which case they are true and correct as of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and warranty that is qualified as to “materiality”, “Material Adverse Effect” or similar language shall be true and correct in all respects on the Post-Amendment Effective Date or on such earlier date, as the case may be (after giving effect to such qualification);</w:t>
      </w:r>
    </w:p>
    <w:p>
      <w:pPr>
        <w:spacing w:after="0" w:line="289" w:lineRule="exact"/>
        <w:rPr>
          <w:rFonts w:ascii="Arial" w:cs="Arial" w:eastAsia="Arial" w:hAnsi="Arial"/>
          <w:sz w:val="21"/>
          <w:szCs w:val="21"/>
          <w:color w:val="auto"/>
        </w:rPr>
      </w:pPr>
    </w:p>
    <w:p>
      <w:pPr>
        <w:ind w:left="660" w:right="20" w:firstLine="1293"/>
        <w:spacing w:after="0" w:line="263" w:lineRule="auto"/>
        <w:tabs>
          <w:tab w:leader="none" w:pos="2845"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 Default or Event of Default exists immediately before, or immediately after giving full effect to the Delayed Amendments; and</w:t>
      </w:r>
    </w:p>
    <w:p>
      <w:pPr>
        <w:spacing w:after="0" w:line="282" w:lineRule="exact"/>
        <w:rPr>
          <w:rFonts w:ascii="Arial" w:cs="Arial" w:eastAsia="Arial" w:hAnsi="Arial"/>
          <w:sz w:val="22"/>
          <w:szCs w:val="22"/>
          <w:color w:val="auto"/>
        </w:rPr>
      </w:pPr>
    </w:p>
    <w:p>
      <w:pPr>
        <w:jc w:val="both"/>
        <w:ind w:left="660" w:firstLine="1293"/>
        <w:spacing w:after="0" w:line="253" w:lineRule="auto"/>
        <w:tabs>
          <w:tab w:leader="none" w:pos="282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Agents shall have received a certificate, dated as of the Post-Amendment Effective Date, signed by an Authorized Officer of the Borrower certifying as to compliance with the conditions precedent set forth in Sections 8(d) and (e) of this Agreement.</w:t>
      </w:r>
    </w:p>
    <w:p>
      <w:pPr>
        <w:spacing w:after="0" w:line="28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b w:val="1"/>
          <w:bCs w:val="1"/>
          <w:u w:val="single" w:color="auto"/>
          <w:color w:val="auto"/>
        </w:rPr>
        <w:t>Conditions to Agency Replacement Effective Date</w:t>
      </w:r>
      <w:r>
        <w:rPr>
          <w:rFonts w:ascii="Arial" w:cs="Arial" w:eastAsia="Arial" w:hAnsi="Arial"/>
          <w:sz w:val="22"/>
          <w:szCs w:val="22"/>
          <w:color w:val="auto"/>
        </w:rPr>
        <w:t>. The Agency Replacement</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to be made pursuant to Section 5 hereof shall become effective on and as of the first Business Day on which the following conditions precedent shall have been satisfied</w:t>
      </w:r>
    </w:p>
    <w:p>
      <w:pPr>
        <w:sectPr>
          <w:pgSz w:w="11900" w:h="16838" w:orient="portrait"/>
          <w:cols w:equalWidth="0" w:num="1">
            <w:col w:w="11420"/>
          </w:cols>
          <w:pgMar w:left="240" w:top="531" w:right="239" w:bottom="1440" w:gutter="0" w:footer="0" w:header="0"/>
        </w:sectPr>
      </w:pPr>
    </w:p>
    <w:bookmarkStart w:id="70" w:name="page71"/>
    <w:bookmarkEnd w:id="70"/>
    <w:p>
      <w:pPr>
        <w:spacing w:after="0"/>
        <w:rPr>
          <w:sz w:val="20"/>
          <w:szCs w:val="20"/>
          <w:color w:val="auto"/>
        </w:rPr>
      </w:pPr>
      <w:r>
        <w:rPr>
          <w:rFonts w:ascii="Arial" w:cs="Arial" w:eastAsia="Arial" w:hAnsi="Arial"/>
          <w:sz w:val="19"/>
          <w:szCs w:val="19"/>
          <w:color w:val="auto"/>
        </w:rPr>
        <w:t>or waived by the Required Lenders (determined as of the applicable date on which such “Required Lenders” consent is obtained)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Agency Replacement Effective Date</w:t>
      </w:r>
      <w:r>
        <w:rPr>
          <w:rFonts w:ascii="Arial" w:cs="Arial" w:eastAsia="Arial" w:hAnsi="Arial"/>
          <w:sz w:val="22"/>
          <w:szCs w:val="22"/>
          <w:color w:val="auto"/>
        </w:rPr>
        <w:t>”):</w:t>
      </w:r>
    </w:p>
    <w:p>
      <w:pPr>
        <w:spacing w:after="0" w:line="310" w:lineRule="exact"/>
        <w:rPr>
          <w:sz w:val="20"/>
          <w:szCs w:val="20"/>
          <w:color w:val="auto"/>
        </w:rPr>
      </w:pPr>
    </w:p>
    <w:p>
      <w:pPr>
        <w:jc w:val="both"/>
        <w:ind w:left="660" w:firstLine="1293"/>
        <w:spacing w:after="0" w:line="253" w:lineRule="auto"/>
        <w:tabs>
          <w:tab w:leader="none" w:pos="2845"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Post-Amendment Effective Date shall have occurred prior to, or shall occur contemporaneously with, the Agency Replacement Effective Date, in each case in accordance with Section 8 of this Agreement; and</w:t>
      </w:r>
    </w:p>
    <w:p>
      <w:pPr>
        <w:spacing w:after="0" w:line="293" w:lineRule="exact"/>
        <w:rPr>
          <w:rFonts w:ascii="Arial" w:cs="Arial" w:eastAsia="Arial" w:hAnsi="Arial"/>
          <w:sz w:val="22"/>
          <w:szCs w:val="22"/>
          <w:color w:val="auto"/>
        </w:rPr>
      </w:pPr>
    </w:p>
    <w:p>
      <w:pPr>
        <w:jc w:val="both"/>
        <w:ind w:left="660" w:firstLine="1293"/>
        <w:spacing w:after="0" w:line="290" w:lineRule="auto"/>
        <w:tabs>
          <w:tab w:leader="none" w:pos="2857"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Administrative Agent (as defined in the Amended Credit Agreement as of the Post-Amendment Effective Date) shall have received the duly executed and delivered originals or copies of: (i) the Agency Assignment Agreement by the Current Agent, the Future Agent and the Borrower and (ii) this Agreement and such other agreements (including executed counterparts thereof) which constitute amendments to the Amended Credit Agreement (and which amendments specifically include the consent of the Lenders (as defined in the Amended Credit Agreement as of the Agency Replacement Effective Date) party thereto to the Agency Replacement Amendments) as may be reasonably required by the Administrative Agent, in each case duly executed and delivered on behalf of the Required Lenders (determined after giving effect to the Initial Amendments).</w:t>
      </w:r>
    </w:p>
    <w:p>
      <w:pPr>
        <w:spacing w:after="0" w:line="259" w:lineRule="exact"/>
        <w:rPr>
          <w:sz w:val="20"/>
          <w:szCs w:val="20"/>
          <w:color w:val="auto"/>
        </w:rPr>
      </w:pPr>
    </w:p>
    <w:p>
      <w:pPr>
        <w:ind w:left="1300"/>
        <w:spacing w:after="0"/>
        <w:tabs>
          <w:tab w:leader="none" w:pos="460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u w:val="single" w:color="auto"/>
          <w:color w:val="auto"/>
        </w:rPr>
        <w:t>Reference to and Effect on the Credit Agreement; Confirmation of</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color w:val="auto"/>
        </w:rPr>
        <w:t>.</w:t>
      </w:r>
    </w:p>
    <w:p>
      <w:pPr>
        <w:spacing w:after="0" w:line="310" w:lineRule="exact"/>
        <w:rPr>
          <w:sz w:val="20"/>
          <w:szCs w:val="20"/>
          <w:color w:val="auto"/>
        </w:rPr>
      </w:pPr>
    </w:p>
    <w:p>
      <w:pPr>
        <w:jc w:val="both"/>
        <w:ind w:firstLine="1305"/>
        <w:spacing w:after="0" w:line="248" w:lineRule="auto"/>
        <w:tabs>
          <w:tab w:leader="none" w:pos="2185" w:val="left"/>
        </w:tabs>
        <w:numPr>
          <w:ilvl w:val="0"/>
          <w:numId w:val="55"/>
        </w:numPr>
        <w:rPr>
          <w:rFonts w:ascii="Arial" w:cs="Arial" w:eastAsia="Arial" w:hAnsi="Arial"/>
          <w:sz w:val="22"/>
          <w:szCs w:val="22"/>
          <w:color w:val="auto"/>
        </w:rPr>
      </w:pPr>
      <w:r>
        <w:rPr>
          <w:rFonts w:ascii="Arial" w:cs="Arial" w:eastAsia="Arial" w:hAnsi="Arial"/>
          <w:sz w:val="22"/>
          <w:szCs w:val="22"/>
          <w:color w:val="auto"/>
        </w:rPr>
        <w:t>On and after the effectiveness of this Agreement (and with respect to the Delayed Amendments, on and after the Post-Amendment Effective Date and, with respect to the Agency Replacement Amendments, the Agency Replacement Effective Date), each reference in the Amended Credit Agreement to “this Agreement”, “hereunder”, “hereof” or words of like import referring to the Credit Agreement, shall mean and be a reference to the Credit Agreement, as amended by, and after giving effect to, this Agreement.</w:t>
      </w:r>
    </w:p>
    <w:p>
      <w:pPr>
        <w:spacing w:after="0" w:line="300" w:lineRule="exact"/>
        <w:rPr>
          <w:rFonts w:ascii="Arial" w:cs="Arial" w:eastAsia="Arial" w:hAnsi="Arial"/>
          <w:sz w:val="22"/>
          <w:szCs w:val="22"/>
          <w:color w:val="auto"/>
        </w:rPr>
      </w:pPr>
    </w:p>
    <w:p>
      <w:pPr>
        <w:jc w:val="both"/>
        <w:ind w:firstLine="1305"/>
        <w:spacing w:after="0" w:line="246" w:lineRule="auto"/>
        <w:tabs>
          <w:tab w:leader="none" w:pos="2197" w:val="left"/>
        </w:tabs>
        <w:numPr>
          <w:ilvl w:val="0"/>
          <w:numId w:val="55"/>
        </w:numPr>
        <w:rPr>
          <w:rFonts w:ascii="Arial" w:cs="Arial" w:eastAsia="Arial" w:hAnsi="Arial"/>
          <w:sz w:val="22"/>
          <w:szCs w:val="22"/>
          <w:color w:val="auto"/>
        </w:rPr>
      </w:pPr>
      <w:r>
        <w:rPr>
          <w:rFonts w:ascii="Arial" w:cs="Arial" w:eastAsia="Arial" w:hAnsi="Arial"/>
          <w:sz w:val="22"/>
          <w:szCs w:val="22"/>
          <w:color w:val="auto"/>
        </w:rPr>
        <w:t>Each Credit Document, after giving effect to this Agreement, is and shall continue to be in full force and effect and is hereby in all respects ratified and confirmed, except that, on and after the effectiveness of this Agreement, each reference in each of the Credit Documents (including the Security Agreement and the other Security Documents) to the “Credit Agreement”, “thereunder”, “thereof” or words of like import referring to the Credit Agreement shall mean and be a reference to the Credit Agreement, as amended by, and after giving effect to, this Agreement. Without limiting the generality of the foregoing, the Security Documents and all of the Collateral described therein do and shall continue to secure the payment of all Obligations, including under the Credit Documents, as amended by, and after giving effect to, this Agreement, in each case subject to the terms thereof.</w:t>
      </w:r>
    </w:p>
    <w:p>
      <w:pPr>
        <w:spacing w:after="0" w:line="302" w:lineRule="exact"/>
        <w:rPr>
          <w:rFonts w:ascii="Arial" w:cs="Arial" w:eastAsia="Arial" w:hAnsi="Arial"/>
          <w:sz w:val="22"/>
          <w:szCs w:val="22"/>
          <w:color w:val="auto"/>
        </w:rPr>
      </w:pPr>
    </w:p>
    <w:p>
      <w:pPr>
        <w:jc w:val="both"/>
        <w:ind w:firstLine="1305"/>
        <w:spacing w:after="0" w:line="261" w:lineRule="auto"/>
        <w:tabs>
          <w:tab w:leader="none" w:pos="2185" w:val="left"/>
        </w:tabs>
        <w:numPr>
          <w:ilvl w:val="0"/>
          <w:numId w:val="55"/>
        </w:numPr>
        <w:rPr>
          <w:rFonts w:ascii="Arial" w:cs="Arial" w:eastAsia="Arial" w:hAnsi="Arial"/>
          <w:sz w:val="21"/>
          <w:szCs w:val="21"/>
          <w:color w:val="auto"/>
        </w:rPr>
      </w:pPr>
      <w:r>
        <w:rPr>
          <w:rFonts w:ascii="Arial" w:cs="Arial" w:eastAsia="Arial" w:hAnsi="Arial"/>
          <w:sz w:val="21"/>
          <w:szCs w:val="21"/>
          <w:color w:val="auto"/>
        </w:rPr>
        <w:t>Each Credit Party hereby (i) ratifies and reaffirms all of its payment and performance obligations, contingent or otherwise, under each of the Credit Documents to which it is a party, (ii) ratifies and reaffirms each grant of a lien on, or security interest in, its property made pursuant to the Credit Documents (including, without limitation, the grant of security made by such Credit Party pursuant to the Security Agreement) and confirms that such liens and security interests continue to secure the Obligations, including under the Credit Documents, including, without limitation, all Obligations resulting from or incurred pursuant to the Incremental Facilities made</w:t>
      </w:r>
    </w:p>
    <w:p>
      <w:pPr>
        <w:sectPr>
          <w:pgSz w:w="11900" w:h="16838" w:orient="portrait"/>
          <w:cols w:equalWidth="0" w:num="1">
            <w:col w:w="11420"/>
          </w:cols>
          <w:pgMar w:left="240" w:top="537" w:right="23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22"/>
          <w:szCs w:val="22"/>
          <w:color w:val="auto"/>
        </w:rPr>
        <w:t>pursuant hereto, in each case subject to the terms thereof, and (iii) in the case of each Guarantor, ratifies and reaffirms its guaranty of the Obligations pursuant to its respective Guarantee.</w:t>
      </w:r>
    </w:p>
    <w:p>
      <w:pPr>
        <w:spacing w:after="0" w:line="283" w:lineRule="exact"/>
        <w:rPr>
          <w:sz w:val="20"/>
          <w:szCs w:val="20"/>
          <w:color w:val="auto"/>
        </w:rPr>
      </w:pPr>
    </w:p>
    <w:p>
      <w:pPr>
        <w:jc w:val="both"/>
        <w:ind w:firstLine="1305"/>
        <w:spacing w:after="0" w:line="253" w:lineRule="auto"/>
        <w:tabs>
          <w:tab w:leader="none" w:pos="219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Agreement shall not, except as expressly provided herein, operate as a waiver of any right, power or remedy of any Lender, any Additional Lender or any Agent under any of the Credit Documents, or constitute a waiver of any provision of any of the Credit Documents.</w:t>
      </w:r>
    </w:p>
    <w:p>
      <w:pPr>
        <w:spacing w:after="0" w:line="288"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b w:val="1"/>
          <w:bCs w:val="1"/>
          <w:u w:val="single" w:color="auto"/>
          <w:color w:val="auto"/>
        </w:rPr>
        <w:t>Costs, Expenses</w:t>
      </w:r>
      <w:r>
        <w:rPr>
          <w:rFonts w:ascii="Arial" w:cs="Arial" w:eastAsia="Arial" w:hAnsi="Arial"/>
          <w:sz w:val="22"/>
          <w:szCs w:val="22"/>
          <w:color w:val="auto"/>
        </w:rPr>
        <w:t>. The Borrower agrees to pay on demand all reasonable out of pocket</w:t>
      </w:r>
      <w:r>
        <w:rPr>
          <w:rFonts w:ascii="Arial" w:cs="Arial" w:eastAsia="Arial" w:hAnsi="Arial"/>
          <w:sz w:val="22"/>
          <w:szCs w:val="22"/>
          <w:b w:val="1"/>
          <w:bCs w:val="1"/>
          <w:color w:val="auto"/>
        </w:rPr>
        <w:t xml:space="preserve"> </w:t>
      </w:r>
      <w:r>
        <w:rPr>
          <w:rFonts w:ascii="Arial" w:cs="Arial" w:eastAsia="Arial" w:hAnsi="Arial"/>
          <w:sz w:val="22"/>
          <w:szCs w:val="22"/>
          <w:color w:val="auto"/>
        </w:rPr>
        <w:t>costs and expenses of the Agents in connection with the preparation, execution and delivery of this Agreement and the other instruments and documents to be delivered hereunder (including, without limitation, the reasonable fees and expenses of counsel for the Agents) in accordance with the terms of Section 13.5 of the Credit Agreement.</w:t>
      </w:r>
    </w:p>
    <w:p>
      <w:pPr>
        <w:spacing w:after="0" w:line="288"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b w:val="1"/>
          <w:bCs w:val="1"/>
          <w:u w:val="single" w:color="auto"/>
          <w:color w:val="auto"/>
        </w:rPr>
        <w:t>Execution in Counterparts</w:t>
      </w:r>
      <w:r>
        <w:rPr>
          <w:rFonts w:ascii="Arial" w:cs="Arial" w:eastAsia="Arial" w:hAnsi="Arial"/>
          <w:sz w:val="22"/>
          <w:szCs w:val="22"/>
          <w:color w:val="auto"/>
        </w:rPr>
        <w:t>. This Agreement may be executed in any number</w:t>
      </w:r>
      <w:r>
        <w:rPr>
          <w:rFonts w:ascii="Arial" w:cs="Arial" w:eastAsia="Arial" w:hAnsi="Arial"/>
          <w:sz w:val="22"/>
          <w:szCs w:val="22"/>
          <w:b w:val="1"/>
          <w:bCs w:val="1"/>
          <w:color w:val="auto"/>
        </w:rPr>
        <w:t xml:space="preserve"> </w:t>
      </w:r>
      <w:r>
        <w:rPr>
          <w:rFonts w:ascii="Arial" w:cs="Arial" w:eastAsia="Arial" w:hAnsi="Arial"/>
          <w:sz w:val="22"/>
          <w:szCs w:val="22"/>
          <w:color w:val="auto"/>
        </w:rPr>
        <w:t>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Agreement by telecopier (or other electronic transmission) shall be effective as delivery of a manually executed counterpart of this Agreement.</w:t>
      </w:r>
    </w:p>
    <w:p>
      <w:pPr>
        <w:spacing w:after="0" w:line="295" w:lineRule="exact"/>
        <w:rPr>
          <w:sz w:val="20"/>
          <w:szCs w:val="20"/>
          <w:color w:val="auto"/>
        </w:rPr>
      </w:pPr>
    </w:p>
    <w:p>
      <w:pPr>
        <w:ind w:left="1300"/>
        <w:spacing w:after="0"/>
        <w:tabs>
          <w:tab w:leader="none" w:pos="452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u w:val="single" w:color="auto"/>
          <w:color w:val="auto"/>
        </w:rPr>
        <w:t>FATCA Withholding; Other Agreement</w:t>
      </w:r>
      <w:r>
        <w:rPr>
          <w:rFonts w:ascii="Arial" w:cs="Arial" w:eastAsia="Arial" w:hAnsi="Arial"/>
          <w:sz w:val="19"/>
          <w:szCs w:val="19"/>
          <w:color w:val="auto"/>
        </w:rPr>
        <w:t>.</w:t>
      </w:r>
    </w:p>
    <w:p>
      <w:pPr>
        <w:spacing w:after="0" w:line="334" w:lineRule="exact"/>
        <w:rPr>
          <w:sz w:val="20"/>
          <w:szCs w:val="20"/>
          <w:color w:val="auto"/>
        </w:rPr>
      </w:pPr>
    </w:p>
    <w:p>
      <w:pPr>
        <w:jc w:val="both"/>
        <w:ind w:firstLine="1142"/>
        <w:spacing w:after="0" w:line="294" w:lineRule="auto"/>
        <w:tabs>
          <w:tab w:leader="none" w:pos="218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Credit Parties, the Administrative Agent, and the Lenders and Additional Lenders acknowledge and agree that, solely for purposes of determining the applicability of U.S. Federal withholding Taxes imposed by FATCA (as defined in the Amended Credit Agreement), from and after the Second Amendment Effective Date, the Revolving Credit Facility (as defined in the Amended Credit Agreement), the 2017 Initial Tranche A Term Loan Facility (as defined in the Amended Credit Agreement) and the 2019 Extended Tranche A Term Loan Facility (as defined in the Amended Credit Agreement) will not be treated as a “grandfathered obligation” within the meaning of Treasury Regulation Section 1.1471-2(b)(2)(i).</w:t>
      </w:r>
    </w:p>
    <w:p>
      <w:pPr>
        <w:spacing w:after="0" w:line="257" w:lineRule="exact"/>
        <w:rPr>
          <w:rFonts w:ascii="Arial" w:cs="Arial" w:eastAsia="Arial" w:hAnsi="Arial"/>
          <w:sz w:val="19"/>
          <w:szCs w:val="19"/>
          <w:color w:val="auto"/>
        </w:rPr>
      </w:pPr>
    </w:p>
    <w:p>
      <w:pPr>
        <w:jc w:val="both"/>
        <w:ind w:firstLine="1142"/>
        <w:spacing w:after="0" w:line="302" w:lineRule="auto"/>
        <w:tabs>
          <w:tab w:leader="none" w:pos="2197" w:val="left"/>
        </w:tabs>
        <w:numPr>
          <w:ilvl w:val="0"/>
          <w:numId w:val="57"/>
        </w:numPr>
        <w:rPr>
          <w:rFonts w:ascii="Arial" w:cs="Arial" w:eastAsia="Arial" w:hAnsi="Arial"/>
          <w:sz w:val="19"/>
          <w:szCs w:val="19"/>
          <w:color w:val="auto"/>
        </w:rPr>
      </w:pPr>
      <w:r>
        <w:rPr>
          <w:rFonts w:ascii="Arial" w:cs="Arial" w:eastAsia="Arial" w:hAnsi="Arial"/>
          <w:sz w:val="19"/>
          <w:szCs w:val="19"/>
          <w:color w:val="auto"/>
        </w:rPr>
        <w:t>Following the Second Amendment Effective Date until the Post-Effective Amendment Date, pursuant to Section 9.1(g)(ii) of the Credit Agreement, the Borrower hereby agrees to include in each certificate delivered by the Borrower under Section 9.1(d) of the Credit Agreement the amount available to the Borrower for Dividends under Section 10.6(h)(i) of the Credit Agreement as at the end of the fiscal year or fiscal quarter period, as the case may be, reported on such certificate.</w:t>
      </w:r>
    </w:p>
    <w:p>
      <w:pPr>
        <w:spacing w:after="0" w:line="24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SECTION 15. </w:t>
      </w:r>
      <w:r>
        <w:rPr>
          <w:rFonts w:ascii="Arial" w:cs="Arial" w:eastAsia="Arial" w:hAnsi="Arial"/>
          <w:sz w:val="22"/>
          <w:szCs w:val="22"/>
          <w:b w:val="1"/>
          <w:bCs w:val="1"/>
          <w:u w:val="single" w:color="auto"/>
          <w:color w:val="auto"/>
        </w:rPr>
        <w:t>WAIVER OF JURY TRIAL</w:t>
      </w:r>
      <w:r>
        <w:rPr>
          <w:rFonts w:ascii="Arial" w:cs="Arial" w:eastAsia="Arial" w:hAnsi="Arial"/>
          <w:sz w:val="22"/>
          <w:szCs w:val="22"/>
          <w:color w:val="auto"/>
        </w:rPr>
        <w:t>. EACH PARTY HERETO HEREBY</w:t>
      </w:r>
      <w:r>
        <w:rPr>
          <w:rFonts w:ascii="Arial" w:cs="Arial" w:eastAsia="Arial" w:hAnsi="Arial"/>
          <w:sz w:val="22"/>
          <w:szCs w:val="22"/>
          <w:b w:val="1"/>
          <w:bCs w:val="1"/>
          <w:color w:val="auto"/>
        </w:rPr>
        <w:t xml:space="preserve"> </w:t>
      </w:r>
      <w:r>
        <w:rPr>
          <w:rFonts w:ascii="Arial" w:cs="Arial" w:eastAsia="Arial" w:hAnsi="Arial"/>
          <w:sz w:val="22"/>
          <w:szCs w:val="22"/>
          <w:color w:val="auto"/>
        </w:rPr>
        <w:t>IRREVOCABLY AND UNCONDITIONALLY WAIVES TRIAL BY JURY IN ANY LEGAL ACTION OR PROCEEDING RELATING TO THIS AGREEMENT OR ANY OTHER CREDIT DOCUMENT AND FOR ANY COUNTERCLAIM THEREIN.</w:t>
      </w:r>
    </w:p>
    <w:p>
      <w:pPr>
        <w:spacing w:after="0" w:line="28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OF THE PARTIES HEREUNDER SHALL BE GOVERNED BY, AND CONSTRUED AND INTERPRETED IN ACCORDANCE WITH, THE LAW OF THE</w:t>
      </w:r>
    </w:p>
    <w:p>
      <w:pPr>
        <w:sectPr>
          <w:pgSz w:w="11900" w:h="16838" w:orient="portrait"/>
          <w:cols w:equalWidth="0" w:num="1">
            <w:col w:w="11420"/>
          </w:cols>
          <w:pgMar w:left="240" w:top="537"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STATE OF NEW YORK.</w:t>
      </w:r>
    </w:p>
    <w:p>
      <w:pPr>
        <w:spacing w:after="0" w:line="200" w:lineRule="exact"/>
        <w:rPr>
          <w:sz w:val="20"/>
          <w:szCs w:val="20"/>
          <w:color w:val="auto"/>
        </w:rPr>
      </w:pPr>
    </w:p>
    <w:p>
      <w:pPr>
        <w:spacing w:after="0" w:line="398" w:lineRule="exact"/>
        <w:rPr>
          <w:sz w:val="20"/>
          <w:szCs w:val="20"/>
          <w:color w:val="auto"/>
        </w:rPr>
      </w:pPr>
    </w:p>
    <w:p>
      <w:pPr>
        <w:jc w:val="right"/>
        <w:ind w:right="2999"/>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0219"/>
          </w:cols>
          <w:pgMar w:left="240" w:top="537" w:right="1440" w:bottom="1440" w:gutter="0" w:footer="0" w:header="0"/>
        </w:sectPr>
      </w:pPr>
    </w:p>
    <w:bookmarkStart w:id="73" w:name="page74"/>
    <w:bookmarkEnd w:id="73"/>
    <w:p>
      <w:pPr>
        <w:ind w:firstLine="1297"/>
        <w:spacing w:after="0" w:line="343" w:lineRule="auto"/>
        <w:rPr>
          <w:sz w:val="20"/>
          <w:szCs w:val="20"/>
          <w:color w:val="auto"/>
        </w:rPr>
      </w:pPr>
      <w:r>
        <w:rPr>
          <w:rFonts w:ascii="Arial" w:cs="Arial" w:eastAsia="Arial" w:hAnsi="Arial"/>
          <w:sz w:val="19"/>
          <w:szCs w:val="19"/>
          <w:color w:val="auto"/>
        </w:rPr>
        <w:t>IN WITNESS WHEREOF, the parties hereto have caused this Second Amendment, Extension and Incremental Assumption Agreement to be executed by their respective officers thereunto duly authorized, as of October 1, 2014.</w:t>
      </w:r>
    </w:p>
    <w:p>
      <w:pPr>
        <w:spacing w:after="0" w:line="247"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LPL HOLDINGS, INC.</w:t>
      </w:r>
    </w:p>
    <w:p>
      <w:pPr>
        <w:spacing w:after="0" w:line="14"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as Borrower</w:t>
      </w:r>
    </w:p>
    <w:p>
      <w:pPr>
        <w:spacing w:after="0" w:line="26"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  /s/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24765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8"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Dan H. Arnold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Chief Financial Officer</w:t>
      </w:r>
    </w:p>
    <w:p>
      <w:pPr>
        <w:spacing w:after="0" w:line="26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LPL FINANCIAL HOLDINGS, INC.,</w:t>
      </w:r>
    </w:p>
    <w:p>
      <w:pPr>
        <w:spacing w:after="0" w:line="14"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as Holdings</w:t>
      </w:r>
    </w:p>
    <w:p>
      <w:pPr>
        <w:spacing w:after="0" w:line="26"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  /s/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24765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8"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Dan H. Arnold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420"/>
          </w:cols>
          <w:pgMar w:left="240" w:top="847" w:right="239" w:bottom="1440" w:gutter="0" w:footer="0" w:header="0"/>
        </w:sectPr>
      </w:pPr>
    </w:p>
    <w:bookmarkStart w:id="74" w:name="page75"/>
    <w:bookmarkEnd w:id="74"/>
    <w:p>
      <w:pPr>
        <w:ind w:left="1420" w:right="2299"/>
        <w:spacing w:after="0" w:line="256" w:lineRule="auto"/>
        <w:rPr>
          <w:sz w:val="20"/>
          <w:szCs w:val="20"/>
          <w:color w:val="auto"/>
        </w:rPr>
      </w:pPr>
      <w:r>
        <w:rPr>
          <w:rFonts w:ascii="Arial" w:cs="Arial" w:eastAsia="Arial" w:hAnsi="Arial"/>
          <w:sz w:val="22"/>
          <w:szCs w:val="22"/>
          <w:b w:val="1"/>
          <w:bCs w:val="1"/>
          <w:color w:val="auto"/>
        </w:rPr>
        <w:t>INDEPENDENT ADVISERS GROUP CORPORATION, as a Subsidiary Guarantor</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By: /s/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24765</wp:posOffset>
            </wp:positionV>
            <wp:extent cx="3670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Dan H. Arnold</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9019"/>
          </w:cols>
          <w:pgMar w:left="1440" w:top="733" w:right="1440" w:bottom="1440" w:gutter="0" w:footer="0" w:header="0"/>
        </w:sectPr>
      </w:pPr>
    </w:p>
    <w:bookmarkStart w:id="75" w:name="page76"/>
    <w:bookmarkEnd w:id="75"/>
    <w:p>
      <w:pPr>
        <w:ind w:left="1420" w:right="1979"/>
        <w:spacing w:after="0" w:line="256" w:lineRule="auto"/>
        <w:rPr>
          <w:sz w:val="20"/>
          <w:szCs w:val="20"/>
          <w:color w:val="auto"/>
        </w:rPr>
      </w:pPr>
      <w:r>
        <w:rPr>
          <w:rFonts w:ascii="Arial" w:cs="Arial" w:eastAsia="Arial" w:hAnsi="Arial"/>
          <w:sz w:val="22"/>
          <w:szCs w:val="22"/>
          <w:b w:val="1"/>
          <w:bCs w:val="1"/>
          <w:color w:val="auto"/>
        </w:rPr>
        <w:t>LPL INDEPENDENT ADVISOR SERVICES GROUP LLC, as a Subsidiary Guarantor</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By: /s/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24765</wp:posOffset>
            </wp:positionV>
            <wp:extent cx="3670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Dan H. Arnold</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Vice President and Treasurer</w:t>
      </w:r>
    </w:p>
    <w:p>
      <w:pPr>
        <w:sectPr>
          <w:pgSz w:w="11900" w:h="16838" w:orient="portrait"/>
          <w:cols w:equalWidth="0" w:num="1">
            <w:col w:w="9019"/>
          </w:cols>
          <w:pgMar w:left="1440" w:top="733" w:right="1440" w:bottom="1440" w:gutter="0" w:footer="0" w:header="0"/>
        </w:sectPr>
      </w:pPr>
    </w:p>
    <w:bookmarkStart w:id="76" w:name="page77"/>
    <w:bookmarkEnd w:id="76"/>
    <w:p>
      <w:pPr>
        <w:ind w:left="1420"/>
        <w:spacing w:after="0"/>
        <w:rPr>
          <w:sz w:val="20"/>
          <w:szCs w:val="20"/>
          <w:color w:val="auto"/>
        </w:rPr>
      </w:pPr>
      <w:r>
        <w:rPr>
          <w:rFonts w:ascii="Arial" w:cs="Arial" w:eastAsia="Arial" w:hAnsi="Arial"/>
          <w:sz w:val="21"/>
          <w:szCs w:val="21"/>
          <w:b w:val="1"/>
          <w:bCs w:val="1"/>
          <w:color w:val="auto"/>
        </w:rPr>
        <w:t>LPL INSURANCE ASSOCIATES, INC.,</w:t>
      </w:r>
    </w:p>
    <w:p>
      <w:pPr>
        <w:spacing w:after="0" w:line="26"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as a Subsidiary Guarantor</w:t>
      </w:r>
    </w:p>
    <w:p>
      <w:pPr>
        <w:spacing w:after="0" w:line="2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By: /s/ Ryan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24765</wp:posOffset>
            </wp:positionV>
            <wp:extent cx="36703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Ryan Parker</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President and Treasurer</w:t>
      </w:r>
    </w:p>
    <w:p>
      <w:pPr>
        <w:sectPr>
          <w:pgSz w:w="11900" w:h="16838" w:orient="portrait"/>
          <w:cols w:equalWidth="0" w:num="1">
            <w:col w:w="9019"/>
          </w:cols>
          <w:pgMar w:left="1440" w:top="733" w:right="1440" w:bottom="1440" w:gutter="0" w:footer="0" w:header="0"/>
        </w:sectPr>
      </w:pPr>
    </w:p>
    <w:bookmarkStart w:id="77" w:name="page78"/>
    <w:bookmarkEnd w:id="77"/>
    <w:p>
      <w:pPr>
        <w:ind w:left="1420"/>
        <w:spacing w:after="0"/>
        <w:rPr>
          <w:sz w:val="20"/>
          <w:szCs w:val="20"/>
          <w:color w:val="auto"/>
        </w:rPr>
      </w:pPr>
      <w:r>
        <w:rPr>
          <w:rFonts w:ascii="Arial" w:cs="Arial" w:eastAsia="Arial" w:hAnsi="Arial"/>
          <w:sz w:val="22"/>
          <w:szCs w:val="22"/>
          <w:b w:val="1"/>
          <w:bCs w:val="1"/>
          <w:color w:val="auto"/>
        </w:rPr>
        <w:t>BANK OF AMERICA, N.A.,</w:t>
      </w:r>
    </w:p>
    <w:p>
      <w:pPr>
        <w:spacing w:after="0" w:line="14" w:lineRule="exact"/>
        <w:rPr>
          <w:sz w:val="20"/>
          <w:szCs w:val="20"/>
          <w:color w:val="auto"/>
        </w:rPr>
      </w:pPr>
    </w:p>
    <w:p>
      <w:pPr>
        <w:ind w:left="1420" w:right="2959"/>
        <w:spacing w:after="0" w:line="237" w:lineRule="auto"/>
        <w:rPr>
          <w:sz w:val="20"/>
          <w:szCs w:val="20"/>
          <w:color w:val="auto"/>
        </w:rPr>
      </w:pPr>
      <w:r>
        <w:rPr>
          <w:rFonts w:ascii="Arial" w:cs="Arial" w:eastAsia="Arial" w:hAnsi="Arial"/>
          <w:sz w:val="22"/>
          <w:szCs w:val="22"/>
          <w:b w:val="1"/>
          <w:bCs w:val="1"/>
          <w:color w:val="auto"/>
        </w:rPr>
        <w:t>as Administrative Agent, Current Agent, Letter of Credit Issuer and Swingline Lender</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By: /s/ Matthew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24765</wp:posOffset>
            </wp:positionV>
            <wp:extent cx="3670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Matthew C. White</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733" w:right="1440" w:bottom="1440" w:gutter="0" w:footer="0" w:header="0"/>
        </w:sectPr>
      </w:pPr>
    </w:p>
    <w:bookmarkStart w:id="78" w:name="page79"/>
    <w:bookmarkEnd w:id="78"/>
    <w:p>
      <w:pPr>
        <w:ind w:left="1420"/>
        <w:spacing w:after="0"/>
        <w:rPr>
          <w:sz w:val="20"/>
          <w:szCs w:val="20"/>
          <w:color w:val="auto"/>
        </w:rPr>
      </w:pPr>
      <w:r>
        <w:rPr>
          <w:rFonts w:ascii="Arial" w:cs="Arial" w:eastAsia="Arial" w:hAnsi="Arial"/>
          <w:sz w:val="21"/>
          <w:szCs w:val="21"/>
          <w:b w:val="1"/>
          <w:bCs w:val="1"/>
          <w:color w:val="auto"/>
        </w:rPr>
        <w:t>JPMORGAN CHASE BANK, N.A.,</w:t>
      </w:r>
    </w:p>
    <w:p>
      <w:pPr>
        <w:spacing w:after="0" w:line="26"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as Future Agent</w:t>
      </w:r>
    </w:p>
    <w:p>
      <w:pPr>
        <w:spacing w:after="0" w:line="2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By: /s/ Evelyn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24765</wp:posOffset>
            </wp:positionV>
            <wp:extent cx="36703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Evelyn Crisci</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733" w:right="1440" w:bottom="1440" w:gutter="0" w:footer="0" w:header="0"/>
        </w:sectPr>
      </w:pPr>
    </w:p>
    <w:bookmarkStart w:id="79" w:name="page80"/>
    <w:bookmarkEnd w:id="79"/>
    <w:p>
      <w:pPr>
        <w:ind w:firstLine="648"/>
        <w:spacing w:after="0" w:line="263" w:lineRule="auto"/>
        <w:rPr>
          <w:sz w:val="20"/>
          <w:szCs w:val="20"/>
          <w:color w:val="auto"/>
        </w:rPr>
      </w:pPr>
      <w:r>
        <w:rPr>
          <w:rFonts w:ascii="Arial" w:cs="Arial" w:eastAsia="Arial" w:hAnsi="Arial"/>
          <w:sz w:val="22"/>
          <w:szCs w:val="22"/>
          <w:color w:val="auto"/>
        </w:rPr>
        <w:t>The undersigned hereby irrevocably and unconditionally approves this Second Amendment, Extension and Incremental Assumption Agreement as of October 1, 2014.</w:t>
      </w:r>
    </w:p>
    <w:p>
      <w:pPr>
        <w:spacing w:after="0" w:line="169"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[__________],</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as a Lender or an Additional Lender</w:t>
      </w:r>
    </w:p>
    <w:p>
      <w:pPr>
        <w:spacing w:after="0" w:line="200" w:lineRule="exact"/>
        <w:rPr>
          <w:sz w:val="20"/>
          <w:szCs w:val="20"/>
          <w:color w:val="auto"/>
        </w:rPr>
      </w:pPr>
    </w:p>
    <w:p>
      <w:pPr>
        <w:spacing w:after="0" w:line="21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-17780</wp:posOffset>
            </wp:positionV>
            <wp:extent cx="685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right="820"/>
        <w:spacing w:after="0" w:line="263" w:lineRule="auto"/>
        <w:rPr>
          <w:sz w:val="20"/>
          <w:szCs w:val="20"/>
          <w:color w:val="auto"/>
        </w:rPr>
      </w:pPr>
      <w:r>
        <w:rPr>
          <w:rFonts w:ascii="Arial" w:cs="Arial" w:eastAsia="Arial" w:hAnsi="Arial"/>
          <w:sz w:val="22"/>
          <w:szCs w:val="22"/>
          <w:color w:val="auto"/>
        </w:rPr>
        <w:t xml:space="preserve">Please check </w:t>
      </w:r>
      <w:r>
        <w:rPr>
          <w:rFonts w:ascii="Arial" w:cs="Arial" w:eastAsia="Arial" w:hAnsi="Arial"/>
          <w:sz w:val="22"/>
          <w:szCs w:val="22"/>
          <w:u w:val="single" w:color="auto"/>
          <w:color w:val="auto"/>
        </w:rPr>
        <w:t>each</w:t>
      </w:r>
      <w:r>
        <w:rPr>
          <w:rFonts w:ascii="Arial" w:cs="Arial" w:eastAsia="Arial" w:hAnsi="Arial"/>
          <w:sz w:val="22"/>
          <w:szCs w:val="22"/>
          <w:color w:val="auto"/>
        </w:rPr>
        <w:t xml:space="preserve"> of the boxes below to the extent that the statement or description immediately to the right of such box is applicable to Lender or Additional Lender that is the signatory above:</w:t>
      </w:r>
    </w:p>
    <w:p>
      <w:pPr>
        <w:spacing w:after="0" w:line="337" w:lineRule="exact"/>
        <w:rPr>
          <w:sz w:val="20"/>
          <w:szCs w:val="20"/>
          <w:color w:val="auto"/>
        </w:rPr>
      </w:pPr>
    </w:p>
    <w:p>
      <w:pPr>
        <w:ind w:right="320" w:firstLine="8"/>
        <w:spacing w:after="0" w:line="460" w:lineRule="auto"/>
        <w:tabs>
          <w:tab w:leader="none" w:pos="329" w:val="left"/>
        </w:tabs>
        <w:numPr>
          <w:ilvl w:val="0"/>
          <w:numId w:val="58"/>
        </w:numPr>
        <w:rPr>
          <w:rFonts w:ascii="MS PGothic" w:cs="MS PGothic" w:eastAsia="MS PGothic" w:hAnsi="MS PGothic"/>
          <w:sz w:val="25"/>
          <w:szCs w:val="25"/>
          <w:color w:val="auto"/>
        </w:rPr>
      </w:pPr>
      <w:r>
        <w:rPr>
          <w:rFonts w:ascii="Arial" w:cs="Arial" w:eastAsia="Arial" w:hAnsi="Arial"/>
          <w:sz w:val="22"/>
          <w:szCs w:val="22"/>
          <w:color w:val="auto"/>
        </w:rPr>
        <w:t>Prior giving effect to this Second Amendment, Extension and Incremental Assumption Agreement, the signatory held Loans and/or Commitments under the Credit Agreement, and as such is a “Lender”.</w:t>
      </w:r>
    </w:p>
    <w:p>
      <w:pPr>
        <w:spacing w:after="0" w:line="121" w:lineRule="exact"/>
        <w:rPr>
          <w:rFonts w:ascii="MS PGothic" w:cs="MS PGothic" w:eastAsia="MS PGothic" w:hAnsi="MS PGothic"/>
          <w:sz w:val="25"/>
          <w:szCs w:val="25"/>
          <w:color w:val="auto"/>
        </w:rPr>
      </w:pPr>
    </w:p>
    <w:p>
      <w:pPr>
        <w:ind w:right="240" w:firstLine="8"/>
        <w:spacing w:after="0" w:line="493" w:lineRule="auto"/>
        <w:tabs>
          <w:tab w:leader="none" w:pos="329" w:val="left"/>
        </w:tabs>
        <w:numPr>
          <w:ilvl w:val="0"/>
          <w:numId w:val="58"/>
        </w:numPr>
        <w:rPr>
          <w:rFonts w:ascii="MS PGothic" w:cs="MS PGothic" w:eastAsia="MS PGothic" w:hAnsi="MS PGothic"/>
          <w:sz w:val="24"/>
          <w:szCs w:val="24"/>
          <w:color w:val="auto"/>
        </w:rPr>
      </w:pPr>
      <w:r>
        <w:rPr>
          <w:rFonts w:ascii="Arial" w:cs="Arial" w:eastAsia="Arial" w:hAnsi="Arial"/>
          <w:sz w:val="21"/>
          <w:szCs w:val="21"/>
          <w:color w:val="auto"/>
        </w:rPr>
        <w:t>Prior giving effect to this Second Amendment, Extension and Incremental Assumption Agreement, the signatory did not hold any Loans or Commitments under the Credit Agreement, and as such is an “Additional Lender”.</w:t>
      </w:r>
    </w:p>
    <w:p>
      <w:pPr>
        <w:spacing w:after="0" w:line="96" w:lineRule="exact"/>
        <w:rPr>
          <w:rFonts w:ascii="MS PGothic" w:cs="MS PGothic" w:eastAsia="MS PGothic" w:hAnsi="MS PGothic"/>
          <w:sz w:val="24"/>
          <w:szCs w:val="24"/>
          <w:color w:val="auto"/>
        </w:rPr>
      </w:pPr>
    </w:p>
    <w:p>
      <w:pPr>
        <w:ind w:right="520" w:firstLine="8"/>
        <w:spacing w:after="0" w:line="493" w:lineRule="auto"/>
        <w:tabs>
          <w:tab w:leader="none" w:pos="329" w:val="left"/>
        </w:tabs>
        <w:numPr>
          <w:ilvl w:val="0"/>
          <w:numId w:val="58"/>
        </w:numPr>
        <w:rPr>
          <w:rFonts w:ascii="MS PGothic" w:cs="MS PGothic" w:eastAsia="MS PGothic" w:hAnsi="MS PGothic"/>
          <w:sz w:val="24"/>
          <w:szCs w:val="24"/>
          <w:color w:val="auto"/>
        </w:rPr>
      </w:pPr>
      <w:r>
        <w:rPr>
          <w:rFonts w:ascii="Arial" w:cs="Arial" w:eastAsia="Arial" w:hAnsi="Arial"/>
          <w:sz w:val="21"/>
          <w:szCs w:val="21"/>
          <w:color w:val="auto"/>
        </w:rPr>
        <w:t>After giving effect to the Incremental Revolving Refinancing Facility only, the signatory held Loans and/or Commitments under the Credit Agreement, and as such is a “Lender” for purposes of all subsequent transactions.</w:t>
      </w:r>
    </w:p>
    <w:p>
      <w:pPr>
        <w:spacing w:after="0" w:line="96" w:lineRule="exact"/>
        <w:rPr>
          <w:rFonts w:ascii="MS PGothic" w:cs="MS PGothic" w:eastAsia="MS PGothic" w:hAnsi="MS PGothic"/>
          <w:sz w:val="24"/>
          <w:szCs w:val="24"/>
          <w:color w:val="auto"/>
        </w:rPr>
      </w:pPr>
    </w:p>
    <w:p>
      <w:pPr>
        <w:ind w:right="200" w:firstLine="8"/>
        <w:spacing w:after="0" w:line="451" w:lineRule="auto"/>
        <w:tabs>
          <w:tab w:leader="none" w:pos="329" w:val="left"/>
        </w:tabs>
        <w:numPr>
          <w:ilvl w:val="0"/>
          <w:numId w:val="58"/>
        </w:numPr>
        <w:rPr>
          <w:rFonts w:ascii="MS PGothic" w:cs="MS PGothic" w:eastAsia="MS PGothic" w:hAnsi="MS PGothic"/>
          <w:sz w:val="25"/>
          <w:szCs w:val="25"/>
          <w:color w:val="auto"/>
        </w:rPr>
      </w:pPr>
      <w:r>
        <w:rPr>
          <w:rFonts w:ascii="Arial" w:cs="Arial" w:eastAsia="Arial" w:hAnsi="Arial"/>
          <w:sz w:val="22"/>
          <w:szCs w:val="22"/>
          <w:color w:val="auto"/>
        </w:rPr>
        <w:t>The signatory is making Additional/Replacement Revolving Credit Commitments and an Incremental Revolving Credit Commitment Increase pursuant to this Second Amendment, Extension and Incremental Assumption Agreement, and as such is an “Incremental Revolving Lender”.</w:t>
      </w:r>
    </w:p>
    <w:p>
      <w:pPr>
        <w:spacing w:after="0" w:line="138" w:lineRule="exact"/>
        <w:rPr>
          <w:rFonts w:ascii="MS PGothic" w:cs="MS PGothic" w:eastAsia="MS PGothic" w:hAnsi="MS PGothic"/>
          <w:sz w:val="25"/>
          <w:szCs w:val="25"/>
          <w:color w:val="auto"/>
        </w:rPr>
      </w:pPr>
    </w:p>
    <w:p>
      <w:pPr>
        <w:jc w:val="both"/>
        <w:ind w:right="100" w:firstLine="8"/>
        <w:spacing w:after="0" w:line="506" w:lineRule="auto"/>
        <w:tabs>
          <w:tab w:leader="none" w:pos="329" w:val="left"/>
        </w:tabs>
        <w:numPr>
          <w:ilvl w:val="0"/>
          <w:numId w:val="58"/>
        </w:numPr>
        <w:rPr>
          <w:rFonts w:ascii="MS PGothic" w:cs="MS PGothic" w:eastAsia="MS PGothic" w:hAnsi="MS PGothic"/>
          <w:sz w:val="22"/>
          <w:szCs w:val="22"/>
          <w:color w:val="auto"/>
        </w:rPr>
      </w:pPr>
      <w:r>
        <w:rPr>
          <w:rFonts w:ascii="Arial" w:cs="Arial" w:eastAsia="Arial" w:hAnsi="Arial"/>
          <w:sz w:val="19"/>
          <w:szCs w:val="19"/>
          <w:color w:val="auto"/>
        </w:rPr>
        <w:t>The signatory is submitting Initial Tranche A Term Loans for exchange into 2019 Extended Tranche A Term Loans pursuant to this Second Amendment, Extension and Incremental Assumption Agreement, and as such is a “Submitting Initial Tranche A Term</w:t>
      </w:r>
    </w:p>
    <w:p>
      <w:pPr>
        <w:spacing w:after="0" w:line="1" w:lineRule="exact"/>
        <w:rPr>
          <w:sz w:val="20"/>
          <w:szCs w:val="20"/>
          <w:color w:val="auto"/>
        </w:rPr>
      </w:pPr>
    </w:p>
    <w:p>
      <w:pPr>
        <w:ind w:right="500"/>
        <w:spacing w:after="0" w:line="351" w:lineRule="auto"/>
        <w:rPr>
          <w:sz w:val="20"/>
          <w:szCs w:val="20"/>
          <w:color w:val="auto"/>
        </w:rPr>
      </w:pPr>
      <w:r>
        <w:rPr>
          <w:rFonts w:ascii="Arial" w:cs="Arial" w:eastAsia="Arial" w:hAnsi="Arial"/>
          <w:sz w:val="22"/>
          <w:szCs w:val="22"/>
          <w:color w:val="auto"/>
        </w:rPr>
        <w:t>Lender”, and the aggregate principal amount of the Initial Tranche A Loans submitted for exchange by such Submitting Initial Tranche A Term Lender is $</w:t>
      </w:r>
      <w:r>
        <w:rPr>
          <w:rFonts w:ascii="Arial" w:cs="Arial" w:eastAsia="Arial" w:hAnsi="Arial"/>
          <w:sz w:val="34"/>
          <w:szCs w:val="34"/>
          <w:color w:val="auto"/>
        </w:rPr>
        <w:t>______________.</w:t>
      </w:r>
    </w:p>
    <w:p>
      <w:pPr>
        <w:spacing w:after="0" w:line="206" w:lineRule="exact"/>
        <w:rPr>
          <w:sz w:val="20"/>
          <w:szCs w:val="20"/>
          <w:color w:val="auto"/>
        </w:rPr>
      </w:pPr>
    </w:p>
    <w:p>
      <w:pPr>
        <w:ind w:right="1080" w:firstLine="8"/>
        <w:spacing w:after="0" w:line="460" w:lineRule="auto"/>
        <w:tabs>
          <w:tab w:leader="none" w:pos="329" w:val="left"/>
        </w:tabs>
        <w:numPr>
          <w:ilvl w:val="0"/>
          <w:numId w:val="59"/>
        </w:numPr>
        <w:rPr>
          <w:rFonts w:ascii="MS PGothic" w:cs="MS PGothic" w:eastAsia="MS PGothic" w:hAnsi="MS PGothic"/>
          <w:sz w:val="25"/>
          <w:szCs w:val="25"/>
          <w:color w:val="auto"/>
        </w:rPr>
      </w:pPr>
      <w:r>
        <w:rPr>
          <w:rFonts w:ascii="Arial" w:cs="Arial" w:eastAsia="Arial" w:hAnsi="Arial"/>
          <w:sz w:val="22"/>
          <w:szCs w:val="22"/>
          <w:color w:val="auto"/>
        </w:rPr>
        <w:t>The signatory is making Incremental Term Loan Commitments pursuant to this Second Amendment, Extension and Incremental Assumption Agreement, and as such is an “Incremental Term Lender”.</w:t>
      </w:r>
    </w:p>
    <w:p>
      <w:pPr>
        <w:sectPr>
          <w:pgSz w:w="11900" w:h="16838" w:orient="portrait"/>
          <w:cols w:equalWidth="0" w:num="1">
            <w:col w:w="11420"/>
          </w:cols>
          <w:pgMar w:left="240" w:top="375" w:right="2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22"/>
          <w:szCs w:val="22"/>
          <w:b w:val="1"/>
          <w:bCs w:val="1"/>
          <w:color w:val="auto"/>
        </w:rPr>
        <w:t>Schedule 1</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Incremental Revolving Refinancing Commitments</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Incremental Revolving Increase Commitments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[On file with the Administrative Agent]</w:t>
      </w:r>
    </w:p>
    <w:p>
      <w:pPr>
        <w:sectPr>
          <w:pgSz w:w="11900" w:h="16838" w:orient="portrait"/>
          <w:cols w:equalWidth="0" w:num="1">
            <w:col w:w="9019"/>
          </w:cols>
          <w:pgMar w:left="1440" w:top="369"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Schedule 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Submitted Initial Term Loan Amounts,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2019 Refinancing Tranche A Term Loan Amounts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Initial Tranche A Term Loan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 file with the Administrative Agent]</w:t>
      </w:r>
    </w:p>
    <w:p>
      <w:pPr>
        <w:sectPr>
          <w:pgSz w:w="11900" w:h="16838" w:orient="portrait"/>
          <w:cols w:equalWidth="0" w:num="1">
            <w:col w:w="9019"/>
          </w:cols>
          <w:pgMar w:left="1440" w:top="369" w:right="1440"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22"/>
          <w:szCs w:val="22"/>
          <w:b w:val="1"/>
          <w:bCs w:val="1"/>
          <w:color w:val="auto"/>
        </w:rPr>
        <w:t>Annex I-A</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Initial Amendments to Credit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1-A]</w:t>
      </w:r>
    </w:p>
    <w:p>
      <w:pPr>
        <w:sectPr>
          <w:pgSz w:w="11900" w:h="16838" w:orient="portrait"/>
          <w:cols w:equalWidth="0" w:num="1">
            <w:col w:w="9019"/>
          </w:cols>
          <w:pgMar w:left="1440" w:top="342"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FF0000"/>
          <w:strike w:val="1"/>
        </w:rPr>
        <w:t>Execution Version</w:t>
      </w:r>
      <w:r>
        <w:rPr>
          <w:rFonts w:ascii="Arial" w:cs="Arial" w:eastAsia="Arial" w:hAnsi="Arial"/>
          <w:sz w:val="22"/>
          <w:szCs w:val="22"/>
          <w:color w:val="0000FF"/>
        </w:rPr>
        <w:t>FINAL CONFORMED COPY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CONFORMED TO AMENDMENTS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EFFECTUATED PURSUANT TO</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AMENDMENT NO. </w:t>
      </w:r>
      <w:r>
        <w:rPr>
          <w:rFonts w:ascii="Arial" w:cs="Arial" w:eastAsia="Arial" w:hAnsi="Arial"/>
          <w:sz w:val="22"/>
          <w:szCs w:val="22"/>
          <w:color w:val="FF0000"/>
          <w:strike w:val="1"/>
        </w:rPr>
        <w:t>1</w:t>
      </w:r>
      <w:r>
        <w:rPr>
          <w:rFonts w:ascii="Arial" w:cs="Arial" w:eastAsia="Arial" w:hAnsi="Arial"/>
          <w:sz w:val="22"/>
          <w:szCs w:val="22"/>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Dated as of March 29, 2012</w:t>
      </w:r>
    </w:p>
    <w:p>
      <w:pPr>
        <w:spacing w:after="0" w:line="200" w:lineRule="exact"/>
        <w:rPr>
          <w:sz w:val="20"/>
          <w:szCs w:val="20"/>
          <w:color w:val="auto"/>
        </w:rPr>
      </w:pPr>
    </w:p>
    <w:p>
      <w:pPr>
        <w:spacing w:after="0" w:line="23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LPL INVESTMENT HOLDINGS INC.,</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as Holdings,</w:t>
      </w:r>
    </w:p>
    <w:p>
      <w:pPr>
        <w:spacing w:after="0" w:line="14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LPL HOLDINGS, INC.,</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as Borrower,</w:t>
      </w:r>
    </w:p>
    <w:p>
      <w:pPr>
        <w:spacing w:after="0" w:line="142"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The Several Lenders</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from Time to Time Parties Hereto,</w:t>
      </w:r>
    </w:p>
    <w:p>
      <w:pPr>
        <w:spacing w:after="0" w:line="142"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 Collateral Agent, Letter of Credit Issuer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MERRILL LYNCH, PIERCE, FENNER &amp; SMITH INCORPORATED AND GOLDMAN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SACHS BANK USA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Lead Arrangers,</w:t>
      </w:r>
    </w:p>
    <w:p>
      <w:pPr>
        <w:spacing w:after="0" w:line="142" w:lineRule="exact"/>
        <w:rPr>
          <w:sz w:val="20"/>
          <w:szCs w:val="20"/>
          <w:color w:val="auto"/>
        </w:rPr>
      </w:pPr>
    </w:p>
    <w:p>
      <w:pPr>
        <w:jc w:val="center"/>
        <w:spacing w:after="0" w:line="252" w:lineRule="auto"/>
        <w:rPr>
          <w:sz w:val="20"/>
          <w:szCs w:val="20"/>
          <w:color w:val="auto"/>
        </w:rPr>
      </w:pPr>
      <w:r>
        <w:rPr>
          <w:rFonts w:ascii="Arial" w:cs="Arial" w:eastAsia="Arial" w:hAnsi="Arial"/>
          <w:sz w:val="22"/>
          <w:szCs w:val="22"/>
          <w:b w:val="1"/>
          <w:bCs w:val="1"/>
          <w:color w:val="auto"/>
        </w:rPr>
        <w:t xml:space="preserve">MERRILL LYNCH, PIERCE, FENNER &amp; SMITH INCORPORATED, GOLDMAN SACHS BANK USA, J.P. MORGAN SECURITIES LLC, MORGAN STANLEY SENIOR FUNDING, INC. AND SUNTRUST ROBINSON HUMPHREY, INC. </w:t>
      </w:r>
      <w:r>
        <w:rPr>
          <w:rFonts w:ascii="Arial" w:cs="Arial" w:eastAsia="Arial" w:hAnsi="Arial"/>
          <w:sz w:val="22"/>
          <w:szCs w:val="22"/>
          <w:color w:val="auto"/>
        </w:rPr>
        <w:t>as Joint Bookrunners,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GOLDMAN SACHS BANK USA, J.P. MORGAN SECURITIES LLC AND MORGAN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STANLEY SENIOR FUNDING,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Agents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SUNTRUST BANK</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Documentation Agent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u w:val="single" w:color="auto"/>
          <w:color w:val="FF0000"/>
          <w:strike w:val="1"/>
        </w:rPr>
        <w:t>NYDOC SO2/996722.8</w:t>
      </w:r>
    </w:p>
    <w:p>
      <w:pPr>
        <w:sectPr>
          <w:pgSz w:w="11900" w:h="16838" w:orient="portrait"/>
          <w:cols w:equalWidth="0" w:num="1">
            <w:col w:w="11420"/>
          </w:cols>
          <w:pgMar w:left="240" w:top="131" w:right="239" w:bottom="1440" w:gutter="0" w:footer="0" w:header="0"/>
        </w:sectPr>
      </w:pPr>
    </w:p>
    <w:bookmarkStart w:id="84" w:name="page85"/>
    <w:bookmarkEnd w:id="84"/>
    <w:p>
      <w:pPr>
        <w:ind w:left="1300"/>
        <w:spacing w:after="0"/>
        <w:rPr>
          <w:sz w:val="20"/>
          <w:szCs w:val="20"/>
          <w:color w:val="auto"/>
        </w:rPr>
      </w:pPr>
      <w:r>
        <w:rPr>
          <w:rFonts w:ascii="Arial" w:cs="Arial" w:eastAsia="Arial" w:hAnsi="Arial"/>
          <w:sz w:val="22"/>
          <w:szCs w:val="22"/>
          <w:b w:val="1"/>
          <w:bCs w:val="1"/>
          <w:color w:val="auto"/>
        </w:rPr>
        <w:t>CREDIT AGREEMENT</w:t>
      </w:r>
      <w:r>
        <w:rPr>
          <w:rFonts w:ascii="Arial" w:cs="Arial" w:eastAsia="Arial" w:hAnsi="Arial"/>
          <w:sz w:val="22"/>
          <w:szCs w:val="22"/>
          <w:color w:val="auto"/>
        </w:rPr>
        <w:t>, dated as of March 29, 2012, among</w:t>
      </w:r>
      <w:r>
        <w:rPr>
          <w:rFonts w:ascii="Arial" w:cs="Arial" w:eastAsia="Arial" w:hAnsi="Arial"/>
          <w:sz w:val="22"/>
          <w:szCs w:val="22"/>
          <w:b w:val="1"/>
          <w:bCs w:val="1"/>
          <w:color w:val="auto"/>
        </w:rPr>
        <w:t xml:space="preserve"> LPL INVESTMENT HOLDINGS INC.</w:t>
      </w:r>
      <w:r>
        <w:rPr>
          <w:rFonts w:ascii="Arial" w:cs="Arial" w:eastAsia="Arial" w:hAnsi="Arial"/>
          <w:sz w:val="22"/>
          <w:szCs w:val="22"/>
          <w:color w:val="auto"/>
        </w:rPr>
        <w:t>, a</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Delaware corporation (“</w:t>
      </w:r>
      <w:r>
        <w:rPr>
          <w:rFonts w:ascii="Arial" w:cs="Arial" w:eastAsia="Arial" w:hAnsi="Arial"/>
          <w:sz w:val="21"/>
          <w:szCs w:val="21"/>
          <w:u w:val="single" w:color="auto"/>
          <w:color w:val="auto"/>
        </w:rPr>
        <w:t>Holdings</w:t>
      </w:r>
      <w:r>
        <w:rPr>
          <w:rFonts w:ascii="Arial" w:cs="Arial" w:eastAsia="Arial" w:hAnsi="Arial"/>
          <w:sz w:val="21"/>
          <w:szCs w:val="21"/>
          <w:color w:val="auto"/>
        </w:rPr>
        <w:t xml:space="preserve">”; as hereinafter further defined), </w:t>
      </w:r>
      <w:r>
        <w:rPr>
          <w:rFonts w:ascii="Arial" w:cs="Arial" w:eastAsia="Arial" w:hAnsi="Arial"/>
          <w:sz w:val="21"/>
          <w:szCs w:val="21"/>
          <w:b w:val="1"/>
          <w:bCs w:val="1"/>
          <w:color w:val="auto"/>
        </w:rPr>
        <w:t>LPL HOLDINGS, INC.</w:t>
      </w:r>
      <w:r>
        <w:rPr>
          <w:rFonts w:ascii="Arial" w:cs="Arial" w:eastAsia="Arial" w:hAnsi="Arial"/>
          <w:sz w:val="21"/>
          <w:szCs w:val="21"/>
          <w:color w:val="auto"/>
        </w:rPr>
        <w:t>, a Massachusetts corporation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the banks, financial institutions and other investors from time to time parties hereto as lenders (each a “</w:t>
      </w:r>
      <w:r>
        <w:rPr>
          <w:rFonts w:ascii="Arial" w:cs="Arial" w:eastAsia="Arial" w:hAnsi="Arial"/>
          <w:sz w:val="19"/>
          <w:szCs w:val="19"/>
          <w:u w:val="single" w:color="auto"/>
          <w:color w:val="auto"/>
        </w:rPr>
        <w:t>Lender</w:t>
      </w:r>
      <w:r>
        <w:rPr>
          <w:rFonts w:ascii="Arial" w:cs="Arial" w:eastAsia="Arial" w:hAnsi="Arial"/>
          <w:sz w:val="19"/>
          <w:szCs w:val="19"/>
          <w:color w:val="auto"/>
        </w:rPr>
        <w:t>” and,</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each as hereinafter further defined), and </w:t>
      </w:r>
      <w:r>
        <w:rPr>
          <w:rFonts w:ascii="Arial" w:cs="Arial" w:eastAsia="Arial" w:hAnsi="Arial"/>
          <w:sz w:val="21"/>
          <w:szCs w:val="21"/>
          <w:b w:val="1"/>
          <w:bCs w:val="1"/>
          <w:color w:val="auto"/>
        </w:rPr>
        <w:t>BANK OF AMERICA, N.A.</w:t>
      </w:r>
      <w:r>
        <w:rPr>
          <w:rFonts w:ascii="Arial" w:cs="Arial" w:eastAsia="Arial" w:hAnsi="Arial"/>
          <w:sz w:val="21"/>
          <w:szCs w:val="21"/>
          <w:color w:val="auto"/>
        </w:rPr>
        <w:t>,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Collateral Agent, a Letter of Credit Issuer and Swingline Lender.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00" w:lineRule="exact"/>
        <w:rPr>
          <w:sz w:val="20"/>
          <w:szCs w:val="20"/>
          <w:color w:val="auto"/>
        </w:rPr>
      </w:pPr>
    </w:p>
    <w:p>
      <w:pPr>
        <w:spacing w:after="0" w:line="236" w:lineRule="exact"/>
        <w:rPr>
          <w:sz w:val="20"/>
          <w:szCs w:val="20"/>
          <w:color w:val="auto"/>
        </w:rPr>
      </w:pPr>
    </w:p>
    <w:p>
      <w:pPr>
        <w:ind w:right="200" w:firstLine="1297"/>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capitalized terms used in these Recitals and the preamble to this Agreement shall have the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set forth for such terms in Section 1.1 hereof;</w:t>
      </w:r>
    </w:p>
    <w:p>
      <w:pPr>
        <w:spacing w:after="0" w:line="378" w:lineRule="exact"/>
        <w:rPr>
          <w:sz w:val="20"/>
          <w:szCs w:val="20"/>
          <w:color w:val="auto"/>
        </w:rPr>
      </w:pPr>
    </w:p>
    <w:p>
      <w:pPr>
        <w:ind w:right="280" w:firstLine="1297"/>
        <w:spacing w:after="0" w:line="24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Holdings, the Borrower, the lending institutions party thereto (the “</w:t>
      </w:r>
      <w:r>
        <w:rPr>
          <w:rFonts w:ascii="Arial" w:cs="Arial" w:eastAsia="Arial" w:hAnsi="Arial"/>
          <w:sz w:val="22"/>
          <w:szCs w:val="22"/>
          <w:u w:val="single" w:color="auto"/>
          <w:color w:val="auto"/>
        </w:rPr>
        <w:t>Original Lenders</w:t>
      </w:r>
      <w:r>
        <w:rPr>
          <w:rFonts w:ascii="Arial" w:cs="Arial" w:eastAsia="Arial" w:hAnsi="Arial"/>
          <w:sz w:val="22"/>
          <w:szCs w:val="22"/>
          <w:color w:val="auto"/>
        </w:rPr>
        <w:t>”), Morgan</w:t>
      </w:r>
      <w:r>
        <w:rPr>
          <w:rFonts w:ascii="Arial" w:cs="Arial" w:eastAsia="Arial" w:hAnsi="Arial"/>
          <w:sz w:val="22"/>
          <w:szCs w:val="22"/>
          <w:b w:val="1"/>
          <w:bCs w:val="1"/>
          <w:color w:val="auto"/>
        </w:rPr>
        <w:t xml:space="preserve"> </w:t>
      </w:r>
      <w:r>
        <w:rPr>
          <w:rFonts w:ascii="Arial" w:cs="Arial" w:eastAsia="Arial" w:hAnsi="Arial"/>
          <w:sz w:val="22"/>
          <w:szCs w:val="22"/>
          <w:color w:val="auto"/>
        </w:rPr>
        <w:t>Stanley Senior Funding, Inc., as administrative agent, and Morgan Stanley &amp; Co., as collateral agent, are parties to that certain Third Amended and Restated Credit Agreement, dated as of May 24, 2010 (as heretofore amended, supplemented or otherwise modified from time to time, the “</w:t>
      </w:r>
      <w:r>
        <w:rPr>
          <w:rFonts w:ascii="Arial" w:cs="Arial" w:eastAsia="Arial" w:hAnsi="Arial"/>
          <w:sz w:val="22"/>
          <w:szCs w:val="22"/>
          <w:u w:val="single" w:color="auto"/>
          <w:color w:val="auto"/>
        </w:rPr>
        <w:t>Original Credit Agreement</w:t>
      </w:r>
      <w:r>
        <w:rPr>
          <w:rFonts w:ascii="Arial" w:cs="Arial" w:eastAsia="Arial" w:hAnsi="Arial"/>
          <w:sz w:val="22"/>
          <w:szCs w:val="22"/>
          <w:color w:val="auto"/>
        </w:rPr>
        <w:t>”), pursuant to which the Original Lenders extended or committed to extend certain credit facilities to the Borrower;</w:t>
      </w:r>
    </w:p>
    <w:p>
      <w:pPr>
        <w:spacing w:after="0" w:line="200" w:lineRule="exact"/>
        <w:rPr>
          <w:sz w:val="20"/>
          <w:szCs w:val="20"/>
          <w:color w:val="auto"/>
        </w:rPr>
      </w:pPr>
    </w:p>
    <w:p>
      <w:pPr>
        <w:spacing w:after="0" w:line="203"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 has requested that, immediately upon the satisfaction in full of the applicable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precedent set forth in Section 6 below, the Lenders and Letter of Credit Issuers extend a total of $1,600,000,000 of credit to the Borrower in the form of (i) $735,000,000 in aggregate principal amount of tranche A term loans to be borrowed on the Closing Date (the “</w:t>
      </w:r>
      <w:r>
        <w:rPr>
          <w:rFonts w:ascii="Arial" w:cs="Arial" w:eastAsia="Arial" w:hAnsi="Arial"/>
          <w:sz w:val="21"/>
          <w:szCs w:val="21"/>
          <w:color w:val="0000FF"/>
        </w:rPr>
        <w:t>2017</w:t>
      </w:r>
      <w:r>
        <w:rPr>
          <w:rFonts w:ascii="Arial" w:cs="Arial" w:eastAsia="Arial" w:hAnsi="Arial"/>
          <w:sz w:val="21"/>
          <w:szCs w:val="21"/>
          <w:color w:val="auto"/>
        </w:rPr>
        <w:t xml:space="preserve"> </w:t>
      </w:r>
      <w:r>
        <w:rPr>
          <w:rFonts w:ascii="Arial" w:cs="Arial" w:eastAsia="Arial" w:hAnsi="Arial"/>
          <w:sz w:val="21"/>
          <w:szCs w:val="21"/>
          <w:u w:val="single" w:color="auto"/>
          <w:color w:val="auto"/>
        </w:rPr>
        <w:t>Initial Tranche A Term Loan Facility</w:t>
      </w:r>
      <w:r>
        <w:rPr>
          <w:rFonts w:ascii="Arial" w:cs="Arial" w:eastAsia="Arial" w:hAnsi="Arial"/>
          <w:sz w:val="21"/>
          <w:szCs w:val="21"/>
          <w:color w:val="auto"/>
        </w:rPr>
        <w:t xml:space="preserve">” </w:t>
      </w:r>
      <w:r>
        <w:rPr>
          <w:rFonts w:ascii="Arial" w:cs="Arial" w:eastAsia="Arial" w:hAnsi="Arial"/>
          <w:sz w:val="21"/>
          <w:szCs w:val="21"/>
          <w:color w:val="0000FF"/>
        </w:rPr>
        <w:t>(referred to as the “Initial TrancheA Term Loan Facility” prior to the</w:t>
      </w:r>
      <w:r>
        <w:rPr>
          <w:rFonts w:ascii="Arial" w:cs="Arial" w:eastAsia="Arial" w:hAnsi="Arial"/>
          <w:sz w:val="21"/>
          <w:szCs w:val="21"/>
          <w:color w:val="auto"/>
        </w:rPr>
        <w:t xml:space="preserve"> </w:t>
      </w:r>
      <w:r>
        <w:rPr>
          <w:rFonts w:ascii="Arial" w:cs="Arial" w:eastAsia="Arial" w:hAnsi="Arial"/>
          <w:sz w:val="21"/>
          <w:szCs w:val="21"/>
          <w:color w:val="0000FF"/>
        </w:rPr>
        <w:t>Amendment No. 2 Effective Date (as defined below)</w:t>
      </w:r>
      <w:r>
        <w:rPr>
          <w:rFonts w:ascii="Arial" w:cs="Arial" w:eastAsia="Arial" w:hAnsi="Arial"/>
          <w:sz w:val="21"/>
          <w:szCs w:val="21"/>
          <w:color w:val="000000"/>
        </w:rPr>
        <w:t>), (ii) $615,000,000 in aggregate principal amount of tranche B term loans to</w:t>
      </w:r>
      <w:r>
        <w:rPr>
          <w:rFonts w:ascii="Arial" w:cs="Arial" w:eastAsia="Arial" w:hAnsi="Arial"/>
          <w:sz w:val="21"/>
          <w:szCs w:val="21"/>
          <w:color w:val="0000FF"/>
        </w:rPr>
        <w:t xml:space="preserve"> </w:t>
      </w:r>
      <w:r>
        <w:rPr>
          <w:rFonts w:ascii="Arial" w:cs="Arial" w:eastAsia="Arial" w:hAnsi="Arial"/>
          <w:sz w:val="21"/>
          <w:szCs w:val="21"/>
          <w:color w:val="000000"/>
        </w:rPr>
        <w:t>be borrowed on the Closing Date (the “</w:t>
      </w:r>
      <w:r>
        <w:rPr>
          <w:rFonts w:ascii="Arial" w:cs="Arial" w:eastAsia="Arial" w:hAnsi="Arial"/>
          <w:sz w:val="21"/>
          <w:szCs w:val="21"/>
          <w:u w:val="single" w:color="auto"/>
          <w:color w:val="000000"/>
        </w:rPr>
        <w:t>Initial Tranche B Term Loan Facility</w:t>
      </w:r>
      <w:r>
        <w:rPr>
          <w:rFonts w:ascii="Arial" w:cs="Arial" w:eastAsia="Arial" w:hAnsi="Arial"/>
          <w:sz w:val="21"/>
          <w:szCs w:val="21"/>
          <w:color w:val="000000"/>
        </w:rPr>
        <w:t>”) and (iii) $250,000,000 in aggregate principal amount of Revolving Credit Commitments</w:t>
      </w:r>
      <w:r>
        <w:rPr>
          <w:rFonts w:ascii="Arial" w:cs="Arial" w:eastAsia="Arial" w:hAnsi="Arial"/>
          <w:sz w:val="21"/>
          <w:szCs w:val="21"/>
          <w:color w:val="0000FF"/>
        </w:rPr>
        <w:t>, which amount was increased to $400,000,000 as of the Amendment No. 2 Effective Date</w:t>
      </w:r>
      <w:r>
        <w:rPr>
          <w:rFonts w:ascii="Arial" w:cs="Arial" w:eastAsia="Arial" w:hAnsi="Arial"/>
          <w:sz w:val="21"/>
          <w:szCs w:val="21"/>
          <w:color w:val="000000"/>
        </w:rPr>
        <w:t xml:space="preserve"> (the “</w:t>
      </w:r>
      <w:r>
        <w:rPr>
          <w:rFonts w:ascii="Arial" w:cs="Arial" w:eastAsia="Arial" w:hAnsi="Arial"/>
          <w:sz w:val="21"/>
          <w:szCs w:val="21"/>
          <w:u w:val="single" w:color="auto"/>
          <w:color w:val="000000"/>
        </w:rPr>
        <w:t>Revolving Credit Facility</w:t>
      </w:r>
      <w:r>
        <w:rPr>
          <w:rFonts w:ascii="Arial" w:cs="Arial" w:eastAsia="Arial" w:hAnsi="Arial"/>
          <w:sz w:val="21"/>
          <w:szCs w:val="21"/>
          <w:color w:val="000000"/>
        </w:rPr>
        <w:t>”);</w:t>
      </w:r>
    </w:p>
    <w:p>
      <w:pPr>
        <w:spacing w:after="0" w:line="392"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 intends to use the proceeds of the Initial Term Loans (as defined below) to repay existing</w:t>
      </w:r>
      <w:r>
        <w:rPr>
          <w:rFonts w:ascii="Arial" w:cs="Arial" w:eastAsia="Arial" w:hAnsi="Arial"/>
          <w:sz w:val="21"/>
          <w:szCs w:val="21"/>
          <w:b w:val="1"/>
          <w:bCs w:val="1"/>
          <w:color w:val="auto"/>
        </w:rPr>
        <w:t xml:space="preserve"> </w:t>
      </w:r>
      <w:r>
        <w:rPr>
          <w:rFonts w:ascii="Arial" w:cs="Arial" w:eastAsia="Arial" w:hAnsi="Arial"/>
          <w:sz w:val="21"/>
          <w:szCs w:val="21"/>
          <w:color w:val="auto"/>
        </w:rPr>
        <w:t>indebtedness under the Original Credit Agreement in an aggregate principal amount of approximately $1,337,777,559.51, at which time all existing commitments, security interests and guarantees in respect of the Original Credit Agreement and the related documents and obligations thereunder will be terminated, released and discharged in full (other than contingent obligations, which by their terms survive such termination) (the “</w:t>
      </w:r>
      <w:r>
        <w:rPr>
          <w:rFonts w:ascii="Arial" w:cs="Arial" w:eastAsia="Arial" w:hAnsi="Arial"/>
          <w:sz w:val="21"/>
          <w:szCs w:val="21"/>
          <w:u w:val="single" w:color="auto"/>
          <w:color w:val="auto"/>
        </w:rPr>
        <w:t>Refinancing</w:t>
      </w:r>
      <w:r>
        <w:rPr>
          <w:rFonts w:ascii="Arial" w:cs="Arial" w:eastAsia="Arial" w:hAnsi="Arial"/>
          <w:sz w:val="21"/>
          <w:szCs w:val="21"/>
          <w:color w:val="auto"/>
        </w:rPr>
        <w:t>”);</w:t>
      </w:r>
    </w:p>
    <w:p>
      <w:pPr>
        <w:spacing w:after="0" w:line="387" w:lineRule="exact"/>
        <w:rPr>
          <w:sz w:val="20"/>
          <w:szCs w:val="20"/>
          <w:color w:val="auto"/>
        </w:rPr>
      </w:pPr>
    </w:p>
    <w:p>
      <w:pPr>
        <w:jc w:val="both"/>
        <w:ind w:right="140" w:firstLine="12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intends to pay a special dividend to Holdings from available cash on hand in an amount</w:t>
      </w:r>
      <w:r>
        <w:rPr>
          <w:rFonts w:ascii="Arial" w:cs="Arial" w:eastAsia="Arial" w:hAnsi="Arial"/>
          <w:sz w:val="22"/>
          <w:szCs w:val="22"/>
          <w:b w:val="1"/>
          <w:bCs w:val="1"/>
          <w:color w:val="auto"/>
        </w:rPr>
        <w:t xml:space="preserve"> </w:t>
      </w:r>
      <w:r>
        <w:rPr>
          <w:rFonts w:ascii="Arial" w:cs="Arial" w:eastAsia="Arial" w:hAnsi="Arial"/>
          <w:sz w:val="22"/>
          <w:szCs w:val="22"/>
          <w:color w:val="auto"/>
        </w:rPr>
        <w:t>up to $230,000,000 (the “</w:t>
      </w:r>
      <w:r>
        <w:rPr>
          <w:rFonts w:ascii="Arial" w:cs="Arial" w:eastAsia="Arial" w:hAnsi="Arial"/>
          <w:sz w:val="22"/>
          <w:szCs w:val="22"/>
          <w:u w:val="single" w:color="auto"/>
          <w:color w:val="auto"/>
        </w:rPr>
        <w:t>Special Dividend</w:t>
      </w:r>
      <w:r>
        <w:rPr>
          <w:rFonts w:ascii="Arial" w:cs="Arial" w:eastAsia="Arial" w:hAnsi="Arial"/>
          <w:sz w:val="22"/>
          <w:szCs w:val="22"/>
          <w:color w:val="auto"/>
        </w:rPr>
        <w:t>”) to fund a one-time special dividend by Holdings to its common stockholders, which was announced by Holdings on March 6, 2012;</w:t>
      </w:r>
    </w:p>
    <w:p>
      <w:pPr>
        <w:spacing w:after="0" w:line="392" w:lineRule="exact"/>
        <w:rPr>
          <w:sz w:val="20"/>
          <w:szCs w:val="20"/>
          <w:color w:val="auto"/>
        </w:rPr>
      </w:pPr>
    </w:p>
    <w:p>
      <w:pPr>
        <w:ind w:right="60" w:firstLine="1297"/>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foregoing and as an inducement for the Lenders and the Letter of Credit Issuers</w:t>
      </w:r>
      <w:r>
        <w:rPr>
          <w:rFonts w:ascii="Arial" w:cs="Arial" w:eastAsia="Arial" w:hAnsi="Arial"/>
          <w:sz w:val="19"/>
          <w:szCs w:val="19"/>
          <w:b w:val="1"/>
          <w:bCs w:val="1"/>
          <w:color w:val="auto"/>
        </w:rPr>
        <w:t xml:space="preserve"> </w:t>
      </w:r>
      <w:r>
        <w:rPr>
          <w:rFonts w:ascii="Arial" w:cs="Arial" w:eastAsia="Arial" w:hAnsi="Arial"/>
          <w:sz w:val="19"/>
          <w:szCs w:val="19"/>
          <w:color w:val="auto"/>
        </w:rPr>
        <w:t>to extend the credit contemplated hereunder, the Borrower has agreed to secure all of its Obligations by granting to the Collateral Agent, for the benefit of the benefit of the Secured Parties, a first priority lien on substantially all of its assets</w:t>
      </w:r>
    </w:p>
    <w:p>
      <w:pPr>
        <w:sectPr>
          <w:pgSz w:w="11900" w:h="16838" w:orient="portrait"/>
          <w:cols w:equalWidth="0" w:num="1">
            <w:col w:w="11420"/>
          </w:cols>
          <w:pgMar w:left="240" w:top="126" w:right="239" w:bottom="1440" w:gutter="0" w:footer="0" w:header="0"/>
        </w:sectPr>
      </w:pPr>
    </w:p>
    <w:bookmarkStart w:id="85" w:name="page86"/>
    <w:bookmarkEnd w:id="85"/>
    <w:p>
      <w:pPr>
        <w:ind w:right="280"/>
        <w:spacing w:after="0" w:line="263" w:lineRule="auto"/>
        <w:rPr>
          <w:sz w:val="20"/>
          <w:szCs w:val="20"/>
          <w:color w:val="auto"/>
        </w:rPr>
      </w:pPr>
      <w:r>
        <w:rPr>
          <w:rFonts w:ascii="Arial" w:cs="Arial" w:eastAsia="Arial" w:hAnsi="Arial"/>
          <w:sz w:val="22"/>
          <w:szCs w:val="22"/>
          <w:color w:val="auto"/>
        </w:rPr>
        <w:t>(except for Liens permitted pursuant to Section 10.2), including a pledge of all of the Capital Stock (other than Excluded Capital Stock) of each of its Subsidiaries; and</w:t>
      </w:r>
    </w:p>
    <w:p>
      <w:pPr>
        <w:spacing w:after="0" w:line="33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the foregoing and as an inducement for the Lenders and Letter of Credit Issuers to</w:t>
      </w:r>
      <w:r>
        <w:rPr>
          <w:rFonts w:ascii="Arial" w:cs="Arial" w:eastAsia="Arial" w:hAnsi="Arial"/>
          <w:sz w:val="21"/>
          <w:szCs w:val="21"/>
          <w:b w:val="1"/>
          <w:bCs w:val="1"/>
          <w:color w:val="auto"/>
        </w:rPr>
        <w:t xml:space="preserve"> </w:t>
      </w:r>
      <w:r>
        <w:rPr>
          <w:rFonts w:ascii="Arial" w:cs="Arial" w:eastAsia="Arial" w:hAnsi="Arial"/>
          <w:sz w:val="21"/>
          <w:szCs w:val="21"/>
          <w:color w:val="auto"/>
        </w:rPr>
        <w:t>extend the credit contemplated hereunder, the Guarantors have agreed to guarantee the Obligations and to secure their respective guarantees by granting to the Collateral Agent, for the benefit of the Secured Parties, a first priority lien on their respective assets (except for Liens permitted pursuant to Section 10.2), including a pledge of all of the Capital Stock (other than Excluded Capital Stock) of each of their respective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ind w:right="640" w:firstLine="1297"/>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and the agreements, provisions and covenants herein</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the parties hereto agree as follows:</w:t>
      </w:r>
    </w:p>
    <w:p>
      <w:pPr>
        <w:spacing w:after="0" w:line="16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Definitions</w:t>
      </w:r>
    </w:p>
    <w:p>
      <w:pPr>
        <w:spacing w:after="0" w:line="233"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herein, the following terms shall have the meanings specified in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1.1 unless the context otherwise requires:</w:t>
      </w:r>
    </w:p>
    <w:p>
      <w:pPr>
        <w:spacing w:after="0" w:line="215" w:lineRule="exact"/>
        <w:rPr>
          <w:sz w:val="20"/>
          <w:szCs w:val="20"/>
          <w:color w:val="auto"/>
        </w:rPr>
      </w:pPr>
    </w:p>
    <w:p>
      <w:pPr>
        <w:ind w:right="6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100% Non-Guarantor Pledgee</w:t>
      </w:r>
      <w:r>
        <w:rPr>
          <w:rFonts w:ascii="Arial" w:cs="Arial" w:eastAsia="Arial" w:hAnsi="Arial"/>
          <w:sz w:val="22"/>
          <w:szCs w:val="22"/>
          <w:color w:val="auto"/>
        </w:rPr>
        <w:t>” shall mean any Restricted Subsidiary of the Borrower for which 100% of the Capital Stock of which has been pledged as Collateral to secure the Obligations.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2013 Incremental Term Lenders</w:t>
      </w:r>
      <w:r>
        <w:rPr>
          <w:rFonts w:ascii="Arial" w:cs="Arial" w:eastAsia="Arial" w:hAnsi="Arial"/>
          <w:sz w:val="19"/>
          <w:szCs w:val="19"/>
          <w:color w:val="auto"/>
        </w:rPr>
        <w:t>” shall have the meaning provided in the Preliminary Statements to Amendment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 1.</w:t>
      </w:r>
    </w:p>
    <w:p>
      <w:pPr>
        <w:spacing w:after="0" w:line="202" w:lineRule="exact"/>
        <w:rPr>
          <w:sz w:val="20"/>
          <w:szCs w:val="20"/>
          <w:color w:val="auto"/>
        </w:rPr>
      </w:pPr>
    </w:p>
    <w:p>
      <w:pPr>
        <w:ind w:right="4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2013 Incremental Tranche B Term Loan Commitment</w:t>
      </w:r>
      <w:r>
        <w:rPr>
          <w:rFonts w:ascii="Arial" w:cs="Arial" w:eastAsia="Arial" w:hAnsi="Arial"/>
          <w:sz w:val="22"/>
          <w:szCs w:val="22"/>
          <w:color w:val="auto"/>
        </w:rPr>
        <w:t>” shall have the meaning provided to “Incremental Term Loan Commitment” in Amendment No. 1.</w:t>
      </w:r>
    </w:p>
    <w:p>
      <w:pPr>
        <w:spacing w:after="0" w:line="175"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2013 Incremental Tranche B Term Loan</w:t>
      </w:r>
      <w:r>
        <w:rPr>
          <w:rFonts w:ascii="Arial" w:cs="Arial" w:eastAsia="Arial" w:hAnsi="Arial"/>
          <w:sz w:val="22"/>
          <w:szCs w:val="22"/>
          <w:color w:val="auto"/>
        </w:rPr>
        <w:t>” shall mean the Incremental Tranche B Term Loan provided pursuant to Section 1 of Amendment No. 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2013 Incremental Tranche B Term Loan Maturity Date</w:t>
      </w:r>
      <w:r>
        <w:rPr>
          <w:rFonts w:ascii="Arial" w:cs="Arial" w:eastAsia="Arial" w:hAnsi="Arial"/>
          <w:sz w:val="19"/>
          <w:szCs w:val="19"/>
          <w:color w:val="auto"/>
        </w:rPr>
        <w:t>” shall mean the Initial Tranche B Term Loan Maturity Date.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2013 Incremental Tranche B Term Loan Repayment Amount</w:t>
      </w:r>
      <w:r>
        <w:rPr>
          <w:rFonts w:ascii="Arial" w:cs="Arial" w:eastAsia="Arial" w:hAnsi="Arial"/>
          <w:sz w:val="19"/>
          <w:szCs w:val="19"/>
          <w:color w:val="auto"/>
        </w:rPr>
        <w:t>” shall have the meaning provided in Section 2.5(</w:t>
      </w:r>
      <w:r>
        <w:rPr>
          <w:rFonts w:ascii="Arial" w:cs="Arial" w:eastAsia="Arial" w:hAnsi="Arial"/>
          <w:sz w:val="19"/>
          <w:szCs w:val="19"/>
          <w:u w:val="single" w:color="auto"/>
          <w:color w:val="FF0000"/>
          <w:strike w:val="1"/>
        </w:rPr>
        <w:t>c</w:t>
      </w:r>
      <w:r>
        <w:rPr>
          <w:rFonts w:ascii="Arial" w:cs="Arial" w:eastAsia="Arial" w:hAnsi="Arial"/>
          <w:sz w:val="19"/>
          <w:szCs w:val="19"/>
          <w:color w:val="0000FF"/>
        </w:rPr>
        <w:t>e</w:t>
      </w:r>
      <w:r>
        <w:rPr>
          <w:rFonts w:ascii="Arial" w:cs="Arial" w:eastAsia="Arial" w:hAnsi="Arial"/>
          <w:sz w:val="19"/>
          <w:szCs w:val="19"/>
          <w:color w:val="auto"/>
        </w:rPr>
        <w: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2013 Incremental Tranche B Term Loan Repayment Date</w:t>
      </w:r>
      <w:r>
        <w:rPr>
          <w:rFonts w:ascii="Arial" w:cs="Arial" w:eastAsia="Arial" w:hAnsi="Arial"/>
          <w:sz w:val="19"/>
          <w:szCs w:val="19"/>
          <w:color w:val="auto"/>
        </w:rPr>
        <w:t xml:space="preserve">” shall have the meaning provided </w:t>
      </w:r>
      <w:r>
        <w:rPr>
          <w:rFonts w:ascii="Arial" w:cs="Arial" w:eastAsia="Arial" w:hAnsi="Arial"/>
          <w:sz w:val="19"/>
          <w:szCs w:val="19"/>
          <w:u w:val="single" w:color="auto"/>
          <w:color w:val="auto"/>
        </w:rPr>
        <w:t>in Section 2.5(</w:t>
      </w:r>
      <w:r>
        <w:rPr>
          <w:rFonts w:ascii="Arial" w:cs="Arial" w:eastAsia="Arial" w:hAnsi="Arial"/>
          <w:sz w:val="19"/>
          <w:szCs w:val="19"/>
          <w:u w:val="single" w:color="auto"/>
          <w:color w:val="FF0000"/>
          <w:strike w:val="1"/>
        </w:rPr>
        <w:t>c</w:t>
      </w:r>
      <w:r>
        <w:rPr>
          <w:rFonts w:ascii="Arial" w:cs="Arial" w:eastAsia="Arial" w:hAnsi="Arial"/>
          <w:sz w:val="19"/>
          <w:szCs w:val="19"/>
          <w:color w:val="0000FF"/>
        </w:rPr>
        <w:t>e</w:t>
      </w:r>
      <w:r>
        <w:rPr>
          <w:rFonts w:ascii="Arial" w:cs="Arial" w:eastAsia="Arial" w:hAnsi="Arial"/>
          <w:sz w:val="19"/>
          <w:szCs w:val="19"/>
          <w:u w:val="single" w:color="auto"/>
          <w:color w:val="auto"/>
        </w:rPr>
        <w:t>).</w:t>
      </w:r>
    </w:p>
    <w:p>
      <w:pPr>
        <w:spacing w:after="0" w:line="254" w:lineRule="exact"/>
        <w:rPr>
          <w:sz w:val="20"/>
          <w:szCs w:val="20"/>
          <w:color w:val="auto"/>
        </w:rPr>
      </w:pPr>
    </w:p>
    <w:p>
      <w:pPr>
        <w:ind w:right="1060" w:firstLine="1297"/>
        <w:spacing w:after="0" w:line="263" w:lineRule="auto"/>
        <w:rPr>
          <w:sz w:val="20"/>
          <w:szCs w:val="20"/>
          <w:color w:val="auto"/>
        </w:rPr>
      </w:pPr>
      <w:r>
        <w:rPr>
          <w:rFonts w:ascii="Arial" w:cs="Arial" w:eastAsia="Arial" w:hAnsi="Arial"/>
          <w:sz w:val="22"/>
          <w:szCs w:val="22"/>
          <w:color w:val="0000FF"/>
        </w:rPr>
        <w:t>“2017 Initial Tranche A Term Lender” shall mean each Lender with a 2017 Initial Tranche A Term Loan Commitment or holding a 2017 Initial Tranche A Term Loan.</w:t>
      </w:r>
    </w:p>
    <w:p>
      <w:pPr>
        <w:spacing w:after="0" w:line="175" w:lineRule="exact"/>
        <w:rPr>
          <w:sz w:val="20"/>
          <w:szCs w:val="20"/>
          <w:color w:val="auto"/>
        </w:rPr>
      </w:pPr>
    </w:p>
    <w:p>
      <w:pPr>
        <w:ind w:left="4300"/>
        <w:spacing w:after="0"/>
        <w:tabs>
          <w:tab w:leader="none" w:pos="70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7"/>
          <w:szCs w:val="17"/>
          <w:color w:val="auto"/>
        </w:rPr>
        <w:t>2</w:t>
      </w:r>
    </w:p>
    <w:p>
      <w:pPr>
        <w:sectPr>
          <w:pgSz w:w="11900" w:h="16838" w:orient="portrait"/>
          <w:cols w:equalWidth="0" w:num="1">
            <w:col w:w="11400"/>
          </w:cols>
          <w:pgMar w:left="240" w:top="348" w:right="259" w:bottom="1440" w:gutter="0" w:footer="0" w:header="0"/>
        </w:sectPr>
      </w:pPr>
    </w:p>
    <w:bookmarkStart w:id="86" w:name="page87"/>
    <w:bookmarkEnd w:id="86"/>
    <w:p>
      <w:pPr>
        <w:ind w:right="40" w:firstLine="1297"/>
        <w:spacing w:after="0" w:line="253" w:lineRule="auto"/>
        <w:rPr>
          <w:sz w:val="20"/>
          <w:szCs w:val="20"/>
          <w:color w:val="auto"/>
        </w:rPr>
      </w:pPr>
      <w:r>
        <w:rPr>
          <w:rFonts w:ascii="Arial" w:cs="Arial" w:eastAsia="Arial" w:hAnsi="Arial"/>
          <w:sz w:val="22"/>
          <w:szCs w:val="22"/>
          <w:color w:val="0000FF"/>
        </w:rPr>
        <w:t>“2017 Initial Tranche A Term Loan Commitment” shall mean the “Initial Tranche A Term Loan Commitment” (as defined in this Agreement as in effect immediately prior to the Amendment No. 2 Effective Date), in each case as the same may be changed from time to time pursuant to the terms hereof.</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9"/>
          <w:szCs w:val="19"/>
          <w:color w:val="0000FF"/>
        </w:rPr>
        <w:t>“2017 Initial Tranche A Term Loan Facility” shall have the meaning provided in the recitals to this Agreement.</w:t>
      </w:r>
    </w:p>
    <w:p>
      <w:pPr>
        <w:spacing w:after="0" w:line="200" w:lineRule="exact"/>
        <w:rPr>
          <w:sz w:val="20"/>
          <w:szCs w:val="20"/>
          <w:color w:val="auto"/>
        </w:rPr>
      </w:pPr>
    </w:p>
    <w:p>
      <w:pPr>
        <w:jc w:val="both"/>
        <w:ind w:right="180" w:firstLine="1297"/>
        <w:spacing w:after="0" w:line="343" w:lineRule="auto"/>
        <w:rPr>
          <w:sz w:val="20"/>
          <w:szCs w:val="20"/>
          <w:color w:val="auto"/>
        </w:rPr>
      </w:pPr>
      <w:r>
        <w:rPr>
          <w:rFonts w:ascii="Arial" w:cs="Arial" w:eastAsia="Arial" w:hAnsi="Arial"/>
          <w:sz w:val="19"/>
          <w:szCs w:val="19"/>
          <w:color w:val="0000FF"/>
        </w:rPr>
        <w:t>“2017 Initial Tranche A Term Loan Maturity Date” shall mean March 29, 2017; provided that if such date is not a Business Day, the “2017 Initial Tranche A Term Loan Maturity Date” will be the Business Day immediately following such date.</w:t>
      </w:r>
    </w:p>
    <w:p>
      <w:pPr>
        <w:spacing w:after="0" w:line="51" w:lineRule="exact"/>
        <w:rPr>
          <w:sz w:val="20"/>
          <w:szCs w:val="20"/>
          <w:color w:val="auto"/>
        </w:rPr>
      </w:pPr>
    </w:p>
    <w:p>
      <w:pPr>
        <w:ind w:left="1300"/>
        <w:spacing w:after="0"/>
        <w:rPr>
          <w:sz w:val="20"/>
          <w:szCs w:val="20"/>
          <w:color w:val="auto"/>
        </w:rPr>
      </w:pPr>
      <w:r>
        <w:rPr>
          <w:rFonts w:ascii="Arial" w:cs="Arial" w:eastAsia="Arial" w:hAnsi="Arial"/>
          <w:sz w:val="21"/>
          <w:szCs w:val="21"/>
          <w:color w:val="0000FF"/>
        </w:rPr>
        <w:t>“2017 Initial Tranche A Term Loan Repayment Amount” shall have the meaning provided in Section 2.5(b).</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1"/>
          <w:szCs w:val="21"/>
          <w:color w:val="0000FF"/>
        </w:rPr>
        <w:t>“2017 Initial Tranche A Term Loan Repayment Date” shall have the meaning provided in Section 2.5(b).</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0000FF"/>
        </w:rPr>
        <w:t>“2017 Initial Tranche A Term Loans” shall have the meaning provided in Section 2.1(a)(ii).</w:t>
      </w:r>
    </w:p>
    <w:p>
      <w:pPr>
        <w:spacing w:after="0" w:line="166" w:lineRule="exact"/>
        <w:rPr>
          <w:sz w:val="20"/>
          <w:szCs w:val="20"/>
          <w:color w:val="auto"/>
        </w:rPr>
      </w:pPr>
    </w:p>
    <w:p>
      <w:pPr>
        <w:ind w:right="420" w:firstLine="1297"/>
        <w:spacing w:after="0" w:line="263" w:lineRule="auto"/>
        <w:rPr>
          <w:sz w:val="20"/>
          <w:szCs w:val="20"/>
          <w:color w:val="auto"/>
        </w:rPr>
      </w:pPr>
      <w:r>
        <w:rPr>
          <w:rFonts w:ascii="Arial" w:cs="Arial" w:eastAsia="Arial" w:hAnsi="Arial"/>
          <w:sz w:val="22"/>
          <w:szCs w:val="22"/>
          <w:color w:val="0000FF"/>
        </w:rPr>
        <w:t>“2019 Extended Tranche A Term Lender” shall mean each Lender with a 2019 Extended Tranche A Term Loan Commitment or holding a 2019 Extended Tranche A Term Loan.</w:t>
      </w:r>
    </w:p>
    <w:p>
      <w:pPr>
        <w:spacing w:after="0" w:line="121" w:lineRule="exact"/>
        <w:rPr>
          <w:sz w:val="20"/>
          <w:szCs w:val="20"/>
          <w:color w:val="auto"/>
        </w:rPr>
      </w:pPr>
    </w:p>
    <w:p>
      <w:pPr>
        <w:ind w:right="60" w:firstLine="1297"/>
        <w:spacing w:after="0" w:line="246" w:lineRule="auto"/>
        <w:rPr>
          <w:sz w:val="20"/>
          <w:szCs w:val="20"/>
          <w:color w:val="auto"/>
        </w:rPr>
      </w:pPr>
      <w:r>
        <w:rPr>
          <w:rFonts w:ascii="Arial" w:cs="Arial" w:eastAsia="Arial" w:hAnsi="Arial"/>
          <w:sz w:val="22"/>
          <w:szCs w:val="22"/>
          <w:color w:val="0000FF"/>
        </w:rPr>
        <w:t>“2019 Extended Tranche A Term Loan Commitment” shall mean, (a) in the case of each Lender that is a Lender on the Amendment No. 2 Effective Date, the amount, if any, set forth opposite such Lender’s name on Schedule 2 to Amendment No. 2 as such Lender’s respective “2019 Extended Tranche A Total Term Loan Amount”, and (b) in the case of any Lender that becomes a Lender after the Amendment No. 2 Effective Date, the amount specified as such Lender’s “2019 Extended Tranche A Term Loan Commitment” in the Assignment and Acceptance pursuant to which such Lender assumed a portion of the Total 2019 Extended Tranche A Term Loan Commitment, in each case as the same may be changed from time to time pursuant to the terms hereof. The aggregate amount of all 2019 Extended Tranche A Term Loan Commitments as of the Amendment No. 2 Effective Date is $459,375,000.</w:t>
      </w:r>
    </w:p>
    <w:p>
      <w:pPr>
        <w:spacing w:after="0" w:line="141"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0000FF"/>
        </w:rPr>
        <w:t>“2019 Extended Tranche A Term Loan Facility” shall mean the term loan facility providing for, and consisting of, the 2019 Extended Tranche A Term Loans.</w:t>
      </w:r>
    </w:p>
    <w:p>
      <w:pPr>
        <w:spacing w:after="0" w:line="121"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0000FF"/>
        </w:rPr>
        <w:t>“2019 Extended Tranche A Term Loan Maturity Date” shall mean September 30, 2019, provided, that if such date is not a Business Day, then the “2019 Extended Tranche A Term Loan Maturity Date” will be the Business Day immediately following such date (the “Scheduled 2019 Extended Tranche A Term Loan Maturity Date”); provided, however, that to the extent that there are any outstanding Tranche B Loans maturing prior to, or within the 91 day period immediately following, the Scheduled 2019 Extended Tranche A Term Loan Maturity Date (as determined as of any date that is 91 days prior to the scheduled Maturity Date of any then-outstanding Tranche B Loans), then the “2019 Extended Tranche A Term Loan Maturity Date” shall be the date that is the day occurring 91 days immediately prior to the earliest scheduled</w:t>
      </w:r>
    </w:p>
    <w:p>
      <w:pPr>
        <w:spacing w:after="0" w:line="97" w:lineRule="exact"/>
        <w:rPr>
          <w:sz w:val="20"/>
          <w:szCs w:val="20"/>
          <w:color w:val="auto"/>
        </w:rPr>
      </w:pPr>
    </w:p>
    <w:p>
      <w:pPr>
        <w:ind w:left="4300"/>
        <w:spacing w:after="0"/>
        <w:tabs>
          <w:tab w:leader="none" w:pos="70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7"/>
          <w:szCs w:val="17"/>
          <w:color w:val="auto"/>
        </w:rPr>
        <w:t>3</w:t>
      </w:r>
    </w:p>
    <w:p>
      <w:pPr>
        <w:sectPr>
          <w:pgSz w:w="11900" w:h="16838" w:orient="portrait"/>
          <w:cols w:equalWidth="0" w:num="1">
            <w:col w:w="11360"/>
          </w:cols>
          <w:pgMar w:left="240" w:top="132" w:right="299" w:bottom="1440" w:gutter="0" w:footer="0" w:header="0"/>
        </w:sectPr>
      </w:pPr>
    </w:p>
    <w:bookmarkStart w:id="87" w:name="page88"/>
    <w:bookmarkEnd w:id="87"/>
    <w:p>
      <w:pPr>
        <w:ind w:right="80"/>
        <w:spacing w:after="0" w:line="263" w:lineRule="auto"/>
        <w:rPr>
          <w:sz w:val="20"/>
          <w:szCs w:val="20"/>
          <w:color w:val="auto"/>
        </w:rPr>
      </w:pPr>
      <w:r>
        <w:rPr>
          <w:rFonts w:ascii="Arial" w:cs="Arial" w:eastAsia="Arial" w:hAnsi="Arial"/>
          <w:sz w:val="22"/>
          <w:szCs w:val="22"/>
          <w:color w:val="0000FF"/>
        </w:rPr>
        <w:t>Maturity Date of any then-outstanding Tranche B Loans, provided that if such date is not a Business Day, then the “2019 Extended Tranche A Term Loan Maturity Date” will be the Business Day immediately preceding such date.</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19"/>
          <w:szCs w:val="19"/>
          <w:color w:val="0000FF"/>
        </w:rPr>
        <w:t>“2019 Extended Tranche A Term Loan Repayment Amount” shall have the meaning provided in Section 2.5(c).</w:t>
      </w:r>
    </w:p>
    <w:p>
      <w:pPr>
        <w:spacing w:after="0" w:line="362" w:lineRule="exact"/>
        <w:rPr>
          <w:sz w:val="20"/>
          <w:szCs w:val="20"/>
          <w:color w:val="auto"/>
        </w:rPr>
      </w:pPr>
    </w:p>
    <w:p>
      <w:pPr>
        <w:ind w:left="1300"/>
        <w:spacing w:after="0"/>
        <w:rPr>
          <w:sz w:val="20"/>
          <w:szCs w:val="20"/>
          <w:color w:val="auto"/>
        </w:rPr>
      </w:pPr>
      <w:r>
        <w:rPr>
          <w:rFonts w:ascii="Arial" w:cs="Arial" w:eastAsia="Arial" w:hAnsi="Arial"/>
          <w:sz w:val="21"/>
          <w:szCs w:val="21"/>
          <w:color w:val="0000FF"/>
        </w:rPr>
        <w:t>“2019 Extended Tranche A Term Loan Repayment Date” shall have the meaning provided in Section 2.5(c).</w:t>
      </w:r>
    </w:p>
    <w:p>
      <w:pPr>
        <w:spacing w:after="0" w:line="339" w:lineRule="exact"/>
        <w:rPr>
          <w:sz w:val="20"/>
          <w:szCs w:val="20"/>
          <w:color w:val="auto"/>
        </w:rPr>
      </w:pPr>
    </w:p>
    <w:p>
      <w:pPr>
        <w:ind w:left="1300"/>
        <w:spacing w:after="0"/>
        <w:rPr>
          <w:sz w:val="20"/>
          <w:szCs w:val="20"/>
          <w:color w:val="auto"/>
        </w:rPr>
      </w:pPr>
      <w:r>
        <w:rPr>
          <w:rFonts w:ascii="Arial" w:cs="Arial" w:eastAsia="Arial" w:hAnsi="Arial"/>
          <w:sz w:val="22"/>
          <w:szCs w:val="22"/>
          <w:color w:val="0000FF"/>
        </w:rPr>
        <w:t>“2019 Extended Tranche A Term Loans” shall have the meaning provided in Section.</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0000FF"/>
        </w:rPr>
        <w:t>“2019 Initial Extended Tranche A Term Loans” shall have the meaning provided in Section 2.1(a)(ii).</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1"/>
          <w:szCs w:val="21"/>
          <w:color w:val="0000FF"/>
        </w:rPr>
        <w:t>“2019 Refinancing Extended Tranche A Term Loans” shall have the meaning provided in Section 2.1(a)(ii).</w:t>
      </w:r>
    </w:p>
    <w:p>
      <w:pPr>
        <w:spacing w:after="0" w:line="339"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xml:space="preserve">” shall mean, for any day, a fluctuating rate per annum equal to the highest of (a) the Federal Funds Effective Rate in effect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(b) the rate of interest in effect for such day as publicly announced from time to time by the Administrative Agent as its “prime rate,” (c) the Eurodollar Rate plus 1.00% and (d) solely with respect to (i) prior to the Amendment No. 1 Effective Date, the Initial Tranche B Term Loans and, (ii) on and after the Amendment No. 1 Effective Date, the 2013 Incremental Tranche B Term Loans, 1.75%.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If the Administrative Agent shall have determined (which determination should be conclusive absent manifest error) that it is unable to ascertain the Federal Funds Effective Rate due to its inability to obtain sufficient quotations in accordance with the terms of the definition thereof, after notice is provided to the Borrower, the ABR shall be determined without regard to clause (b) of the preceding sentence until the circumstances giving rise to such inability no longer exist. Any change in the ABR due to a change in the “prime rate”, the Federal Funds Effective Rate or the Eurodollar Rate shall be effective as of the opening of business on the effective day of such change in the “prime rate”, the Federal Funds Effective Rate or the Eurodollar Rate, respectively.</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Loan</w:t>
      </w:r>
      <w:r>
        <w:rPr>
          <w:rFonts w:ascii="Arial" w:cs="Arial" w:eastAsia="Arial" w:hAnsi="Arial"/>
          <w:sz w:val="22"/>
          <w:szCs w:val="22"/>
          <w:color w:val="auto"/>
        </w:rPr>
        <w:t>” shall mean each Loan bearing interest at the rate provided in Section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2.8(a) and, in any event, shall include all Swingline Loans.</w:t>
      </w:r>
    </w:p>
    <w:p>
      <w:pPr>
        <w:spacing w:after="0" w:line="328" w:lineRule="exact"/>
        <w:rPr>
          <w:sz w:val="20"/>
          <w:szCs w:val="20"/>
          <w:color w:val="auto"/>
        </w:rPr>
      </w:pPr>
    </w:p>
    <w:p>
      <w:pPr>
        <w:ind w:right="5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Reinvestment Commitment</w:t>
      </w:r>
      <w:r>
        <w:rPr>
          <w:rFonts w:ascii="Arial" w:cs="Arial" w:eastAsia="Arial" w:hAnsi="Arial"/>
          <w:sz w:val="22"/>
          <w:szCs w:val="22"/>
          <w:color w:val="auto"/>
        </w:rPr>
        <w:t>” shall mean a binding commitment of the Borrower or any Restricted Subsidiary entered into at any time prior to the end of the Reinvestment Period to reinvest the proceeds of an Asset Sale Prepayment Event, Permitted Sale Leaseback or Recovery Prepayment Event.</w:t>
      </w:r>
    </w:p>
    <w:p>
      <w:pPr>
        <w:spacing w:after="0" w:line="294" w:lineRule="exact"/>
        <w:rPr>
          <w:sz w:val="20"/>
          <w:szCs w:val="20"/>
          <w:color w:val="auto"/>
        </w:rPr>
      </w:pPr>
    </w:p>
    <w:p>
      <w:pPr>
        <w:ind w:right="5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EBITDA</w:t>
      </w:r>
      <w:r>
        <w:rPr>
          <w:rFonts w:ascii="Arial" w:cs="Arial" w:eastAsia="Arial" w:hAnsi="Arial"/>
          <w:sz w:val="22"/>
          <w:szCs w:val="22"/>
          <w:color w:val="auto"/>
        </w:rPr>
        <w:t>” shall mean, with respect to any Acquired Entity or Business or any Converted Restricted Subsidiary for any period, the amount for such period of</w:t>
      </w:r>
    </w:p>
    <w:p>
      <w:pPr>
        <w:spacing w:after="0" w:line="283" w:lineRule="exact"/>
        <w:rPr>
          <w:sz w:val="20"/>
          <w:szCs w:val="20"/>
          <w:color w:val="auto"/>
        </w:rPr>
      </w:pPr>
    </w:p>
    <w:p>
      <w:pPr>
        <w:ind w:left="4300"/>
        <w:spacing w:after="0"/>
        <w:tabs>
          <w:tab w:leader="none" w:pos="70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7"/>
          <w:szCs w:val="17"/>
          <w:color w:val="auto"/>
        </w:rPr>
        <w:t>4</w:t>
      </w:r>
    </w:p>
    <w:p>
      <w:pPr>
        <w:sectPr>
          <w:pgSz w:w="11900" w:h="16838" w:orient="portrait"/>
          <w:cols w:equalWidth="0" w:num="1">
            <w:col w:w="11400"/>
          </w:cols>
          <w:pgMar w:left="240" w:top="132" w:right="25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as the Administrative Agent may hereafter designate in writing as such to the other parties hereto.</w:t>
      </w:r>
    </w:p>
    <w:p>
      <w:pPr>
        <w:spacing w:after="0" w:line="328"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Person, another Person that directly or indirectly, through one or more intermediaries, Controls or is Controlled by or is under common Control with the Person specified. The term “</w:t>
      </w:r>
      <w:r>
        <w:rPr>
          <w:rFonts w:ascii="Arial" w:cs="Arial" w:eastAsia="Arial" w:hAnsi="Arial"/>
          <w:sz w:val="22"/>
          <w:szCs w:val="22"/>
          <w:u w:val="single" w:color="auto"/>
          <w:color w:val="auto"/>
        </w:rPr>
        <w:t>Control</w:t>
      </w:r>
      <w:r>
        <w:rPr>
          <w:rFonts w:ascii="Arial" w:cs="Arial" w:eastAsia="Arial" w:hAnsi="Arial"/>
          <w:sz w:val="22"/>
          <w:szCs w:val="22"/>
          <w:color w:val="auto"/>
        </w:rPr>
        <w:t>” shall mean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300"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w:t>
      </w:r>
      <w:r>
        <w:rPr>
          <w:rFonts w:ascii="Arial" w:cs="Arial" w:eastAsia="Arial" w:hAnsi="Arial"/>
          <w:sz w:val="22"/>
          <w:szCs w:val="22"/>
          <w:color w:val="auto"/>
        </w:rPr>
        <w:t>” shall mean a Non</w:t>
      </w:r>
      <w:r>
        <w:rPr>
          <w:rFonts w:ascii="MS PGothic" w:cs="MS PGothic" w:eastAsia="MS PGothic" w:hAnsi="MS PGothic"/>
          <w:sz w:val="22"/>
          <w:szCs w:val="22"/>
          <w:color w:val="auto"/>
        </w:rPr>
        <w:t>‑</w:t>
      </w:r>
      <w:r>
        <w:rPr>
          <w:rFonts w:ascii="Arial" w:cs="Arial" w:eastAsia="Arial" w:hAnsi="Arial"/>
          <w:sz w:val="22"/>
          <w:szCs w:val="22"/>
          <w:color w:val="auto"/>
        </w:rPr>
        <w:t>Debt Fund Affiliate or a Debt Fund Affiliate.</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 Assignment and Acceptance</w:t>
      </w:r>
      <w:r>
        <w:rPr>
          <w:rFonts w:ascii="Arial" w:cs="Arial" w:eastAsia="Arial" w:hAnsi="Arial"/>
          <w:sz w:val="22"/>
          <w:szCs w:val="22"/>
          <w:color w:val="auto"/>
        </w:rPr>
        <w:t>” shall have the meaning provided in Section 13.6(g)(C).</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 Register</w:t>
      </w:r>
      <w:r>
        <w:rPr>
          <w:rFonts w:ascii="Arial" w:cs="Arial" w:eastAsia="Arial" w:hAnsi="Arial"/>
          <w:sz w:val="22"/>
          <w:szCs w:val="22"/>
          <w:color w:val="auto"/>
        </w:rPr>
        <w:t>” shall have the meaning provided in Section 13.6(j).</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9"/>
          <w:szCs w:val="19"/>
          <w:color w:val="0000FF"/>
        </w:rPr>
        <w:t>“Agency Effective Date” shall mean the “Agency Replacement Effective Date” (as defined in Amendment No. 2).</w:t>
      </w:r>
    </w:p>
    <w:p>
      <w:pPr>
        <w:spacing w:after="0" w:line="362"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Agency Fee Letter</w:t>
      </w:r>
      <w:r>
        <w:rPr>
          <w:rFonts w:ascii="Arial" w:cs="Arial" w:eastAsia="Arial" w:hAnsi="Arial"/>
          <w:sz w:val="22"/>
          <w:szCs w:val="22"/>
          <w:color w:val="auto"/>
        </w:rPr>
        <w:t>” shall mean that certain Agency Fee Letter, dated as of March 16, 2012, between the Borrower and the Administrative Agent.</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shall have the meaning provided in Section 13.2.</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shall mean each of (i) the Administrative Agent and (ii) the Collateral Agent.</w:t>
      </w:r>
    </w:p>
    <w:p>
      <w:pPr>
        <w:spacing w:after="0" w:line="32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Debit Items</w:t>
      </w:r>
      <w:r>
        <w:rPr>
          <w:rFonts w:ascii="Arial" w:cs="Arial" w:eastAsia="Arial" w:hAnsi="Arial"/>
          <w:sz w:val="22"/>
          <w:szCs w:val="22"/>
          <w:color w:val="auto"/>
        </w:rPr>
        <w:t>” shall have the meaning set forth in SEC Rule 15c3-1(a)(1)(ii) and items 10-14 of Exhibit A to SEC Rule 15c3-3.</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mean this Credit Agreement.</w:t>
      </w:r>
    </w:p>
    <w:p>
      <w:pPr>
        <w:spacing w:after="0" w:line="328"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w:t>
      </w:r>
      <w:r>
        <w:rPr>
          <w:rFonts w:ascii="Arial" w:cs="Arial" w:eastAsia="Arial" w:hAnsi="Arial"/>
          <w:sz w:val="22"/>
          <w:szCs w:val="22"/>
          <w:color w:val="auto"/>
        </w:rPr>
        <w:t>” shall mean the First Amendment and Incremental Assumption Agreement to this Agreement, dated as of May 13, 2013.</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1 Effective Date</w:t>
      </w:r>
      <w:r>
        <w:rPr>
          <w:rFonts w:ascii="Arial" w:cs="Arial" w:eastAsia="Arial" w:hAnsi="Arial"/>
          <w:sz w:val="19"/>
          <w:szCs w:val="19"/>
          <w:color w:val="auto"/>
        </w:rPr>
        <w:t>” shall mean the “Amendment Effective Date” (as defined in Amendment No. 1).</w:t>
      </w:r>
    </w:p>
    <w:p>
      <w:pPr>
        <w:spacing w:after="0" w:line="362"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0000FF"/>
        </w:rPr>
        <w:t>“Amendment No. 2” shall mean the Second Amendment, Extension and Incremental Assumption Agreement to this Agreement, dated as of October 1, 2014.</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9"/>
          <w:szCs w:val="19"/>
          <w:color w:val="0000FF"/>
        </w:rPr>
        <w:t>“Amendment No. 2 Effective Date” shall mean the “Second Amendment Effective Date” (as defined in Amendment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0000FF"/>
        </w:rPr>
        <w:t>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00"/>
        <w:spacing w:after="0"/>
        <w:tabs>
          <w:tab w:leader="none" w:pos="70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7"/>
          <w:szCs w:val="17"/>
          <w:color w:val="auto"/>
        </w:rPr>
        <w:t>6</w:t>
      </w:r>
    </w:p>
    <w:p>
      <w:pPr>
        <w:sectPr>
          <w:pgSz w:w="11900" w:h="16838" w:orient="portrait"/>
          <w:cols w:equalWidth="0" w:num="1">
            <w:col w:w="11400"/>
          </w:cols>
          <w:pgMar w:left="240" w:top="293" w:right="259" w:bottom="1440" w:gutter="0" w:footer="0" w:header="0"/>
        </w:sectPr>
      </w:pPr>
    </w:p>
    <w:bookmarkStart w:id="89" w:name="page90"/>
    <w:bookmarkEnd w:id="89"/>
    <w:p>
      <w:pPr>
        <w:ind w:right="420" w:firstLine="1297"/>
        <w:spacing w:after="0" w:line="343" w:lineRule="auto"/>
        <w:rPr>
          <w:sz w:val="20"/>
          <w:szCs w:val="20"/>
          <w:color w:val="auto"/>
        </w:rPr>
      </w:pPr>
      <w:r>
        <w:rPr>
          <w:rFonts w:ascii="Arial" w:cs="Arial" w:eastAsia="Arial" w:hAnsi="Arial"/>
          <w:sz w:val="19"/>
          <w:szCs w:val="19"/>
          <w:color w:val="0000FF"/>
        </w:rPr>
        <w:t>“Amendment No. 2 Financial Statement Delivery Date” shall mean the date on which Section 9.1 Financials are delivered to the Administrative Agent under Section 9.1(a) for the fiscal year of the Borrower ending December 31, 2014.</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Anti-Terrorism Laws</w:t>
      </w:r>
      <w:r>
        <w:rPr>
          <w:rFonts w:ascii="Arial" w:cs="Arial" w:eastAsia="Arial" w:hAnsi="Arial"/>
          <w:sz w:val="22"/>
          <w:szCs w:val="22"/>
          <w:color w:val="auto"/>
        </w:rPr>
        <w:t>” shall have the meaning provided in Section 8.19.</w:t>
      </w:r>
    </w:p>
    <w:p>
      <w:pPr>
        <w:spacing w:after="0" w:line="328" w:lineRule="exact"/>
        <w:rPr>
          <w:sz w:val="20"/>
          <w:szCs w:val="20"/>
          <w:color w:val="auto"/>
        </w:rPr>
      </w:pPr>
    </w:p>
    <w:p>
      <w:pPr>
        <w:ind w:right="80"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shall mean, as to any Person, any international, foreign, federal, state and local law (including common law and Environmental Laws), statute, regulation, ordinance, treaty, rule, order, code, regulation, decree, guideline, judgment, consent decree, writ, injunction, settlement agreement or governmental requirement enacted, promulgated or imposed or entered into or agreed by any Governmental Authority, in each case applicable to or binding on such Person or any of its property or assets or to which such Person or any of its property or assets is subject.</w:t>
      </w:r>
    </w:p>
    <w:p>
      <w:pPr>
        <w:spacing w:after="0" w:line="2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shall mean a percentage per annum equal to</w:t>
      </w:r>
      <w:r>
        <w:rPr>
          <w:rFonts w:ascii="Arial" w:cs="Arial" w:eastAsia="Arial" w:hAnsi="Arial"/>
          <w:sz w:val="22"/>
          <w:szCs w:val="22"/>
          <w:color w:val="0000FF"/>
        </w:rPr>
        <w:t>:</w:t>
      </w:r>
    </w:p>
    <w:p>
      <w:pPr>
        <w:spacing w:after="0" w:line="328" w:lineRule="exact"/>
        <w:rPr>
          <w:sz w:val="20"/>
          <w:szCs w:val="20"/>
          <w:color w:val="auto"/>
        </w:rPr>
      </w:pPr>
    </w:p>
    <w:p>
      <w:pPr>
        <w:ind w:left="1600" w:hanging="295"/>
        <w:spacing w:after="0"/>
        <w:tabs>
          <w:tab w:leader="none" w:pos="16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with respect to the Tranche B Term Loans (A) for Eurodollar Loans, 2.50% and (B) for ABR Loans, 1.50% </w:t>
      </w:r>
      <w:r>
        <w:rPr>
          <w:rFonts w:ascii="Arial" w:cs="Arial" w:eastAsia="Arial" w:hAnsi="Arial"/>
          <w:sz w:val="19"/>
          <w:szCs w:val="19"/>
          <w:color w:val="FF0000"/>
          <w:strike w:val="1"/>
        </w:rPr>
        <w:t>and</w:t>
      </w:r>
      <w:r>
        <w:rPr>
          <w:rFonts w:ascii="Arial" w:cs="Arial" w:eastAsia="Arial" w:hAnsi="Arial"/>
          <w:sz w:val="19"/>
          <w:szCs w:val="19"/>
          <w:color w:val="0000FF"/>
        </w:rPr>
        <w:t>;</w:t>
      </w:r>
    </w:p>
    <w:p>
      <w:pPr>
        <w:spacing w:after="0" w:line="362" w:lineRule="exact"/>
        <w:rPr>
          <w:rFonts w:ascii="Arial" w:cs="Arial" w:eastAsia="Arial" w:hAnsi="Arial"/>
          <w:sz w:val="19"/>
          <w:szCs w:val="19"/>
          <w:color w:val="auto"/>
        </w:rPr>
      </w:pPr>
    </w:p>
    <w:p>
      <w:pPr>
        <w:ind w:right="240" w:firstLine="1305"/>
        <w:spacing w:after="0" w:line="250" w:lineRule="auto"/>
        <w:tabs>
          <w:tab w:leader="none" w:pos="1603"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with respect to </w:t>
      </w:r>
      <w:r>
        <w:rPr>
          <w:rFonts w:ascii="Arial" w:cs="Arial" w:eastAsia="Arial" w:hAnsi="Arial"/>
          <w:sz w:val="22"/>
          <w:szCs w:val="22"/>
          <w:color w:val="0000FF"/>
        </w:rPr>
        <w:t>(x)</w:t>
      </w:r>
      <w:r>
        <w:rPr>
          <w:rFonts w:ascii="Arial" w:cs="Arial" w:eastAsia="Arial" w:hAnsi="Arial"/>
          <w:sz w:val="22"/>
          <w:szCs w:val="22"/>
          <w:color w:val="auto"/>
        </w:rPr>
        <w:t xml:space="preserve"> the </w:t>
      </w:r>
      <w:r>
        <w:rPr>
          <w:rFonts w:ascii="Arial" w:cs="Arial" w:eastAsia="Arial" w:hAnsi="Arial"/>
          <w:sz w:val="22"/>
          <w:szCs w:val="22"/>
          <w:color w:val="0000FF"/>
        </w:rPr>
        <w:t>2017</w:t>
      </w:r>
      <w:r>
        <w:rPr>
          <w:rFonts w:ascii="Arial" w:cs="Arial" w:eastAsia="Arial" w:hAnsi="Arial"/>
          <w:sz w:val="22"/>
          <w:szCs w:val="22"/>
          <w:color w:val="auto"/>
        </w:rPr>
        <w:t xml:space="preserve"> Initial Tranche A Term Loans, </w:t>
      </w:r>
      <w:r>
        <w:rPr>
          <w:rFonts w:ascii="Arial" w:cs="Arial" w:eastAsia="Arial" w:hAnsi="Arial"/>
          <w:sz w:val="22"/>
          <w:szCs w:val="22"/>
          <w:color w:val="FF0000"/>
          <w:strike w:val="1"/>
        </w:rPr>
        <w:t>Revolving Credit Loans and Swingline Loans (it</w:t>
      </w:r>
      <w:r>
        <w:rPr>
          <w:rFonts w:ascii="Arial" w:cs="Arial" w:eastAsia="Arial" w:hAnsi="Arial"/>
          <w:sz w:val="22"/>
          <w:szCs w:val="22"/>
          <w:color w:val="auto"/>
        </w:rPr>
        <w:t xml:space="preserve"> </w:t>
      </w:r>
      <w:r>
        <w:rPr>
          <w:rFonts w:ascii="Arial" w:cs="Arial" w:eastAsia="Arial" w:hAnsi="Arial"/>
          <w:sz w:val="22"/>
          <w:szCs w:val="22"/>
          <w:color w:val="FF0000"/>
          <w:strike w:val="1"/>
        </w:rPr>
        <w:t>being understood that all Swingline Loans shall be ABR Loans)</w:t>
      </w:r>
      <w:r>
        <w:rPr>
          <w:rFonts w:ascii="Arial" w:cs="Arial" w:eastAsia="Arial" w:hAnsi="Arial"/>
          <w:sz w:val="22"/>
          <w:szCs w:val="22"/>
          <w:color w:val="FF0000"/>
        </w:rPr>
        <w:t xml:space="preserve"> </w:t>
      </w:r>
      <w:r>
        <w:rPr>
          <w:rFonts w:ascii="Arial" w:cs="Arial" w:eastAsia="Arial" w:hAnsi="Arial"/>
          <w:sz w:val="22"/>
          <w:szCs w:val="22"/>
          <w:color w:val="0000FF"/>
        </w:rPr>
        <w:t>and (y) prior to the Amendment No. 2 Effective Date, the 2019</w:t>
      </w:r>
      <w:r>
        <w:rPr>
          <w:rFonts w:ascii="Arial" w:cs="Arial" w:eastAsia="Arial" w:hAnsi="Arial"/>
          <w:sz w:val="22"/>
          <w:szCs w:val="22"/>
          <w:color w:val="FF0000"/>
        </w:rPr>
        <w:t xml:space="preserve"> </w:t>
      </w:r>
      <w:r>
        <w:rPr>
          <w:rFonts w:ascii="Arial" w:cs="Arial" w:eastAsia="Arial" w:hAnsi="Arial"/>
          <w:sz w:val="22"/>
          <w:szCs w:val="22"/>
          <w:color w:val="0000FF"/>
        </w:rPr>
        <w:t xml:space="preserve">Extended Tranche A Term Loans, </w:t>
      </w:r>
      <w:r>
        <w:rPr>
          <w:rFonts w:ascii="Arial" w:cs="Arial" w:eastAsia="Arial" w:hAnsi="Arial"/>
          <w:sz w:val="22"/>
          <w:szCs w:val="22"/>
          <w:color w:val="000000"/>
        </w:rPr>
        <w:t>(i) initially, (A) for Eurodollar Loans, 2.50% and (B) for ABR Loans, 1.50% and (ii) following</w:t>
      </w:r>
      <w:r>
        <w:rPr>
          <w:rFonts w:ascii="Arial" w:cs="Arial" w:eastAsia="Arial" w:hAnsi="Arial"/>
          <w:sz w:val="22"/>
          <w:szCs w:val="22"/>
          <w:color w:val="0000FF"/>
        </w:rPr>
        <w:t xml:space="preserve"> </w:t>
      </w:r>
      <w:r>
        <w:rPr>
          <w:rFonts w:ascii="Arial" w:cs="Arial" w:eastAsia="Arial" w:hAnsi="Arial"/>
          <w:sz w:val="22"/>
          <w:szCs w:val="22"/>
          <w:color w:val="000000"/>
        </w:rPr>
        <w:t>the Initial Financial Statement Delivery Date, as set forth on the grid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000" w:type="dxa"/>
            <w:vAlign w:val="bottom"/>
            <w:tcBorders>
              <w:top w:val="single" w:sz="8" w:color="auto"/>
              <w:left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34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0" w:type="dxa"/>
            <w:vAlign w:val="bottom"/>
            <w:tcBorders>
              <w:left w:val="single" w:sz="8" w:color="auto"/>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gridSpan w:val="3"/>
          </w:tcPr>
          <w:p>
            <w:pPr>
              <w:jc w:val="center"/>
              <w:spacing w:after="0" w:line="214" w:lineRule="exact"/>
              <w:rPr>
                <w:sz w:val="20"/>
                <w:szCs w:val="20"/>
                <w:color w:val="auto"/>
              </w:rPr>
            </w:pPr>
            <w:r>
              <w:rPr>
                <w:rFonts w:ascii="Arial" w:cs="Arial" w:eastAsia="Arial" w:hAnsi="Arial"/>
                <w:sz w:val="20"/>
                <w:szCs w:val="20"/>
                <w:b w:val="1"/>
                <w:bCs w:val="1"/>
                <w:color w:val="0000FF"/>
                <w:w w:val="91"/>
              </w:rPr>
              <w:t>Applicable Margin for 2019</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Borders>
              <w:left w:val="single" w:sz="8" w:color="auto"/>
              <w:right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0000FF"/>
                <w:w w:val="91"/>
              </w:rPr>
              <w:t>Extended Tranche A Term</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0000FF"/>
                <w:w w:val="91"/>
              </w:rPr>
              <w:t>Applicable Margin for 2019 Extended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0000FF"/>
                <w:w w:val="88"/>
              </w:rPr>
              <w:t>Consolidated Total Debt to</w:t>
            </w:r>
          </w:p>
        </w:tc>
        <w:tc>
          <w:tcPr>
            <w:tcW w:w="220" w:type="dxa"/>
            <w:vAlign w:val="bottom"/>
          </w:tcPr>
          <w:p>
            <w:pPr>
              <w:spacing w:after="0"/>
              <w:rPr>
                <w:sz w:val="19"/>
                <w:szCs w:val="19"/>
                <w:color w:val="auto"/>
              </w:rPr>
            </w:pPr>
          </w:p>
        </w:tc>
        <w:tc>
          <w:tcPr>
            <w:tcW w:w="2380" w:type="dxa"/>
            <w:vAlign w:val="bottom"/>
            <w:tcBorders>
              <w:right w:val="single" w:sz="8" w:color="auto"/>
            </w:tcBorders>
            <w:gridSpan w:val="2"/>
          </w:tcPr>
          <w:p>
            <w:pPr>
              <w:jc w:val="center"/>
              <w:ind w:right="112"/>
              <w:spacing w:after="0"/>
              <w:rPr>
                <w:sz w:val="20"/>
                <w:szCs w:val="20"/>
                <w:color w:val="auto"/>
              </w:rPr>
            </w:pPr>
            <w:r>
              <w:rPr>
                <w:rFonts w:ascii="Arial" w:cs="Arial" w:eastAsia="Arial" w:hAnsi="Arial"/>
                <w:sz w:val="20"/>
                <w:szCs w:val="20"/>
                <w:b w:val="1"/>
                <w:bCs w:val="1"/>
                <w:color w:val="0000FF"/>
                <w:w w:val="92"/>
              </w:rPr>
              <w:t>Loans* and 2017 Initial</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0000FF"/>
                <w:w w:val="90"/>
              </w:rPr>
              <w:t>Tranche A Term Loans* and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0000FF"/>
                <w:w w:val="88"/>
              </w:rPr>
              <w:t>Consolidated</w:t>
            </w:r>
          </w:p>
        </w:tc>
        <w:tc>
          <w:tcPr>
            <w:tcW w:w="260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0000FF"/>
                <w:w w:val="90"/>
              </w:rPr>
              <w:t>Tranche A Term Loans that</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0000FF"/>
                <w:w w:val="91"/>
              </w:rPr>
              <w:t>Initial Tranche A Term Loans that are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0000FF"/>
                <w:w w:val="91"/>
              </w:rPr>
              <w:t>Pricing Level</w:t>
            </w: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0000FF"/>
                <w:w w:val="96"/>
              </w:rPr>
              <w:t>EBITDA Ratio</w:t>
            </w:r>
          </w:p>
        </w:tc>
        <w:tc>
          <w:tcPr>
            <w:tcW w:w="22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132"/>
              <w:spacing w:after="0"/>
              <w:rPr>
                <w:sz w:val="20"/>
                <w:szCs w:val="20"/>
                <w:color w:val="auto"/>
              </w:rPr>
            </w:pPr>
            <w:r>
              <w:rPr>
                <w:rFonts w:ascii="Arial" w:cs="Arial" w:eastAsia="Arial" w:hAnsi="Arial"/>
                <w:sz w:val="20"/>
                <w:szCs w:val="20"/>
                <w:b w:val="1"/>
                <w:bCs w:val="1"/>
                <w:color w:val="0000FF"/>
                <w:w w:val="90"/>
              </w:rPr>
              <w:t>are Eurodollar Loans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0000FF"/>
                <w:w w:val="90"/>
              </w:rPr>
              <w:t>ABR Loans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left w:val="single" w:sz="8" w:color="auto"/>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0000FF"/>
                <w:w w:val="89"/>
              </w:rPr>
              <w:t>1</w:t>
            </w: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0000FF"/>
                <w:w w:val="88"/>
              </w:rPr>
              <w:t>Greater than 2.25:1.00</w:t>
            </w:r>
          </w:p>
        </w:tc>
        <w:tc>
          <w:tcPr>
            <w:tcW w:w="1580" w:type="dxa"/>
            <w:vAlign w:val="bottom"/>
            <w:gridSpan w:val="2"/>
          </w:tcPr>
          <w:p>
            <w:pPr>
              <w:jc w:val="center"/>
              <w:ind w:left="901"/>
              <w:spacing w:after="0"/>
              <w:rPr>
                <w:sz w:val="20"/>
                <w:szCs w:val="20"/>
                <w:color w:val="auto"/>
              </w:rPr>
            </w:pPr>
            <w:r>
              <w:rPr>
                <w:rFonts w:ascii="Arial" w:cs="Arial" w:eastAsia="Arial" w:hAnsi="Arial"/>
                <w:sz w:val="20"/>
                <w:szCs w:val="20"/>
                <w:color w:val="0000FF"/>
                <w:w w:val="88"/>
              </w:rPr>
              <w:t>2.50%</w:t>
            </w:r>
          </w:p>
        </w:tc>
        <w:tc>
          <w:tcPr>
            <w:tcW w:w="102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8"/>
              </w:rPr>
              <w:t>1.50%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0000FF"/>
                <w:w w:val="87"/>
              </w:rPr>
              <w:t>Less than or equal to</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Borders>
              <w:left w:val="single" w:sz="8" w:color="auto"/>
              <w:right w:val="single" w:sz="8" w:color="auto"/>
            </w:tcBorders>
          </w:tcPr>
          <w:p>
            <w:pPr>
              <w:spacing w:after="0"/>
              <w:rPr>
                <w:sz w:val="19"/>
                <w:szCs w:val="19"/>
                <w:color w:val="auto"/>
              </w:rPr>
            </w:pPr>
          </w:p>
        </w:tc>
        <w:tc>
          <w:tcPr>
            <w:tcW w:w="1880" w:type="dxa"/>
            <w:vAlign w:val="bottom"/>
          </w:tcPr>
          <w:p>
            <w:pPr>
              <w:jc w:val="center"/>
              <w:ind w:left="363"/>
              <w:spacing w:after="0"/>
              <w:rPr>
                <w:sz w:val="20"/>
                <w:szCs w:val="20"/>
                <w:color w:val="auto"/>
              </w:rPr>
            </w:pPr>
            <w:r>
              <w:rPr>
                <w:rFonts w:ascii="Arial" w:cs="Arial" w:eastAsia="Arial" w:hAnsi="Arial"/>
                <w:sz w:val="20"/>
                <w:szCs w:val="20"/>
                <w:color w:val="0000FF"/>
                <w:w w:val="88"/>
              </w:rPr>
              <w:t>2.25:1.00</w:t>
            </w:r>
          </w:p>
        </w:tc>
        <w:tc>
          <w:tcPr>
            <w:tcW w:w="5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0000FF"/>
                <w:w w:val="89"/>
              </w:rPr>
              <w:t>2</w:t>
            </w: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0000FF"/>
                <w:w w:val="88"/>
              </w:rPr>
              <w:t>but greater than 1.50:1.00</w:t>
            </w:r>
          </w:p>
        </w:tc>
        <w:tc>
          <w:tcPr>
            <w:tcW w:w="1580" w:type="dxa"/>
            <w:vAlign w:val="bottom"/>
            <w:gridSpan w:val="2"/>
          </w:tcPr>
          <w:p>
            <w:pPr>
              <w:jc w:val="center"/>
              <w:ind w:left="901"/>
              <w:spacing w:after="0"/>
              <w:rPr>
                <w:sz w:val="20"/>
                <w:szCs w:val="20"/>
                <w:color w:val="auto"/>
              </w:rPr>
            </w:pPr>
            <w:r>
              <w:rPr>
                <w:rFonts w:ascii="Arial" w:cs="Arial" w:eastAsia="Arial" w:hAnsi="Arial"/>
                <w:sz w:val="20"/>
                <w:szCs w:val="20"/>
                <w:color w:val="0000FF"/>
                <w:w w:val="88"/>
              </w:rPr>
              <w:t>2.25%</w:t>
            </w:r>
          </w:p>
        </w:tc>
        <w:tc>
          <w:tcPr>
            <w:tcW w:w="10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8"/>
              </w:rPr>
              <w:t>1.25%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0000FF"/>
                <w:w w:val="87"/>
              </w:rPr>
              <w:t>Less than or equal to</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Borders>
              <w:left w:val="single" w:sz="8" w:color="auto"/>
              <w:right w:val="single" w:sz="8" w:color="auto"/>
            </w:tcBorders>
          </w:tcPr>
          <w:p>
            <w:pPr>
              <w:spacing w:after="0"/>
              <w:rPr>
                <w:sz w:val="19"/>
                <w:szCs w:val="19"/>
                <w:color w:val="auto"/>
              </w:rPr>
            </w:pPr>
          </w:p>
        </w:tc>
        <w:tc>
          <w:tcPr>
            <w:tcW w:w="1880" w:type="dxa"/>
            <w:vAlign w:val="bottom"/>
          </w:tcPr>
          <w:p>
            <w:pPr>
              <w:jc w:val="center"/>
              <w:ind w:left="363"/>
              <w:spacing w:after="0"/>
              <w:rPr>
                <w:sz w:val="20"/>
                <w:szCs w:val="20"/>
                <w:color w:val="auto"/>
              </w:rPr>
            </w:pPr>
            <w:r>
              <w:rPr>
                <w:rFonts w:ascii="Arial" w:cs="Arial" w:eastAsia="Arial" w:hAnsi="Arial"/>
                <w:sz w:val="20"/>
                <w:szCs w:val="20"/>
                <w:color w:val="0000FF"/>
                <w:w w:val="88"/>
              </w:rPr>
              <w:t>1.50:1.00</w:t>
            </w:r>
          </w:p>
        </w:tc>
        <w:tc>
          <w:tcPr>
            <w:tcW w:w="5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0000FF"/>
                <w:w w:val="89"/>
              </w:rPr>
              <w:t>3</w:t>
            </w: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0000FF"/>
                <w:w w:val="88"/>
              </w:rPr>
              <w:t>but greater than 1.00:1.00</w:t>
            </w:r>
          </w:p>
        </w:tc>
        <w:tc>
          <w:tcPr>
            <w:tcW w:w="1580" w:type="dxa"/>
            <w:vAlign w:val="bottom"/>
            <w:gridSpan w:val="2"/>
          </w:tcPr>
          <w:p>
            <w:pPr>
              <w:jc w:val="center"/>
              <w:ind w:left="901"/>
              <w:spacing w:after="0"/>
              <w:rPr>
                <w:sz w:val="20"/>
                <w:szCs w:val="20"/>
                <w:color w:val="auto"/>
              </w:rPr>
            </w:pPr>
            <w:r>
              <w:rPr>
                <w:rFonts w:ascii="Arial" w:cs="Arial" w:eastAsia="Arial" w:hAnsi="Arial"/>
                <w:sz w:val="20"/>
                <w:szCs w:val="20"/>
                <w:color w:val="0000FF"/>
                <w:w w:val="88"/>
              </w:rPr>
              <w:t>2.00%</w:t>
            </w:r>
          </w:p>
        </w:tc>
        <w:tc>
          <w:tcPr>
            <w:tcW w:w="10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8"/>
              </w:rPr>
              <w:t>1.00%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0000FF"/>
                <w:w w:val="87"/>
              </w:rPr>
              <w:t>Less than or equal to</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0000FF"/>
                <w:w w:val="89"/>
              </w:rPr>
              <w:t>4</w:t>
            </w:r>
          </w:p>
        </w:tc>
        <w:tc>
          <w:tcPr>
            <w:tcW w:w="1880" w:type="dxa"/>
            <w:vAlign w:val="bottom"/>
          </w:tcPr>
          <w:p>
            <w:pPr>
              <w:jc w:val="center"/>
              <w:ind w:left="363"/>
              <w:spacing w:after="0"/>
              <w:rPr>
                <w:sz w:val="20"/>
                <w:szCs w:val="20"/>
                <w:color w:val="auto"/>
              </w:rPr>
            </w:pPr>
            <w:r>
              <w:rPr>
                <w:rFonts w:ascii="Arial" w:cs="Arial" w:eastAsia="Arial" w:hAnsi="Arial"/>
                <w:sz w:val="20"/>
                <w:szCs w:val="20"/>
                <w:color w:val="0000FF"/>
                <w:w w:val="88"/>
              </w:rPr>
              <w:t>1.00:1.00</w:t>
            </w:r>
          </w:p>
        </w:tc>
        <w:tc>
          <w:tcPr>
            <w:tcW w:w="500" w:type="dxa"/>
            <w:vAlign w:val="bottom"/>
            <w:tcBorders>
              <w:right w:val="single" w:sz="8" w:color="auto"/>
            </w:tcBorders>
          </w:tcPr>
          <w:p>
            <w:pPr>
              <w:spacing w:after="0"/>
              <w:rPr>
                <w:sz w:val="21"/>
                <w:szCs w:val="21"/>
                <w:color w:val="auto"/>
              </w:rPr>
            </w:pPr>
          </w:p>
        </w:tc>
        <w:tc>
          <w:tcPr>
            <w:tcW w:w="1580" w:type="dxa"/>
            <w:vAlign w:val="bottom"/>
            <w:gridSpan w:val="2"/>
          </w:tcPr>
          <w:p>
            <w:pPr>
              <w:jc w:val="center"/>
              <w:ind w:left="901"/>
              <w:spacing w:after="0"/>
              <w:rPr>
                <w:sz w:val="20"/>
                <w:szCs w:val="20"/>
                <w:color w:val="auto"/>
              </w:rPr>
            </w:pPr>
            <w:r>
              <w:rPr>
                <w:rFonts w:ascii="Arial" w:cs="Arial" w:eastAsia="Arial" w:hAnsi="Arial"/>
                <w:sz w:val="20"/>
                <w:szCs w:val="20"/>
                <w:color w:val="0000FF"/>
                <w:w w:val="88"/>
              </w:rPr>
              <w:t>1.75%</w:t>
            </w:r>
          </w:p>
        </w:tc>
        <w:tc>
          <w:tcPr>
            <w:tcW w:w="10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8"/>
              </w:rPr>
              <w:t>0.75%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tcBorders>
              <w:left w:val="single" w:sz="8" w:color="auto"/>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0000FF"/>
              </w:rPr>
              <w:t>*prior to the Amendment No. 2 Effective Date.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80" w:type="dxa"/>
            <w:vAlign w:val="bottom"/>
          </w:tcPr>
          <w:p>
            <w:pPr>
              <w:ind w:left="1280"/>
              <w:spacing w:after="0"/>
              <w:rPr>
                <w:sz w:val="20"/>
                <w:szCs w:val="20"/>
                <w:color w:val="auto"/>
              </w:rPr>
            </w:pPr>
            <w:r>
              <w:rPr>
                <w:rFonts w:ascii="Arial" w:cs="Arial" w:eastAsia="Arial" w:hAnsi="Arial"/>
                <w:sz w:val="14"/>
                <w:szCs w:val="14"/>
                <w:color w:val="auto"/>
                <w:w w:val="96"/>
              </w:rPr>
              <w:t>NYDOCS</w:t>
            </w:r>
          </w:p>
        </w:tc>
        <w:tc>
          <w:tcPr>
            <w:tcW w:w="720" w:type="dxa"/>
            <w:vAlign w:val="bottom"/>
            <w:gridSpan w:val="2"/>
          </w:tcPr>
          <w:p>
            <w:pPr>
              <w:jc w:val="right"/>
              <w:spacing w:after="0"/>
              <w:rPr>
                <w:sz w:val="20"/>
                <w:szCs w:val="20"/>
                <w:color w:val="auto"/>
              </w:rPr>
            </w:pPr>
            <w:r>
              <w:rPr>
                <w:rFonts w:ascii="Arial" w:cs="Arial" w:eastAsia="Arial" w:hAnsi="Arial"/>
                <w:sz w:val="14"/>
                <w:szCs w:val="14"/>
                <w:color w:val="FF0000"/>
                <w:strike w:val="1"/>
                <w:w w:val="89"/>
              </w:rPr>
              <w:t>02/996722.8</w:t>
            </w:r>
          </w:p>
        </w:tc>
        <w:tc>
          <w:tcPr>
            <w:tcW w:w="1360" w:type="dxa"/>
            <w:vAlign w:val="bottom"/>
          </w:tcPr>
          <w:p>
            <w:pPr>
              <w:jc w:val="right"/>
              <w:ind w:right="410"/>
              <w:spacing w:after="0"/>
              <w:rPr>
                <w:sz w:val="20"/>
                <w:szCs w:val="20"/>
                <w:color w:val="auto"/>
              </w:rPr>
            </w:pPr>
            <w:r>
              <w:rPr>
                <w:rFonts w:ascii="Arial" w:cs="Arial" w:eastAsia="Arial" w:hAnsi="Arial"/>
                <w:sz w:val="14"/>
                <w:szCs w:val="14"/>
                <w:color w:val="0000FF"/>
                <w:w w:val="89"/>
              </w:rPr>
              <w:t>01/1378372.11</w:t>
            </w:r>
          </w:p>
        </w:tc>
        <w:tc>
          <w:tcPr>
            <w:tcW w:w="1020" w:type="dxa"/>
            <w:vAlign w:val="bottom"/>
          </w:tcPr>
          <w:p>
            <w:pPr>
              <w:jc w:val="right"/>
              <w:ind w:right="772"/>
              <w:spacing w:after="0"/>
              <w:rPr>
                <w:sz w:val="20"/>
                <w:szCs w:val="20"/>
                <w:color w:val="auto"/>
              </w:rPr>
            </w:pPr>
            <w:r>
              <w:rPr>
                <w:rFonts w:ascii="Arial" w:cs="Arial" w:eastAsia="Arial" w:hAnsi="Arial"/>
                <w:sz w:val="22"/>
                <w:szCs w:val="22"/>
                <w:color w:val="auto"/>
                <w:w w:val="97"/>
              </w:rPr>
              <w:t>7</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4" w:right="239" w:bottom="1440" w:gutter="0" w:footer="0" w:header="0"/>
        </w:sectPr>
      </w:pPr>
    </w:p>
    <w:bookmarkStart w:id="90" w:name="page91"/>
    <w:bookmarkEnd w:id="90"/>
    <w:p>
      <w:pPr>
        <w:ind w:right="40" w:firstLine="656"/>
        <w:spacing w:after="0" w:line="250" w:lineRule="auto"/>
        <w:tabs>
          <w:tab w:leader="none" w:pos="942" w:val="left"/>
        </w:tabs>
        <w:numPr>
          <w:ilvl w:val="0"/>
          <w:numId w:val="61"/>
        </w:numPr>
        <w:rPr>
          <w:rFonts w:ascii="Arial" w:cs="Arial" w:eastAsia="Arial" w:hAnsi="Arial"/>
          <w:sz w:val="22"/>
          <w:szCs w:val="22"/>
          <w:color w:val="0000FF"/>
        </w:rPr>
      </w:pPr>
      <w:r>
        <w:rPr>
          <w:rFonts w:ascii="Arial" w:cs="Arial" w:eastAsia="Arial" w:hAnsi="Arial"/>
          <w:sz w:val="22"/>
          <w:szCs w:val="22"/>
          <w:color w:val="0000FF"/>
        </w:rPr>
        <w:t>at all times on and after the Amendment No. 2 Effective Date, with respect to the 2019 Extended Tranche A Term Loans, the Revolving Credit Loans and the Swingline Loans (it being understood that all Swingline Loans shall be ABR Loans), (i) initially, (A) for Eurodollar Loans, 2.50% and (B) for ABR Loans, 1.50% and (ii) following the Amendment No. 2 Financial Statement Delivery Date, as set forth on the grid below:</w:t>
      </w:r>
    </w:p>
    <w:p>
      <w:pPr>
        <w:spacing w:after="0" w:line="311" w:lineRule="exact"/>
        <w:rPr>
          <w:sz w:val="20"/>
          <w:szCs w:val="20"/>
          <w:color w:val="auto"/>
        </w:rPr>
      </w:pPr>
    </w:p>
    <w:tbl>
      <w:tblPr>
        <w:tblLayout w:type="fixed"/>
        <w:tblInd w:w="30" w:type="dxa"/>
        <w:tblCellMar>
          <w:top w:w="0" w:type="dxa"/>
          <w:left w:w="0" w:type="dxa"/>
          <w:bottom w:w="0" w:type="dxa"/>
          <w:right w:w="0" w:type="dxa"/>
        </w:tblCellMar>
      </w:tblPr>
      <w:tr>
        <w:trPr>
          <w:trHeight w:val="284"/>
        </w:trPr>
        <w:tc>
          <w:tcPr>
            <w:tcW w:w="3000" w:type="dxa"/>
            <w:vAlign w:val="bottom"/>
            <w:tcBorders>
              <w:top w:val="single" w:sz="8" w:color="auto"/>
              <w:left w:val="single" w:sz="8" w:color="auto"/>
              <w:right w:val="single" w:sz="8" w:color="auto"/>
            </w:tcBorders>
            <w:shd w:val="clear" w:color="auto" w:fill="D3D3D3"/>
          </w:tcPr>
          <w:p>
            <w:pPr>
              <w:spacing w:after="0"/>
              <w:rPr>
                <w:sz w:val="24"/>
                <w:szCs w:val="24"/>
                <w:color w:val="auto"/>
              </w:rPr>
            </w:pPr>
          </w:p>
        </w:tc>
        <w:tc>
          <w:tcPr>
            <w:tcW w:w="980" w:type="dxa"/>
            <w:vAlign w:val="bottom"/>
            <w:tcBorders>
              <w:top w:val="single" w:sz="8" w:color="auto"/>
            </w:tcBorders>
            <w:shd w:val="clear" w:color="auto" w:fill="D3D3D3"/>
          </w:tcPr>
          <w:p>
            <w:pPr>
              <w:spacing w:after="0"/>
              <w:rPr>
                <w:sz w:val="24"/>
                <w:szCs w:val="24"/>
                <w:color w:val="auto"/>
              </w:rPr>
            </w:pPr>
          </w:p>
        </w:tc>
        <w:tc>
          <w:tcPr>
            <w:tcW w:w="160" w:type="dxa"/>
            <w:vAlign w:val="bottom"/>
            <w:tcBorders>
              <w:top w:val="single" w:sz="8" w:color="auto"/>
            </w:tcBorders>
            <w:shd w:val="clear" w:color="auto" w:fill="D3D3D3"/>
          </w:tcPr>
          <w:p>
            <w:pPr>
              <w:spacing w:after="0"/>
              <w:rPr>
                <w:sz w:val="24"/>
                <w:szCs w:val="24"/>
                <w:color w:val="auto"/>
              </w:rPr>
            </w:pPr>
          </w:p>
        </w:tc>
        <w:tc>
          <w:tcPr>
            <w:tcW w:w="360" w:type="dxa"/>
            <w:vAlign w:val="bottom"/>
            <w:tcBorders>
              <w:top w:val="single" w:sz="8" w:color="auto"/>
            </w:tcBorders>
            <w:shd w:val="clear" w:color="auto" w:fill="D3D3D3"/>
          </w:tcPr>
          <w:p>
            <w:pPr>
              <w:spacing w:after="0"/>
              <w:rPr>
                <w:sz w:val="24"/>
                <w:szCs w:val="24"/>
                <w:color w:val="auto"/>
              </w:rPr>
            </w:pPr>
          </w:p>
        </w:tc>
        <w:tc>
          <w:tcPr>
            <w:tcW w:w="880" w:type="dxa"/>
            <w:vAlign w:val="bottom"/>
            <w:tcBorders>
              <w:top w:val="single" w:sz="8" w:color="auto"/>
              <w:right w:val="single" w:sz="8" w:color="auto"/>
            </w:tcBorders>
            <w:shd w:val="clear" w:color="auto" w:fill="D3D3D3"/>
          </w:tcPr>
          <w:p>
            <w:pPr>
              <w:spacing w:after="0"/>
              <w:rPr>
                <w:sz w:val="24"/>
                <w:szCs w:val="24"/>
                <w:color w:val="auto"/>
              </w:rPr>
            </w:pPr>
          </w:p>
        </w:tc>
        <w:tc>
          <w:tcPr>
            <w:tcW w:w="2240" w:type="dxa"/>
            <w:vAlign w:val="bottom"/>
            <w:tcBorders>
              <w:top w:val="single" w:sz="8" w:color="auto"/>
            </w:tcBorders>
            <w:gridSpan w:val="3"/>
            <w:shd w:val="clear" w:color="auto" w:fill="D3D3D3"/>
          </w:tcPr>
          <w:p>
            <w:pPr>
              <w:jc w:val="center"/>
              <w:ind w:left="241"/>
              <w:spacing w:after="0"/>
              <w:rPr>
                <w:sz w:val="20"/>
                <w:szCs w:val="20"/>
                <w:color w:val="auto"/>
              </w:rPr>
            </w:pPr>
            <w:r>
              <w:rPr>
                <w:rFonts w:ascii="Arial" w:cs="Arial" w:eastAsia="Arial" w:hAnsi="Arial"/>
                <w:sz w:val="20"/>
                <w:szCs w:val="20"/>
                <w:b w:val="1"/>
                <w:bCs w:val="1"/>
                <w:color w:val="auto"/>
                <w:highlight w:val="lightGray"/>
                <w:w w:val="92"/>
              </w:rPr>
              <w:t>Applicable Margin for</w:t>
            </w:r>
          </w:p>
        </w:tc>
        <w:tc>
          <w:tcPr>
            <w:tcW w:w="360" w:type="dxa"/>
            <w:vAlign w:val="bottom"/>
            <w:tcBorders>
              <w:top w:val="single" w:sz="8" w:color="auto"/>
              <w:right w:val="single" w:sz="8" w:color="auto"/>
            </w:tcBorders>
            <w:shd w:val="clear" w:color="auto" w:fill="D3D3D3"/>
          </w:tcPr>
          <w:p>
            <w:pPr>
              <w:spacing w:after="0"/>
              <w:rPr>
                <w:sz w:val="24"/>
                <w:szCs w:val="24"/>
                <w:color w:val="auto"/>
              </w:rPr>
            </w:pPr>
          </w:p>
        </w:tc>
        <w:tc>
          <w:tcPr>
            <w:tcW w:w="3420" w:type="dxa"/>
            <w:vAlign w:val="bottom"/>
            <w:tcBorders>
              <w:top w:val="single" w:sz="8" w:color="auto"/>
              <w:right w:val="single" w:sz="8" w:color="auto"/>
            </w:tcBorders>
            <w:gridSpan w:val="4"/>
            <w:shd w:val="clear" w:color="auto" w:fill="D3D3D3"/>
          </w:tcPr>
          <w:p>
            <w:pPr>
              <w:jc w:val="center"/>
              <w:ind w:right="20"/>
              <w:spacing w:after="0"/>
              <w:rPr>
                <w:sz w:val="20"/>
                <w:szCs w:val="20"/>
                <w:color w:val="auto"/>
              </w:rPr>
            </w:pPr>
            <w:r>
              <w:rPr>
                <w:rFonts w:ascii="Arial" w:cs="Arial" w:eastAsia="Arial" w:hAnsi="Arial"/>
                <w:sz w:val="20"/>
                <w:szCs w:val="20"/>
                <w:b w:val="1"/>
                <w:bCs w:val="1"/>
                <w:color w:val="auto"/>
                <w:highlight w:val="lightGray"/>
                <w:w w:val="91"/>
              </w:rPr>
              <w:t>Applicable Margin for Revolving</w:t>
            </w: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right w:val="single" w:sz="8" w:color="auto"/>
            </w:tcBorders>
            <w:shd w:val="clear" w:color="auto" w:fill="D3D3D3"/>
          </w:tcPr>
          <w:p>
            <w:pPr>
              <w:spacing w:after="0"/>
              <w:rPr>
                <w:sz w:val="19"/>
                <w:szCs w:val="19"/>
                <w:color w:val="auto"/>
              </w:rPr>
            </w:pPr>
          </w:p>
        </w:tc>
        <w:tc>
          <w:tcPr>
            <w:tcW w:w="980" w:type="dxa"/>
            <w:vAlign w:val="bottom"/>
            <w:shd w:val="clear" w:color="auto" w:fill="D3D3D3"/>
          </w:tcPr>
          <w:p>
            <w:pPr>
              <w:spacing w:after="0"/>
              <w:rPr>
                <w:sz w:val="19"/>
                <w:szCs w:val="19"/>
                <w:color w:val="auto"/>
              </w:rPr>
            </w:pPr>
          </w:p>
        </w:tc>
        <w:tc>
          <w:tcPr>
            <w:tcW w:w="160" w:type="dxa"/>
            <w:vAlign w:val="bottom"/>
            <w:shd w:val="clear" w:color="auto" w:fill="D3D3D3"/>
          </w:tcPr>
          <w:p>
            <w:pPr>
              <w:spacing w:after="0"/>
              <w:rPr>
                <w:sz w:val="19"/>
                <w:szCs w:val="19"/>
                <w:color w:val="auto"/>
              </w:rPr>
            </w:pPr>
          </w:p>
        </w:tc>
        <w:tc>
          <w:tcPr>
            <w:tcW w:w="360" w:type="dxa"/>
            <w:vAlign w:val="bottom"/>
            <w:shd w:val="clear" w:color="auto" w:fill="D3D3D3"/>
          </w:tcPr>
          <w:p>
            <w:pPr>
              <w:spacing w:after="0"/>
              <w:rPr>
                <w:sz w:val="19"/>
                <w:szCs w:val="19"/>
                <w:color w:val="auto"/>
              </w:rPr>
            </w:pPr>
          </w:p>
        </w:tc>
        <w:tc>
          <w:tcPr>
            <w:tcW w:w="880" w:type="dxa"/>
            <w:vAlign w:val="bottom"/>
            <w:tcBorders>
              <w:right w:val="single" w:sz="8" w:color="auto"/>
            </w:tcBorders>
            <w:shd w:val="clear" w:color="auto" w:fill="D3D3D3"/>
          </w:tcPr>
          <w:p>
            <w:pPr>
              <w:spacing w:after="0"/>
              <w:rPr>
                <w:sz w:val="19"/>
                <w:szCs w:val="19"/>
                <w:color w:val="auto"/>
              </w:rPr>
            </w:pPr>
          </w:p>
        </w:tc>
        <w:tc>
          <w:tcPr>
            <w:tcW w:w="2240" w:type="dxa"/>
            <w:vAlign w:val="bottom"/>
            <w:gridSpan w:val="3"/>
            <w:shd w:val="clear" w:color="auto" w:fill="D3D3D3"/>
          </w:tcPr>
          <w:p>
            <w:pPr>
              <w:ind w:left="100"/>
              <w:spacing w:after="0"/>
              <w:rPr>
                <w:sz w:val="20"/>
                <w:szCs w:val="20"/>
                <w:color w:val="auto"/>
              </w:rPr>
            </w:pPr>
            <w:r>
              <w:rPr>
                <w:rFonts w:ascii="Arial" w:cs="Arial" w:eastAsia="Arial" w:hAnsi="Arial"/>
                <w:sz w:val="20"/>
                <w:szCs w:val="20"/>
                <w:b w:val="1"/>
                <w:bCs w:val="1"/>
                <w:color w:val="auto"/>
                <w:highlight w:val="lightGray"/>
                <w:w w:val="94"/>
              </w:rPr>
              <w:t>Revolving Credit Loans</w:t>
            </w:r>
          </w:p>
        </w:tc>
        <w:tc>
          <w:tcPr>
            <w:tcW w:w="360" w:type="dxa"/>
            <w:vAlign w:val="bottom"/>
            <w:tcBorders>
              <w:right w:val="single" w:sz="8" w:color="auto"/>
            </w:tcBorders>
            <w:shd w:val="clear" w:color="auto" w:fill="D3D3D3"/>
          </w:tcPr>
          <w:p>
            <w:pPr>
              <w:spacing w:after="0"/>
              <w:rPr>
                <w:sz w:val="20"/>
                <w:szCs w:val="20"/>
                <w:color w:val="auto"/>
              </w:rPr>
            </w:pPr>
            <w:r>
              <w:rPr>
                <w:rFonts w:ascii="Arial" w:cs="Arial" w:eastAsia="Arial" w:hAnsi="Arial"/>
                <w:sz w:val="20"/>
                <w:szCs w:val="20"/>
                <w:b w:val="1"/>
                <w:bCs w:val="1"/>
                <w:color w:val="auto"/>
                <w:highlight w:val="lightGray"/>
                <w:w w:val="89"/>
              </w:rPr>
              <w:t>and</w:t>
            </w:r>
          </w:p>
        </w:tc>
        <w:tc>
          <w:tcPr>
            <w:tcW w:w="1280" w:type="dxa"/>
            <w:vAlign w:val="bottom"/>
            <w:shd w:val="clear" w:color="auto" w:fill="D3D3D3"/>
          </w:tcPr>
          <w:p>
            <w:pPr>
              <w:spacing w:after="0"/>
              <w:rPr>
                <w:sz w:val="19"/>
                <w:szCs w:val="19"/>
                <w:color w:val="auto"/>
              </w:rPr>
            </w:pPr>
          </w:p>
        </w:tc>
        <w:tc>
          <w:tcPr>
            <w:tcW w:w="680" w:type="dxa"/>
            <w:vAlign w:val="bottom"/>
            <w:gridSpan w:val="2"/>
            <w:shd w:val="clear" w:color="auto" w:fill="D3D3D3"/>
          </w:tcPr>
          <w:p>
            <w:pPr>
              <w:jc w:val="center"/>
              <w:ind w:left="41"/>
              <w:spacing w:after="0"/>
              <w:rPr>
                <w:sz w:val="20"/>
                <w:szCs w:val="20"/>
                <w:color w:val="auto"/>
              </w:rPr>
            </w:pPr>
            <w:r>
              <w:rPr>
                <w:rFonts w:ascii="Arial" w:cs="Arial" w:eastAsia="Arial" w:hAnsi="Arial"/>
                <w:sz w:val="20"/>
                <w:szCs w:val="20"/>
                <w:b w:val="1"/>
                <w:bCs w:val="1"/>
                <w:color w:val="auto"/>
                <w:highlight w:val="lightGray"/>
                <w:w w:val="93"/>
              </w:rPr>
              <w:t>Credit</w:t>
            </w:r>
          </w:p>
        </w:tc>
        <w:tc>
          <w:tcPr>
            <w:tcW w:w="1460" w:type="dxa"/>
            <w:vAlign w:val="bottom"/>
            <w:tcBorders>
              <w:right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right w:val="single" w:sz="8" w:color="auto"/>
            </w:tcBorders>
            <w:shd w:val="clear" w:color="auto" w:fill="D3D3D3"/>
          </w:tcPr>
          <w:p>
            <w:pPr>
              <w:spacing w:after="0"/>
              <w:rPr>
                <w:sz w:val="19"/>
                <w:szCs w:val="19"/>
                <w:color w:val="auto"/>
              </w:rPr>
            </w:pPr>
          </w:p>
        </w:tc>
        <w:tc>
          <w:tcPr>
            <w:tcW w:w="2380" w:type="dxa"/>
            <w:vAlign w:val="bottom"/>
            <w:tcBorders>
              <w:right w:val="single" w:sz="8" w:color="auto"/>
            </w:tcBorders>
            <w:gridSpan w:val="4"/>
            <w:shd w:val="clear" w:color="auto" w:fill="D3D3D3"/>
          </w:tcPr>
          <w:p>
            <w:pPr>
              <w:jc w:val="center"/>
              <w:spacing w:after="0"/>
              <w:rPr>
                <w:sz w:val="20"/>
                <w:szCs w:val="20"/>
                <w:color w:val="auto"/>
              </w:rPr>
            </w:pPr>
            <w:r>
              <w:rPr>
                <w:rFonts w:ascii="Arial" w:cs="Arial" w:eastAsia="Arial" w:hAnsi="Arial"/>
                <w:sz w:val="20"/>
                <w:szCs w:val="20"/>
                <w:b w:val="1"/>
                <w:bCs w:val="1"/>
                <w:color w:val="auto"/>
                <w:highlight w:val="lightGray"/>
                <w:w w:val="88"/>
              </w:rPr>
              <w:t>Consolidated Total Debt to</w:t>
            </w:r>
          </w:p>
        </w:tc>
        <w:tc>
          <w:tcPr>
            <w:tcW w:w="560" w:type="dxa"/>
            <w:vAlign w:val="bottom"/>
            <w:shd w:val="clear" w:color="auto" w:fill="D3D3D3"/>
          </w:tcPr>
          <w:p>
            <w:pPr>
              <w:ind w:left="100"/>
              <w:spacing w:after="0"/>
              <w:rPr>
                <w:sz w:val="20"/>
                <w:szCs w:val="20"/>
                <w:color w:val="auto"/>
              </w:rPr>
            </w:pPr>
            <w:r>
              <w:rPr>
                <w:rFonts w:ascii="Arial" w:cs="Arial" w:eastAsia="Arial" w:hAnsi="Arial"/>
                <w:sz w:val="20"/>
                <w:szCs w:val="20"/>
                <w:b w:val="1"/>
                <w:bCs w:val="1"/>
                <w:color w:val="FF0000"/>
                <w:highlight w:val="lightGray"/>
                <w:strike w:val="1"/>
                <w:w w:val="84"/>
              </w:rPr>
              <w:t>Initial</w:t>
            </w:r>
          </w:p>
        </w:tc>
        <w:tc>
          <w:tcPr>
            <w:tcW w:w="2040" w:type="dxa"/>
            <w:vAlign w:val="bottom"/>
            <w:tcBorders>
              <w:right w:val="single" w:sz="8" w:color="auto"/>
            </w:tcBorders>
            <w:gridSpan w:val="3"/>
            <w:shd w:val="clear" w:color="auto" w:fill="D3D3D3"/>
          </w:tcPr>
          <w:p>
            <w:pPr>
              <w:spacing w:after="0"/>
              <w:rPr>
                <w:sz w:val="20"/>
                <w:szCs w:val="20"/>
                <w:color w:val="auto"/>
              </w:rPr>
            </w:pPr>
            <w:r>
              <w:rPr>
                <w:rFonts w:ascii="Arial" w:cs="Arial" w:eastAsia="Arial" w:hAnsi="Arial"/>
                <w:sz w:val="20"/>
                <w:szCs w:val="20"/>
                <w:b w:val="1"/>
                <w:bCs w:val="1"/>
                <w:color w:val="0000FF"/>
                <w:highlight w:val="lightGray"/>
                <w:w w:val="89"/>
              </w:rPr>
              <w:t xml:space="preserve">2019 Extended </w:t>
            </w:r>
            <w:r>
              <w:rPr>
                <w:rFonts w:ascii="Arial" w:cs="Arial" w:eastAsia="Arial" w:hAnsi="Arial"/>
                <w:sz w:val="20"/>
                <w:szCs w:val="20"/>
                <w:b w:val="1"/>
                <w:bCs w:val="1"/>
                <w:color w:val="000000"/>
                <w:highlight w:val="lightGray"/>
                <w:w w:val="89"/>
              </w:rPr>
              <w:t>Tranche</w:t>
            </w:r>
          </w:p>
        </w:tc>
        <w:tc>
          <w:tcPr>
            <w:tcW w:w="1280" w:type="dxa"/>
            <w:vAlign w:val="bottom"/>
            <w:shd w:val="clear" w:color="auto" w:fill="D3D3D3"/>
          </w:tcPr>
          <w:p>
            <w:pPr>
              <w:ind w:left="340"/>
              <w:spacing w:after="0"/>
              <w:rPr>
                <w:sz w:val="20"/>
                <w:szCs w:val="20"/>
                <w:color w:val="auto"/>
              </w:rPr>
            </w:pPr>
            <w:r>
              <w:rPr>
                <w:rFonts w:ascii="Arial" w:cs="Arial" w:eastAsia="Arial" w:hAnsi="Arial"/>
                <w:sz w:val="20"/>
                <w:szCs w:val="20"/>
                <w:b w:val="1"/>
                <w:bCs w:val="1"/>
                <w:color w:val="auto"/>
                <w:highlight w:val="lightGray"/>
                <w:w w:val="91"/>
              </w:rPr>
              <w:t>Loans and</w:t>
            </w:r>
          </w:p>
        </w:tc>
        <w:tc>
          <w:tcPr>
            <w:tcW w:w="520" w:type="dxa"/>
            <w:vAlign w:val="bottom"/>
            <w:shd w:val="clear" w:color="auto" w:fill="D3D3D3"/>
          </w:tcPr>
          <w:p>
            <w:pPr>
              <w:spacing w:after="0"/>
              <w:rPr>
                <w:sz w:val="20"/>
                <w:szCs w:val="20"/>
                <w:color w:val="auto"/>
              </w:rPr>
            </w:pPr>
            <w:r>
              <w:rPr>
                <w:rFonts w:ascii="Arial" w:cs="Arial" w:eastAsia="Arial" w:hAnsi="Arial"/>
                <w:sz w:val="20"/>
                <w:szCs w:val="20"/>
                <w:b w:val="1"/>
                <w:bCs w:val="1"/>
                <w:color w:val="FF0000"/>
                <w:highlight w:val="lightGray"/>
                <w:strike w:val="1"/>
                <w:w w:val="95"/>
              </w:rPr>
              <w:t>Initial</w:t>
            </w:r>
          </w:p>
        </w:tc>
        <w:tc>
          <w:tcPr>
            <w:tcW w:w="1620" w:type="dxa"/>
            <w:vAlign w:val="bottom"/>
            <w:tcBorders>
              <w:right w:val="single" w:sz="8" w:color="auto"/>
            </w:tcBorders>
            <w:gridSpan w:val="2"/>
            <w:shd w:val="clear" w:color="auto" w:fill="D3D3D3"/>
          </w:tcPr>
          <w:p>
            <w:pPr>
              <w:spacing w:after="0"/>
              <w:rPr>
                <w:sz w:val="20"/>
                <w:szCs w:val="20"/>
                <w:color w:val="auto"/>
              </w:rPr>
            </w:pPr>
            <w:r>
              <w:rPr>
                <w:rFonts w:ascii="Arial" w:cs="Arial" w:eastAsia="Arial" w:hAnsi="Arial"/>
                <w:sz w:val="20"/>
                <w:szCs w:val="20"/>
                <w:b w:val="1"/>
                <w:bCs w:val="1"/>
                <w:color w:val="0000FF"/>
                <w:highlight w:val="lightGray"/>
              </w:rPr>
              <w:t>2019 Extended</w:t>
            </w: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right w:val="single" w:sz="8" w:color="auto"/>
            </w:tcBorders>
            <w:shd w:val="clear" w:color="auto" w:fill="D3D3D3"/>
          </w:tcPr>
          <w:p>
            <w:pPr>
              <w:spacing w:after="0"/>
              <w:rPr>
                <w:sz w:val="19"/>
                <w:szCs w:val="19"/>
                <w:color w:val="auto"/>
              </w:rPr>
            </w:pPr>
          </w:p>
        </w:tc>
        <w:tc>
          <w:tcPr>
            <w:tcW w:w="2380" w:type="dxa"/>
            <w:vAlign w:val="bottom"/>
            <w:tcBorders>
              <w:right w:val="single" w:sz="8" w:color="auto"/>
            </w:tcBorders>
            <w:gridSpan w:val="4"/>
            <w:shd w:val="clear" w:color="auto" w:fill="D3D3D3"/>
          </w:tcPr>
          <w:p>
            <w:pPr>
              <w:jc w:val="center"/>
              <w:spacing w:after="0"/>
              <w:rPr>
                <w:sz w:val="20"/>
                <w:szCs w:val="20"/>
                <w:color w:val="auto"/>
              </w:rPr>
            </w:pPr>
            <w:r>
              <w:rPr>
                <w:rFonts w:ascii="Arial" w:cs="Arial" w:eastAsia="Arial" w:hAnsi="Arial"/>
                <w:sz w:val="20"/>
                <w:szCs w:val="20"/>
                <w:b w:val="1"/>
                <w:bCs w:val="1"/>
                <w:color w:val="auto"/>
                <w:highlight w:val="lightGray"/>
                <w:w w:val="86"/>
              </w:rPr>
              <w:t>Consolidated</w:t>
            </w:r>
          </w:p>
        </w:tc>
        <w:tc>
          <w:tcPr>
            <w:tcW w:w="560" w:type="dxa"/>
            <w:vAlign w:val="bottom"/>
            <w:shd w:val="clear" w:color="auto" w:fill="D3D3D3"/>
          </w:tcPr>
          <w:p>
            <w:pPr>
              <w:ind w:left="340"/>
              <w:spacing w:after="0"/>
              <w:rPr>
                <w:sz w:val="20"/>
                <w:szCs w:val="20"/>
                <w:color w:val="auto"/>
              </w:rPr>
            </w:pPr>
            <w:r>
              <w:rPr>
                <w:rFonts w:ascii="Arial" w:cs="Arial" w:eastAsia="Arial" w:hAnsi="Arial"/>
                <w:sz w:val="20"/>
                <w:szCs w:val="20"/>
                <w:b w:val="1"/>
                <w:bCs w:val="1"/>
                <w:color w:val="auto"/>
                <w:highlight w:val="lightGray"/>
              </w:rPr>
              <w:t>A</w:t>
            </w:r>
          </w:p>
        </w:tc>
        <w:tc>
          <w:tcPr>
            <w:tcW w:w="2040" w:type="dxa"/>
            <w:vAlign w:val="bottom"/>
            <w:tcBorders>
              <w:right w:val="single" w:sz="8" w:color="auto"/>
            </w:tcBorders>
            <w:gridSpan w:val="3"/>
            <w:shd w:val="clear" w:color="auto" w:fill="D3D3D3"/>
          </w:tcPr>
          <w:p>
            <w:pPr>
              <w:spacing w:after="0"/>
              <w:rPr>
                <w:sz w:val="20"/>
                <w:szCs w:val="20"/>
                <w:color w:val="auto"/>
              </w:rPr>
            </w:pPr>
            <w:r>
              <w:rPr>
                <w:rFonts w:ascii="Arial" w:cs="Arial" w:eastAsia="Arial" w:hAnsi="Arial"/>
                <w:sz w:val="20"/>
                <w:szCs w:val="20"/>
                <w:b w:val="1"/>
                <w:bCs w:val="1"/>
                <w:color w:val="auto"/>
                <w:highlight w:val="lightGray"/>
              </w:rPr>
              <w:t>Term Loans that are</w:t>
            </w:r>
          </w:p>
        </w:tc>
        <w:tc>
          <w:tcPr>
            <w:tcW w:w="3420" w:type="dxa"/>
            <w:vAlign w:val="bottom"/>
            <w:tcBorders>
              <w:right w:val="single" w:sz="8" w:color="auto"/>
            </w:tcBorders>
            <w:gridSpan w:val="4"/>
            <w:shd w:val="clear" w:color="auto" w:fill="D3D3D3"/>
          </w:tcPr>
          <w:p>
            <w:pPr>
              <w:jc w:val="center"/>
              <w:ind w:right="40"/>
              <w:spacing w:after="0"/>
              <w:rPr>
                <w:sz w:val="20"/>
                <w:szCs w:val="20"/>
                <w:color w:val="auto"/>
              </w:rPr>
            </w:pPr>
            <w:r>
              <w:rPr>
                <w:rFonts w:ascii="Arial" w:cs="Arial" w:eastAsia="Arial" w:hAnsi="Arial"/>
                <w:sz w:val="20"/>
                <w:szCs w:val="20"/>
                <w:b w:val="1"/>
                <w:bCs w:val="1"/>
                <w:color w:val="auto"/>
                <w:highlight w:val="lightGray"/>
                <w:w w:val="91"/>
              </w:rPr>
              <w:t>Tranche A Term Loans that are ABR</w:t>
            </w:r>
          </w:p>
        </w:tc>
        <w:tc>
          <w:tcPr>
            <w:tcW w:w="0" w:type="dxa"/>
            <w:vAlign w:val="bottom"/>
          </w:tcPr>
          <w:p>
            <w:pPr>
              <w:spacing w:after="0"/>
              <w:rPr>
                <w:sz w:val="1"/>
                <w:szCs w:val="1"/>
                <w:color w:val="auto"/>
              </w:rPr>
            </w:pPr>
          </w:p>
        </w:tc>
      </w:tr>
      <w:tr>
        <w:trPr>
          <w:trHeight w:val="275"/>
        </w:trPr>
        <w:tc>
          <w:tcPr>
            <w:tcW w:w="3000" w:type="dxa"/>
            <w:vAlign w:val="bottom"/>
            <w:tcBorders>
              <w:left w:val="single" w:sz="8" w:color="auto"/>
              <w:bottom w:val="single" w:sz="8" w:color="D3D3D3"/>
              <w:right w:val="single" w:sz="8" w:color="auto"/>
            </w:tcBorders>
            <w:shd w:val="clear" w:color="auto" w:fill="D3D3D3"/>
          </w:tcPr>
          <w:p>
            <w:pPr>
              <w:jc w:val="center"/>
              <w:spacing w:after="0"/>
              <w:rPr>
                <w:sz w:val="20"/>
                <w:szCs w:val="20"/>
                <w:color w:val="auto"/>
              </w:rPr>
            </w:pPr>
            <w:r>
              <w:rPr>
                <w:rFonts w:ascii="Arial" w:cs="Arial" w:eastAsia="Arial" w:hAnsi="Arial"/>
                <w:sz w:val="20"/>
                <w:szCs w:val="20"/>
                <w:b w:val="1"/>
                <w:bCs w:val="1"/>
                <w:color w:val="auto"/>
                <w:w w:val="91"/>
              </w:rPr>
              <w:t>Pricing Level</w:t>
            </w:r>
          </w:p>
        </w:tc>
        <w:tc>
          <w:tcPr>
            <w:tcW w:w="2380" w:type="dxa"/>
            <w:vAlign w:val="bottom"/>
            <w:tcBorders>
              <w:bottom w:val="single" w:sz="8" w:color="D3D3D3"/>
              <w:right w:val="single" w:sz="8" w:color="auto"/>
            </w:tcBorders>
            <w:gridSpan w:val="4"/>
            <w:shd w:val="clear" w:color="auto" w:fill="D3D3D3"/>
          </w:tcPr>
          <w:p>
            <w:pPr>
              <w:jc w:val="center"/>
              <w:spacing w:after="0"/>
              <w:rPr>
                <w:sz w:val="20"/>
                <w:szCs w:val="20"/>
                <w:color w:val="auto"/>
              </w:rPr>
            </w:pPr>
            <w:r>
              <w:rPr>
                <w:rFonts w:ascii="Arial" w:cs="Arial" w:eastAsia="Arial" w:hAnsi="Arial"/>
                <w:sz w:val="20"/>
                <w:szCs w:val="20"/>
                <w:b w:val="1"/>
                <w:bCs w:val="1"/>
                <w:color w:val="auto"/>
                <w:highlight w:val="lightGray"/>
                <w:w w:val="84"/>
              </w:rPr>
              <w:t>EBITDA Ratio</w:t>
            </w:r>
          </w:p>
        </w:tc>
        <w:tc>
          <w:tcPr>
            <w:tcW w:w="560" w:type="dxa"/>
            <w:vAlign w:val="bottom"/>
            <w:tcBorders>
              <w:bottom w:val="single" w:sz="8" w:color="D3D3D3"/>
            </w:tcBorders>
            <w:shd w:val="clear" w:color="auto" w:fill="D3D3D3"/>
          </w:tcPr>
          <w:p>
            <w:pPr>
              <w:spacing w:after="0"/>
              <w:rPr>
                <w:sz w:val="23"/>
                <w:szCs w:val="23"/>
                <w:color w:val="auto"/>
              </w:rPr>
            </w:pPr>
          </w:p>
        </w:tc>
        <w:tc>
          <w:tcPr>
            <w:tcW w:w="1480" w:type="dxa"/>
            <w:vAlign w:val="bottom"/>
            <w:tcBorders>
              <w:bottom w:val="single" w:sz="8" w:color="D3D3D3"/>
            </w:tcBorders>
            <w:shd w:val="clear" w:color="auto" w:fill="D3D3D3"/>
          </w:tcPr>
          <w:p>
            <w:pPr>
              <w:jc w:val="center"/>
              <w:spacing w:after="0"/>
              <w:rPr>
                <w:sz w:val="20"/>
                <w:szCs w:val="20"/>
                <w:color w:val="auto"/>
              </w:rPr>
            </w:pPr>
            <w:r>
              <w:rPr>
                <w:rFonts w:ascii="Arial" w:cs="Arial" w:eastAsia="Arial" w:hAnsi="Arial"/>
                <w:sz w:val="20"/>
                <w:szCs w:val="20"/>
                <w:b w:val="1"/>
                <w:bCs w:val="1"/>
                <w:color w:val="auto"/>
                <w:highlight w:val="lightGray"/>
                <w:w w:val="89"/>
              </w:rPr>
              <w:t>Eurodollar Loans</w:t>
            </w:r>
          </w:p>
        </w:tc>
        <w:tc>
          <w:tcPr>
            <w:tcW w:w="560" w:type="dxa"/>
            <w:vAlign w:val="bottom"/>
            <w:tcBorders>
              <w:bottom w:val="single" w:sz="8" w:color="D3D3D3"/>
              <w:right w:val="single" w:sz="8" w:color="auto"/>
            </w:tcBorders>
            <w:gridSpan w:val="2"/>
            <w:shd w:val="clear" w:color="auto" w:fill="D3D3D3"/>
          </w:tcPr>
          <w:p>
            <w:pPr>
              <w:spacing w:after="0"/>
              <w:rPr>
                <w:sz w:val="23"/>
                <w:szCs w:val="23"/>
                <w:color w:val="auto"/>
              </w:rPr>
            </w:pPr>
          </w:p>
        </w:tc>
        <w:tc>
          <w:tcPr>
            <w:tcW w:w="3420" w:type="dxa"/>
            <w:vAlign w:val="bottom"/>
            <w:tcBorders>
              <w:bottom w:val="single" w:sz="8" w:color="D3D3D3"/>
              <w:right w:val="single" w:sz="8" w:color="auto"/>
            </w:tcBorders>
            <w:gridSpan w:val="4"/>
            <w:shd w:val="clear" w:color="auto" w:fill="D3D3D3"/>
          </w:tcPr>
          <w:p>
            <w:pPr>
              <w:jc w:val="center"/>
              <w:ind w:right="40"/>
              <w:spacing w:after="0"/>
              <w:rPr>
                <w:sz w:val="20"/>
                <w:szCs w:val="20"/>
                <w:color w:val="auto"/>
              </w:rPr>
            </w:pPr>
            <w:r>
              <w:rPr>
                <w:rFonts w:ascii="Arial" w:cs="Arial" w:eastAsia="Arial" w:hAnsi="Arial"/>
                <w:sz w:val="20"/>
                <w:szCs w:val="20"/>
                <w:b w:val="1"/>
                <w:bCs w:val="1"/>
                <w:color w:val="auto"/>
                <w:highlight w:val="lightGray"/>
                <w:w w:val="88"/>
              </w:rPr>
              <w:t>Loans</w:t>
            </w:r>
            <w:r>
              <w:rPr>
                <w:rFonts w:ascii="Arial" w:cs="Arial" w:eastAsia="Arial" w:hAnsi="Arial"/>
                <w:sz w:val="20"/>
                <w:szCs w:val="20"/>
                <w:b w:val="1"/>
                <w:bCs w:val="1"/>
                <w:color w:val="0000FF"/>
                <w:highlight w:val="lightGray"/>
                <w:w w:val="88"/>
              </w:rPr>
              <w:t>,</w:t>
            </w:r>
            <w:r>
              <w:rPr>
                <w:rFonts w:ascii="Arial" w:cs="Arial" w:eastAsia="Arial" w:hAnsi="Arial"/>
                <w:sz w:val="20"/>
                <w:szCs w:val="20"/>
                <w:b w:val="1"/>
                <w:bCs w:val="1"/>
                <w:color w:val="auto"/>
                <w:highlight w:val="lightGray"/>
                <w:w w:val="88"/>
              </w:rPr>
              <w:t xml:space="preserve"> and Swingline Loans</w:t>
            </w:r>
          </w:p>
        </w:tc>
        <w:tc>
          <w:tcPr>
            <w:tcW w:w="0" w:type="dxa"/>
            <w:vAlign w:val="bottom"/>
          </w:tcPr>
          <w:p>
            <w:pPr>
              <w:spacing w:after="0"/>
              <w:rPr>
                <w:sz w:val="1"/>
                <w:szCs w:val="1"/>
                <w:color w:val="auto"/>
              </w:rPr>
            </w:pPr>
          </w:p>
        </w:tc>
      </w:tr>
      <w:tr>
        <w:trPr>
          <w:trHeight w:val="20"/>
        </w:trPr>
        <w:tc>
          <w:tcPr>
            <w:tcW w:w="300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w:t>
            </w:r>
          </w:p>
        </w:tc>
        <w:tc>
          <w:tcPr>
            <w:tcW w:w="1140" w:type="dxa"/>
            <w:vAlign w:val="bottom"/>
            <w:gridSpan w:val="2"/>
          </w:tcPr>
          <w:p>
            <w:pPr>
              <w:ind w:left="120"/>
              <w:spacing w:after="0"/>
              <w:rPr>
                <w:sz w:val="20"/>
                <w:szCs w:val="20"/>
                <w:color w:val="auto"/>
              </w:rPr>
            </w:pPr>
            <w:r>
              <w:rPr>
                <w:rFonts w:ascii="Arial" w:cs="Arial" w:eastAsia="Arial" w:hAnsi="Arial"/>
                <w:sz w:val="20"/>
                <w:szCs w:val="20"/>
                <w:color w:val="auto"/>
                <w:w w:val="89"/>
              </w:rPr>
              <w:t>Greater than</w:t>
            </w:r>
          </w:p>
        </w:tc>
        <w:tc>
          <w:tcPr>
            <w:tcW w:w="360" w:type="dxa"/>
            <w:vAlign w:val="bottom"/>
          </w:tcPr>
          <w:p>
            <w:pPr>
              <w:jc w:val="right"/>
              <w:spacing w:after="0"/>
              <w:rPr>
                <w:sz w:val="20"/>
                <w:szCs w:val="20"/>
                <w:color w:val="auto"/>
              </w:rPr>
            </w:pPr>
            <w:r>
              <w:rPr>
                <w:rFonts w:ascii="Arial" w:cs="Arial" w:eastAsia="Arial" w:hAnsi="Arial"/>
                <w:sz w:val="20"/>
                <w:szCs w:val="20"/>
                <w:color w:val="FF0000"/>
                <w:strike w:val="1"/>
                <w:w w:val="87"/>
              </w:rPr>
              <w:t>2.25</w:t>
            </w:r>
          </w:p>
        </w:tc>
        <w:tc>
          <w:tcPr>
            <w:tcW w:w="88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0000FF"/>
                <w:w w:val="86"/>
              </w:rPr>
              <w:t>2.50</w:t>
            </w:r>
            <w:r>
              <w:rPr>
                <w:rFonts w:ascii="Arial" w:cs="Arial" w:eastAsia="Arial" w:hAnsi="Arial"/>
                <w:sz w:val="20"/>
                <w:szCs w:val="20"/>
                <w:color w:val="000000"/>
                <w:w w:val="86"/>
              </w:rPr>
              <w:t>:1.00</w:t>
            </w:r>
          </w:p>
        </w:tc>
        <w:tc>
          <w:tcPr>
            <w:tcW w:w="2040" w:type="dxa"/>
            <w:vAlign w:val="bottom"/>
            <w:gridSpan w:val="2"/>
            <w:vMerge w:val="restart"/>
          </w:tcPr>
          <w:p>
            <w:pPr>
              <w:jc w:val="center"/>
              <w:ind w:left="441"/>
              <w:spacing w:after="0"/>
              <w:rPr>
                <w:sz w:val="20"/>
                <w:szCs w:val="20"/>
                <w:color w:val="auto"/>
              </w:rPr>
            </w:pPr>
            <w:r>
              <w:rPr>
                <w:rFonts w:ascii="Arial" w:cs="Arial" w:eastAsia="Arial" w:hAnsi="Arial"/>
                <w:sz w:val="20"/>
                <w:szCs w:val="20"/>
                <w:color w:val="auto"/>
                <w:w w:val="88"/>
              </w:rPr>
              <w:t>2.50%</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960" w:type="dxa"/>
            <w:vAlign w:val="bottom"/>
            <w:gridSpan w:val="3"/>
            <w:vMerge w:val="restart"/>
          </w:tcPr>
          <w:p>
            <w:pPr>
              <w:jc w:val="center"/>
              <w:ind w:left="1321"/>
              <w:spacing w:after="0"/>
              <w:rPr>
                <w:sz w:val="20"/>
                <w:szCs w:val="20"/>
                <w:color w:val="auto"/>
              </w:rPr>
            </w:pPr>
            <w:r>
              <w:rPr>
                <w:rFonts w:ascii="Arial" w:cs="Arial" w:eastAsia="Arial" w:hAnsi="Arial"/>
                <w:sz w:val="20"/>
                <w:szCs w:val="20"/>
                <w:color w:val="auto"/>
                <w:w w:val="88"/>
              </w:rPr>
              <w:t>1.50%</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right w:val="single" w:sz="8" w:color="auto"/>
            </w:tcBorders>
            <w:vMerge w:val="continue"/>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960" w:type="dxa"/>
            <w:vAlign w:val="bottom"/>
            <w:gridSpan w:val="3"/>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auto"/>
                <w:w w:val="87"/>
              </w:rPr>
              <w:t>Less than or equal to</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right w:val="single" w:sz="8" w:color="auto"/>
            </w:tcBorders>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FF0000"/>
                <w:strike w:val="1"/>
              </w:rPr>
              <w:t>2.25</w:t>
            </w:r>
          </w:p>
        </w:tc>
        <w:tc>
          <w:tcPr>
            <w:tcW w:w="1400" w:type="dxa"/>
            <w:vAlign w:val="bottom"/>
            <w:tcBorders>
              <w:right w:val="single" w:sz="8" w:color="auto"/>
            </w:tcBorders>
            <w:gridSpan w:val="3"/>
          </w:tcPr>
          <w:p>
            <w:pPr>
              <w:jc w:val="right"/>
              <w:ind w:right="561"/>
              <w:spacing w:after="0"/>
              <w:rPr>
                <w:sz w:val="20"/>
                <w:szCs w:val="20"/>
                <w:color w:val="auto"/>
              </w:rPr>
            </w:pPr>
            <w:r>
              <w:rPr>
                <w:rFonts w:ascii="Arial" w:cs="Arial" w:eastAsia="Arial" w:hAnsi="Arial"/>
                <w:sz w:val="20"/>
                <w:szCs w:val="20"/>
                <w:color w:val="0000FF"/>
                <w:w w:val="86"/>
              </w:rPr>
              <w:t>2.50</w:t>
            </w:r>
            <w:r>
              <w:rPr>
                <w:rFonts w:ascii="Arial" w:cs="Arial" w:eastAsia="Arial" w:hAnsi="Arial"/>
                <w:sz w:val="20"/>
                <w:szCs w:val="20"/>
                <w:color w:val="000000"/>
                <w:w w:val="86"/>
              </w:rPr>
              <w:t>:1.00</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auto"/>
                <w:w w:val="87"/>
              </w:rPr>
              <w:t>but greater than</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980" w:type="dxa"/>
            <w:vAlign w:val="bottom"/>
          </w:tcPr>
          <w:p>
            <w:pPr>
              <w:jc w:val="right"/>
              <w:spacing w:after="0"/>
              <w:rPr>
                <w:sz w:val="20"/>
                <w:szCs w:val="20"/>
                <w:color w:val="auto"/>
              </w:rPr>
            </w:pPr>
            <w:r>
              <w:rPr>
                <w:rFonts w:ascii="Arial" w:cs="Arial" w:eastAsia="Arial" w:hAnsi="Arial"/>
                <w:sz w:val="20"/>
                <w:szCs w:val="20"/>
                <w:color w:val="FF0000"/>
                <w:strike w:val="1"/>
              </w:rPr>
              <w:t>1.50</w:t>
            </w:r>
          </w:p>
        </w:tc>
        <w:tc>
          <w:tcPr>
            <w:tcW w:w="1400" w:type="dxa"/>
            <w:vAlign w:val="bottom"/>
            <w:tcBorders>
              <w:right w:val="single" w:sz="8" w:color="auto"/>
            </w:tcBorders>
            <w:gridSpan w:val="3"/>
          </w:tcPr>
          <w:p>
            <w:pPr>
              <w:jc w:val="right"/>
              <w:ind w:right="561"/>
              <w:spacing w:after="0"/>
              <w:rPr>
                <w:sz w:val="20"/>
                <w:szCs w:val="20"/>
                <w:color w:val="auto"/>
              </w:rPr>
            </w:pPr>
            <w:r>
              <w:rPr>
                <w:rFonts w:ascii="Arial" w:cs="Arial" w:eastAsia="Arial" w:hAnsi="Arial"/>
                <w:sz w:val="20"/>
                <w:szCs w:val="20"/>
                <w:color w:val="0000FF"/>
                <w:w w:val="86"/>
              </w:rPr>
              <w:t>1.75</w:t>
            </w:r>
            <w:r>
              <w:rPr>
                <w:rFonts w:ascii="Arial" w:cs="Arial" w:eastAsia="Arial" w:hAnsi="Arial"/>
                <w:sz w:val="20"/>
                <w:szCs w:val="20"/>
                <w:color w:val="000000"/>
                <w:w w:val="86"/>
              </w:rPr>
              <w:t>:1.00</w:t>
            </w:r>
          </w:p>
        </w:tc>
        <w:tc>
          <w:tcPr>
            <w:tcW w:w="2040" w:type="dxa"/>
            <w:vAlign w:val="bottom"/>
            <w:gridSpan w:val="2"/>
          </w:tcPr>
          <w:p>
            <w:pPr>
              <w:jc w:val="center"/>
              <w:ind w:left="441"/>
              <w:spacing w:after="0"/>
              <w:rPr>
                <w:sz w:val="20"/>
                <w:szCs w:val="20"/>
                <w:color w:val="auto"/>
              </w:rPr>
            </w:pPr>
            <w:r>
              <w:rPr>
                <w:rFonts w:ascii="Arial" w:cs="Arial" w:eastAsia="Arial" w:hAnsi="Arial"/>
                <w:sz w:val="20"/>
                <w:szCs w:val="20"/>
                <w:color w:val="auto"/>
                <w:w w:val="88"/>
              </w:rPr>
              <w:t>2.25%</w:t>
            </w:r>
          </w:p>
        </w:tc>
        <w:tc>
          <w:tcPr>
            <w:tcW w:w="2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960" w:type="dxa"/>
            <w:vAlign w:val="bottom"/>
            <w:gridSpan w:val="3"/>
          </w:tcPr>
          <w:p>
            <w:pPr>
              <w:jc w:val="center"/>
              <w:ind w:left="1321"/>
              <w:spacing w:after="0"/>
              <w:rPr>
                <w:sz w:val="20"/>
                <w:szCs w:val="20"/>
                <w:color w:val="auto"/>
              </w:rPr>
            </w:pPr>
            <w:r>
              <w:rPr>
                <w:rFonts w:ascii="Arial" w:cs="Arial" w:eastAsia="Arial" w:hAnsi="Arial"/>
                <w:sz w:val="20"/>
                <w:szCs w:val="20"/>
                <w:color w:val="auto"/>
                <w:w w:val="88"/>
              </w:rPr>
              <w:t>1.25%</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auto"/>
                <w:w w:val="87"/>
              </w:rPr>
              <w:t>Less than or equal to</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right w:val="single" w:sz="8" w:color="auto"/>
            </w:tcBorders>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FF0000"/>
                <w:strike w:val="1"/>
              </w:rPr>
              <w:t>1.50</w:t>
            </w:r>
          </w:p>
        </w:tc>
        <w:tc>
          <w:tcPr>
            <w:tcW w:w="1400" w:type="dxa"/>
            <w:vAlign w:val="bottom"/>
            <w:tcBorders>
              <w:right w:val="single" w:sz="8" w:color="auto"/>
            </w:tcBorders>
            <w:gridSpan w:val="3"/>
          </w:tcPr>
          <w:p>
            <w:pPr>
              <w:jc w:val="right"/>
              <w:ind w:right="561"/>
              <w:spacing w:after="0"/>
              <w:rPr>
                <w:sz w:val="20"/>
                <w:szCs w:val="20"/>
                <w:color w:val="auto"/>
              </w:rPr>
            </w:pPr>
            <w:r>
              <w:rPr>
                <w:rFonts w:ascii="Arial" w:cs="Arial" w:eastAsia="Arial" w:hAnsi="Arial"/>
                <w:sz w:val="20"/>
                <w:szCs w:val="20"/>
                <w:color w:val="0000FF"/>
                <w:w w:val="86"/>
              </w:rPr>
              <w:t>1.75</w:t>
            </w:r>
            <w:r>
              <w:rPr>
                <w:rFonts w:ascii="Arial" w:cs="Arial" w:eastAsia="Arial" w:hAnsi="Arial"/>
                <w:sz w:val="20"/>
                <w:szCs w:val="20"/>
                <w:color w:val="000000"/>
                <w:w w:val="86"/>
              </w:rPr>
              <w:t>:1.00</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auto"/>
                <w:w w:val="87"/>
              </w:rPr>
              <w:t>but greater than</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980" w:type="dxa"/>
            <w:vAlign w:val="bottom"/>
          </w:tcPr>
          <w:p>
            <w:pPr>
              <w:jc w:val="right"/>
              <w:spacing w:after="0"/>
              <w:rPr>
                <w:sz w:val="20"/>
                <w:szCs w:val="20"/>
                <w:color w:val="auto"/>
              </w:rPr>
            </w:pPr>
            <w:r>
              <w:rPr>
                <w:rFonts w:ascii="Arial" w:cs="Arial" w:eastAsia="Arial" w:hAnsi="Arial"/>
                <w:sz w:val="20"/>
                <w:szCs w:val="20"/>
                <w:color w:val="FF0000"/>
                <w:strike w:val="1"/>
              </w:rPr>
              <w:t>1.00</w:t>
            </w:r>
          </w:p>
        </w:tc>
        <w:tc>
          <w:tcPr>
            <w:tcW w:w="1400" w:type="dxa"/>
            <w:vAlign w:val="bottom"/>
            <w:tcBorders>
              <w:right w:val="single" w:sz="8" w:color="auto"/>
            </w:tcBorders>
            <w:gridSpan w:val="3"/>
          </w:tcPr>
          <w:p>
            <w:pPr>
              <w:jc w:val="right"/>
              <w:ind w:right="561"/>
              <w:spacing w:after="0"/>
              <w:rPr>
                <w:sz w:val="20"/>
                <w:szCs w:val="20"/>
                <w:color w:val="auto"/>
              </w:rPr>
            </w:pPr>
            <w:r>
              <w:rPr>
                <w:rFonts w:ascii="Arial" w:cs="Arial" w:eastAsia="Arial" w:hAnsi="Arial"/>
                <w:sz w:val="20"/>
                <w:szCs w:val="20"/>
                <w:color w:val="0000FF"/>
                <w:w w:val="86"/>
              </w:rPr>
              <w:t>1.25</w:t>
            </w:r>
            <w:r>
              <w:rPr>
                <w:rFonts w:ascii="Arial" w:cs="Arial" w:eastAsia="Arial" w:hAnsi="Arial"/>
                <w:sz w:val="20"/>
                <w:szCs w:val="20"/>
                <w:color w:val="000000"/>
                <w:w w:val="86"/>
              </w:rPr>
              <w:t>:1.00</w:t>
            </w:r>
          </w:p>
        </w:tc>
        <w:tc>
          <w:tcPr>
            <w:tcW w:w="2040" w:type="dxa"/>
            <w:vAlign w:val="bottom"/>
            <w:gridSpan w:val="2"/>
          </w:tcPr>
          <w:p>
            <w:pPr>
              <w:jc w:val="center"/>
              <w:ind w:left="441"/>
              <w:spacing w:after="0"/>
              <w:rPr>
                <w:sz w:val="20"/>
                <w:szCs w:val="20"/>
                <w:color w:val="auto"/>
              </w:rPr>
            </w:pPr>
            <w:r>
              <w:rPr>
                <w:rFonts w:ascii="Arial" w:cs="Arial" w:eastAsia="Arial" w:hAnsi="Arial"/>
                <w:sz w:val="20"/>
                <w:szCs w:val="20"/>
                <w:color w:val="auto"/>
                <w:w w:val="88"/>
              </w:rPr>
              <w:t>2.00%</w:t>
            </w:r>
          </w:p>
        </w:tc>
        <w:tc>
          <w:tcPr>
            <w:tcW w:w="2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960" w:type="dxa"/>
            <w:vAlign w:val="bottom"/>
            <w:gridSpan w:val="3"/>
          </w:tcPr>
          <w:p>
            <w:pPr>
              <w:jc w:val="center"/>
              <w:ind w:left="1321"/>
              <w:spacing w:after="0"/>
              <w:rPr>
                <w:sz w:val="20"/>
                <w:szCs w:val="20"/>
                <w:color w:val="auto"/>
              </w:rPr>
            </w:pPr>
            <w:r>
              <w:rPr>
                <w:rFonts w:ascii="Arial" w:cs="Arial" w:eastAsia="Arial" w:hAnsi="Arial"/>
                <w:sz w:val="20"/>
                <w:szCs w:val="20"/>
                <w:color w:val="auto"/>
                <w:w w:val="88"/>
              </w:rPr>
              <w:t>1.00%</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auto"/>
                <w:w w:val="87"/>
              </w:rPr>
              <w:t>Less than or equal to</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980" w:type="dxa"/>
            <w:vAlign w:val="bottom"/>
          </w:tcPr>
          <w:p>
            <w:pPr>
              <w:jc w:val="right"/>
              <w:spacing w:after="0"/>
              <w:rPr>
                <w:sz w:val="20"/>
                <w:szCs w:val="20"/>
                <w:color w:val="auto"/>
              </w:rPr>
            </w:pPr>
            <w:r>
              <w:rPr>
                <w:rFonts w:ascii="Arial" w:cs="Arial" w:eastAsia="Arial" w:hAnsi="Arial"/>
                <w:sz w:val="20"/>
                <w:szCs w:val="20"/>
                <w:color w:val="FF0000"/>
                <w:strike w:val="1"/>
              </w:rPr>
              <w:t>1.00</w:t>
            </w:r>
          </w:p>
        </w:tc>
        <w:tc>
          <w:tcPr>
            <w:tcW w:w="1400" w:type="dxa"/>
            <w:vAlign w:val="bottom"/>
            <w:tcBorders>
              <w:right w:val="single" w:sz="8" w:color="auto"/>
            </w:tcBorders>
            <w:gridSpan w:val="3"/>
          </w:tcPr>
          <w:p>
            <w:pPr>
              <w:jc w:val="right"/>
              <w:ind w:right="561"/>
              <w:spacing w:after="0"/>
              <w:rPr>
                <w:sz w:val="20"/>
                <w:szCs w:val="20"/>
                <w:color w:val="auto"/>
              </w:rPr>
            </w:pPr>
            <w:r>
              <w:rPr>
                <w:rFonts w:ascii="Arial" w:cs="Arial" w:eastAsia="Arial" w:hAnsi="Arial"/>
                <w:sz w:val="20"/>
                <w:szCs w:val="20"/>
                <w:color w:val="0000FF"/>
                <w:w w:val="86"/>
              </w:rPr>
              <w:t>1.25</w:t>
            </w:r>
            <w:r>
              <w:rPr>
                <w:rFonts w:ascii="Arial" w:cs="Arial" w:eastAsia="Arial" w:hAnsi="Arial"/>
                <w:sz w:val="20"/>
                <w:szCs w:val="20"/>
                <w:color w:val="000000"/>
                <w:w w:val="86"/>
              </w:rPr>
              <w:t>:1.00</w:t>
            </w:r>
          </w:p>
        </w:tc>
        <w:tc>
          <w:tcPr>
            <w:tcW w:w="2040" w:type="dxa"/>
            <w:vAlign w:val="bottom"/>
            <w:gridSpan w:val="2"/>
          </w:tcPr>
          <w:p>
            <w:pPr>
              <w:jc w:val="center"/>
              <w:ind w:left="441"/>
              <w:spacing w:after="0"/>
              <w:rPr>
                <w:sz w:val="20"/>
                <w:szCs w:val="20"/>
                <w:color w:val="auto"/>
              </w:rPr>
            </w:pPr>
            <w:r>
              <w:rPr>
                <w:rFonts w:ascii="Arial" w:cs="Arial" w:eastAsia="Arial" w:hAnsi="Arial"/>
                <w:sz w:val="20"/>
                <w:szCs w:val="20"/>
                <w:color w:val="auto"/>
                <w:w w:val="88"/>
              </w:rPr>
              <w:t>1.75%</w:t>
            </w:r>
          </w:p>
        </w:tc>
        <w:tc>
          <w:tcPr>
            <w:tcW w:w="2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960" w:type="dxa"/>
            <w:vAlign w:val="bottom"/>
            <w:gridSpan w:val="3"/>
          </w:tcPr>
          <w:p>
            <w:pPr>
              <w:jc w:val="center"/>
              <w:ind w:left="1321"/>
              <w:spacing w:after="0"/>
              <w:rPr>
                <w:sz w:val="20"/>
                <w:szCs w:val="20"/>
                <w:color w:val="auto"/>
              </w:rPr>
            </w:pPr>
            <w:r>
              <w:rPr>
                <w:rFonts w:ascii="Arial" w:cs="Arial" w:eastAsia="Arial" w:hAnsi="Arial"/>
                <w:sz w:val="20"/>
                <w:szCs w:val="20"/>
                <w:color w:val="auto"/>
                <w:w w:val="88"/>
              </w:rPr>
              <w:t>0.75%</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9"/>
          <w:szCs w:val="19"/>
          <w:color w:val="auto"/>
        </w:rPr>
        <w:t xml:space="preserve">Any increase or decrease in the Applicable Margin for the </w:t>
      </w:r>
      <w:r>
        <w:rPr>
          <w:rFonts w:ascii="Arial" w:cs="Arial" w:eastAsia="Arial" w:hAnsi="Arial"/>
          <w:sz w:val="19"/>
          <w:szCs w:val="19"/>
          <w:color w:val="0000FF"/>
        </w:rPr>
        <w:t>2017</w:t>
      </w:r>
      <w:r>
        <w:rPr>
          <w:rFonts w:ascii="Arial" w:cs="Arial" w:eastAsia="Arial" w:hAnsi="Arial"/>
          <w:sz w:val="19"/>
          <w:szCs w:val="19"/>
          <w:color w:val="auto"/>
        </w:rPr>
        <w:t xml:space="preserve"> Initial Tranche A Term Loans, </w:t>
      </w:r>
      <w:r>
        <w:rPr>
          <w:rFonts w:ascii="Arial" w:cs="Arial" w:eastAsia="Arial" w:hAnsi="Arial"/>
          <w:sz w:val="19"/>
          <w:szCs w:val="19"/>
          <w:color w:val="0000FF"/>
        </w:rPr>
        <w:t>the 2019 Extended</w:t>
      </w:r>
      <w:r>
        <w:rPr>
          <w:rFonts w:ascii="Arial" w:cs="Arial" w:eastAsia="Arial" w:hAnsi="Arial"/>
          <w:sz w:val="19"/>
          <w:szCs w:val="19"/>
          <w:color w:val="auto"/>
        </w:rPr>
        <w:t xml:space="preserve"> </w:t>
      </w:r>
      <w:r>
        <w:rPr>
          <w:rFonts w:ascii="Arial" w:cs="Arial" w:eastAsia="Arial" w:hAnsi="Arial"/>
          <w:sz w:val="19"/>
          <w:szCs w:val="19"/>
          <w:color w:val="0000FF"/>
        </w:rPr>
        <w:t xml:space="preserve">Tranche A Term Loans, </w:t>
      </w:r>
      <w:r>
        <w:rPr>
          <w:rFonts w:ascii="Arial" w:cs="Arial" w:eastAsia="Arial" w:hAnsi="Arial"/>
          <w:sz w:val="19"/>
          <w:szCs w:val="19"/>
          <w:color w:val="000000"/>
        </w:rPr>
        <w:t>Revolving Credit Loans or Swingline Loans resulting from a change in the Consolidated Total Debt to</w:t>
      </w:r>
      <w:r>
        <w:rPr>
          <w:rFonts w:ascii="Arial" w:cs="Arial" w:eastAsia="Arial" w:hAnsi="Arial"/>
          <w:sz w:val="19"/>
          <w:szCs w:val="19"/>
          <w:color w:val="0000FF"/>
        </w:rPr>
        <w:t xml:space="preserve"> </w:t>
      </w:r>
      <w:r>
        <w:rPr>
          <w:rFonts w:ascii="Arial" w:cs="Arial" w:eastAsia="Arial" w:hAnsi="Arial"/>
          <w:sz w:val="19"/>
          <w:szCs w:val="19"/>
          <w:color w:val="000000"/>
        </w:rPr>
        <w:t xml:space="preserve">Consolidated EBITDA Ratio shall become effective as of the first Business Day immediately following the date Section 9.1 Financials are delivered to the Administrative Agent pursuant to Sections 9.1(a) and 9.1(b) </w:t>
      </w:r>
      <w:r>
        <w:rPr>
          <w:rFonts w:ascii="Arial" w:cs="Arial" w:eastAsia="Arial" w:hAnsi="Arial"/>
          <w:sz w:val="19"/>
          <w:szCs w:val="19"/>
          <w:color w:val="0000FF"/>
        </w:rPr>
        <w:t>(provided, that with respect to the 2019</w:t>
      </w:r>
      <w:r>
        <w:rPr>
          <w:rFonts w:ascii="Arial" w:cs="Arial" w:eastAsia="Arial" w:hAnsi="Arial"/>
          <w:sz w:val="19"/>
          <w:szCs w:val="19"/>
          <w:color w:val="000000"/>
        </w:rPr>
        <w:t xml:space="preserve"> </w:t>
      </w:r>
      <w:r>
        <w:rPr>
          <w:rFonts w:ascii="Arial" w:cs="Arial" w:eastAsia="Arial" w:hAnsi="Arial"/>
          <w:sz w:val="19"/>
          <w:szCs w:val="19"/>
          <w:color w:val="0000FF"/>
        </w:rPr>
        <w:t>Extended Tranche A Term Loans, the Revolving Credit Loans and the Swingline Loans, such increases or decreases shall only commence pursuant to clause (c)(ii) above following the Amendment No. 2 Financial Statement Delivery Date)</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 at</w:t>
      </w:r>
      <w:r>
        <w:rPr>
          <w:rFonts w:ascii="Arial" w:cs="Arial" w:eastAsia="Arial" w:hAnsi="Arial"/>
          <w:sz w:val="19"/>
          <w:szCs w:val="19"/>
          <w:color w:val="0000FF"/>
        </w:rPr>
        <w:t xml:space="preserve"> </w:t>
      </w:r>
      <w:r>
        <w:rPr>
          <w:rFonts w:ascii="Arial" w:cs="Arial" w:eastAsia="Arial" w:hAnsi="Arial"/>
          <w:sz w:val="19"/>
          <w:szCs w:val="19"/>
          <w:color w:val="000000"/>
        </w:rPr>
        <w:t xml:space="preserve">the option of the Required Credit Facility Lenders with respect to the </w:t>
      </w:r>
      <w:r>
        <w:rPr>
          <w:rFonts w:ascii="Arial" w:cs="Arial" w:eastAsia="Arial" w:hAnsi="Arial"/>
          <w:sz w:val="19"/>
          <w:szCs w:val="19"/>
          <w:color w:val="0000FF"/>
        </w:rPr>
        <w:t>2017</w:t>
      </w:r>
      <w:r>
        <w:rPr>
          <w:rFonts w:ascii="Arial" w:cs="Arial" w:eastAsia="Arial" w:hAnsi="Arial"/>
          <w:sz w:val="19"/>
          <w:szCs w:val="19"/>
          <w:color w:val="000000"/>
        </w:rPr>
        <w:t xml:space="preserve"> Initial </w:t>
      </w:r>
      <w:r>
        <w:rPr>
          <w:rFonts w:ascii="Arial" w:cs="Arial" w:eastAsia="Arial" w:hAnsi="Arial"/>
          <w:sz w:val="19"/>
          <w:szCs w:val="19"/>
          <w:color w:val="0000FF"/>
        </w:rPr>
        <w:t>Tranche A Term Loans, the 2019 Extended</w:t>
      </w:r>
      <w:r>
        <w:rPr>
          <w:rFonts w:ascii="Arial" w:cs="Arial" w:eastAsia="Arial" w:hAnsi="Arial"/>
          <w:sz w:val="19"/>
          <w:szCs w:val="19"/>
          <w:color w:val="000000"/>
        </w:rPr>
        <w:t xml:space="preserve"> Tranche A Term Loans and Revolving Credit Loans, the highest pricing level (as set forth in the table above) shall apply (a) as of the first Business Day after the date on which Section 9.1 Financials were required to have been delivered but have not been delivered pursuant to Section 9.1 and shall continue to so apply to and including the date on which such Section 9.1 Financials are so delivered (and thereafter the pricing level otherwise determined in accordance with this definition shall apply) and (b) as of the first Business Day after an Event of Default under Section 11.1 or Section 11.5 shall have occurred and be continuing and the Administrative Agent has notified the Borrower that the highest pricing level applies, and shall continue to so apply to but excluding the date on which such Event of Default shall cease to be continuing (and thereafter the pricing level otherwise determined in accordance with this definition shall apply).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00"/>
        <w:spacing w:after="0"/>
        <w:tabs>
          <w:tab w:leader="none" w:pos="70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7"/>
          <w:szCs w:val="17"/>
          <w:color w:val="auto"/>
        </w:rPr>
        <w:t>8</w:t>
      </w:r>
    </w:p>
    <w:p>
      <w:pPr>
        <w:sectPr>
          <w:pgSz w:w="11900" w:h="16838" w:orient="portrait"/>
          <w:cols w:equalWidth="0" w:num="1">
            <w:col w:w="11420"/>
          </w:cols>
          <w:pgMar w:left="240" w:top="131" w:right="239" w:bottom="1440" w:gutter="0" w:footer="0" w:header="0"/>
        </w:sectPr>
      </w:pPr>
    </w:p>
    <w:bookmarkStart w:id="91" w:name="page92"/>
    <w:bookmarkEnd w:id="91"/>
    <w:p>
      <w:pPr>
        <w:ind w:left="1960" w:right="420"/>
        <w:spacing w:after="0" w:line="287" w:lineRule="auto"/>
        <w:rPr>
          <w:sz w:val="20"/>
          <w:szCs w:val="20"/>
          <w:color w:val="auto"/>
        </w:rPr>
      </w:pPr>
      <w:r>
        <w:rPr>
          <w:rFonts w:ascii="Arial" w:cs="Arial" w:eastAsia="Arial" w:hAnsi="Arial"/>
          <w:sz w:val="21"/>
          <w:szCs w:val="21"/>
          <w:color w:val="auto"/>
        </w:rPr>
        <w:t>have, at such time, the right or the ability by voting power, contract or otherwise to elect or designate for election at least a majority of the members of the Board of Directors of Holdings;</w:t>
      </w:r>
    </w:p>
    <w:p>
      <w:pPr>
        <w:spacing w:after="0" w:line="260" w:lineRule="exact"/>
        <w:rPr>
          <w:sz w:val="20"/>
          <w:szCs w:val="20"/>
          <w:color w:val="auto"/>
        </w:rPr>
      </w:pPr>
    </w:p>
    <w:p>
      <w:pPr>
        <w:ind w:left="1960" w:right="880" w:hanging="655"/>
        <w:spacing w:after="0" w:line="263" w:lineRule="auto"/>
        <w:tabs>
          <w:tab w:leader="none" w:pos="19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at any time Continuing Directors shall not constitute at least a majority of the Board of Directors of Holdings;</w:t>
      </w:r>
    </w:p>
    <w:p>
      <w:pPr>
        <w:spacing w:after="0" w:line="282" w:lineRule="exact"/>
        <w:rPr>
          <w:rFonts w:ascii="Arial" w:cs="Arial" w:eastAsia="Arial" w:hAnsi="Arial"/>
          <w:sz w:val="22"/>
          <w:szCs w:val="22"/>
          <w:color w:val="auto"/>
        </w:rPr>
      </w:pPr>
    </w:p>
    <w:p>
      <w:pPr>
        <w:ind w:left="1960" w:right="460" w:hanging="655"/>
        <w:spacing w:after="0" w:line="312" w:lineRule="auto"/>
        <w:tabs>
          <w:tab w:leader="none" w:pos="19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 “change of control” or any comparable term under any documentation governing any Indebtedness for borrowed money owed to a third party by the Borrower or any of its Restricted Subsidiaries with an aggregate outstanding principal amount in excess of $35,000,000 shall have occurred;</w:t>
      </w:r>
    </w:p>
    <w:p>
      <w:pPr>
        <w:spacing w:after="0" w:line="241" w:lineRule="exact"/>
        <w:rPr>
          <w:rFonts w:ascii="Arial" w:cs="Arial" w:eastAsia="Arial" w:hAnsi="Arial"/>
          <w:sz w:val="19"/>
          <w:szCs w:val="19"/>
          <w:color w:val="auto"/>
        </w:rPr>
      </w:pPr>
    </w:p>
    <w:p>
      <w:pPr>
        <w:ind w:left="1960" w:hanging="655"/>
        <w:spacing w:after="0"/>
        <w:tabs>
          <w:tab w:leader="none" w:pos="19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Holdings shall cease to beneficially own and control 100% of the Voting Stock of the Borrower; and/or</w:t>
      </w:r>
    </w:p>
    <w:p>
      <w:pPr>
        <w:spacing w:after="0" w:line="339" w:lineRule="exact"/>
        <w:rPr>
          <w:rFonts w:ascii="Arial" w:cs="Arial" w:eastAsia="Arial" w:hAnsi="Arial"/>
          <w:sz w:val="21"/>
          <w:szCs w:val="21"/>
          <w:color w:val="auto"/>
        </w:rPr>
      </w:pPr>
    </w:p>
    <w:p>
      <w:pPr>
        <w:ind w:left="1960" w:hanging="655"/>
        <w:spacing w:after="0"/>
        <w:tabs>
          <w:tab w:leader="none" w:pos="19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Borrower shall cease to beneficially own and control 100% of the Voting Stock of LPL Financial LLC.</w:t>
      </w:r>
    </w:p>
    <w:p>
      <w:pPr>
        <w:spacing w:after="0" w:line="36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any time when at least a majority of the outstanding Voting Stock of Holdings is directly or indirectly owned by a Parent Entity, all references in clause (a) and (b) above to “Holdings” (other than in this proviso) shall be deemed to refer to the ultimate Parent Entity that directly or indirectly owns such Voting Stock of Holdings.</w:t>
      </w:r>
    </w:p>
    <w:p>
      <w:pPr>
        <w:spacing w:after="0" w:line="294" w:lineRule="exact"/>
        <w:rPr>
          <w:sz w:val="20"/>
          <w:szCs w:val="20"/>
          <w:color w:val="auto"/>
        </w:rPr>
      </w:pPr>
    </w:p>
    <w:p>
      <w:pPr>
        <w:ind w:right="4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w:t>
      </w:r>
      <w:r>
        <w:rPr>
          <w:rFonts w:ascii="Arial" w:cs="Arial" w:eastAsia="Arial" w:hAnsi="Arial"/>
          <w:sz w:val="21"/>
          <w:szCs w:val="21"/>
          <w:color w:val="auto"/>
        </w:rPr>
        <w:t xml:space="preserve">”, when used in reference to any Loan or Borrowing, shall refer to whether such Loan, or the Loans comprising such Borrowing, are Revolving Credit Loans,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Loans, 2019 Extended</w:t>
      </w:r>
      <w:r>
        <w:rPr>
          <w:rFonts w:ascii="Arial" w:cs="Arial" w:eastAsia="Arial" w:hAnsi="Arial"/>
          <w:sz w:val="21"/>
          <w:szCs w:val="21"/>
          <w:color w:val="auto"/>
        </w:rPr>
        <w:t xml:space="preserve"> Tranche A Term Loans, Initial Tranche B Term Loans, 2013 Incremental Tranche B Term Loans, Incremental Term Loans (of a Class), Extended Term Loans (of the same Extension Series), Extended Revolving Credit Loans (of the same Extension Series and any related swingline loans thereunder), Additional/Replacement Revolving Credit Loans (and any related swingline loans thereunder) or Swingline Loans and, when used in reference to any Commitment, refers to whether such Commitment is a Revolving Credit Commitment, </w:t>
      </w:r>
      <w:r>
        <w:rPr>
          <w:rFonts w:ascii="Arial" w:cs="Arial" w:eastAsia="Arial" w:hAnsi="Arial"/>
          <w:sz w:val="21"/>
          <w:szCs w:val="21"/>
          <w:color w:val="FF0000"/>
          <w:strike w:val="1"/>
        </w:rPr>
        <w:t>an</w:t>
      </w:r>
      <w:r>
        <w:rPr>
          <w:rFonts w:ascii="Arial" w:cs="Arial" w:eastAsia="Arial" w:hAnsi="Arial"/>
          <w:sz w:val="21"/>
          <w:szCs w:val="21"/>
          <w:color w:val="0000FF"/>
        </w:rPr>
        <w:t>a 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 Commitment, a 2019 Extended</w:t>
      </w:r>
      <w:r>
        <w:rPr>
          <w:rFonts w:ascii="Arial" w:cs="Arial" w:eastAsia="Arial" w:hAnsi="Arial"/>
          <w:sz w:val="21"/>
          <w:szCs w:val="21"/>
          <w:color w:val="auto"/>
        </w:rPr>
        <w:t xml:space="preserve"> Tranche A Term Loan Commitment, an Initial Tranche B Term Loan Commitment, a 2013 Incremental Tranche B Term Loan Commitment, an Incremental Term Loan Commitment (of a Class), an Extended Revolving Credit Commitment (of the same Extension Series and any related swingline commitment thereunder), an Additional/Replacement Revolving Credit Commitment (and any related swingline commitment thereunder) or a Swingline Commitment, and when used in reference to any Lender, refers to whether such Lender has a Loan or Commitment of any such Class.</w:t>
      </w:r>
    </w:p>
    <w:p>
      <w:pPr>
        <w:spacing w:after="0" w:line="288"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Clearing Broker-Dealer Minimum Capital</w:t>
      </w:r>
      <w:r>
        <w:rPr>
          <w:rFonts w:ascii="Arial" w:cs="Arial" w:eastAsia="Arial" w:hAnsi="Arial"/>
          <w:sz w:val="22"/>
          <w:szCs w:val="22"/>
          <w:color w:val="auto"/>
        </w:rPr>
        <w:t>” shall mean, for any Subsidiary of the Borrower that is a broker-dealer subject to SEC Rule 15c(3)-3, as of any date of determination, the greater of (a) $40,000,000 and (b) 15% of Aggregate Debit Items on such date.</w:t>
      </w:r>
    </w:p>
    <w:p>
      <w:pPr>
        <w:spacing w:after="0" w:line="294" w:lineRule="exact"/>
        <w:rPr>
          <w:sz w:val="20"/>
          <w:szCs w:val="20"/>
          <w:color w:val="auto"/>
        </w:rPr>
      </w:pPr>
    </w:p>
    <w:p>
      <w:pPr>
        <w:ind w:right="4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mean the date upon which the conditions set forth in Section 6 are satisfied, which date is March 29, 2012.</w:t>
      </w:r>
    </w:p>
    <w:p>
      <w:pPr>
        <w:spacing w:after="0" w:line="283" w:lineRule="exact"/>
        <w:rPr>
          <w:sz w:val="20"/>
          <w:szCs w:val="20"/>
          <w:color w:val="auto"/>
        </w:rPr>
      </w:pPr>
    </w:p>
    <w:p>
      <w:pPr>
        <w:ind w:left="4240"/>
        <w:spacing w:after="0"/>
        <w:tabs>
          <w:tab w:leader="none" w:pos="694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17</w:t>
      </w:r>
    </w:p>
    <w:p>
      <w:pPr>
        <w:sectPr>
          <w:pgSz w:w="11900" w:h="16838" w:orient="portrait"/>
          <w:cols w:equalWidth="0" w:num="1">
            <w:col w:w="11420"/>
          </w:cols>
          <w:pgMar w:left="240" w:top="294" w:right="239" w:bottom="1440" w:gutter="0" w:footer="0" w:header="0"/>
        </w:sectPr>
      </w:pPr>
    </w:p>
    <w:bookmarkStart w:id="92" w:name="page93"/>
    <w:bookmarkEnd w:id="9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Indebtedness</w:t>
      </w:r>
      <w:r>
        <w:rPr>
          <w:rFonts w:ascii="Arial" w:cs="Arial" w:eastAsia="Arial" w:hAnsi="Arial"/>
          <w:sz w:val="22"/>
          <w:szCs w:val="22"/>
          <w:color w:val="auto"/>
        </w:rPr>
        <w:t>” shall mean Indebtedness described on Schedule 10.1.</w:t>
      </w:r>
    </w:p>
    <w:p>
      <w:pPr>
        <w:spacing w:after="0" w:line="328" w:lineRule="exact"/>
        <w:rPr>
          <w:sz w:val="20"/>
          <w:szCs w:val="20"/>
          <w:color w:val="auto"/>
        </w:rPr>
      </w:pPr>
    </w:p>
    <w:p>
      <w:pPr>
        <w:ind w:right="4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 from time to time. Section references to the Code are to the Code, as in effect on the Closing Date, and any subsequent provisions of the Code, amendatory thereof, supplemental thereto or substituted therefor.</w:t>
      </w:r>
    </w:p>
    <w:p>
      <w:pPr>
        <w:spacing w:after="0" w:line="294" w:lineRule="exact"/>
        <w:rPr>
          <w:sz w:val="20"/>
          <w:szCs w:val="20"/>
          <w:color w:val="auto"/>
        </w:rPr>
      </w:pPr>
    </w:p>
    <w:p>
      <w:pPr>
        <w:ind w:right="40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shall have the meaning provided for such term or a similar term in each of the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Mortgages, “Collateral” shall mean “Mortgaged Property” as defined therein.</w:t>
      </w:r>
    </w:p>
    <w:p>
      <w:pPr>
        <w:spacing w:after="0" w:line="213"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shall mean Bank of America or any successor appointed in accordance with the provisions of Section 12.8, together with its Affiliates, as the collateral agent for the Secured Parties.</w:t>
      </w:r>
    </w:p>
    <w:p>
      <w:pPr>
        <w:spacing w:after="0" w:line="283"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xml:space="preserve">” shall mean, with respect to each Lender (to the extent applicable), such Lender’s Revolving Credit Commitment,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 Commitment, 2019 Extended</w:t>
      </w:r>
      <w:r>
        <w:rPr>
          <w:rFonts w:ascii="Arial" w:cs="Arial" w:eastAsia="Arial" w:hAnsi="Arial"/>
          <w:sz w:val="21"/>
          <w:szCs w:val="21"/>
          <w:color w:val="auto"/>
        </w:rPr>
        <w:t xml:space="preserve"> Tranche A Term Loan Commitment, Initial Tranche B Term Loan Commitment, Incremental Term Loan Commitment, Extended Revolving Credit Commitment, Additional/Replacement Revolving Credit Commitment or any combination thereof (as the context requires) and (b) with respect to the Swingline Lender or swingline lender under any Extended Revolving Credit Commitments or Additional/Replacement Revolving Credit Commitment, its Swingline Commitment or swingline commitment, as applicable.</w:t>
      </w:r>
    </w:p>
    <w:p>
      <w:pPr>
        <w:spacing w:after="0" w:line="2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shall have the meaning provided in Section 4.1(a).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 Rate</w:t>
      </w:r>
      <w:r>
        <w:rPr>
          <w:rFonts w:ascii="Arial" w:cs="Arial" w:eastAsia="Arial" w:hAnsi="Arial"/>
          <w:sz w:val="22"/>
          <w:szCs w:val="22"/>
          <w:color w:val="auto"/>
        </w:rPr>
        <w:t xml:space="preserve">” shall mean a rate equal to (a) initially, 0.50% per annum, </w:t>
      </w:r>
      <w:r>
        <w:rPr>
          <w:rFonts w:ascii="Arial" w:cs="Arial" w:eastAsia="Arial" w:hAnsi="Arial"/>
          <w:sz w:val="22"/>
          <w:szCs w:val="22"/>
          <w:color w:val="FF0000"/>
          <w:strike w:val="1"/>
        </w:rPr>
        <w:t>and</w:t>
      </w:r>
      <w:r>
        <w:rPr>
          <w:rFonts w:ascii="Arial" w:cs="Arial" w:eastAsia="Arial" w:hAnsi="Arial"/>
          <w:sz w:val="22"/>
          <w:szCs w:val="22"/>
          <w:color w:val="auto"/>
        </w:rPr>
        <w:t xml:space="preserve"> (b) following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Initial</w:t>
      </w:r>
      <w:r>
        <w:rPr>
          <w:rFonts w:ascii="Arial" w:cs="Arial" w:eastAsia="Arial" w:hAnsi="Arial"/>
          <w:sz w:val="19"/>
          <w:szCs w:val="19"/>
          <w:color w:val="0000FF"/>
        </w:rPr>
        <w:t>Amendment No. 2</w:t>
      </w:r>
      <w:r>
        <w:rPr>
          <w:rFonts w:ascii="Arial" w:cs="Arial" w:eastAsia="Arial" w:hAnsi="Arial"/>
          <w:sz w:val="19"/>
          <w:szCs w:val="19"/>
          <w:color w:val="FF0000"/>
        </w:rPr>
        <w:t xml:space="preserve"> </w:t>
      </w:r>
      <w:r>
        <w:rPr>
          <w:rFonts w:ascii="Arial" w:cs="Arial" w:eastAsia="Arial" w:hAnsi="Arial"/>
          <w:sz w:val="19"/>
          <w:szCs w:val="19"/>
          <w:color w:val="000000"/>
        </w:rPr>
        <w:t>Financial Statement Delivery Date, the rate per annum determined in accordance with the grid set forth</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below. Any increase or decrease in the Commitment Fee Rate resulting from a change in the Consolidated Total Debt to</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Consolidated EBITDA Ratio shall become effective as of the first Business Day immediately following the date Section 9.1</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Financials are delivered to the Administrative Agent pursuant to Sections 9.1(a) and 9.1(b):</w:t>
      </w:r>
    </w:p>
    <w:p>
      <w:pPr>
        <w:spacing w:after="0" w:line="325" w:lineRule="exact"/>
        <w:rPr>
          <w:sz w:val="20"/>
          <w:szCs w:val="20"/>
          <w:color w:val="auto"/>
        </w:rPr>
      </w:pPr>
    </w:p>
    <w:tbl>
      <w:tblPr>
        <w:tblLayout w:type="fixed"/>
        <w:tblInd w:w="2030" w:type="dxa"/>
        <w:tblCellMar>
          <w:top w:w="0" w:type="dxa"/>
          <w:left w:w="0" w:type="dxa"/>
          <w:bottom w:w="0" w:type="dxa"/>
          <w:right w:w="0" w:type="dxa"/>
        </w:tblCellMar>
      </w:tblPr>
      <w:tr>
        <w:trPr>
          <w:trHeight w:val="274"/>
        </w:trPr>
        <w:tc>
          <w:tcPr>
            <w:tcW w:w="3580" w:type="dxa"/>
            <w:vAlign w:val="bottom"/>
            <w:tcBorders>
              <w:top w:val="single" w:sz="8" w:color="auto"/>
              <w:left w:val="single" w:sz="8" w:color="auto"/>
              <w:right w:val="single" w:sz="8" w:color="auto"/>
            </w:tcBorders>
            <w:gridSpan w:val="11"/>
            <w:shd w:val="clear" w:color="auto" w:fill="D1D1D1"/>
          </w:tcPr>
          <w:p>
            <w:pPr>
              <w:jc w:val="right"/>
              <w:spacing w:after="0"/>
              <w:rPr>
                <w:sz w:val="20"/>
                <w:szCs w:val="20"/>
                <w:color w:val="auto"/>
              </w:rPr>
            </w:pPr>
            <w:r>
              <w:rPr>
                <w:rFonts w:ascii="Arial" w:cs="Arial" w:eastAsia="Arial" w:hAnsi="Arial"/>
                <w:sz w:val="20"/>
                <w:szCs w:val="20"/>
                <w:b w:val="1"/>
                <w:bCs w:val="1"/>
                <w:color w:val="auto"/>
                <w:w w:val="89"/>
              </w:rPr>
              <w:t>Consolidated Total Debt to Consolidated</w:t>
            </w:r>
          </w:p>
        </w:tc>
        <w:tc>
          <w:tcPr>
            <w:tcW w:w="3820" w:type="dxa"/>
            <w:vAlign w:val="bottom"/>
            <w:tcBorders>
              <w:top w:val="single" w:sz="8" w:color="auto"/>
              <w:right w:val="single" w:sz="8" w:color="auto"/>
            </w:tcBorders>
            <w:shd w:val="clear" w:color="auto" w:fill="D1D1D1"/>
          </w:tcPr>
          <w:p>
            <w:pPr>
              <w:jc w:val="center"/>
              <w:spacing w:after="0"/>
              <w:rPr>
                <w:sz w:val="20"/>
                <w:szCs w:val="20"/>
                <w:color w:val="auto"/>
              </w:rPr>
            </w:pPr>
            <w:r>
              <w:rPr>
                <w:rFonts w:ascii="Arial" w:cs="Arial" w:eastAsia="Arial" w:hAnsi="Arial"/>
                <w:sz w:val="20"/>
                <w:szCs w:val="20"/>
                <w:b w:val="1"/>
                <w:bCs w:val="1"/>
                <w:color w:val="auto"/>
                <w:w w:val="89"/>
              </w:rPr>
              <w:t>Applicable Revolving Commitment Fee</w:t>
            </w:r>
          </w:p>
        </w:tc>
      </w:tr>
      <w:tr>
        <w:trPr>
          <w:trHeight w:val="284"/>
        </w:trPr>
        <w:tc>
          <w:tcPr>
            <w:tcW w:w="400" w:type="dxa"/>
            <w:vAlign w:val="bottom"/>
            <w:tcBorders>
              <w:left w:val="single" w:sz="8" w:color="auto"/>
              <w:bottom w:val="single" w:sz="8" w:color="D1D1D1"/>
            </w:tcBorders>
            <w:shd w:val="clear" w:color="auto" w:fill="D1D1D1"/>
          </w:tcPr>
          <w:p>
            <w:pPr>
              <w:spacing w:after="0"/>
              <w:rPr>
                <w:sz w:val="24"/>
                <w:szCs w:val="24"/>
                <w:color w:val="auto"/>
              </w:rPr>
            </w:pPr>
          </w:p>
        </w:tc>
        <w:tc>
          <w:tcPr>
            <w:tcW w:w="100" w:type="dxa"/>
            <w:vAlign w:val="bottom"/>
            <w:tcBorders>
              <w:bottom w:val="single" w:sz="8" w:color="D1D1D1"/>
            </w:tcBorders>
            <w:shd w:val="clear" w:color="auto" w:fill="D1D1D1"/>
          </w:tcPr>
          <w:p>
            <w:pPr>
              <w:spacing w:after="0"/>
              <w:rPr>
                <w:sz w:val="24"/>
                <w:szCs w:val="24"/>
                <w:color w:val="auto"/>
              </w:rPr>
            </w:pPr>
          </w:p>
        </w:tc>
        <w:tc>
          <w:tcPr>
            <w:tcW w:w="60" w:type="dxa"/>
            <w:vAlign w:val="bottom"/>
            <w:tcBorders>
              <w:bottom w:val="single" w:sz="8" w:color="D1D1D1"/>
            </w:tcBorders>
            <w:shd w:val="clear" w:color="auto" w:fill="D1D1D1"/>
          </w:tcPr>
          <w:p>
            <w:pPr>
              <w:spacing w:after="0"/>
              <w:rPr>
                <w:sz w:val="24"/>
                <w:szCs w:val="24"/>
                <w:color w:val="auto"/>
              </w:rPr>
            </w:pPr>
          </w:p>
        </w:tc>
        <w:tc>
          <w:tcPr>
            <w:tcW w:w="340" w:type="dxa"/>
            <w:vAlign w:val="bottom"/>
            <w:tcBorders>
              <w:bottom w:val="single" w:sz="8" w:color="D1D1D1"/>
            </w:tcBorders>
            <w:shd w:val="clear" w:color="auto" w:fill="D1D1D1"/>
          </w:tcPr>
          <w:p>
            <w:pPr>
              <w:spacing w:after="0"/>
              <w:rPr>
                <w:sz w:val="24"/>
                <w:szCs w:val="24"/>
                <w:color w:val="auto"/>
              </w:rPr>
            </w:pPr>
          </w:p>
        </w:tc>
        <w:tc>
          <w:tcPr>
            <w:tcW w:w="2680" w:type="dxa"/>
            <w:vAlign w:val="bottom"/>
            <w:tcBorders>
              <w:bottom w:val="single" w:sz="8" w:color="D1D1D1"/>
              <w:right w:val="single" w:sz="8" w:color="auto"/>
            </w:tcBorders>
            <w:gridSpan w:val="7"/>
            <w:shd w:val="clear" w:color="auto" w:fill="D1D1D1"/>
          </w:tcPr>
          <w:p>
            <w:pPr>
              <w:ind w:left="260"/>
              <w:spacing w:after="0"/>
              <w:rPr>
                <w:sz w:val="20"/>
                <w:szCs w:val="20"/>
                <w:color w:val="auto"/>
              </w:rPr>
            </w:pPr>
            <w:r>
              <w:rPr>
                <w:rFonts w:ascii="Arial" w:cs="Arial" w:eastAsia="Arial" w:hAnsi="Arial"/>
                <w:sz w:val="20"/>
                <w:szCs w:val="20"/>
                <w:b w:val="1"/>
                <w:bCs w:val="1"/>
                <w:color w:val="auto"/>
              </w:rPr>
              <w:t>EBITDA Ratio</w:t>
            </w:r>
          </w:p>
        </w:tc>
        <w:tc>
          <w:tcPr>
            <w:tcW w:w="3820" w:type="dxa"/>
            <w:vAlign w:val="bottom"/>
            <w:tcBorders>
              <w:bottom w:val="single" w:sz="8" w:color="D1D1D1"/>
              <w:right w:val="single" w:sz="8" w:color="auto"/>
            </w:tcBorders>
            <w:shd w:val="clear" w:color="auto" w:fill="D1D1D1"/>
          </w:tcPr>
          <w:p>
            <w:pPr>
              <w:jc w:val="center"/>
              <w:spacing w:after="0"/>
              <w:rPr>
                <w:sz w:val="20"/>
                <w:szCs w:val="20"/>
                <w:color w:val="auto"/>
              </w:rPr>
            </w:pPr>
            <w:r>
              <w:rPr>
                <w:rFonts w:ascii="Arial" w:cs="Arial" w:eastAsia="Arial" w:hAnsi="Arial"/>
                <w:sz w:val="20"/>
                <w:szCs w:val="20"/>
                <w:b w:val="1"/>
                <w:bCs w:val="1"/>
                <w:color w:val="auto"/>
                <w:w w:val="85"/>
              </w:rPr>
              <w:t>Percentage</w:t>
            </w:r>
          </w:p>
        </w:tc>
      </w:tr>
      <w:tr>
        <w:trPr>
          <w:trHeight w:val="254"/>
        </w:trPr>
        <w:tc>
          <w:tcPr>
            <w:tcW w:w="1300" w:type="dxa"/>
            <w:vAlign w:val="bottom"/>
            <w:tcBorders>
              <w:top w:val="single" w:sz="8" w:color="auto"/>
              <w:left w:val="single" w:sz="8" w:color="auto"/>
            </w:tcBorders>
            <w:gridSpan w:val="6"/>
          </w:tcPr>
          <w:p>
            <w:pPr>
              <w:ind w:left="1160"/>
              <w:spacing w:after="0"/>
              <w:rPr>
                <w:sz w:val="20"/>
                <w:szCs w:val="20"/>
                <w:color w:val="auto"/>
              </w:rPr>
            </w:pPr>
            <w:r>
              <w:rPr>
                <w:rFonts w:ascii="Arial" w:cs="Arial" w:eastAsia="Arial" w:hAnsi="Arial"/>
                <w:sz w:val="20"/>
                <w:szCs w:val="20"/>
                <w:color w:val="auto"/>
              </w:rPr>
              <w:t>&gt;</w:t>
            </w:r>
          </w:p>
        </w:tc>
        <w:tc>
          <w:tcPr>
            <w:tcW w:w="38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color w:val="FF0000"/>
                <w:strike w:val="1"/>
                <w:w w:val="87"/>
              </w:rPr>
              <w:t>2.25</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0000FF"/>
                <w:w w:val="86"/>
              </w:rPr>
              <w:t>2.50</w:t>
            </w:r>
            <w:r>
              <w:rPr>
                <w:rFonts w:ascii="Arial" w:cs="Arial" w:eastAsia="Arial" w:hAnsi="Arial"/>
                <w:sz w:val="20"/>
                <w:szCs w:val="20"/>
                <w:color w:val="000000"/>
                <w:w w:val="86"/>
              </w:rPr>
              <w:t>:1.00</w:t>
            </w:r>
          </w:p>
        </w:tc>
        <w:tc>
          <w:tcPr>
            <w:tcW w:w="1120" w:type="dxa"/>
            <w:vAlign w:val="bottom"/>
            <w:tcBorders>
              <w:top w:val="single" w:sz="8" w:color="auto"/>
              <w:right w:val="single" w:sz="8" w:color="auto"/>
            </w:tcBorders>
          </w:tcPr>
          <w:p>
            <w:pPr>
              <w:spacing w:after="0"/>
              <w:rPr>
                <w:sz w:val="22"/>
                <w:szCs w:val="22"/>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r>
      <w:tr>
        <w:trPr>
          <w:trHeight w:val="23"/>
        </w:trPr>
        <w:tc>
          <w:tcPr>
            <w:tcW w:w="4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10"/>
        </w:trPr>
        <w:tc>
          <w:tcPr>
            <w:tcW w:w="560" w:type="dxa"/>
            <w:vAlign w:val="bottom"/>
            <w:tcBorders>
              <w:left w:val="single" w:sz="8" w:color="auto"/>
            </w:tcBorders>
            <w:gridSpan w:val="3"/>
          </w:tcPr>
          <w:p>
            <w:pPr>
              <w:jc w:val="right"/>
              <w:ind w:right="60"/>
              <w:spacing w:after="0" w:line="209" w:lineRule="exact"/>
              <w:rPr>
                <w:sz w:val="20"/>
                <w:szCs w:val="20"/>
                <w:color w:val="auto"/>
              </w:rPr>
            </w:pPr>
            <w:r>
              <w:rPr>
                <w:rFonts w:ascii="Arial" w:cs="Arial" w:eastAsia="Arial" w:hAnsi="Arial"/>
                <w:sz w:val="20"/>
                <w:szCs w:val="20"/>
                <w:color w:val="auto"/>
              </w:rPr>
              <w:t>&lt;</w:t>
            </w:r>
          </w:p>
        </w:tc>
        <w:tc>
          <w:tcPr>
            <w:tcW w:w="34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2"/>
              </w:rPr>
              <w:t>2.25</w:t>
            </w:r>
          </w:p>
        </w:tc>
        <w:tc>
          <w:tcPr>
            <w:tcW w:w="1200" w:type="dxa"/>
            <w:vAlign w:val="bottom"/>
            <w:gridSpan w:val="5"/>
          </w:tcPr>
          <w:p>
            <w:pPr>
              <w:jc w:val="center"/>
              <w:spacing w:after="0" w:line="209" w:lineRule="exact"/>
              <w:rPr>
                <w:sz w:val="20"/>
                <w:szCs w:val="20"/>
                <w:color w:val="auto"/>
              </w:rPr>
            </w:pPr>
            <w:r>
              <w:rPr>
                <w:rFonts w:ascii="Arial" w:cs="Arial" w:eastAsia="Arial" w:hAnsi="Arial"/>
                <w:sz w:val="20"/>
                <w:szCs w:val="20"/>
                <w:color w:val="0000FF"/>
                <w:w w:val="89"/>
              </w:rPr>
              <w:t>2.50</w:t>
            </w:r>
            <w:r>
              <w:rPr>
                <w:rFonts w:ascii="Arial" w:cs="Arial" w:eastAsia="Arial" w:hAnsi="Arial"/>
                <w:sz w:val="20"/>
                <w:szCs w:val="20"/>
                <w:color w:val="000000"/>
                <w:w w:val="89"/>
              </w:rPr>
              <w:t>:1.00 but &gt;</w:t>
            </w: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7"/>
              </w:rPr>
              <w:t>1.00</w:t>
            </w:r>
          </w:p>
        </w:tc>
        <w:tc>
          <w:tcPr>
            <w:tcW w:w="1120" w:type="dxa"/>
            <w:vAlign w:val="bottom"/>
            <w:tcBorders>
              <w:right w:val="single" w:sz="8" w:color="auto"/>
            </w:tcBorders>
          </w:tcPr>
          <w:p>
            <w:pPr>
              <w:jc w:val="right"/>
              <w:ind w:right="281"/>
              <w:spacing w:after="0" w:line="209" w:lineRule="exact"/>
              <w:rPr>
                <w:sz w:val="20"/>
                <w:szCs w:val="20"/>
                <w:color w:val="auto"/>
              </w:rPr>
            </w:pPr>
            <w:r>
              <w:rPr>
                <w:rFonts w:ascii="Arial" w:cs="Arial" w:eastAsia="Arial" w:hAnsi="Arial"/>
                <w:sz w:val="20"/>
                <w:szCs w:val="20"/>
                <w:color w:val="0000FF"/>
                <w:w w:val="86"/>
              </w:rPr>
              <w:t>1.25</w:t>
            </w:r>
            <w:r>
              <w:rPr>
                <w:rFonts w:ascii="Arial" w:cs="Arial" w:eastAsia="Arial" w:hAnsi="Arial"/>
                <w:sz w:val="20"/>
                <w:szCs w:val="20"/>
                <w:color w:val="000000"/>
                <w:w w:val="86"/>
              </w:rPr>
              <w:t>:1.00</w:t>
            </w:r>
          </w:p>
        </w:tc>
        <w:tc>
          <w:tcPr>
            <w:tcW w:w="38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0.375%</w:t>
            </w:r>
          </w:p>
        </w:tc>
      </w:tr>
      <w:tr>
        <w:trPr>
          <w:trHeight w:val="48"/>
        </w:trPr>
        <w:tc>
          <w:tcPr>
            <w:tcW w:w="400" w:type="dxa"/>
            <w:vAlign w:val="bottom"/>
            <w:tcBorders>
              <w:left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r>
      <w:tr>
        <w:trPr>
          <w:trHeight w:val="210"/>
        </w:trPr>
        <w:tc>
          <w:tcPr>
            <w:tcW w:w="1300" w:type="dxa"/>
            <w:vAlign w:val="bottom"/>
            <w:tcBorders>
              <w:left w:val="single" w:sz="8" w:color="auto"/>
            </w:tcBorders>
            <w:gridSpan w:val="6"/>
          </w:tcPr>
          <w:p>
            <w:pPr>
              <w:jc w:val="right"/>
              <w:spacing w:after="0" w:line="209" w:lineRule="exact"/>
              <w:rPr>
                <w:sz w:val="20"/>
                <w:szCs w:val="20"/>
                <w:color w:val="auto"/>
              </w:rPr>
            </w:pPr>
            <w:r>
              <w:rPr>
                <w:rFonts w:ascii="Arial" w:cs="Arial" w:eastAsia="Arial" w:hAnsi="Arial"/>
                <w:sz w:val="20"/>
                <w:szCs w:val="20"/>
                <w:color w:val="auto"/>
              </w:rPr>
              <w:t>&lt;</w:t>
            </w:r>
          </w:p>
        </w:tc>
        <w:tc>
          <w:tcPr>
            <w:tcW w:w="360" w:type="dxa"/>
            <w:vAlign w:val="bottom"/>
          </w:tcPr>
          <w:p>
            <w:pPr>
              <w:jc w:val="center"/>
              <w:spacing w:after="0" w:line="209" w:lineRule="exact"/>
              <w:rPr>
                <w:sz w:val="20"/>
                <w:szCs w:val="20"/>
                <w:color w:val="auto"/>
              </w:rPr>
            </w:pPr>
            <w:r>
              <w:rPr>
                <w:rFonts w:ascii="Arial" w:cs="Arial" w:eastAsia="Arial" w:hAnsi="Arial"/>
                <w:sz w:val="20"/>
                <w:szCs w:val="20"/>
                <w:color w:val="FF0000"/>
                <w:strike w:val="1"/>
                <w:w w:val="92"/>
              </w:rPr>
              <w:t>1.00</w:t>
            </w:r>
          </w:p>
        </w:tc>
        <w:tc>
          <w:tcPr>
            <w:tcW w:w="80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6"/>
              </w:rPr>
              <w:t>1.25</w:t>
            </w:r>
            <w:r>
              <w:rPr>
                <w:rFonts w:ascii="Arial" w:cs="Arial" w:eastAsia="Arial" w:hAnsi="Arial"/>
                <w:sz w:val="20"/>
                <w:szCs w:val="20"/>
                <w:color w:val="000000"/>
                <w:w w:val="86"/>
              </w:rPr>
              <w:t>:1.00</w:t>
            </w:r>
          </w:p>
        </w:tc>
        <w:tc>
          <w:tcPr>
            <w:tcW w:w="112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0.25%</w:t>
            </w:r>
          </w:p>
        </w:tc>
      </w:tr>
      <w:tr>
        <w:trPr>
          <w:trHeight w:val="48"/>
        </w:trPr>
        <w:tc>
          <w:tcPr>
            <w:tcW w:w="4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r>
      <w:tr>
        <w:trPr>
          <w:trHeight w:val="20"/>
        </w:trPr>
        <w:tc>
          <w:tcPr>
            <w:tcW w:w="40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shall mean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have the meaning provided in Section 13.16.</w:t>
      </w:r>
    </w:p>
    <w:p>
      <w:pPr>
        <w:spacing w:after="0" w:line="220"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18</w:t>
      </w:r>
    </w:p>
    <w:p>
      <w:pPr>
        <w:sectPr>
          <w:pgSz w:w="11900" w:h="16838" w:orient="portrait"/>
          <w:cols w:equalWidth="0" w:num="1">
            <w:col w:w="11400"/>
          </w:cols>
          <w:pgMar w:left="240" w:top="294" w:right="259" w:bottom="1440" w:gutter="0" w:footer="0" w:header="0"/>
        </w:sectPr>
      </w:pPr>
    </w:p>
    <w:bookmarkStart w:id="93" w:name="page94"/>
    <w:bookmarkEnd w:id="93"/>
    <w:p>
      <w:pPr>
        <w:ind w:right="520"/>
        <w:spacing w:after="0" w:line="287" w:lineRule="auto"/>
        <w:rPr>
          <w:sz w:val="20"/>
          <w:szCs w:val="20"/>
          <w:color w:val="auto"/>
        </w:rPr>
      </w:pPr>
      <w:r>
        <w:rPr>
          <w:rFonts w:ascii="Arial" w:cs="Arial" w:eastAsia="Arial" w:hAnsi="Arial"/>
          <w:sz w:val="21"/>
          <w:szCs w:val="21"/>
          <w:color w:val="auto"/>
        </w:rPr>
        <w:t>mandatory prepayments that are on terms not more favorable to the lenders or holders providing such Indebtedness than those applicable to the Refinanced Debt) prior to the 91st day after the maturity date of the Refinanced Debt.</w:t>
      </w:r>
    </w:p>
    <w:p>
      <w:pPr>
        <w:spacing w:after="0" w:line="260" w:lineRule="exact"/>
        <w:rPr>
          <w:sz w:val="20"/>
          <w:szCs w:val="20"/>
          <w:color w:val="auto"/>
        </w:rPr>
      </w:pPr>
    </w:p>
    <w:p>
      <w:pPr>
        <w:ind w:right="6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Documents</w:t>
      </w:r>
      <w:r>
        <w:rPr>
          <w:rFonts w:ascii="Arial" w:cs="Arial" w:eastAsia="Arial" w:hAnsi="Arial"/>
          <w:sz w:val="22"/>
          <w:szCs w:val="22"/>
          <w:color w:val="auto"/>
        </w:rPr>
        <w:t xml:space="preserve">” shall mean this Agreement, the Guarantee, the Security Documents, the Agency Fee Letter, each Letter of Credit, any promissory notes issued by the Borrower hereunder, any Incremental Agreement, any Extension Agreement, Amendment No. 1, </w:t>
      </w:r>
      <w:r>
        <w:rPr>
          <w:rFonts w:ascii="Arial" w:cs="Arial" w:eastAsia="Arial" w:hAnsi="Arial"/>
          <w:sz w:val="22"/>
          <w:szCs w:val="22"/>
          <w:color w:val="0000FF"/>
        </w:rPr>
        <w:t>Amendment No. 2,</w:t>
      </w:r>
      <w:r>
        <w:rPr>
          <w:rFonts w:ascii="Arial" w:cs="Arial" w:eastAsia="Arial" w:hAnsi="Arial"/>
          <w:sz w:val="22"/>
          <w:szCs w:val="22"/>
          <w:color w:val="auto"/>
        </w:rPr>
        <w:t xml:space="preserve"> and any Customary Intercreditor Agreement entered into after the Closing Date to which the Collateral Agent and/or Administrative Agent is a party.</w:t>
      </w:r>
    </w:p>
    <w:p>
      <w:pPr>
        <w:spacing w:after="0" w:line="296" w:lineRule="exact"/>
        <w:rPr>
          <w:sz w:val="20"/>
          <w:szCs w:val="20"/>
          <w:color w:val="auto"/>
        </w:rPr>
      </w:pPr>
    </w:p>
    <w:p>
      <w:pPr>
        <w:ind w:right="7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Event</w:t>
      </w:r>
      <w:r>
        <w:rPr>
          <w:rFonts w:ascii="Arial" w:cs="Arial" w:eastAsia="Arial" w:hAnsi="Arial"/>
          <w:sz w:val="22"/>
          <w:szCs w:val="22"/>
          <w:color w:val="auto"/>
        </w:rPr>
        <w:t>” shall mean and include the making (but not the conversion or continuation) of a Loan and the issuance, or increase in the amount, of a Letter of Credit.</w:t>
      </w:r>
    </w:p>
    <w:p>
      <w:pPr>
        <w:spacing w:after="0" w:line="283"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Facility</w:t>
      </w:r>
      <w:r>
        <w:rPr>
          <w:rFonts w:ascii="Arial" w:cs="Arial" w:eastAsia="Arial" w:hAnsi="Arial"/>
          <w:sz w:val="22"/>
          <w:szCs w:val="22"/>
          <w:color w:val="auto"/>
        </w:rPr>
        <w:t xml:space="preserve">” shall mean any of the </w:t>
      </w:r>
      <w:r>
        <w:rPr>
          <w:rFonts w:ascii="Arial" w:cs="Arial" w:eastAsia="Arial" w:hAnsi="Arial"/>
          <w:sz w:val="22"/>
          <w:szCs w:val="22"/>
          <w:color w:val="0000FF"/>
        </w:rPr>
        <w:t>2017</w:t>
      </w:r>
      <w:r>
        <w:rPr>
          <w:rFonts w:ascii="Arial" w:cs="Arial" w:eastAsia="Arial" w:hAnsi="Arial"/>
          <w:sz w:val="22"/>
          <w:szCs w:val="22"/>
          <w:color w:val="auto"/>
        </w:rPr>
        <w:t xml:space="preserve"> Initial </w:t>
      </w:r>
      <w:r>
        <w:rPr>
          <w:rFonts w:ascii="Arial" w:cs="Arial" w:eastAsia="Arial" w:hAnsi="Arial"/>
          <w:sz w:val="22"/>
          <w:szCs w:val="22"/>
          <w:color w:val="0000FF"/>
        </w:rPr>
        <w:t>Tranche A Term Loan Facility, the 2019 Extended</w:t>
      </w:r>
      <w:r>
        <w:rPr>
          <w:rFonts w:ascii="Arial" w:cs="Arial" w:eastAsia="Arial" w:hAnsi="Arial"/>
          <w:sz w:val="22"/>
          <w:szCs w:val="22"/>
          <w:color w:val="auto"/>
        </w:rPr>
        <w:t xml:space="preserve"> Tranche A Term Loan Facility, Initial Tranche B Term Loan Facility, any Incremental Term Loan Facility, the Revolving Credit Facility, any Additional/Replacement Revolving Credit Facility, any Extended Term Loan Facility or any Extended Revolving Credit Facility, as applicable.</w:t>
      </w:r>
    </w:p>
    <w:p>
      <w:pPr>
        <w:spacing w:after="0" w:line="2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shall mean the Borrower and each of the Guarantors.</w:t>
      </w:r>
    </w:p>
    <w:p>
      <w:pPr>
        <w:spacing w:after="0" w:line="328" w:lineRule="exact"/>
        <w:rPr>
          <w:sz w:val="20"/>
          <w:szCs w:val="20"/>
          <w:color w:val="auto"/>
        </w:rPr>
      </w:pPr>
    </w:p>
    <w:p>
      <w:pPr>
        <w:jc w:val="both"/>
        <w:ind w:right="2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Consolidated Net Income</w:t>
      </w:r>
      <w:r>
        <w:rPr>
          <w:rFonts w:ascii="Arial" w:cs="Arial" w:eastAsia="Arial" w:hAnsi="Arial"/>
          <w:sz w:val="22"/>
          <w:szCs w:val="22"/>
          <w:color w:val="auto"/>
        </w:rPr>
        <w:t>” shall mean, as at any date of determination, Consolidated Net Income for the period (taken as one accounting period) commencing on January 1, 2012 and ending on the last day of the most recent fiscal quarter for which Section 9.1 Financials have been delivered.</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Amount</w:t>
      </w:r>
      <w:r>
        <w:rPr>
          <w:rFonts w:ascii="Arial" w:cs="Arial" w:eastAsia="Arial" w:hAnsi="Arial"/>
          <w:sz w:val="22"/>
          <w:szCs w:val="22"/>
          <w:color w:val="auto"/>
        </w:rPr>
        <w:t>” shall have the meaning provided in Section 11.12(a).</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Deadline</w:t>
      </w:r>
      <w:r>
        <w:rPr>
          <w:rFonts w:ascii="Arial" w:cs="Arial" w:eastAsia="Arial" w:hAnsi="Arial"/>
          <w:sz w:val="22"/>
          <w:szCs w:val="22"/>
          <w:color w:val="auto"/>
        </w:rPr>
        <w:t>” shall have the meaning provided in Section 11.12(a).</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Right</w:t>
      </w:r>
      <w:r>
        <w:rPr>
          <w:rFonts w:ascii="Arial" w:cs="Arial" w:eastAsia="Arial" w:hAnsi="Arial"/>
          <w:sz w:val="22"/>
          <w:szCs w:val="22"/>
          <w:color w:val="auto"/>
        </w:rPr>
        <w:t>” shall have the meaning provided in Section 11.12(a).</w:t>
      </w:r>
    </w:p>
    <w:p>
      <w:pPr>
        <w:spacing w:after="0" w:line="328" w:lineRule="exact"/>
        <w:rPr>
          <w:sz w:val="20"/>
          <w:szCs w:val="20"/>
          <w:color w:val="auto"/>
        </w:rPr>
      </w:pPr>
    </w:p>
    <w:p>
      <w:pPr>
        <w:ind w:right="36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Customary Intercreditor Agreement</w:t>
      </w:r>
      <w:r>
        <w:rPr>
          <w:rFonts w:ascii="Arial" w:cs="Arial" w:eastAsia="Arial" w:hAnsi="Arial"/>
          <w:sz w:val="19"/>
          <w:szCs w:val="19"/>
          <w:color w:val="auto"/>
        </w:rPr>
        <w:t>” shall mean (a) to the extent executed in connection with the incurrence of secured Indebtedness, the security of which is not intended to rank junior or senior to the Liens securing the Obligations (but without regard to the control of remedies), at the option of the Borrower and the Administrative Agent acting together, either (i)</w:t>
      </w:r>
    </w:p>
    <w:p>
      <w:pPr>
        <w:spacing w:after="0" w:line="242" w:lineRule="exact"/>
        <w:rPr>
          <w:sz w:val="20"/>
          <w:szCs w:val="20"/>
          <w:color w:val="auto"/>
        </w:rPr>
      </w:pPr>
    </w:p>
    <w:p>
      <w:pPr>
        <w:ind w:right="500"/>
        <w:spacing w:after="0" w:line="312" w:lineRule="auto"/>
        <w:rPr>
          <w:sz w:val="20"/>
          <w:szCs w:val="20"/>
          <w:color w:val="auto"/>
        </w:rPr>
      </w:pPr>
      <w:r>
        <w:rPr>
          <w:rFonts w:ascii="Arial" w:cs="Arial" w:eastAsia="Arial" w:hAnsi="Arial"/>
          <w:sz w:val="19"/>
          <w:szCs w:val="19"/>
          <w:color w:val="auto"/>
        </w:rPr>
        <w:t>any intercreditor agreement substantially in the form of the Senior Priority Lien Intercreditor Agreement or (ii) a customary intercreditor agreement in a form reasonably acceptable to the Administrative Agent and the Borrower, which agreement shall provide that the Liens securing such Indebtedness shall not rank junior or senior to the Lien securing the Obligations (but</w:t>
      </w:r>
    </w:p>
    <w:p>
      <w:pPr>
        <w:spacing w:after="0" w:line="242"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without regard to the control of remedies) and (b) to the extent executed in connection with the incurrence of secured Indebtedness, the security of which is intended to rank junior to the Liens securing the Obligations, at the option of the Borrower and the Administrative Agent acting together, either (i) an intercreditor agreement substantially in the form of the Junior Priority Lien Intercreditor Agreement or (ii) a customary intercreditor agreement in a form reasonably acceptable to the Administrative Agent and the Borrower, which agreement shall provide that the Liens securing such Indebtedness shall rank junior to the Lien securing the Obligations.</w:t>
      </w:r>
    </w:p>
    <w:p>
      <w:pPr>
        <w:spacing w:after="0" w:line="140"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28</w:t>
      </w:r>
    </w:p>
    <w:p>
      <w:pPr>
        <w:sectPr>
          <w:pgSz w:w="11900" w:h="16838" w:orient="portrait"/>
          <w:cols w:equalWidth="0" w:num="1">
            <w:col w:w="11420"/>
          </w:cols>
          <w:pgMar w:left="240" w:top="294" w:right="239" w:bottom="1440" w:gutter="0" w:footer="0" w:header="0"/>
        </w:sectPr>
      </w:pPr>
    </w:p>
    <w:bookmarkStart w:id="94" w:name="page95"/>
    <w:bookmarkEnd w:id="9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Revolving Credit Class</w:t>
      </w:r>
      <w:r>
        <w:rPr>
          <w:rFonts w:ascii="Arial" w:cs="Arial" w:eastAsia="Arial" w:hAnsi="Arial"/>
          <w:sz w:val="22"/>
          <w:szCs w:val="22"/>
          <w:color w:val="auto"/>
        </w:rPr>
        <w:t>” shall have the meaning provided in Section 2.15(a)(ii).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Revolving Credit Commitments</w:t>
      </w:r>
      <w:r>
        <w:rPr>
          <w:rFonts w:ascii="Arial" w:cs="Arial" w:eastAsia="Arial" w:hAnsi="Arial"/>
          <w:sz w:val="22"/>
          <w:szCs w:val="22"/>
          <w:color w:val="auto"/>
        </w:rPr>
        <w:t>” shall have the meaning provided in Section 2.15(a)(ii).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Revolving Credit Loans</w:t>
      </w:r>
      <w:r>
        <w:rPr>
          <w:rFonts w:ascii="Arial" w:cs="Arial" w:eastAsia="Arial" w:hAnsi="Arial"/>
          <w:sz w:val="22"/>
          <w:szCs w:val="22"/>
          <w:color w:val="auto"/>
        </w:rPr>
        <w:t>” shall have the meaning provided in Section 2.15(a)(ii).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Term Loan Class</w:t>
      </w:r>
      <w:r>
        <w:rPr>
          <w:rFonts w:ascii="Arial" w:cs="Arial" w:eastAsia="Arial" w:hAnsi="Arial"/>
          <w:sz w:val="22"/>
          <w:szCs w:val="22"/>
          <w:color w:val="auto"/>
        </w:rPr>
        <w:t>” shall have the meaning provided in Section 2.15(a).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Expected Cure Amount</w:t>
      </w:r>
      <w:r>
        <w:rPr>
          <w:rFonts w:ascii="Arial" w:cs="Arial" w:eastAsia="Arial" w:hAnsi="Arial"/>
          <w:sz w:val="22"/>
          <w:szCs w:val="22"/>
          <w:color w:val="auto"/>
        </w:rPr>
        <w:t>” shall have the meaning provided in Section 11.12(b)</w:t>
      </w:r>
    </w:p>
    <w:p>
      <w:pPr>
        <w:spacing w:after="0" w:line="220" w:lineRule="exact"/>
        <w:rPr>
          <w:sz w:val="20"/>
          <w:szCs w:val="20"/>
          <w:color w:val="auto"/>
        </w:rPr>
      </w:pPr>
    </w:p>
    <w:p>
      <w:pPr>
        <w:ind w:right="5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Loans/Commitments</w:t>
      </w:r>
      <w:r>
        <w:rPr>
          <w:rFonts w:ascii="Arial" w:cs="Arial" w:eastAsia="Arial" w:hAnsi="Arial"/>
          <w:sz w:val="22"/>
          <w:szCs w:val="22"/>
          <w:color w:val="auto"/>
        </w:rPr>
        <w:t>” shall mean Extended Term Loans, Extended Revolving Credit Loans and/or Extended Revolving Credit Commitments.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Repayment Date</w:t>
      </w:r>
      <w:r>
        <w:rPr>
          <w:rFonts w:ascii="Arial" w:cs="Arial" w:eastAsia="Arial" w:hAnsi="Arial"/>
          <w:sz w:val="22"/>
          <w:szCs w:val="22"/>
          <w:color w:val="auto"/>
        </w:rPr>
        <w:t>” shall have the meaning provided in Section 2.5(</w:t>
      </w:r>
      <w:r>
        <w:rPr>
          <w:rFonts w:ascii="Arial" w:cs="Arial" w:eastAsia="Arial" w:hAnsi="Arial"/>
          <w:sz w:val="22"/>
          <w:szCs w:val="22"/>
          <w:color w:val="FF0000"/>
          <w:strike w:val="1"/>
        </w:rPr>
        <w:t>d</w:t>
      </w:r>
      <w:r>
        <w:rPr>
          <w:rFonts w:ascii="Arial" w:cs="Arial" w:eastAsia="Arial" w:hAnsi="Arial"/>
          <w:sz w:val="22"/>
          <w:szCs w:val="22"/>
          <w:color w:val="0000FF"/>
        </w:rPr>
        <w:t>f</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Credit Commitments</w:t>
      </w:r>
      <w:r>
        <w:rPr>
          <w:rFonts w:ascii="Arial" w:cs="Arial" w:eastAsia="Arial" w:hAnsi="Arial"/>
          <w:sz w:val="22"/>
          <w:szCs w:val="22"/>
          <w:color w:val="auto"/>
        </w:rPr>
        <w:t>” shall have the meaning provided in Section 2.15(a)(ii).</w:t>
      </w:r>
    </w:p>
    <w:p>
      <w:pPr>
        <w:spacing w:after="0" w:line="220" w:lineRule="exact"/>
        <w:rPr>
          <w:sz w:val="20"/>
          <w:szCs w:val="20"/>
          <w:color w:val="auto"/>
        </w:rPr>
      </w:pPr>
    </w:p>
    <w:p>
      <w:pPr>
        <w:ind w:right="8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Credit Facility</w:t>
      </w:r>
      <w:r>
        <w:rPr>
          <w:rFonts w:ascii="Arial" w:cs="Arial" w:eastAsia="Arial" w:hAnsi="Arial"/>
          <w:sz w:val="22"/>
          <w:szCs w:val="22"/>
          <w:color w:val="auto"/>
        </w:rPr>
        <w:t>” shall mean each Class of Extended Revolving Credit Commitments established pursuant to Section 2.15(a)(ii).</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Credit Loans</w:t>
      </w:r>
      <w:r>
        <w:rPr>
          <w:rFonts w:ascii="Arial" w:cs="Arial" w:eastAsia="Arial" w:hAnsi="Arial"/>
          <w:sz w:val="22"/>
          <w:szCs w:val="22"/>
          <w:color w:val="auto"/>
        </w:rPr>
        <w:t>” shall have the meaning provided in Section 2.15(a)(ii).</w:t>
      </w:r>
    </w:p>
    <w:p>
      <w:pPr>
        <w:spacing w:after="0" w:line="328" w:lineRule="exact"/>
        <w:rPr>
          <w:sz w:val="20"/>
          <w:szCs w:val="20"/>
          <w:color w:val="auto"/>
        </w:rPr>
      </w:pPr>
    </w:p>
    <w:p>
      <w:pPr>
        <w:ind w:right="4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Term Loan Class</w:t>
      </w:r>
      <w:r>
        <w:rPr>
          <w:rFonts w:ascii="Arial" w:cs="Arial" w:eastAsia="Arial" w:hAnsi="Arial"/>
          <w:sz w:val="21"/>
          <w:szCs w:val="21"/>
          <w:color w:val="auto"/>
        </w:rPr>
        <w:t>” shall have the meaning provided in Section 2.15(a)</w:t>
      </w:r>
      <w:r>
        <w:rPr>
          <w:rFonts w:ascii="Arial" w:cs="Arial" w:eastAsia="Arial" w:hAnsi="Arial"/>
          <w:sz w:val="21"/>
          <w:szCs w:val="21"/>
          <w:color w:val="0000FF"/>
        </w:rPr>
        <w:t>, and shall include the Class made</w:t>
      </w:r>
      <w:r>
        <w:rPr>
          <w:rFonts w:ascii="Arial" w:cs="Arial" w:eastAsia="Arial" w:hAnsi="Arial"/>
          <w:sz w:val="21"/>
          <w:szCs w:val="21"/>
          <w:color w:val="auto"/>
        </w:rPr>
        <w:t xml:space="preserve"> </w:t>
      </w:r>
      <w:r>
        <w:rPr>
          <w:rFonts w:ascii="Arial" w:cs="Arial" w:eastAsia="Arial" w:hAnsi="Arial"/>
          <w:sz w:val="21"/>
          <w:szCs w:val="21"/>
          <w:color w:val="0000FF"/>
        </w:rPr>
        <w:t>up of the 2019 Extended Tranche A Term Loans under the 2019 Extended Tranche A Term Loan Facility</w:t>
      </w:r>
      <w:r>
        <w:rPr>
          <w:rFonts w:ascii="Arial" w:cs="Arial" w:eastAsia="Arial" w:hAnsi="Arial"/>
          <w:sz w:val="21"/>
          <w:szCs w:val="21"/>
          <w:color w:val="000000"/>
        </w:rPr>
        <w:t>.</w:t>
      </w:r>
    </w:p>
    <w:p>
      <w:pPr>
        <w:spacing w:after="0" w:line="26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 Facility</w:t>
      </w:r>
      <w:r>
        <w:rPr>
          <w:rFonts w:ascii="Arial" w:cs="Arial" w:eastAsia="Arial" w:hAnsi="Arial"/>
          <w:sz w:val="22"/>
          <w:szCs w:val="22"/>
          <w:color w:val="auto"/>
        </w:rPr>
        <w:t xml:space="preserve">” shall mean each Class of Extended Term Loans made pursuant to Section </w:t>
      </w:r>
      <w:r>
        <w:rPr>
          <w:rFonts w:ascii="Arial" w:cs="Arial" w:eastAsia="Arial" w:hAnsi="Arial"/>
          <w:sz w:val="22"/>
          <w:szCs w:val="22"/>
          <w:color w:val="FF0000"/>
          <w:strike w:val="1"/>
        </w:rPr>
        <w:t>2.15</w:t>
      </w:r>
      <w:r>
        <w:rPr>
          <w:rFonts w:ascii="Arial" w:cs="Arial" w:eastAsia="Arial" w:hAnsi="Arial"/>
          <w:sz w:val="22"/>
          <w:szCs w:val="22"/>
          <w:color w:val="0000FF"/>
        </w:rPr>
        <w:t>2.15,</w:t>
      </w:r>
      <w:r>
        <w:rPr>
          <w:rFonts w:ascii="Arial" w:cs="Arial" w:eastAsia="Arial" w:hAnsi="Arial"/>
          <w:sz w:val="22"/>
          <w:szCs w:val="22"/>
          <w:color w:val="auto"/>
        </w:rPr>
        <w:t xml:space="preserve"> </w:t>
      </w:r>
      <w:r>
        <w:rPr>
          <w:rFonts w:ascii="Arial" w:cs="Arial" w:eastAsia="Arial" w:hAnsi="Arial"/>
          <w:sz w:val="22"/>
          <w:szCs w:val="22"/>
          <w:color w:val="0000FF"/>
        </w:rPr>
        <w:t>and shall include the 2019 Extended Tranche A Term Loan Facility</w:t>
      </w:r>
      <w:r>
        <w:rPr>
          <w:rFonts w:ascii="Arial" w:cs="Arial" w:eastAsia="Arial" w:hAnsi="Arial"/>
          <w:sz w:val="22"/>
          <w:szCs w:val="22"/>
          <w:color w:val="000000"/>
        </w:rPr>
        <w:t>.</w:t>
      </w:r>
    </w:p>
    <w:p>
      <w:pPr>
        <w:spacing w:after="0" w:line="283" w:lineRule="exact"/>
        <w:rPr>
          <w:sz w:val="20"/>
          <w:szCs w:val="20"/>
          <w:color w:val="auto"/>
        </w:rPr>
      </w:pPr>
    </w:p>
    <w:p>
      <w:pPr>
        <w:ind w:right="1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 Repayment Amount</w:t>
      </w:r>
      <w:r>
        <w:rPr>
          <w:rFonts w:ascii="Arial" w:cs="Arial" w:eastAsia="Arial" w:hAnsi="Arial"/>
          <w:sz w:val="22"/>
          <w:szCs w:val="22"/>
          <w:color w:val="auto"/>
        </w:rPr>
        <w:t>” shall have the meaning provided in Section 2.5(</w:t>
      </w:r>
      <w:r>
        <w:rPr>
          <w:rFonts w:ascii="Arial" w:cs="Arial" w:eastAsia="Arial" w:hAnsi="Arial"/>
          <w:sz w:val="22"/>
          <w:szCs w:val="22"/>
          <w:color w:val="FF0000"/>
          <w:strike w:val="1"/>
        </w:rPr>
        <w:t>d</w:t>
      </w:r>
      <w:r>
        <w:rPr>
          <w:rFonts w:ascii="Arial" w:cs="Arial" w:eastAsia="Arial" w:hAnsi="Arial"/>
          <w:sz w:val="22"/>
          <w:szCs w:val="22"/>
          <w:color w:val="0000FF"/>
        </w:rPr>
        <w:t>f</w:t>
      </w:r>
      <w:r>
        <w:rPr>
          <w:rFonts w:ascii="Arial" w:cs="Arial" w:eastAsia="Arial" w:hAnsi="Arial"/>
          <w:sz w:val="22"/>
          <w:szCs w:val="22"/>
          <w:color w:val="auto"/>
        </w:rPr>
        <w:t>)</w:t>
      </w:r>
      <w:r>
        <w:rPr>
          <w:rFonts w:ascii="Arial" w:cs="Arial" w:eastAsia="Arial" w:hAnsi="Arial"/>
          <w:sz w:val="22"/>
          <w:szCs w:val="22"/>
          <w:color w:val="0000FF"/>
        </w:rPr>
        <w:t>, and shall include</w:t>
      </w:r>
      <w:r>
        <w:rPr>
          <w:rFonts w:ascii="Arial" w:cs="Arial" w:eastAsia="Arial" w:hAnsi="Arial"/>
          <w:sz w:val="22"/>
          <w:szCs w:val="22"/>
          <w:color w:val="auto"/>
        </w:rPr>
        <w:t xml:space="preserve"> </w:t>
      </w:r>
      <w:r>
        <w:rPr>
          <w:rFonts w:ascii="Arial" w:cs="Arial" w:eastAsia="Arial" w:hAnsi="Arial"/>
          <w:sz w:val="22"/>
          <w:szCs w:val="22"/>
          <w:color w:val="0000FF"/>
        </w:rPr>
        <w:t>the 2019 Extended Tranche A Term Loan Repayment Amount</w:t>
      </w:r>
      <w:r>
        <w:rPr>
          <w:rFonts w:ascii="Arial" w:cs="Arial" w:eastAsia="Arial" w:hAnsi="Arial"/>
          <w:sz w:val="22"/>
          <w:szCs w:val="22"/>
          <w:color w:val="000000"/>
        </w:rPr>
        <w:t>.</w:t>
      </w:r>
    </w:p>
    <w:p>
      <w:pPr>
        <w:spacing w:after="0" w:line="283"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Loans</w:t>
      </w:r>
      <w:r>
        <w:rPr>
          <w:rFonts w:ascii="Arial" w:cs="Arial" w:eastAsia="Arial" w:hAnsi="Arial"/>
          <w:sz w:val="22"/>
          <w:szCs w:val="22"/>
          <w:color w:val="auto"/>
        </w:rPr>
        <w:t>” shall have the meaning provided in Section 2.15(a)</w:t>
      </w:r>
      <w:r>
        <w:rPr>
          <w:rFonts w:ascii="Arial" w:cs="Arial" w:eastAsia="Arial" w:hAnsi="Arial"/>
          <w:sz w:val="22"/>
          <w:szCs w:val="22"/>
          <w:color w:val="0000FF"/>
        </w:rPr>
        <w:t>, and shall include the 2019 Extended</w:t>
      </w:r>
      <w:r>
        <w:rPr>
          <w:rFonts w:ascii="Arial" w:cs="Arial" w:eastAsia="Arial" w:hAnsi="Arial"/>
          <w:sz w:val="22"/>
          <w:szCs w:val="22"/>
          <w:color w:val="auto"/>
        </w:rPr>
        <w:t xml:space="preserve"> </w:t>
      </w:r>
      <w:r>
        <w:rPr>
          <w:rFonts w:ascii="Arial" w:cs="Arial" w:eastAsia="Arial" w:hAnsi="Arial"/>
          <w:sz w:val="22"/>
          <w:szCs w:val="22"/>
          <w:color w:val="0000FF"/>
        </w:rPr>
        <w:t>Tranche A Term Loans</w:t>
      </w:r>
      <w:r>
        <w:rPr>
          <w:rFonts w:ascii="Arial" w:cs="Arial" w:eastAsia="Arial" w:hAnsi="Arial"/>
          <w:sz w:val="22"/>
          <w:szCs w:val="22"/>
          <w:color w:val="000000"/>
        </w:rPr>
        <w:t>.</w:t>
      </w:r>
    </w:p>
    <w:p>
      <w:pPr>
        <w:spacing w:after="0" w:line="283" w:lineRule="exact"/>
        <w:rPr>
          <w:sz w:val="20"/>
          <w:szCs w:val="20"/>
          <w:color w:val="auto"/>
        </w:rPr>
      </w:pPr>
    </w:p>
    <w:p>
      <w:pPr>
        <w:ind w:right="5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shall have the meaning provided in Section 2.15(b)</w:t>
      </w:r>
      <w:r>
        <w:rPr>
          <w:rFonts w:ascii="Arial" w:cs="Arial" w:eastAsia="Arial" w:hAnsi="Arial"/>
          <w:sz w:val="22"/>
          <w:szCs w:val="22"/>
          <w:color w:val="0000FF"/>
        </w:rPr>
        <w:t>, and shall include the 2019 Extended</w:t>
      </w:r>
      <w:r>
        <w:rPr>
          <w:rFonts w:ascii="Arial" w:cs="Arial" w:eastAsia="Arial" w:hAnsi="Arial"/>
          <w:sz w:val="22"/>
          <w:szCs w:val="22"/>
          <w:color w:val="auto"/>
        </w:rPr>
        <w:t xml:space="preserve"> </w:t>
      </w:r>
      <w:r>
        <w:rPr>
          <w:rFonts w:ascii="Arial" w:cs="Arial" w:eastAsia="Arial" w:hAnsi="Arial"/>
          <w:sz w:val="22"/>
          <w:szCs w:val="22"/>
          <w:color w:val="0000FF"/>
        </w:rPr>
        <w:t>Tranche A Term Lenders</w:t>
      </w:r>
      <w:r>
        <w:rPr>
          <w:rFonts w:ascii="Arial" w:cs="Arial" w:eastAsia="Arial" w:hAnsi="Arial"/>
          <w:sz w:val="22"/>
          <w:szCs w:val="22"/>
          <w:color w:val="000000"/>
        </w:rPr>
        <w:t>.</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Agreement</w:t>
      </w:r>
      <w:r>
        <w:rPr>
          <w:rFonts w:ascii="Arial" w:cs="Arial" w:eastAsia="Arial" w:hAnsi="Arial"/>
          <w:sz w:val="22"/>
          <w:szCs w:val="22"/>
          <w:color w:val="auto"/>
        </w:rPr>
        <w:t>” shall have the meaning provided in Section 2.15(c).</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Date</w:t>
      </w:r>
      <w:r>
        <w:rPr>
          <w:rFonts w:ascii="Arial" w:cs="Arial" w:eastAsia="Arial" w:hAnsi="Arial"/>
          <w:sz w:val="22"/>
          <w:szCs w:val="22"/>
          <w:color w:val="auto"/>
        </w:rPr>
        <w:t>” shall have the meaning provided in Section 2.15(d).</w:t>
      </w:r>
    </w:p>
    <w:p>
      <w:pPr>
        <w:spacing w:after="0" w:line="200" w:lineRule="exact"/>
        <w:rPr>
          <w:sz w:val="20"/>
          <w:szCs w:val="20"/>
          <w:color w:val="auto"/>
        </w:rPr>
      </w:pPr>
    </w:p>
    <w:p>
      <w:pPr>
        <w:spacing w:after="0" w:line="398"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41</w:t>
      </w:r>
    </w:p>
    <w:p>
      <w:pPr>
        <w:sectPr>
          <w:pgSz w:w="11900" w:h="16838" w:orient="portrait"/>
          <w:cols w:equalWidth="0" w:num="1">
            <w:col w:w="11280"/>
          </w:cols>
          <w:pgMar w:left="240" w:top="132" w:right="379" w:bottom="1440" w:gutter="0" w:footer="0" w:header="0"/>
        </w:sectPr>
      </w:pPr>
    </w:p>
    <w:bookmarkStart w:id="95" w:name="page96"/>
    <w:bookmarkEnd w:id="9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Closing Date</w:t>
      </w:r>
      <w:r>
        <w:rPr>
          <w:rFonts w:ascii="Arial" w:cs="Arial" w:eastAsia="Arial" w:hAnsi="Arial"/>
          <w:sz w:val="22"/>
          <w:szCs w:val="22"/>
          <w:color w:val="auto"/>
        </w:rPr>
        <w:t>” shall have the meaning provided in Section 2.14(e).</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Limit</w:t>
      </w:r>
      <w:r>
        <w:rPr>
          <w:rFonts w:ascii="Arial" w:cs="Arial" w:eastAsia="Arial" w:hAnsi="Arial"/>
          <w:sz w:val="22"/>
          <w:szCs w:val="22"/>
          <w:color w:val="auto"/>
        </w:rPr>
        <w:t>” shall have the meaning provided in Section 2.14(b).</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Credit Commitment Increase</w:t>
      </w:r>
      <w:r>
        <w:rPr>
          <w:rFonts w:ascii="Arial" w:cs="Arial" w:eastAsia="Arial" w:hAnsi="Arial"/>
          <w:sz w:val="21"/>
          <w:szCs w:val="21"/>
          <w:color w:val="auto"/>
        </w:rPr>
        <w:t>” shall have the meaning provided in Section 2.14(a).</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Revolving Credit Commitment Increase Lender</w:t>
      </w:r>
      <w:r>
        <w:rPr>
          <w:rFonts w:ascii="Arial" w:cs="Arial" w:eastAsia="Arial" w:hAnsi="Arial"/>
          <w:sz w:val="19"/>
          <w:szCs w:val="19"/>
          <w:color w:val="auto"/>
        </w:rPr>
        <w:t>” shall have the meaning provided in Section 2.14(f).</w:t>
      </w:r>
    </w:p>
    <w:p>
      <w:pPr>
        <w:spacing w:after="0" w:line="254"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Commitment</w:t>
      </w:r>
      <w:r>
        <w:rPr>
          <w:rFonts w:ascii="Arial" w:cs="Arial" w:eastAsia="Arial" w:hAnsi="Arial"/>
          <w:sz w:val="22"/>
          <w:szCs w:val="22"/>
          <w:color w:val="auto"/>
        </w:rPr>
        <w:t>” shall mean the Commitment of any Lender to make Incremental Term Loans of a particular Class pursuant to Section 2.14(a).</w:t>
      </w:r>
    </w:p>
    <w:p>
      <w:pPr>
        <w:spacing w:after="0" w:line="175" w:lineRule="exact"/>
        <w:rPr>
          <w:sz w:val="20"/>
          <w:szCs w:val="20"/>
          <w:color w:val="auto"/>
        </w:rPr>
      </w:pPr>
    </w:p>
    <w:p>
      <w:pPr>
        <w:ind w:right="4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Effective Date</w:t>
      </w:r>
      <w:r>
        <w:rPr>
          <w:rFonts w:ascii="Arial" w:cs="Arial" w:eastAsia="Arial" w:hAnsi="Arial"/>
          <w:sz w:val="22"/>
          <w:szCs w:val="22"/>
          <w:color w:val="auto"/>
        </w:rPr>
        <w:t>” shall mean the “Incremental Term Loan Effective Date” (as defined in Amendment No. 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 Facility</w:t>
      </w:r>
      <w:r>
        <w:rPr>
          <w:rFonts w:ascii="Arial" w:cs="Arial" w:eastAsia="Arial" w:hAnsi="Arial"/>
          <w:sz w:val="19"/>
          <w:szCs w:val="19"/>
          <w:color w:val="auto"/>
        </w:rPr>
        <w:t>” shall mean each Class of Incremental Term Loans made pursuant to Section 2.14.</w:t>
      </w:r>
    </w:p>
    <w:p>
      <w:pPr>
        <w:spacing w:after="0" w:line="254" w:lineRule="exact"/>
        <w:rPr>
          <w:sz w:val="20"/>
          <w:szCs w:val="20"/>
          <w:color w:val="auto"/>
        </w:rPr>
      </w:pPr>
    </w:p>
    <w:p>
      <w:pPr>
        <w:jc w:val="both"/>
        <w:ind w:right="3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Maturity Date</w:t>
      </w:r>
      <w:r>
        <w:rPr>
          <w:rFonts w:ascii="Arial" w:cs="Arial" w:eastAsia="Arial" w:hAnsi="Arial"/>
          <w:sz w:val="22"/>
          <w:szCs w:val="22"/>
          <w:color w:val="auto"/>
        </w:rPr>
        <w:t>” shall mean, with respect to any Class of Incremental Term Loans made pursuant to Section 2.14, the final maturity date thereof and shall include, with respect to the 2013 Incremental Tranche B Term Loan, the 2013 Incremental Tranche B Term Loan Maturity Date.</w:t>
      </w:r>
    </w:p>
    <w:p>
      <w:pPr>
        <w:spacing w:after="0" w:line="186"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Repayment Amount</w:t>
      </w:r>
      <w:r>
        <w:rPr>
          <w:rFonts w:ascii="Arial" w:cs="Arial" w:eastAsia="Arial" w:hAnsi="Arial"/>
          <w:sz w:val="22"/>
          <w:szCs w:val="22"/>
          <w:color w:val="auto"/>
        </w:rPr>
        <w:t>” shall have the meaning provided in Section 2.5(</w:t>
      </w:r>
      <w:r>
        <w:rPr>
          <w:rFonts w:ascii="Arial" w:cs="Arial" w:eastAsia="Arial" w:hAnsi="Arial"/>
          <w:sz w:val="22"/>
          <w:szCs w:val="22"/>
          <w:color w:val="FF0000"/>
          <w:strike w:val="1"/>
        </w:rPr>
        <w:t>d</w:t>
      </w:r>
      <w:r>
        <w:rPr>
          <w:rFonts w:ascii="Arial" w:cs="Arial" w:eastAsia="Arial" w:hAnsi="Arial"/>
          <w:sz w:val="22"/>
          <w:szCs w:val="22"/>
          <w:color w:val="0000FF"/>
        </w:rPr>
        <w:t>f</w:t>
      </w:r>
      <w:r>
        <w:rPr>
          <w:rFonts w:ascii="Arial" w:cs="Arial" w:eastAsia="Arial" w:hAnsi="Arial"/>
          <w:sz w:val="22"/>
          <w:szCs w:val="22"/>
          <w:color w:val="auto"/>
        </w:rPr>
        <w:t>) and shall include any 2013 Incremental Tranche B Term Loan Repayment Amount.</w:t>
      </w:r>
    </w:p>
    <w:p>
      <w:pPr>
        <w:spacing w:after="0" w:line="175"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Repayment Date</w:t>
      </w:r>
      <w:r>
        <w:rPr>
          <w:rFonts w:ascii="Arial" w:cs="Arial" w:eastAsia="Arial" w:hAnsi="Arial"/>
          <w:sz w:val="22"/>
          <w:szCs w:val="22"/>
          <w:color w:val="auto"/>
        </w:rPr>
        <w:t>” shall have the meaning provided in Section 2.5(</w:t>
      </w:r>
      <w:r>
        <w:rPr>
          <w:rFonts w:ascii="Arial" w:cs="Arial" w:eastAsia="Arial" w:hAnsi="Arial"/>
          <w:sz w:val="22"/>
          <w:szCs w:val="22"/>
          <w:color w:val="FF0000"/>
          <w:strike w:val="1"/>
        </w:rPr>
        <w:t>d</w:t>
      </w:r>
      <w:r>
        <w:rPr>
          <w:rFonts w:ascii="Arial" w:cs="Arial" w:eastAsia="Arial" w:hAnsi="Arial"/>
          <w:sz w:val="22"/>
          <w:szCs w:val="22"/>
          <w:color w:val="0000FF"/>
        </w:rPr>
        <w:t>f</w:t>
      </w:r>
      <w:r>
        <w:rPr>
          <w:rFonts w:ascii="Arial" w:cs="Arial" w:eastAsia="Arial" w:hAnsi="Arial"/>
          <w:sz w:val="22"/>
          <w:szCs w:val="22"/>
          <w:color w:val="auto"/>
        </w:rPr>
        <w:t>) and shall include any 2013 Incremental Tranche B Term Loan Repayment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Loans</w:t>
      </w:r>
      <w:r>
        <w:rPr>
          <w:rFonts w:ascii="Arial" w:cs="Arial" w:eastAsia="Arial" w:hAnsi="Arial"/>
          <w:sz w:val="22"/>
          <w:szCs w:val="22"/>
          <w:color w:val="auto"/>
        </w:rPr>
        <w:t>” shall have the meaning provided in Section 2.14(a).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Tranche A Term Loans</w:t>
      </w:r>
      <w:r>
        <w:rPr>
          <w:rFonts w:ascii="Arial" w:cs="Arial" w:eastAsia="Arial" w:hAnsi="Arial"/>
          <w:sz w:val="22"/>
          <w:szCs w:val="22"/>
          <w:color w:val="auto"/>
        </w:rPr>
        <w:t>” shall have the meaning provided in Section 2.14(a).</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Tranche B Term Loans</w:t>
      </w:r>
      <w:r>
        <w:rPr>
          <w:rFonts w:ascii="Arial" w:cs="Arial" w:eastAsia="Arial" w:hAnsi="Arial"/>
          <w:sz w:val="22"/>
          <w:szCs w:val="22"/>
          <w:color w:val="auto"/>
        </w:rPr>
        <w:t>” shall have the meaning provided in Section 2.14(a).</w:t>
      </w:r>
    </w:p>
    <w:p>
      <w:pPr>
        <w:spacing w:after="0" w:line="4"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shall mean, as to any Person at a particular time, without duplication, all of the following, whether or not included as indebtedness or liabilities in accordance with GAAP:</w:t>
      </w:r>
    </w:p>
    <w:p>
      <w:pPr>
        <w:spacing w:after="0" w:line="193" w:lineRule="exact"/>
        <w:rPr>
          <w:sz w:val="20"/>
          <w:szCs w:val="20"/>
          <w:color w:val="auto"/>
        </w:rPr>
      </w:pPr>
    </w:p>
    <w:p>
      <w:pPr>
        <w:ind w:left="1960" w:right="600" w:hanging="655"/>
        <w:spacing w:after="0" w:line="263" w:lineRule="auto"/>
        <w:tabs>
          <w:tab w:leader="none" w:pos="1960" w:val="left"/>
        </w:tabs>
        <w:numPr>
          <w:ilvl w:val="0"/>
          <w:numId w:val="63"/>
        </w:numPr>
        <w:rPr>
          <w:rFonts w:ascii="Arial" w:cs="Arial" w:eastAsia="Arial" w:hAnsi="Arial"/>
          <w:sz w:val="18"/>
          <w:szCs w:val="18"/>
          <w:color w:val="auto"/>
        </w:rPr>
      </w:pPr>
      <w:r>
        <w:rPr>
          <w:rFonts w:ascii="Arial" w:cs="Arial" w:eastAsia="Arial" w:hAnsi="Arial"/>
          <w:sz w:val="22"/>
          <w:szCs w:val="22"/>
          <w:color w:val="auto"/>
        </w:rPr>
        <w:t>all indebtedness of such Person for borrowed money and all indebtedness of such Person evidenced by bonds, debentures, notes, loan agreements or other similar instruments;</w:t>
      </w:r>
    </w:p>
    <w:p>
      <w:pPr>
        <w:spacing w:after="0" w:line="391"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47</w:t>
      </w:r>
    </w:p>
    <w:p>
      <w:pPr>
        <w:sectPr>
          <w:pgSz w:w="11900" w:h="16838" w:orient="portrait"/>
          <w:cols w:equalWidth="0" w:num="1">
            <w:col w:w="11420"/>
          </w:cols>
          <w:pgMar w:left="240" w:top="131" w:right="239" w:bottom="1440" w:gutter="0" w:footer="0" w:header="0"/>
        </w:sectPr>
      </w:pPr>
    </w:p>
    <w:bookmarkStart w:id="96" w:name="page97"/>
    <w:bookmarkEnd w:id="96"/>
    <w:p>
      <w:pPr>
        <w:ind w:right="120"/>
        <w:spacing w:after="0" w:line="263" w:lineRule="auto"/>
        <w:rPr>
          <w:sz w:val="20"/>
          <w:szCs w:val="20"/>
          <w:color w:val="auto"/>
        </w:rPr>
      </w:pPr>
      <w:r>
        <w:rPr>
          <w:rFonts w:ascii="Arial" w:cs="Arial" w:eastAsia="Arial" w:hAnsi="Arial"/>
          <w:sz w:val="22"/>
          <w:szCs w:val="22"/>
          <w:color w:val="auto"/>
        </w:rPr>
        <w:t>amount of such Indebtedness and (ii) the Fair Market Value of the property encumbered thereby as determined by such Person in good faith.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Parties</w:t>
      </w:r>
      <w:r>
        <w:rPr>
          <w:rFonts w:ascii="Arial" w:cs="Arial" w:eastAsia="Arial" w:hAnsi="Arial"/>
          <w:sz w:val="22"/>
          <w:szCs w:val="22"/>
          <w:color w:val="auto"/>
        </w:rPr>
        <w:t>” shall have the meaning provided in Section 13.5(a).</w:t>
      </w:r>
    </w:p>
    <w:p>
      <w:pPr>
        <w:spacing w:after="0" w:line="220" w:lineRule="exact"/>
        <w:rPr>
          <w:sz w:val="20"/>
          <w:szCs w:val="20"/>
          <w:color w:val="auto"/>
        </w:rPr>
      </w:pPr>
    </w:p>
    <w:p>
      <w:pPr>
        <w:jc w:val="both"/>
        <w:ind w:right="2920"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Financial Statement Delivery Date</w:t>
      </w:r>
      <w:r>
        <w:rPr>
          <w:rFonts w:ascii="Arial" w:cs="Arial" w:eastAsia="Arial" w:hAnsi="Arial"/>
          <w:sz w:val="21"/>
          <w:szCs w:val="21"/>
          <w:color w:val="auto"/>
        </w:rPr>
        <w:t>” shall mean the date on which Section 9.1 Financials are delivered to the Administrative Agent under Section 9.1(a) or (b) for the first full fiscal quarter of the Borrower commencing after the Closing Date.</w:t>
      </w:r>
    </w:p>
    <w:p>
      <w:pPr>
        <w:spacing w:after="0" w:line="168"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 Repayment Amount</w:t>
      </w:r>
      <w:r>
        <w:rPr>
          <w:rFonts w:ascii="Arial" w:cs="Arial" w:eastAsia="Arial" w:hAnsi="Arial"/>
          <w:sz w:val="22"/>
          <w:szCs w:val="22"/>
          <w:color w:val="auto"/>
        </w:rPr>
        <w:t xml:space="preserve">” shall mean </w:t>
      </w:r>
      <w:r>
        <w:rPr>
          <w:rFonts w:ascii="Arial" w:cs="Arial" w:eastAsia="Arial" w:hAnsi="Arial"/>
          <w:sz w:val="22"/>
          <w:szCs w:val="22"/>
          <w:color w:val="FF0000"/>
          <w:strike w:val="1"/>
        </w:rPr>
        <w:t>an</w:t>
      </w:r>
      <w:r>
        <w:rPr>
          <w:rFonts w:ascii="Arial" w:cs="Arial" w:eastAsia="Arial" w:hAnsi="Arial"/>
          <w:sz w:val="22"/>
          <w:szCs w:val="22"/>
          <w:color w:val="0000FF"/>
        </w:rPr>
        <w:t>a 2017</w:t>
      </w:r>
      <w:r>
        <w:rPr>
          <w:rFonts w:ascii="Arial" w:cs="Arial" w:eastAsia="Arial" w:hAnsi="Arial"/>
          <w:sz w:val="22"/>
          <w:szCs w:val="22"/>
          <w:color w:val="auto"/>
        </w:rPr>
        <w:t xml:space="preserve"> Initial Tranche A Term Loan Repayment Amount or an Initial Tranche B Term Loan Repayment Amount, as the case may be.</w:t>
      </w:r>
    </w:p>
    <w:p>
      <w:pPr>
        <w:spacing w:after="0" w:line="175" w:lineRule="exact"/>
        <w:rPr>
          <w:sz w:val="20"/>
          <w:szCs w:val="20"/>
          <w:color w:val="auto"/>
        </w:rPr>
      </w:pPr>
    </w:p>
    <w:p>
      <w:pPr>
        <w:ind w:right="3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 Repayment Date</w:t>
      </w:r>
      <w:r>
        <w:rPr>
          <w:rFonts w:ascii="Arial" w:cs="Arial" w:eastAsia="Arial" w:hAnsi="Arial"/>
          <w:sz w:val="22"/>
          <w:szCs w:val="22"/>
          <w:color w:val="auto"/>
        </w:rPr>
        <w:t xml:space="preserve">” shall mean </w:t>
      </w:r>
      <w:r>
        <w:rPr>
          <w:rFonts w:ascii="Arial" w:cs="Arial" w:eastAsia="Arial" w:hAnsi="Arial"/>
          <w:sz w:val="22"/>
          <w:szCs w:val="22"/>
          <w:color w:val="FF0000"/>
          <w:strike w:val="1"/>
        </w:rPr>
        <w:t>an</w:t>
      </w:r>
      <w:r>
        <w:rPr>
          <w:rFonts w:ascii="Arial" w:cs="Arial" w:eastAsia="Arial" w:hAnsi="Arial"/>
          <w:sz w:val="22"/>
          <w:szCs w:val="22"/>
          <w:color w:val="0000FF"/>
        </w:rPr>
        <w:t>a 2017</w:t>
      </w:r>
      <w:r>
        <w:rPr>
          <w:rFonts w:ascii="Arial" w:cs="Arial" w:eastAsia="Arial" w:hAnsi="Arial"/>
          <w:sz w:val="22"/>
          <w:szCs w:val="22"/>
          <w:color w:val="auto"/>
        </w:rPr>
        <w:t xml:space="preserve"> Initial Tranche A Term Loan Repayment Date or an Initial Tranche B Term Loan Repayment Date, as the case may be.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Loans</w:t>
      </w:r>
      <w:r>
        <w:rPr>
          <w:rFonts w:ascii="Arial" w:cs="Arial" w:eastAsia="Arial" w:hAnsi="Arial"/>
          <w:sz w:val="19"/>
          <w:szCs w:val="19"/>
          <w:color w:val="auto"/>
        </w:rPr>
        <w:t xml:space="preserve">” shall mean the </w:t>
      </w:r>
      <w:r>
        <w:rPr>
          <w:rFonts w:ascii="Arial" w:cs="Arial" w:eastAsia="Arial" w:hAnsi="Arial"/>
          <w:sz w:val="19"/>
          <w:szCs w:val="19"/>
          <w:color w:val="0000FF"/>
        </w:rPr>
        <w:t>2017</w:t>
      </w:r>
      <w:r>
        <w:rPr>
          <w:rFonts w:ascii="Arial" w:cs="Arial" w:eastAsia="Arial" w:hAnsi="Arial"/>
          <w:sz w:val="19"/>
          <w:szCs w:val="19"/>
          <w:color w:val="auto"/>
        </w:rPr>
        <w:t xml:space="preserve"> Initial Tranche A Term Loans and the Initial Tranche B Term Loans.</w:t>
      </w:r>
    </w:p>
    <w:p>
      <w:pPr>
        <w:spacing w:after="0" w:line="254" w:lineRule="exact"/>
        <w:rPr>
          <w:sz w:val="20"/>
          <w:szCs w:val="20"/>
          <w:color w:val="auto"/>
        </w:rPr>
      </w:pPr>
    </w:p>
    <w:p>
      <w:pPr>
        <w:ind w:right="340" w:firstLine="1297"/>
        <w:spacing w:after="0" w:line="26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Initial Tranche A Term Lender</w:t>
      </w:r>
      <w:r>
        <w:rPr>
          <w:rFonts w:ascii="Arial" w:cs="Arial" w:eastAsia="Arial" w:hAnsi="Arial"/>
          <w:sz w:val="22"/>
          <w:szCs w:val="22"/>
          <w:color w:val="FF0000"/>
          <w:strike w:val="1"/>
        </w:rPr>
        <w:t>” shall mean each Lender with an Initial Tranche A Term Loan Commitment or holding an Initial Tranche A Term Loan.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Initial Tranche A Term Loan</w:t>
      </w:r>
      <w:r>
        <w:rPr>
          <w:rFonts w:ascii="Arial" w:cs="Arial" w:eastAsia="Arial" w:hAnsi="Arial"/>
          <w:sz w:val="22"/>
          <w:szCs w:val="22"/>
          <w:color w:val="FF0000"/>
          <w:strike w:val="1"/>
        </w:rPr>
        <w:t>” shall have the meaning provided in Section 2.1(a).</w:t>
      </w:r>
    </w:p>
    <w:p>
      <w:pPr>
        <w:spacing w:after="0" w:line="220"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Initial Tranche A Term Loan Commitment</w:t>
      </w:r>
      <w:r>
        <w:rPr>
          <w:rFonts w:ascii="Arial" w:cs="Arial" w:eastAsia="Arial" w:hAnsi="Arial"/>
          <w:sz w:val="22"/>
          <w:szCs w:val="22"/>
          <w:color w:val="FF0000"/>
          <w:strike w:val="1"/>
        </w:rPr>
        <w:t>” shall mean, (a) in the case of each Lender that is a Lender on the Closing Date, the amount, if any, set forth opposite such Lender’s name on Schedule 1.1(a) as such Lender’s “Initial Tranche A Term Loan Commitment” and (b) in the case of any Lender that becomes a Lender after the Closing Date, the amount specified as such Lender’s “Initial Tranche A Term Loan Commitment” in the Assignment and Acceptance pursuant to which such Lender assumed a portion of the Total Initial Tranche A Term Loan Commitment, in each case as the same may be changed from time to time pursuant to the terms hereof. The aggregate amount of the Initial Tranche A Term Loan Commitments as of the Closing Date is $735,000,000.</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Initial Tranche A Term Loan Facility</w:t>
      </w:r>
      <w:r>
        <w:rPr>
          <w:rFonts w:ascii="Arial" w:cs="Arial" w:eastAsia="Arial" w:hAnsi="Arial"/>
          <w:sz w:val="21"/>
          <w:szCs w:val="21"/>
          <w:color w:val="FF0000"/>
          <w:strike w:val="1"/>
        </w:rPr>
        <w:t>” shall have the meaning provided in the recitals to this Agreement.</w:t>
      </w:r>
    </w:p>
    <w:p>
      <w:pPr>
        <w:spacing w:after="0" w:line="231" w:lineRule="exact"/>
        <w:rPr>
          <w:sz w:val="20"/>
          <w:szCs w:val="20"/>
          <w:color w:val="auto"/>
        </w:rPr>
      </w:pPr>
    </w:p>
    <w:p>
      <w:pPr>
        <w:jc w:val="both"/>
        <w:ind w:right="560" w:firstLine="1297"/>
        <w:spacing w:after="0" w:line="343"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Initial Tranche A Term Loan Maturity Date</w:t>
      </w:r>
      <w:r>
        <w:rPr>
          <w:rFonts w:ascii="Arial" w:cs="Arial" w:eastAsia="Arial" w:hAnsi="Arial"/>
          <w:sz w:val="19"/>
          <w:szCs w:val="19"/>
          <w:color w:val="FF0000"/>
          <w:strike w:val="1"/>
        </w:rPr>
        <w:t xml:space="preserve">” shall mean March 29, 2017;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such date is not a Business Day, the “Initial Tranche A Term Loan Maturity Date” will be the Business Day immediately following such date.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Initial Tranche A Term Loan Repayment Amount</w:t>
      </w:r>
      <w:r>
        <w:rPr>
          <w:rFonts w:ascii="Arial" w:cs="Arial" w:eastAsia="Arial" w:hAnsi="Arial"/>
          <w:sz w:val="22"/>
          <w:szCs w:val="22"/>
          <w:color w:val="FF0000"/>
          <w:strike w:val="1"/>
        </w:rPr>
        <w:t>” shall have the meaning provided in Section 2.5(b).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49</w:t>
      </w:r>
    </w:p>
    <w:p>
      <w:pPr>
        <w:sectPr>
          <w:pgSz w:w="11900" w:h="16838" w:orient="portrait"/>
          <w:cols w:equalWidth="0" w:num="1">
            <w:col w:w="11260"/>
          </w:cols>
          <w:pgMar w:left="240" w:top="132" w:right="399" w:bottom="1440" w:gutter="0" w:footer="0" w:header="0"/>
        </w:sectPr>
      </w:pPr>
    </w:p>
    <w:bookmarkStart w:id="97" w:name="page98"/>
    <w:bookmarkEnd w:id="97"/>
    <w:p>
      <w:pPr>
        <w:jc w:val="center"/>
        <w:ind w:right="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Initial Tranche A Term Loan Repayment Date</w:t>
      </w:r>
      <w:r>
        <w:rPr>
          <w:rFonts w:ascii="Arial" w:cs="Arial" w:eastAsia="Arial" w:hAnsi="Arial"/>
          <w:sz w:val="22"/>
          <w:szCs w:val="22"/>
          <w:color w:val="FF0000"/>
          <w:strike w:val="1"/>
        </w:rPr>
        <w:t>” shall have the meaning provided in Section 2.5(b).</w:t>
      </w:r>
    </w:p>
    <w:p>
      <w:pPr>
        <w:spacing w:after="0" w:line="382" w:lineRule="exact"/>
        <w:rPr>
          <w:sz w:val="20"/>
          <w:szCs w:val="20"/>
          <w:color w:val="auto"/>
        </w:rPr>
      </w:pPr>
    </w:p>
    <w:p>
      <w:pPr>
        <w:ind w:right="3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Lender</w:t>
      </w:r>
      <w:r>
        <w:rPr>
          <w:rFonts w:ascii="Arial" w:cs="Arial" w:eastAsia="Arial" w:hAnsi="Arial"/>
          <w:sz w:val="22"/>
          <w:szCs w:val="22"/>
          <w:color w:val="auto"/>
        </w:rPr>
        <w:t>” shall mean each Lender with an Initial Tranche B Term Loan Commitment or holding an Initial Tranche B Term Loan.</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Loan</w:t>
      </w:r>
      <w:r>
        <w:rPr>
          <w:rFonts w:ascii="Arial" w:cs="Arial" w:eastAsia="Arial" w:hAnsi="Arial"/>
          <w:sz w:val="22"/>
          <w:szCs w:val="22"/>
          <w:color w:val="auto"/>
        </w:rPr>
        <w:t>” shall have the meaning provided in Section 2.1(b).</w:t>
      </w:r>
    </w:p>
    <w:p>
      <w:pPr>
        <w:spacing w:after="0" w:line="328"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Loan Commitment</w:t>
      </w:r>
      <w:r>
        <w:rPr>
          <w:rFonts w:ascii="Arial" w:cs="Arial" w:eastAsia="Arial" w:hAnsi="Arial"/>
          <w:sz w:val="22"/>
          <w:szCs w:val="22"/>
          <w:color w:val="auto"/>
        </w:rPr>
        <w:t>” shall mean, (a) in the case of each Lender that is a Lender on the Closing Date, the amount, if any, set forth opposite such Lender’s name on Schedule 1.1(a) as such Lender’s “Initial Tranche B Term Loan Commitment” and (b) in the case of any Lender that becomes a Lender after the Closing Date, the amount specified as such Lender’s “Initial Tranche B Term Loan Commitment” in the Assignment and Acceptance pursuant to which such Lender assumed a portion of the Total Initial Tranche B Term Loan Commitment, in each case as the same may be changed from time to time pursuant to the terms hereof. The aggregate amount of the Initial Tranche B Term Loan Commitments as of the Closing Date is $615,000,000.</w:t>
      </w:r>
    </w:p>
    <w:p>
      <w:pPr>
        <w:spacing w:after="0" w:line="3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Tranche B Term Loan Facility</w:t>
      </w:r>
      <w:r>
        <w:rPr>
          <w:rFonts w:ascii="Arial" w:cs="Arial" w:eastAsia="Arial" w:hAnsi="Arial"/>
          <w:sz w:val="21"/>
          <w:szCs w:val="21"/>
          <w:color w:val="auto"/>
        </w:rPr>
        <w:t>” shall have the meaning provided in the recitals to this Agreement.</w:t>
      </w:r>
    </w:p>
    <w:p>
      <w:pPr>
        <w:spacing w:after="0" w:line="339" w:lineRule="exact"/>
        <w:rPr>
          <w:sz w:val="20"/>
          <w:szCs w:val="20"/>
          <w:color w:val="auto"/>
        </w:rPr>
      </w:pPr>
    </w:p>
    <w:p>
      <w:pPr>
        <w:jc w:val="both"/>
        <w:ind w:right="58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Tranche B Term Loan Maturity Date</w:t>
      </w:r>
      <w:r>
        <w:rPr>
          <w:rFonts w:ascii="Arial" w:cs="Arial" w:eastAsia="Arial" w:hAnsi="Arial"/>
          <w:sz w:val="19"/>
          <w:szCs w:val="19"/>
          <w:color w:val="auto"/>
        </w:rPr>
        <w:t xml:space="preserve">” shall mean March 29, 2019;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date is not a Business Day, the “Initial Tranche B Term Loan Maturity Date” will be the Business Day immediately following such date.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Loan Repayment Amount</w:t>
      </w:r>
      <w:r>
        <w:rPr>
          <w:rFonts w:ascii="Arial" w:cs="Arial" w:eastAsia="Arial" w:hAnsi="Arial"/>
          <w:sz w:val="22"/>
          <w:szCs w:val="22"/>
          <w:color w:val="auto"/>
        </w:rPr>
        <w:t>” shall have the meaning provided in Section 2.5(</w:t>
      </w:r>
      <w:r>
        <w:rPr>
          <w:rFonts w:ascii="Arial" w:cs="Arial" w:eastAsia="Arial" w:hAnsi="Arial"/>
          <w:sz w:val="22"/>
          <w:szCs w:val="22"/>
          <w:color w:val="FF0000"/>
          <w:strike w:val="1"/>
        </w:rPr>
        <w:t>c</w:t>
      </w:r>
      <w:r>
        <w:rPr>
          <w:rFonts w:ascii="Arial" w:cs="Arial" w:eastAsia="Arial" w:hAnsi="Arial"/>
          <w:sz w:val="22"/>
          <w:szCs w:val="22"/>
          <w:color w:val="0000FF"/>
        </w:rPr>
        <w:t>d</w:t>
      </w:r>
      <w:r>
        <w:rPr>
          <w:rFonts w:ascii="Arial" w:cs="Arial" w:eastAsia="Arial" w:hAnsi="Arial"/>
          <w:sz w:val="22"/>
          <w:szCs w:val="22"/>
          <w:color w:val="auto"/>
        </w:rPr>
        <w: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Loan Repayment Date</w:t>
      </w:r>
      <w:r>
        <w:rPr>
          <w:rFonts w:ascii="Arial" w:cs="Arial" w:eastAsia="Arial" w:hAnsi="Arial"/>
          <w:sz w:val="22"/>
          <w:szCs w:val="22"/>
          <w:color w:val="auto"/>
        </w:rPr>
        <w:t>” shall have the meaning provided in Section 2.5(</w:t>
      </w:r>
      <w:r>
        <w:rPr>
          <w:rFonts w:ascii="Arial" w:cs="Arial" w:eastAsia="Arial" w:hAnsi="Arial"/>
          <w:sz w:val="22"/>
          <w:szCs w:val="22"/>
          <w:color w:val="FF0000"/>
          <w:strike w:val="1"/>
        </w:rPr>
        <w:t>c</w:t>
      </w:r>
      <w:r>
        <w:rPr>
          <w:rFonts w:ascii="Arial" w:cs="Arial" w:eastAsia="Arial" w:hAnsi="Arial"/>
          <w:sz w:val="22"/>
          <w:szCs w:val="22"/>
          <w:color w:val="0000FF"/>
        </w:rPr>
        <w:t>d</w:t>
      </w:r>
      <w:r>
        <w:rPr>
          <w:rFonts w:ascii="Arial" w:cs="Arial" w:eastAsia="Arial" w:hAnsi="Arial"/>
          <w:sz w:val="22"/>
          <w:szCs w:val="22"/>
          <w:color w:val="auto"/>
        </w:rPr>
        <w:t>).</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shall have the meaning provided for such term or a similar term in the Security Agreement.</w:t>
      </w:r>
    </w:p>
    <w:p>
      <w:pPr>
        <w:spacing w:after="0" w:line="362" w:lineRule="exact"/>
        <w:rPr>
          <w:sz w:val="20"/>
          <w:szCs w:val="20"/>
          <w:color w:val="auto"/>
        </w:rPr>
      </w:pPr>
    </w:p>
    <w:p>
      <w:pPr>
        <w:jc w:val="both"/>
        <w:ind w:right="4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Note</w:t>
      </w:r>
      <w:r>
        <w:rPr>
          <w:rFonts w:ascii="Arial" w:cs="Arial" w:eastAsia="Arial" w:hAnsi="Arial"/>
          <w:sz w:val="22"/>
          <w:szCs w:val="22"/>
          <w:color w:val="auto"/>
        </w:rPr>
        <w:t>” shall mean the Amended and Restated Intercompany Subordinated Note, dated as of the Amendment No. 1 Effective Date, substantially in the form of Exhibit N, executed by Holdings, the Borrower and each other Subsidiary of the Borrower party thereto.</w:t>
      </w:r>
    </w:p>
    <w:p>
      <w:pPr>
        <w:spacing w:after="0" w:line="294" w:lineRule="exact"/>
        <w:rPr>
          <w:sz w:val="20"/>
          <w:szCs w:val="20"/>
          <w:color w:val="auto"/>
        </w:rPr>
      </w:pPr>
    </w:p>
    <w:p>
      <w:pPr>
        <w:ind w:right="6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shall mean, with respect to any Eurodollar Loans, the interest period applicable thereto, as determined pursuant to Section 2.9.</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Introducing Broker-Dealer Minimum Capital</w:t>
      </w:r>
      <w:r>
        <w:rPr>
          <w:rFonts w:ascii="Arial" w:cs="Arial" w:eastAsia="Arial" w:hAnsi="Arial"/>
          <w:sz w:val="22"/>
          <w:szCs w:val="22"/>
          <w:color w:val="auto"/>
        </w:rPr>
        <w:t>” shall mean for those Subsidiaries</w:t>
      </w:r>
    </w:p>
    <w:p>
      <w:pPr>
        <w:spacing w:after="0" w:line="328"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of the Borrower that are broker-dealers exempt from the provisions of SEC Rule 15c3-3, as of any date of determination, the greater of (a) 120% of such Subsidiaries’ consolidated minimum dollar Net Capital required (as defined in SEC Rule 15c3-1), and (b) the consolidated Aggregate Indebtedness (as defined in SEC Rule 15c3-1) of such Subsidiaries, divided by ten.</w:t>
      </w:r>
    </w:p>
    <w:p>
      <w:pPr>
        <w:spacing w:after="0" w:line="24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50</w:t>
      </w:r>
    </w:p>
    <w:p>
      <w:pPr>
        <w:sectPr>
          <w:pgSz w:w="11900" w:h="16838" w:orient="portrait"/>
          <w:cols w:equalWidth="0" w:num="1">
            <w:col w:w="11260"/>
          </w:cols>
          <w:pgMar w:left="240" w:top="132" w:right="399" w:bottom="1440" w:gutter="0" w:footer="0" w:header="0"/>
        </w:sectPr>
      </w:pPr>
    </w:p>
    <w:bookmarkStart w:id="98" w:name="page99"/>
    <w:bookmarkEnd w:id="98"/>
    <w:p>
      <w:pPr>
        <w:ind w:right="140"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 circumstance or condition that materially and adversely affects (a) the business, assets, operations, properties or financial condition of the Borrower and the Restricted Subsidiaries taken as a whole, (b) the ability of the Credit Parties (taken as a whole) to perform their payment obligations under the Credit Documents or (c) the rights and remedies of the Administrative Agent, the Collateral Agent or the Lenders under the Credit Documents.</w:t>
      </w:r>
    </w:p>
    <w:p>
      <w:pPr>
        <w:spacing w:after="0" w:line="251"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xml:space="preserve">” shall mean the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 Maturity Date, the 2019 Extended</w:t>
      </w:r>
      <w:r>
        <w:rPr>
          <w:rFonts w:ascii="Arial" w:cs="Arial" w:eastAsia="Arial" w:hAnsi="Arial"/>
          <w:sz w:val="21"/>
          <w:szCs w:val="21"/>
          <w:color w:val="auto"/>
        </w:rPr>
        <w:t xml:space="preserve"> Tranche A Term Loan Maturity Date, the Initial Tranche B Term Loan Maturity Date, any Incremental Term Loan Maturity Date, the Revolving Credit Maturity Date, any maturity date related to any Class of Extended Revolving Credit Commitments, any maturity date related to any Class of Additional/Replacement Revolving Credit Commitments, any maturity date related to any Class of Extended Term Loans, or the Swingline Maturity Date, as applicable.</w:t>
      </w:r>
    </w:p>
    <w:p>
      <w:pPr>
        <w:spacing w:after="0" w:line="284" w:lineRule="exact"/>
        <w:rPr>
          <w:sz w:val="20"/>
          <w:szCs w:val="20"/>
          <w:color w:val="auto"/>
        </w:rPr>
      </w:pPr>
    </w:p>
    <w:p>
      <w:pPr>
        <w:ind w:right="4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Borrowing Amount</w:t>
      </w:r>
      <w:r>
        <w:rPr>
          <w:rFonts w:ascii="Arial" w:cs="Arial" w:eastAsia="Arial" w:hAnsi="Arial"/>
          <w:sz w:val="22"/>
          <w:szCs w:val="22"/>
          <w:color w:val="auto"/>
        </w:rPr>
        <w:t>” shall mean (a) with respect to a Borrowing of Term Loans or Revolving Credit Loans, $1,000,000 and (b) with respect to a Borrowing of Swingline Loans, $100,000.</w:t>
      </w:r>
    </w:p>
    <w:p>
      <w:pPr>
        <w:spacing w:after="0" w:line="283" w:lineRule="exact"/>
        <w:rPr>
          <w:sz w:val="20"/>
          <w:szCs w:val="20"/>
          <w:color w:val="auto"/>
        </w:rPr>
      </w:pPr>
    </w:p>
    <w:p>
      <w:pPr>
        <w:ind w:right="4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Minority Investment</w:t>
      </w:r>
      <w:r>
        <w:rPr>
          <w:rFonts w:ascii="Arial" w:cs="Arial" w:eastAsia="Arial" w:hAnsi="Arial"/>
          <w:sz w:val="22"/>
          <w:szCs w:val="22"/>
          <w:color w:val="auto"/>
        </w:rPr>
        <w:t>” shall mean any Person (other than a Subsidiary) in which the Borrower or any Restricted Subsidiary owns Capital Stock.</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shall mean Moody’s Investors Service, Inc. or any successor by merger or consolidation to its business.</w:t>
      </w:r>
    </w:p>
    <w:p>
      <w:pPr>
        <w:spacing w:after="0" w:line="362" w:lineRule="exact"/>
        <w:rPr>
          <w:sz w:val="20"/>
          <w:szCs w:val="20"/>
          <w:color w:val="auto"/>
        </w:rPr>
      </w:pPr>
    </w:p>
    <w:p>
      <w:pPr>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shall mean a mortgage or a deed of trust, deed to secure debt, trust deed or other security document entered into by the owner of a Mortgaged Property in favor of the Collateral Agent for the benefit of the Secured Parties evidencing a Lien on such Mortgaged Property, substantially in the form of Exhibit O (with such changes thereto as may be necessary to account for local law matters) or otherwise in such form as reasonably agreed between the Borrower and the Collateral Agent.</w:t>
      </w:r>
    </w:p>
    <w:p>
      <w:pPr>
        <w:spacing w:after="0" w:line="251" w:lineRule="exact"/>
        <w:rPr>
          <w:sz w:val="20"/>
          <w:szCs w:val="20"/>
          <w:color w:val="auto"/>
        </w:rPr>
      </w:pPr>
    </w:p>
    <w:p>
      <w:pPr>
        <w:ind w:right="2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shall mean (a) Real Property identified on Schedule 1.1(d) and (b) Real Property owned in fee with respect to which a Mortgage is required to be granted pursuant to Section 9.13(b)</w:t>
      </w:r>
    </w:p>
    <w:p>
      <w:pPr>
        <w:spacing w:after="0" w:line="283" w:lineRule="exact"/>
        <w:rPr>
          <w:sz w:val="20"/>
          <w:szCs w:val="20"/>
          <w:color w:val="auto"/>
        </w:rPr>
      </w:pPr>
    </w:p>
    <w:p>
      <w:pPr>
        <w:jc w:val="both"/>
        <w:ind w:right="40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mean a multiemployer plan as defined in Section 4001(a)(3) of ERISA to which the Borrower, a Restricted Subsidiary or an ERISA Affiliate had an obligation to contribute over the five preceding calendar years.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Necessary Cure Amount</w:t>
      </w:r>
      <w:r>
        <w:rPr>
          <w:rFonts w:ascii="Arial" w:cs="Arial" w:eastAsia="Arial" w:hAnsi="Arial"/>
          <w:sz w:val="22"/>
          <w:szCs w:val="22"/>
          <w:color w:val="auto"/>
        </w:rPr>
        <w:t>” shall have the meaning provided in Section 11.12(b)</w:t>
      </w:r>
    </w:p>
    <w:p>
      <w:pPr>
        <w:spacing w:after="0" w:line="328" w:lineRule="exact"/>
        <w:rPr>
          <w:sz w:val="20"/>
          <w:szCs w:val="20"/>
          <w:color w:val="auto"/>
        </w:rPr>
      </w:pPr>
    </w:p>
    <w:p>
      <w:pPr>
        <w:ind w:right="120"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Cash Proceeds</w:t>
      </w:r>
      <w:r>
        <w:rPr>
          <w:rFonts w:ascii="Arial" w:cs="Arial" w:eastAsia="Arial" w:hAnsi="Arial"/>
          <w:sz w:val="21"/>
          <w:szCs w:val="21"/>
          <w:color w:val="auto"/>
        </w:rPr>
        <w:t>” shall mean, with respect to any Prepayment Event, any issuance of Capital Stock, any capital contribution or any Disposition of any Investment, (a) the gross cash proceeds (including payments from time to time in respect of installment obligations, if applicable, but only as and when received and, with respect to any Recovery Event, any insurance proceeds or condemnation awards in respect of such Recovery Event) received by or</w:t>
      </w:r>
    </w:p>
    <w:p>
      <w:pPr>
        <w:spacing w:after="0" w:line="338"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7"/>
          <w:szCs w:val="17"/>
          <w:color w:val="auto"/>
        </w:rPr>
        <w:t>54</w:t>
      </w:r>
    </w:p>
    <w:p>
      <w:pPr>
        <w:sectPr>
          <w:pgSz w:w="11900" w:h="16838" w:orient="portrait"/>
          <w:cols w:equalWidth="0" w:num="1">
            <w:col w:w="11400"/>
          </w:cols>
          <w:pgMar w:left="240" w:top="294" w:right="259" w:bottom="1440" w:gutter="0" w:footer="0" w:header="0"/>
        </w:sectPr>
      </w:pPr>
    </w:p>
    <w:bookmarkStart w:id="99" w:name="page100"/>
    <w:bookmarkEnd w:id="99"/>
    <w:p>
      <w:pPr>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Present Fair Saleable Value</w:t>
      </w:r>
      <w:r>
        <w:rPr>
          <w:rFonts w:ascii="Arial" w:cs="Arial" w:eastAsia="Arial" w:hAnsi="Arial"/>
          <w:sz w:val="19"/>
          <w:szCs w:val="19"/>
          <w:color w:val="auto"/>
        </w:rPr>
        <w:t>” shall mean the amount that could be obtained by an independent willing seller from an independent willing buyer if the assets (both tangible and intangible) of the applicable Person and its subsidiaries taken as a whole are sold on a going-concern basis with reasonable promptness in an arm’s-length transaction under present conditions for the sale of comparable business enterprises insofar as such conditions can be reasonably evaluated.</w:t>
      </w:r>
    </w:p>
    <w:p>
      <w:pPr>
        <w:spacing w:after="0" w:line="2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Previous Holdings</w:t>
      </w:r>
      <w:r>
        <w:rPr>
          <w:rFonts w:ascii="Arial" w:cs="Arial" w:eastAsia="Arial" w:hAnsi="Arial"/>
          <w:sz w:val="22"/>
          <w:szCs w:val="22"/>
          <w:color w:val="auto"/>
        </w:rPr>
        <w:t>” shall have the meaning provided in the definition of the term “Holdings.”</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0000FF"/>
        </w:rPr>
        <w:t>“Prior Initial Tranche A Term Lender” shall have the meaning provided in Section 2.1(a).</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0000FF"/>
        </w:rPr>
        <w:t>“Prior Initial Tranche A Term Loan” shall have the meaning provided in Section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0000FF"/>
        </w:rPr>
        <w:t>2.1(a).</w:t>
      </w:r>
    </w:p>
    <w:p>
      <w:pPr>
        <w:spacing w:after="0" w:line="328" w:lineRule="exact"/>
        <w:rPr>
          <w:sz w:val="20"/>
          <w:szCs w:val="20"/>
          <w:color w:val="auto"/>
        </w:rPr>
      </w:pPr>
    </w:p>
    <w:p>
      <w:pPr>
        <w:ind w:right="20"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Adjustment</w:t>
      </w:r>
      <w:r>
        <w:rPr>
          <w:rFonts w:ascii="Arial" w:cs="Arial" w:eastAsia="Arial" w:hAnsi="Arial"/>
          <w:sz w:val="19"/>
          <w:szCs w:val="19"/>
          <w:color w:val="auto"/>
        </w:rPr>
        <w:t>” shall mean,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reasonably identifiable and factually supportable cost savings, operating expense reductions or other synergies realized or expected to be realized prior to or during such Post-Transaction Period or (b) any additional costs, expenses or charges, accruals or reserves (collectively, “</w:t>
      </w:r>
      <w:r>
        <w:rPr>
          <w:rFonts w:ascii="Arial" w:cs="Arial" w:eastAsia="Arial" w:hAnsi="Arial"/>
          <w:sz w:val="19"/>
          <w:szCs w:val="19"/>
          <w:u w:val="single" w:color="auto"/>
          <w:color w:val="auto"/>
        </w:rPr>
        <w:t>Costs</w:t>
      </w:r>
      <w:r>
        <w:rPr>
          <w:rFonts w:ascii="Arial" w:cs="Arial" w:eastAsia="Arial" w:hAnsi="Arial"/>
          <w:sz w:val="19"/>
          <w:szCs w:val="19"/>
          <w:color w:val="auto"/>
        </w:rPr>
        <w:t xml:space="preserve">”) incurred prior to or during such Post-Transaction Period in connection with the combination of the operations of a Pro Forma Entity with the operations of the Borrower and its Restricted Subsidiaries or otherwise in connection with, as a result of or related to such Specified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such cost savings, operating expense reductions or other synergies are realized or expected to be realized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operating expense reductions or other synergies will be realizable during the entirety of such Test Period and/or such Costs will be incurred during the entirety of such Test Period, as applicable; and provided,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pro forma increase or decrease to such Acquired EBITDA or such Consolidated EBITDA, as the case may be, shall be without duplication for cost savings, operating expense reductions or other synergies or Costs already included in such Acquired EBITDA or such Consolidated EBITDA, as the case may be, for such Test Period.</w:t>
      </w:r>
    </w:p>
    <w:p>
      <w:pPr>
        <w:spacing w:after="0" w:line="278"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Adjustment Certificate</w:t>
      </w:r>
      <w:r>
        <w:rPr>
          <w:rFonts w:ascii="Arial" w:cs="Arial" w:eastAsia="Arial" w:hAnsi="Arial"/>
          <w:sz w:val="22"/>
          <w:szCs w:val="22"/>
          <w:color w:val="auto"/>
        </w:rPr>
        <w:t>” shall mean any certificate of an Authorized Officer of the Borrower delivered pursuant to Section 9.1(h) or setting forth the information described in clause (iv) to Section 9.1(d).</w:t>
      </w:r>
    </w:p>
    <w:p>
      <w:pPr>
        <w:spacing w:after="0" w:line="283"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w:t>
      </w:r>
      <w:r>
        <w:rPr>
          <w:rFonts w:ascii="Arial" w:cs="Arial" w:eastAsia="Arial" w:hAnsi="Arial"/>
          <w:sz w:val="19"/>
          <w:szCs w:val="19"/>
          <w:u w:val="single" w:color="auto"/>
          <w:color w:val="auto"/>
        </w:rPr>
        <w:t>Pro Forma Compliance</w:t>
      </w:r>
      <w:r>
        <w:rPr>
          <w:rFonts w:ascii="Arial" w:cs="Arial" w:eastAsia="Arial" w:hAnsi="Arial"/>
          <w:sz w:val="19"/>
          <w:szCs w:val="19"/>
          <w:color w:val="auto"/>
        </w:rPr>
        <w:t>” and “</w:t>
      </w:r>
      <w:r>
        <w:rPr>
          <w:rFonts w:ascii="Arial" w:cs="Arial" w:eastAsia="Arial" w:hAnsi="Arial"/>
          <w:sz w:val="19"/>
          <w:szCs w:val="19"/>
          <w:u w:val="single" w:color="auto"/>
          <w:color w:val="auto"/>
        </w:rPr>
        <w:t>Pro Forma Effect</w:t>
      </w:r>
      <w:r>
        <w:rPr>
          <w:rFonts w:ascii="Arial" w:cs="Arial" w:eastAsia="Arial" w:hAnsi="Arial"/>
          <w:sz w:val="19"/>
          <w:szCs w:val="19"/>
          <w:color w:val="auto"/>
        </w:rPr>
        <w:t>” shall mean, with respect to compliance with any test or covenant hereunder, that (A) to the extent applicable, the Pro Forma Adjustment shall have been made and (B) all Specified Transactions and the following transactions in connection therewith shall be deemed to have occurred as of the first</w:t>
      </w:r>
    </w:p>
    <w:p>
      <w:pPr>
        <w:spacing w:after="0" w:line="80"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68</w:t>
      </w:r>
    </w:p>
    <w:p>
      <w:pPr>
        <w:sectPr>
          <w:pgSz w:w="11900" w:h="16838" w:orient="portrait"/>
          <w:cols w:equalWidth="0" w:num="1">
            <w:col w:w="11420"/>
          </w:cols>
          <w:pgMar w:left="240" w:top="294" w:right="239" w:bottom="1440" w:gutter="0" w:footer="0" w:header="0"/>
        </w:sectPr>
      </w:pPr>
    </w:p>
    <w:bookmarkStart w:id="100" w:name="page101"/>
    <w:bookmarkEnd w:id="10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Resignation Effective Date</w:t>
      </w:r>
      <w:r>
        <w:rPr>
          <w:rFonts w:ascii="Arial" w:cs="Arial" w:eastAsia="Arial" w:hAnsi="Arial"/>
          <w:sz w:val="22"/>
          <w:szCs w:val="22"/>
          <w:color w:val="auto"/>
        </w:rPr>
        <w:t>” shall have the meaning provided in Section 12.8.</w:t>
      </w:r>
    </w:p>
    <w:p>
      <w:pPr>
        <w:spacing w:after="0" w:line="220"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Restoration Certification</w:t>
      </w:r>
      <w:r>
        <w:rPr>
          <w:rFonts w:ascii="Arial" w:cs="Arial" w:eastAsia="Arial" w:hAnsi="Arial"/>
          <w:sz w:val="19"/>
          <w:szCs w:val="19"/>
          <w:color w:val="auto"/>
        </w:rPr>
        <w:t>” shall mean, with respect to any Recovery Prepayment Event, a certification made by an Authorized Officer of the Borrower or a Restricted Subsidiary, as applicable, to the Administrative Agent prior to the end of the Reinvestment Period certifying (a) that the Borrower or such Restricted Subsidiary intends to use the proceeds received in connection with such Recovery Prepayment Event to repair, restore or replace the property or assets in respect of which such Recovery Prepayment Event occurred, or otherwise invest in assets useful to the business, (b) the approximate costs of completion of such repair, restoration or replacement and (c) that such repair, restoration, reinvestment or replacement will be completed within the later of (x) twelve months after the date on which cash proceeds with respect to such Recovery Prepayment Event were received and (y) 180 days after delivery of such Restoration Certification.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Foreign Subsidiary</w:t>
      </w:r>
      <w:r>
        <w:rPr>
          <w:rFonts w:ascii="Arial" w:cs="Arial" w:eastAsia="Arial" w:hAnsi="Arial"/>
          <w:sz w:val="22"/>
          <w:szCs w:val="22"/>
          <w:color w:val="auto"/>
        </w:rPr>
        <w:t>” shall mean each Restricted Subsidiary that is also a Foreign Subsidiary.</w:t>
      </w:r>
    </w:p>
    <w:p>
      <w:pPr>
        <w:spacing w:after="0" w:line="220" w:lineRule="exact"/>
        <w:rPr>
          <w:sz w:val="20"/>
          <w:szCs w:val="20"/>
          <w:color w:val="auto"/>
        </w:rPr>
      </w:pPr>
    </w:p>
    <w:p>
      <w:pPr>
        <w:jc w:val="both"/>
        <w:ind w:right="3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shall mean any Subsidiary of the Borrower other than an Unrestricted Subsidiary. Unless otherwise expressly provided herein, all references herein to a “Restricted Subsidiary” shall mean a Restricted Subsidiary of the Borrower.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Refused Proceeds</w:t>
      </w:r>
      <w:r>
        <w:rPr>
          <w:rFonts w:ascii="Arial" w:cs="Arial" w:eastAsia="Arial" w:hAnsi="Arial"/>
          <w:sz w:val="22"/>
          <w:szCs w:val="22"/>
          <w:color w:val="auto"/>
        </w:rPr>
        <w:t>” shall have the meaning provided in Section 5.2(c)(ii).</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Commitment</w:t>
      </w:r>
      <w:r>
        <w:rPr>
          <w:rFonts w:ascii="Arial" w:cs="Arial" w:eastAsia="Arial" w:hAnsi="Arial"/>
          <w:sz w:val="22"/>
          <w:szCs w:val="22"/>
          <w:color w:val="auto"/>
        </w:rPr>
        <w:t>” shall mean, (a) with respect to each Lender that is a Lender on the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Closing</w:t>
      </w:r>
      <w:r>
        <w:rPr>
          <w:rFonts w:ascii="Arial" w:cs="Arial" w:eastAsia="Arial" w:hAnsi="Arial"/>
          <w:sz w:val="19"/>
          <w:szCs w:val="19"/>
          <w:color w:val="0000FF"/>
        </w:rPr>
        <w:t>Amendment No. 2 Effective</w:t>
      </w:r>
      <w:r>
        <w:rPr>
          <w:rFonts w:ascii="Arial" w:cs="Arial" w:eastAsia="Arial" w:hAnsi="Arial"/>
          <w:sz w:val="19"/>
          <w:szCs w:val="19"/>
          <w:color w:val="FF0000"/>
        </w:rPr>
        <w:t xml:space="preserve"> </w:t>
      </w:r>
      <w:r>
        <w:rPr>
          <w:rFonts w:ascii="Arial" w:cs="Arial" w:eastAsia="Arial" w:hAnsi="Arial"/>
          <w:sz w:val="19"/>
          <w:szCs w:val="19"/>
          <w:color w:val="000000"/>
        </w:rPr>
        <w:t>Date, the amount set forth opposite such Lender’s name on Schedule</w:t>
      </w:r>
      <w:r>
        <w:rPr>
          <w:rFonts w:ascii="Arial" w:cs="Arial" w:eastAsia="Arial" w:hAnsi="Arial"/>
          <w:sz w:val="19"/>
          <w:szCs w:val="19"/>
          <w:color w:val="FF0000"/>
        </w:rPr>
        <w:t xml:space="preserve"> </w:t>
      </w:r>
      <w:r>
        <w:rPr>
          <w:rFonts w:ascii="Arial" w:cs="Arial" w:eastAsia="Arial" w:hAnsi="Arial"/>
          <w:sz w:val="19"/>
          <w:szCs w:val="19"/>
          <w:color w:val="FF0000"/>
          <w:strike w:val="1"/>
        </w:rPr>
        <w:t>1.1(a)</w:t>
      </w:r>
      <w:r>
        <w:rPr>
          <w:rFonts w:ascii="Arial" w:cs="Arial" w:eastAsia="Arial" w:hAnsi="Arial"/>
          <w:sz w:val="19"/>
          <w:szCs w:val="19"/>
          <w:color w:val="0000FF"/>
        </w:rPr>
        <w:t>1 to Amendment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0000FF"/>
        </w:rPr>
        <w:t xml:space="preserve">No. 2 </w:t>
      </w:r>
      <w:r>
        <w:rPr>
          <w:rFonts w:ascii="Arial" w:cs="Arial" w:eastAsia="Arial" w:hAnsi="Arial"/>
          <w:sz w:val="19"/>
          <w:szCs w:val="19"/>
          <w:color w:val="000000"/>
        </w:rPr>
        <w:t>as such Lender’s “</w:t>
      </w:r>
      <w:r>
        <w:rPr>
          <w:rFonts w:ascii="Arial" w:cs="Arial" w:eastAsia="Arial" w:hAnsi="Arial"/>
          <w:sz w:val="19"/>
          <w:szCs w:val="19"/>
          <w:color w:val="0000FF"/>
        </w:rPr>
        <w:t xml:space="preserve">Aggregate </w:t>
      </w:r>
      <w:r>
        <w:rPr>
          <w:rFonts w:ascii="Arial" w:cs="Arial" w:eastAsia="Arial" w:hAnsi="Arial"/>
          <w:sz w:val="19"/>
          <w:szCs w:val="19"/>
          <w:color w:val="000000"/>
        </w:rPr>
        <w:t>Revolving</w:t>
      </w:r>
      <w:r>
        <w:rPr>
          <w:rFonts w:ascii="Arial" w:cs="Arial" w:eastAsia="Arial" w:hAnsi="Arial"/>
          <w:sz w:val="19"/>
          <w:szCs w:val="19"/>
          <w:color w:val="0000FF"/>
        </w:rPr>
        <w:t xml:space="preserve"> </w:t>
      </w:r>
      <w:r>
        <w:rPr>
          <w:rFonts w:ascii="Arial" w:cs="Arial" w:eastAsia="Arial" w:hAnsi="Arial"/>
          <w:sz w:val="19"/>
          <w:szCs w:val="19"/>
          <w:color w:val="FF0000"/>
          <w:strike w:val="1"/>
        </w:rPr>
        <w:t>Credit</w:t>
      </w:r>
      <w:r>
        <w:rPr>
          <w:rFonts w:ascii="Arial" w:cs="Arial" w:eastAsia="Arial" w:hAnsi="Arial"/>
          <w:sz w:val="19"/>
          <w:szCs w:val="19"/>
          <w:color w:val="0000FF"/>
        </w:rPr>
        <w:t xml:space="preserve"> </w:t>
      </w:r>
      <w:r>
        <w:rPr>
          <w:rFonts w:ascii="Arial" w:cs="Arial" w:eastAsia="Arial" w:hAnsi="Arial"/>
          <w:sz w:val="19"/>
          <w:szCs w:val="19"/>
          <w:color w:val="000000"/>
        </w:rPr>
        <w:t>Commitment</w:t>
      </w:r>
      <w:r>
        <w:rPr>
          <w:rFonts w:ascii="Arial" w:cs="Arial" w:eastAsia="Arial" w:hAnsi="Arial"/>
          <w:sz w:val="19"/>
          <w:szCs w:val="19"/>
          <w:color w:val="FF0000"/>
          <w:strike w:val="1"/>
        </w:rPr>
        <w:t>,</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color w:val="000000"/>
        </w:rPr>
        <w:t>(b) in the case of any Lender that becomes a Lender after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Closing Date, the amount specified as such Lender’s “Revolving Credit Commitment” in the Assignment and Acceptance pursuant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 which such Lender assumed a portion of the Total Revolving Credit Commitment and (c) in the case of any Lender that increases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its Revolving Credit Commitment or becomes an Incremental Revolving Credit Commitment Increase Lender, in each case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pursuant to Section 2.14, the amount specified in the applicable Incremental Agreement, in each case as the same may be changed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from time to time pursuant to terms hereof. </w:t>
      </w:r>
      <w:r>
        <w:rPr>
          <w:rFonts w:ascii="Arial" w:cs="Arial" w:eastAsia="Arial" w:hAnsi="Arial"/>
          <w:sz w:val="19"/>
          <w:szCs w:val="19"/>
          <w:color w:val="FF0000"/>
          <w:strike w:val="1"/>
        </w:rPr>
        <w:t>The</w:t>
      </w:r>
      <w:r>
        <w:rPr>
          <w:rFonts w:ascii="Arial" w:cs="Arial" w:eastAsia="Arial" w:hAnsi="Arial"/>
          <w:sz w:val="19"/>
          <w:szCs w:val="19"/>
          <w:color w:val="0000FF"/>
        </w:rPr>
        <w:t>After giving effect to Amendment No. 2, the</w:t>
      </w:r>
      <w:r>
        <w:rPr>
          <w:rFonts w:ascii="Arial" w:cs="Arial" w:eastAsia="Arial" w:hAnsi="Arial"/>
          <w:sz w:val="19"/>
          <w:szCs w:val="19"/>
          <w:color w:val="auto"/>
        </w:rPr>
        <w:t xml:space="preserve"> aggregate amount of the Revolving</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Credit Commitments as of the </w:t>
      </w:r>
      <w:r>
        <w:rPr>
          <w:rFonts w:ascii="Arial" w:cs="Arial" w:eastAsia="Arial" w:hAnsi="Arial"/>
          <w:sz w:val="22"/>
          <w:szCs w:val="22"/>
          <w:color w:val="FF0000"/>
          <w:strike w:val="1"/>
        </w:rPr>
        <w:t>Closing</w:t>
      </w:r>
      <w:r>
        <w:rPr>
          <w:rFonts w:ascii="Arial" w:cs="Arial" w:eastAsia="Arial" w:hAnsi="Arial"/>
          <w:sz w:val="22"/>
          <w:szCs w:val="22"/>
          <w:color w:val="0000FF"/>
        </w:rPr>
        <w:t>Amendment No. 2 Effective</w:t>
      </w:r>
      <w:r>
        <w:rPr>
          <w:rFonts w:ascii="Arial" w:cs="Arial" w:eastAsia="Arial" w:hAnsi="Arial"/>
          <w:sz w:val="22"/>
          <w:szCs w:val="22"/>
          <w:color w:val="auto"/>
        </w:rPr>
        <w:t xml:space="preserve"> Date is $</w:t>
      </w:r>
      <w:r>
        <w:rPr>
          <w:rFonts w:ascii="Arial" w:cs="Arial" w:eastAsia="Arial" w:hAnsi="Arial"/>
          <w:sz w:val="22"/>
          <w:szCs w:val="22"/>
          <w:color w:val="FF0000"/>
          <w:strike w:val="1"/>
        </w:rPr>
        <w:t>250,000,000</w:t>
      </w:r>
      <w:r>
        <w:rPr>
          <w:rFonts w:ascii="Arial" w:cs="Arial" w:eastAsia="Arial" w:hAnsi="Arial"/>
          <w:sz w:val="22"/>
          <w:szCs w:val="22"/>
          <w:color w:val="0000FF"/>
        </w:rPr>
        <w:t>400,000,000</w:t>
      </w:r>
      <w:r>
        <w:rPr>
          <w:rFonts w:ascii="Arial" w:cs="Arial" w:eastAsia="Arial" w:hAnsi="Arial"/>
          <w:sz w:val="22"/>
          <w:szCs w:val="22"/>
          <w:color w:val="auto"/>
        </w:rPr>
        <w:t>.</w:t>
      </w:r>
    </w:p>
    <w:p>
      <w:pPr>
        <w:spacing w:after="0" w:line="202" w:lineRule="exact"/>
        <w:rPr>
          <w:sz w:val="20"/>
          <w:szCs w:val="20"/>
          <w:color w:val="auto"/>
        </w:rPr>
      </w:pPr>
    </w:p>
    <w:p>
      <w:pPr>
        <w:ind w:right="32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Commitment Percentage</w:t>
      </w:r>
      <w:r>
        <w:rPr>
          <w:rFonts w:ascii="Arial" w:cs="Arial" w:eastAsia="Arial" w:hAnsi="Arial"/>
          <w:sz w:val="22"/>
          <w:szCs w:val="22"/>
          <w:color w:val="auto"/>
        </w:rPr>
        <w:t xml:space="preserve">” shall mean at any time, for each Lender, the percentage obtained by dividing (a) such Lender’s Revolving Credit Commitment by (b) the aggregate amount of the Revolving Credit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any time when the Total Revolving Credit Commitment shall have been terminated, each Lender’s Revolving Credit Commitment Percentage shall be its Revolving Credit Commitment Percentage as in effect immediately prior to such termination.</w:t>
      </w:r>
    </w:p>
    <w:p>
      <w:pPr>
        <w:spacing w:after="0" w:line="192" w:lineRule="exact"/>
        <w:rPr>
          <w:sz w:val="20"/>
          <w:szCs w:val="20"/>
          <w:color w:val="auto"/>
        </w:rPr>
      </w:pPr>
    </w:p>
    <w:p>
      <w:pPr>
        <w:ind w:right="6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shall mean, with respect to any Lender at any time, the sum of (a) the aggregate principal amount of the Revolving Credit Loans of such Lender then</w:t>
      </w:r>
    </w:p>
    <w:p>
      <w:pPr>
        <w:spacing w:after="0" w:line="391"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73</w:t>
      </w:r>
    </w:p>
    <w:p>
      <w:pPr>
        <w:sectPr>
          <w:pgSz w:w="11900" w:h="16838" w:orient="portrait"/>
          <w:cols w:equalWidth="0" w:num="1">
            <w:col w:w="11400"/>
          </w:cols>
          <w:pgMar w:left="240" w:top="132" w:right="25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auto"/>
        </w:rPr>
        <w:t>outstanding and (b) such Lender’s Letter of Credit Exposure at such time and (c) such Lender’s Swingline Exposure at such time.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Extension Request</w:t>
      </w:r>
      <w:r>
        <w:rPr>
          <w:rFonts w:ascii="Arial" w:cs="Arial" w:eastAsia="Arial" w:hAnsi="Arial"/>
          <w:sz w:val="22"/>
          <w:szCs w:val="22"/>
          <w:color w:val="auto"/>
        </w:rPr>
        <w:t>” shall have the meaning provided in Section 2.15(a)(ii).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Facility</w:t>
      </w:r>
      <w:r>
        <w:rPr>
          <w:rFonts w:ascii="Arial" w:cs="Arial" w:eastAsia="Arial" w:hAnsi="Arial"/>
          <w:sz w:val="22"/>
          <w:szCs w:val="22"/>
          <w:color w:val="auto"/>
        </w:rPr>
        <w:t>” shall have the meaning provided in the recitals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Lender</w:t>
      </w:r>
      <w:r>
        <w:rPr>
          <w:rFonts w:ascii="Arial" w:cs="Arial" w:eastAsia="Arial" w:hAnsi="Arial"/>
          <w:sz w:val="19"/>
          <w:szCs w:val="19"/>
          <w:color w:val="auto"/>
        </w:rPr>
        <w:t>” shall mean, at any time, any Lender that has a Revolving Credit Commitment at such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shall have the meaning provided in Section 2.1(c).</w:t>
      </w:r>
    </w:p>
    <w:p>
      <w:pPr>
        <w:spacing w:after="0" w:line="220"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Maturity Date</w:t>
      </w:r>
      <w:r>
        <w:rPr>
          <w:rFonts w:ascii="Arial" w:cs="Arial" w:eastAsia="Arial" w:hAnsi="Arial"/>
          <w:sz w:val="19"/>
          <w:szCs w:val="19"/>
          <w:color w:val="auto"/>
        </w:rPr>
        <w:t xml:space="preserve">” shall mean </w:t>
      </w:r>
      <w:r>
        <w:rPr>
          <w:rFonts w:ascii="Arial" w:cs="Arial" w:eastAsia="Arial" w:hAnsi="Arial"/>
          <w:sz w:val="19"/>
          <w:szCs w:val="19"/>
          <w:color w:val="FF0000"/>
          <w:strike w:val="1"/>
        </w:rPr>
        <w:t>March 29, 2017;</w:t>
      </w:r>
      <w:r>
        <w:rPr>
          <w:rFonts w:ascii="Arial" w:cs="Arial" w:eastAsia="Arial" w:hAnsi="Arial"/>
          <w:sz w:val="19"/>
          <w:szCs w:val="19"/>
          <w:color w:val="0000FF"/>
        </w:rPr>
        <w:t>September 30, 2019, provided, that if such date is not</w:t>
      </w:r>
      <w:r>
        <w:rPr>
          <w:rFonts w:ascii="Arial" w:cs="Arial" w:eastAsia="Arial" w:hAnsi="Arial"/>
          <w:sz w:val="19"/>
          <w:szCs w:val="19"/>
          <w:color w:val="auto"/>
        </w:rPr>
        <w:t xml:space="preserve"> </w:t>
      </w:r>
      <w:r>
        <w:rPr>
          <w:rFonts w:ascii="Arial" w:cs="Arial" w:eastAsia="Arial" w:hAnsi="Arial"/>
          <w:sz w:val="19"/>
          <w:szCs w:val="19"/>
          <w:color w:val="0000FF"/>
        </w:rPr>
        <w:t xml:space="preserve">a Business Day, then the “Revolving Credit Maturity Date” will be the Business Day immediately following such date (the “Scheduled Revolving Credit Maturity Date”); provided, however, that to the extent that there are any outstanding Tranche B Loans maturing prior to, or within the 91 day period immediately following, the Scheduled Revolving Credit Maturity Date (as determined as of any date that is 91 days prior to the scheduled Maturity Date of any then-outstanding Tranche B Loans), then the “Revolving Credit Maturity Date” shall be the date that is the day occurring 91 days immediately prior to the earliest scheduled Maturity Date of any then-outstanding Tranche B Loans,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 if such date is not a Business Day,</w:t>
      </w:r>
      <w:r>
        <w:rPr>
          <w:rFonts w:ascii="Arial" w:cs="Arial" w:eastAsia="Arial" w:hAnsi="Arial"/>
          <w:sz w:val="19"/>
          <w:szCs w:val="19"/>
          <w:color w:val="0000FF"/>
        </w:rPr>
        <w:t xml:space="preserve"> then </w:t>
      </w:r>
      <w:r>
        <w:rPr>
          <w:rFonts w:ascii="Arial" w:cs="Arial" w:eastAsia="Arial" w:hAnsi="Arial"/>
          <w:sz w:val="19"/>
          <w:szCs w:val="19"/>
          <w:color w:val="000000"/>
        </w:rPr>
        <w:t>the</w:t>
      </w:r>
      <w:r>
        <w:rPr>
          <w:rFonts w:ascii="Arial" w:cs="Arial" w:eastAsia="Arial" w:hAnsi="Arial"/>
          <w:sz w:val="19"/>
          <w:szCs w:val="19"/>
          <w:color w:val="0000FF"/>
        </w:rPr>
        <w:t xml:space="preserve"> “</w:t>
      </w:r>
      <w:r>
        <w:rPr>
          <w:rFonts w:ascii="Arial" w:cs="Arial" w:eastAsia="Arial" w:hAnsi="Arial"/>
          <w:sz w:val="19"/>
          <w:szCs w:val="19"/>
          <w:color w:val="000000"/>
        </w:rPr>
        <w:t>Revolving</w:t>
      </w:r>
      <w:r>
        <w:rPr>
          <w:rFonts w:ascii="Arial" w:cs="Arial" w:eastAsia="Arial" w:hAnsi="Arial"/>
          <w:sz w:val="19"/>
          <w:szCs w:val="19"/>
          <w:color w:val="0000FF"/>
        </w:rPr>
        <w:t xml:space="preserve"> </w:t>
      </w:r>
      <w:r>
        <w:rPr>
          <w:rFonts w:ascii="Arial" w:cs="Arial" w:eastAsia="Arial" w:hAnsi="Arial"/>
          <w:sz w:val="19"/>
          <w:szCs w:val="19"/>
          <w:color w:val="000000"/>
        </w:rPr>
        <w:t>Credit Maturity Date</w:t>
      </w:r>
      <w:r>
        <w:rPr>
          <w:rFonts w:ascii="Arial" w:cs="Arial" w:eastAsia="Arial" w:hAnsi="Arial"/>
          <w:sz w:val="19"/>
          <w:szCs w:val="19"/>
          <w:color w:val="0000FF"/>
        </w:rPr>
        <w:t>”</w:t>
      </w:r>
      <w:r>
        <w:rPr>
          <w:rFonts w:ascii="Arial" w:cs="Arial" w:eastAsia="Arial" w:hAnsi="Arial"/>
          <w:sz w:val="19"/>
          <w:szCs w:val="19"/>
          <w:color w:val="000000"/>
        </w:rPr>
        <w:t xml:space="preserve"> will be the </w:t>
      </w:r>
      <w:r>
        <w:rPr>
          <w:rFonts w:ascii="Arial" w:cs="Arial" w:eastAsia="Arial" w:hAnsi="Arial"/>
          <w:sz w:val="19"/>
          <w:szCs w:val="19"/>
          <w:color w:val="FF0000"/>
          <w:strike w:val="1"/>
        </w:rPr>
        <w:t>next</w:t>
      </w:r>
      <w:r>
        <w:rPr>
          <w:rFonts w:ascii="Arial" w:cs="Arial" w:eastAsia="Arial" w:hAnsi="Arial"/>
          <w:sz w:val="19"/>
          <w:szCs w:val="19"/>
          <w:color w:val="000000"/>
        </w:rPr>
        <w:t xml:space="preserve"> Business Day immediately </w:t>
      </w:r>
      <w:r>
        <w:rPr>
          <w:rFonts w:ascii="Arial" w:cs="Arial" w:eastAsia="Arial" w:hAnsi="Arial"/>
          <w:sz w:val="19"/>
          <w:szCs w:val="19"/>
          <w:color w:val="FF0000"/>
          <w:strike w:val="1"/>
        </w:rPr>
        <w:t>following</w:t>
      </w:r>
      <w:r>
        <w:rPr>
          <w:rFonts w:ascii="Arial" w:cs="Arial" w:eastAsia="Arial" w:hAnsi="Arial"/>
          <w:sz w:val="19"/>
          <w:szCs w:val="19"/>
          <w:color w:val="0000FF"/>
        </w:rPr>
        <w:t>preceding</w:t>
      </w:r>
      <w:r>
        <w:rPr>
          <w:rFonts w:ascii="Arial" w:cs="Arial" w:eastAsia="Arial" w:hAnsi="Arial"/>
          <w:sz w:val="19"/>
          <w:szCs w:val="19"/>
          <w:color w:val="000000"/>
        </w:rPr>
        <w:t xml:space="preserve"> such date.</w:t>
      </w:r>
    </w:p>
    <w:p>
      <w:pPr>
        <w:spacing w:after="0" w:line="157"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Termination Date</w:t>
      </w:r>
      <w:r>
        <w:rPr>
          <w:rFonts w:ascii="Arial" w:cs="Arial" w:eastAsia="Arial" w:hAnsi="Arial"/>
          <w:sz w:val="22"/>
          <w:szCs w:val="22"/>
          <w:color w:val="auto"/>
        </w:rPr>
        <w:t>” shall mean</w:t>
      </w:r>
      <w:r>
        <w:rPr>
          <w:rFonts w:ascii="Arial" w:cs="Arial" w:eastAsia="Arial" w:hAnsi="Arial"/>
          <w:sz w:val="22"/>
          <w:szCs w:val="22"/>
          <w:color w:val="0000FF"/>
        </w:rPr>
        <w:t>, following the Amendment No. 2 Effective Date,</w:t>
      </w:r>
      <w:r>
        <w:rPr>
          <w:rFonts w:ascii="Arial" w:cs="Arial" w:eastAsia="Arial" w:hAnsi="Arial"/>
          <w:sz w:val="22"/>
          <w:szCs w:val="22"/>
          <w:color w:val="auto"/>
        </w:rPr>
        <w:t xml:space="preserve"> the date on which the Revolving Credit Commitments shall have terminated, no Revolving Credit Loans shall be outstanding and the Letter of Credit Obligations shall have been reduced to zero or Cash Collateralized.</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shall mean Standard &amp; Poor’s Ratings Services or any successor by merger or consolidation to its business.</w:t>
      </w:r>
    </w:p>
    <w:p>
      <w:pPr>
        <w:spacing w:after="0" w:line="254" w:lineRule="exact"/>
        <w:rPr>
          <w:sz w:val="20"/>
          <w:szCs w:val="20"/>
          <w:color w:val="auto"/>
        </w:rPr>
      </w:pPr>
    </w:p>
    <w:p>
      <w:pPr>
        <w:ind w:right="40"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Leaseback</w:t>
      </w:r>
      <w:r>
        <w:rPr>
          <w:rFonts w:ascii="Arial" w:cs="Arial" w:eastAsia="Arial" w:hAnsi="Arial"/>
          <w:sz w:val="19"/>
          <w:szCs w:val="19"/>
          <w:color w:val="auto"/>
        </w:rPr>
        <w:t xml:space="preserve">” shall mean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transaction described above that is consummated within 270 days of the date of acquisition of the applicable property by the Borrower or any of its Restricted Subsidiaries shall not constitute a “Sale Leaseback” for purposes of this Agreement.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SDN List</w:t>
      </w:r>
      <w:r>
        <w:rPr>
          <w:rFonts w:ascii="Arial" w:cs="Arial" w:eastAsia="Arial" w:hAnsi="Arial"/>
          <w:sz w:val="22"/>
          <w:szCs w:val="22"/>
          <w:color w:val="auto"/>
        </w:rPr>
        <w:t>” shall have the meaning provided in Section 8.21.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Securities and Exchange Commission or any successor thereto.</w:t>
      </w:r>
    </w:p>
    <w:p>
      <w:pPr>
        <w:spacing w:after="0" w:line="220"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74</w:t>
      </w:r>
    </w:p>
    <w:p>
      <w:pPr>
        <w:sectPr>
          <w:pgSz w:w="11900" w:h="16838" w:orient="portrait"/>
          <w:cols w:equalWidth="0" w:num="1">
            <w:col w:w="11420"/>
          </w:cols>
          <w:pgMar w:left="240" w:top="132" w:right="239" w:bottom="1440" w:gutter="0" w:footer="0" w:header="0"/>
        </w:sectPr>
      </w:pPr>
    </w:p>
    <w:bookmarkStart w:id="102" w:name="page103"/>
    <w:bookmarkEnd w:id="102"/>
    <w:p>
      <w:pPr>
        <w:ind w:right="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9.1 Financials</w:t>
      </w:r>
      <w:r>
        <w:rPr>
          <w:rFonts w:ascii="Arial" w:cs="Arial" w:eastAsia="Arial" w:hAnsi="Arial"/>
          <w:sz w:val="22"/>
          <w:szCs w:val="22"/>
          <w:color w:val="auto"/>
        </w:rPr>
        <w:t>” shall mean the financial statements delivered, or required to be delivered, pursuant to Section 9.1(a) or (b) together with the accompanying officer’s certificate delivered, or required to be delivered, pursuant to Section 9.1(d).</w:t>
      </w:r>
    </w:p>
    <w:p>
      <w:pPr>
        <w:spacing w:after="0" w:line="294" w:lineRule="exact"/>
        <w:rPr>
          <w:sz w:val="20"/>
          <w:szCs w:val="20"/>
          <w:color w:val="auto"/>
        </w:rPr>
      </w:pPr>
    </w:p>
    <w:p>
      <w:pPr>
        <w:ind w:right="26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Agreement</w:t>
      </w:r>
      <w:r>
        <w:rPr>
          <w:rFonts w:ascii="Arial" w:cs="Arial" w:eastAsia="Arial" w:hAnsi="Arial"/>
          <w:sz w:val="19"/>
          <w:szCs w:val="19"/>
          <w:color w:val="auto"/>
        </w:rPr>
        <w:t>” shall mean any agreement relating to Cash Management Services that is entered into by and between Holdings, the Borrower or any Restricted Subsidiary and a Cash Management Bank.</w:t>
      </w:r>
    </w:p>
    <w:p>
      <w:pPr>
        <w:spacing w:after="0" w:line="213"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Hedging Agreement</w:t>
      </w:r>
      <w:r>
        <w:rPr>
          <w:rFonts w:ascii="Arial" w:cs="Arial" w:eastAsia="Arial" w:hAnsi="Arial"/>
          <w:sz w:val="22"/>
          <w:szCs w:val="22"/>
          <w:color w:val="auto"/>
        </w:rPr>
        <w:t>” shall mean any Hedging Agreement that is entered into by and between any Credit Party or any Restricted Subsidiary and any Hedge Bank.</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shall mean, collectively, (a) the Lenders, (b) the Letter of Credit Issuers, (c) the Swingline Lender,</w:t>
      </w:r>
    </w:p>
    <w:p>
      <w:pPr>
        <w:spacing w:after="0" w:line="56" w:lineRule="exact"/>
        <w:rPr>
          <w:sz w:val="20"/>
          <w:szCs w:val="20"/>
          <w:color w:val="auto"/>
        </w:rPr>
      </w:pPr>
    </w:p>
    <w:p>
      <w:pPr>
        <w:ind w:firstLine="8"/>
        <w:spacing w:after="0" w:line="245" w:lineRule="auto"/>
        <w:tabs>
          <w:tab w:leader="none" w:pos="30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Administrative Agent, (e) the Collateral Agent, (f) each Hedge Bank, (g) each Cash Management Bank, (h) the beneficiaries of each indemnification obligation undertaken by any Credit Party under the Credit Documents and (i) any successors, endorsees, transferees and assigns of each of the foregoing.</w:t>
      </w: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shall mean the Securities Act of 1933, as amended, and the rules and regulations promulgated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310" w:lineRule="exact"/>
        <w:rPr>
          <w:sz w:val="20"/>
          <w:szCs w:val="20"/>
          <w:color w:val="auto"/>
        </w:rPr>
      </w:pPr>
    </w:p>
    <w:p>
      <w:pPr>
        <w:ind w:right="1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shall mean the Security Agreement, dated as of the Closing Date, among Holdings, the Borrower, the other grantors party thereto and the Collateral Agent for the benefit of the Secured Parties, substantially in the form of Exhibit B.</w:t>
      </w:r>
    </w:p>
    <w:p>
      <w:pPr>
        <w:spacing w:after="0" w:line="294"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shall mean, collectively, (a) the Security Agreement, (b) the Pledge Agreement, (c) the Mortgages, if any, and (d) each other security agreement or other instrument or document executed and delivered pursuant to Section 9.11, 9.12 or 9.14 or Customary Intercreditor Agreement executed and delivered pursuant to Section 10.2 or pursuant to any of the Security Documents, Permitted Additional Debt Documents or documentation governing Credit Agreement Refinancing Indebtedness to secure or perfect the security interest in any property as collateral for any or all of the First Lien Obligations.</w:t>
      </w:r>
    </w:p>
    <w:p>
      <w:pPr>
        <w:spacing w:after="0" w:line="255" w:lineRule="exact"/>
        <w:rPr>
          <w:sz w:val="20"/>
          <w:szCs w:val="20"/>
          <w:color w:val="auto"/>
        </w:rPr>
      </w:pPr>
    </w:p>
    <w:p>
      <w:pPr>
        <w:ind w:right="8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Segregated Cash</w:t>
      </w:r>
      <w:r>
        <w:rPr>
          <w:rFonts w:ascii="Arial" w:cs="Arial" w:eastAsia="Arial" w:hAnsi="Arial"/>
          <w:sz w:val="21"/>
          <w:szCs w:val="21"/>
          <w:color w:val="auto"/>
        </w:rPr>
        <w:t>” shall mean, as of any date of determination, all cash and “qualified” cash equivalents segregated on the balance sheet of the Broker-Dealer Regulated Subsidiary as of such date under SEC Rule 15c3-3.</w:t>
      </w:r>
    </w:p>
    <w:p>
      <w:pPr>
        <w:spacing w:after="0" w:line="260" w:lineRule="exact"/>
        <w:rPr>
          <w:sz w:val="20"/>
          <w:szCs w:val="20"/>
          <w:color w:val="auto"/>
        </w:rPr>
      </w:pPr>
    </w:p>
    <w:p>
      <w:pPr>
        <w:ind w:right="20"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Priority Lien Intercreditor Agreement</w:t>
      </w:r>
      <w:r>
        <w:rPr>
          <w:rFonts w:ascii="Arial" w:cs="Arial" w:eastAsia="Arial" w:hAnsi="Arial"/>
          <w:sz w:val="21"/>
          <w:szCs w:val="21"/>
          <w:color w:val="auto"/>
        </w:rPr>
        <w:t>” means the Senior Priority Lien Intercreditor Agreement substantially in the form of Exhibit I-1 among the Administrative Agent and/or the Collateral Agent and one or more representatives for holders of one or more classes of Permitted Additional Debt and/or Permitted First Priority Refinancing Debt, with such modifications thereto as the Administrative Agent and the Borrower may reasonably agree.</w:t>
      </w:r>
    </w:p>
    <w:p>
      <w:pPr>
        <w:spacing w:after="0" w:line="284" w:lineRule="exact"/>
        <w:rPr>
          <w:sz w:val="20"/>
          <w:szCs w:val="20"/>
          <w:color w:val="auto"/>
        </w:rPr>
      </w:pPr>
    </w:p>
    <w:p>
      <w:pPr>
        <w:ind w:right="100" w:firstLine="1297"/>
        <w:spacing w:after="0" w:line="263" w:lineRule="auto"/>
        <w:rPr>
          <w:sz w:val="20"/>
          <w:szCs w:val="20"/>
          <w:color w:val="auto"/>
        </w:rPr>
      </w:pPr>
      <w:r>
        <w:rPr>
          <w:rFonts w:ascii="Arial" w:cs="Arial" w:eastAsia="Arial" w:hAnsi="Arial"/>
          <w:sz w:val="22"/>
          <w:szCs w:val="22"/>
          <w:color w:val="0000FF"/>
        </w:rPr>
        <w:t>“Scheduled 2019 Extended Tranche A Term Loan Maturity Date” shall have the meaning provided in the definition of “2019 Extended Tranche A Term Loan Maturity Date”.</w:t>
      </w:r>
    </w:p>
    <w:p>
      <w:pPr>
        <w:spacing w:after="0" w:line="28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0000FF"/>
        </w:rPr>
        <w:t>“Scheduled Revolving Credit Maturity Date” shall have the meaning provided in the definition of “Revolving Credit Maturity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75</w:t>
      </w:r>
    </w:p>
    <w:p>
      <w:pPr>
        <w:sectPr>
          <w:pgSz w:w="11900" w:h="16838" w:orient="portrait"/>
          <w:cols w:equalWidth="0" w:num="1">
            <w:col w:w="11400"/>
          </w:cols>
          <w:pgMar w:left="240" w:top="294" w:right="259" w:bottom="1440" w:gutter="0" w:footer="0" w:header="0"/>
        </w:sectPr>
      </w:pPr>
    </w:p>
    <w:bookmarkStart w:id="103" w:name="page104"/>
    <w:bookmarkEnd w:id="103"/>
    <w:p>
      <w:pPr>
        <w:ind w:right="6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Agents</w:t>
      </w:r>
      <w:r>
        <w:rPr>
          <w:rFonts w:ascii="Arial" w:cs="Arial" w:eastAsia="Arial" w:hAnsi="Arial"/>
          <w:sz w:val="22"/>
          <w:szCs w:val="22"/>
          <w:color w:val="auto"/>
        </w:rPr>
        <w:t>” shall mean the Persons identified on the cover page of this Agreement as such, in their respective capacities as syndication agent under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shall have the meaning provided in Section 5.4(a).</w:t>
      </w:r>
    </w:p>
    <w:p>
      <w:pPr>
        <w:spacing w:after="0" w:line="220"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shall mean </w:t>
      </w:r>
      <w:r>
        <w:rPr>
          <w:rFonts w:ascii="Arial" w:cs="Arial" w:eastAsia="Arial" w:hAnsi="Arial"/>
          <w:sz w:val="22"/>
          <w:szCs w:val="22"/>
          <w:color w:val="FF0000"/>
          <w:strike w:val="1"/>
        </w:rPr>
        <w:t>an</w:t>
      </w:r>
      <w:r>
        <w:rPr>
          <w:rFonts w:ascii="Arial" w:cs="Arial" w:eastAsia="Arial" w:hAnsi="Arial"/>
          <w:sz w:val="22"/>
          <w:szCs w:val="22"/>
          <w:color w:val="0000FF"/>
        </w:rPr>
        <w:t>a 2017</w:t>
      </w:r>
      <w:r>
        <w:rPr>
          <w:rFonts w:ascii="Arial" w:cs="Arial" w:eastAsia="Arial" w:hAnsi="Arial"/>
          <w:sz w:val="22"/>
          <w:szCs w:val="22"/>
          <w:color w:val="auto"/>
        </w:rPr>
        <w:t xml:space="preserve"> Initial </w:t>
      </w:r>
      <w:r>
        <w:rPr>
          <w:rFonts w:ascii="Arial" w:cs="Arial" w:eastAsia="Arial" w:hAnsi="Arial"/>
          <w:sz w:val="22"/>
          <w:szCs w:val="22"/>
          <w:color w:val="0000FF"/>
        </w:rPr>
        <w:t>Tranche A Term Loan, a 2019 Extended</w:t>
      </w:r>
      <w:r>
        <w:rPr>
          <w:rFonts w:ascii="Arial" w:cs="Arial" w:eastAsia="Arial" w:hAnsi="Arial"/>
          <w:sz w:val="22"/>
          <w:szCs w:val="22"/>
          <w:color w:val="auto"/>
        </w:rPr>
        <w:t xml:space="preserve"> Tranche A Term Loan, an Initial Tranche B Term Loan, an Incremental Term Loan or any Extended Term Loans, as applicable.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Extension Request</w:t>
      </w:r>
      <w:r>
        <w:rPr>
          <w:rFonts w:ascii="Arial" w:cs="Arial" w:eastAsia="Arial" w:hAnsi="Arial"/>
          <w:sz w:val="22"/>
          <w:szCs w:val="22"/>
          <w:color w:val="auto"/>
        </w:rPr>
        <w:t>” shall have the meaning provided in Section 2.15(a).</w:t>
      </w:r>
    </w:p>
    <w:p>
      <w:pPr>
        <w:spacing w:after="0" w:line="22" w:lineRule="exact"/>
        <w:rPr>
          <w:sz w:val="20"/>
          <w:szCs w:val="20"/>
          <w:color w:val="auto"/>
        </w:rPr>
      </w:pPr>
    </w:p>
    <w:p>
      <w:pPr>
        <w:jc w:val="both"/>
        <w:ind w:right="100" w:firstLine="1297"/>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Facility</w:t>
      </w:r>
      <w:r>
        <w:rPr>
          <w:rFonts w:ascii="Arial" w:cs="Arial" w:eastAsia="Arial" w:hAnsi="Arial"/>
          <w:sz w:val="22"/>
          <w:szCs w:val="22"/>
          <w:color w:val="auto"/>
        </w:rPr>
        <w:t xml:space="preserve">” shall mean any of the </w:t>
      </w:r>
      <w:r>
        <w:rPr>
          <w:rFonts w:ascii="Arial" w:cs="Arial" w:eastAsia="Arial" w:hAnsi="Arial"/>
          <w:sz w:val="22"/>
          <w:szCs w:val="22"/>
          <w:color w:val="0000FF"/>
        </w:rPr>
        <w:t>2017</w:t>
      </w:r>
      <w:r>
        <w:rPr>
          <w:rFonts w:ascii="Arial" w:cs="Arial" w:eastAsia="Arial" w:hAnsi="Arial"/>
          <w:sz w:val="22"/>
          <w:szCs w:val="22"/>
          <w:color w:val="auto"/>
        </w:rPr>
        <w:t xml:space="preserve"> Initial </w:t>
      </w:r>
      <w:r>
        <w:rPr>
          <w:rFonts w:ascii="Arial" w:cs="Arial" w:eastAsia="Arial" w:hAnsi="Arial"/>
          <w:sz w:val="22"/>
          <w:szCs w:val="22"/>
          <w:color w:val="0000FF"/>
        </w:rPr>
        <w:t>Tranche A Term Loan Facility, the 2019 Extended</w:t>
      </w:r>
      <w:r>
        <w:rPr>
          <w:rFonts w:ascii="Arial" w:cs="Arial" w:eastAsia="Arial" w:hAnsi="Arial"/>
          <w:sz w:val="22"/>
          <w:szCs w:val="22"/>
          <w:color w:val="auto"/>
        </w:rPr>
        <w:t xml:space="preserve"> Tranche A Term Loan Facility, the Initial Tranche B Term Loan Facility, any Incremental Term Loan Facility and any Extended Term Loan Facility.</w:t>
      </w:r>
    </w:p>
    <w:p>
      <w:pPr>
        <w:spacing w:after="0" w:line="193" w:lineRule="exact"/>
        <w:rPr>
          <w:sz w:val="20"/>
          <w:szCs w:val="20"/>
          <w:color w:val="auto"/>
        </w:rPr>
      </w:pPr>
    </w:p>
    <w:p>
      <w:pPr>
        <w:ind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xml:space="preserve">” shall mean, for any determination under this Agreement, the most recent period of four consecutive fiscal quarters of the Borrower ended on or prior to such date of determination (taken as one accounting period) in respect of which Section 9.1 Financials shall have been (or were required by Section 9.1(a) or Section 9.1(b) to have been) delivered to the Administrative Agent for each fiscal quarter or fiscal year in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the first date that Section 9.1 Financials shall have been delivered pursuant to Section 9.1(a) or (b), the Test Period in effect shall be the period of four consecutive fiscal quarters of the Borrower ended December 31, 2011. A Test Period may be designated by reference to the last day thereof, </w:t>
      </w:r>
      <w:r>
        <w:rPr>
          <w:rFonts w:ascii="Arial" w:cs="Arial" w:eastAsia="Arial" w:hAnsi="Arial"/>
          <w:sz w:val="19"/>
          <w:szCs w:val="19"/>
          <w:i w:val="1"/>
          <w:iCs w:val="1"/>
          <w:color w:val="auto"/>
        </w:rPr>
        <w:t>i.e</w:t>
      </w:r>
      <w:r>
        <w:rPr>
          <w:rFonts w:ascii="Arial" w:cs="Arial" w:eastAsia="Arial" w:hAnsi="Arial"/>
          <w:sz w:val="19"/>
          <w:szCs w:val="19"/>
          <w:color w:val="auto"/>
        </w:rPr>
        <w:t>., the December 31, 2011 Test Period refers to the period of four consecutive fiscal quarters of the Borrower ended December 31, 2011, and a Test Period shall be deemed to end on the last day thereof.</w:t>
      </w:r>
    </w:p>
    <w:p>
      <w:pPr>
        <w:spacing w:after="0" w:line="2" w:lineRule="exact"/>
        <w:rPr>
          <w:sz w:val="20"/>
          <w:szCs w:val="20"/>
          <w:color w:val="auto"/>
        </w:rPr>
      </w:pPr>
    </w:p>
    <w:p>
      <w:pPr>
        <w:ind w:right="320" w:firstLine="1297"/>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Revolving Credit</w:t>
      </w:r>
      <w:r>
        <w:rPr>
          <w:rFonts w:ascii="Arial" w:cs="Arial" w:eastAsia="Arial" w:hAnsi="Arial"/>
          <w:sz w:val="19"/>
          <w:szCs w:val="19"/>
          <w:color w:val="0000FF"/>
        </w:rPr>
        <w:t>2017 Initial Tranche A Term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shall mean</w:t>
      </w:r>
      <w:r>
        <w:rPr>
          <w:rFonts w:ascii="Arial" w:cs="Arial" w:eastAsia="Arial" w:hAnsi="Arial"/>
          <w:sz w:val="19"/>
          <w:szCs w:val="19"/>
          <w:color w:val="FF0000"/>
          <w:strike w:val="1"/>
        </w:rPr>
        <w:t>, on any date,</w:t>
      </w:r>
      <w:r>
        <w:rPr>
          <w:rFonts w:ascii="Arial" w:cs="Arial" w:eastAsia="Arial" w:hAnsi="Arial"/>
          <w:sz w:val="19"/>
          <w:szCs w:val="19"/>
          <w:color w:val="auto"/>
        </w:rPr>
        <w:t xml:space="preserve"> the sum of the </w:t>
      </w:r>
      <w:r>
        <w:rPr>
          <w:rFonts w:ascii="Arial" w:cs="Arial" w:eastAsia="Arial" w:hAnsi="Arial"/>
          <w:sz w:val="19"/>
          <w:szCs w:val="19"/>
          <w:color w:val="FF0000"/>
          <w:strike w:val="1"/>
        </w:rPr>
        <w:t>Revolving Credit</w:t>
      </w:r>
      <w:r>
        <w:rPr>
          <w:rFonts w:ascii="Arial" w:cs="Arial" w:eastAsia="Arial" w:hAnsi="Arial"/>
          <w:sz w:val="19"/>
          <w:szCs w:val="19"/>
          <w:color w:val="0000FF"/>
        </w:rPr>
        <w:t>2017 Initial Tranche A Term Loan</w:t>
      </w:r>
      <w:r>
        <w:rPr>
          <w:rFonts w:ascii="Arial" w:cs="Arial" w:eastAsia="Arial" w:hAnsi="Arial"/>
          <w:sz w:val="19"/>
          <w:szCs w:val="19"/>
          <w:color w:val="FF0000"/>
        </w:rPr>
        <w:t xml:space="preserve"> </w:t>
      </w:r>
      <w:r>
        <w:rPr>
          <w:rFonts w:ascii="Arial" w:cs="Arial" w:eastAsia="Arial" w:hAnsi="Arial"/>
          <w:sz w:val="19"/>
          <w:szCs w:val="19"/>
          <w:color w:val="000000"/>
        </w:rPr>
        <w:t>Commitments</w:t>
      </w:r>
      <w:r>
        <w:rPr>
          <w:rFonts w:ascii="Arial" w:cs="Arial" w:eastAsia="Arial" w:hAnsi="Arial"/>
          <w:sz w:val="19"/>
          <w:szCs w:val="19"/>
          <w:color w:val="FF0000"/>
        </w:rPr>
        <w:t xml:space="preserve"> </w:t>
      </w:r>
      <w:r>
        <w:rPr>
          <w:rFonts w:ascii="Arial" w:cs="Arial" w:eastAsia="Arial" w:hAnsi="Arial"/>
          <w:sz w:val="19"/>
          <w:szCs w:val="19"/>
          <w:color w:val="FF0000"/>
          <w:strike w:val="1"/>
        </w:rPr>
        <w:t>on such date of all Revolving Credit</w:t>
      </w:r>
      <w:r>
        <w:rPr>
          <w:rFonts w:ascii="Arial" w:cs="Arial" w:eastAsia="Arial" w:hAnsi="Arial"/>
          <w:sz w:val="19"/>
          <w:szCs w:val="19"/>
          <w:color w:val="0000FF"/>
        </w:rPr>
        <w:t>of all the Lenders.</w:t>
      </w:r>
    </w:p>
    <w:p>
      <w:pPr>
        <w:spacing w:after="0" w:line="123"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0000FF"/>
        </w:rPr>
        <w:t xml:space="preserve">“Total 2019 Extended Tranche A Term Loan Commitment” shall mean the sum of the 2019 Extended Tranche A Term Loan Commitments of all the </w:t>
      </w:r>
      <w:r>
        <w:rPr>
          <w:rFonts w:ascii="Arial" w:cs="Arial" w:eastAsia="Arial" w:hAnsi="Arial"/>
          <w:sz w:val="22"/>
          <w:szCs w:val="22"/>
          <w:color w:val="000000"/>
        </w:rPr>
        <w:t>Lenders.</w:t>
      </w:r>
    </w:p>
    <w:p>
      <w:pPr>
        <w:spacing w:after="0" w:line="175" w:lineRule="exact"/>
        <w:rPr>
          <w:sz w:val="20"/>
          <w:szCs w:val="20"/>
          <w:color w:val="auto"/>
        </w:rPr>
      </w:pPr>
    </w:p>
    <w:p>
      <w:pPr>
        <w:ind w:right="4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Additional/Replacement Revolving Credit Commitment</w:t>
      </w:r>
      <w:r>
        <w:rPr>
          <w:rFonts w:ascii="Arial" w:cs="Arial" w:eastAsia="Arial" w:hAnsi="Arial"/>
          <w:sz w:val="22"/>
          <w:szCs w:val="22"/>
          <w:color w:val="auto"/>
        </w:rPr>
        <w:t>” shall mean the sum of Additional/Replacement Revolving Credit Commitments of all the Lenders providing any tranche of Additional/Replacement Revolving Credit Commitments.</w:t>
      </w:r>
    </w:p>
    <w:p>
      <w:pPr>
        <w:spacing w:after="0" w:line="186" w:lineRule="exact"/>
        <w:rPr>
          <w:sz w:val="20"/>
          <w:szCs w:val="20"/>
          <w:color w:val="auto"/>
        </w:rPr>
      </w:pPr>
    </w:p>
    <w:p>
      <w:pPr>
        <w:jc w:val="both"/>
        <w:ind w:right="380"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Commitment</w:t>
      </w:r>
      <w:r>
        <w:rPr>
          <w:rFonts w:ascii="Arial" w:cs="Arial" w:eastAsia="Arial" w:hAnsi="Arial"/>
          <w:sz w:val="21"/>
          <w:szCs w:val="21"/>
          <w:color w:val="auto"/>
        </w:rPr>
        <w:t xml:space="preserve">” shall mean the sum of the Total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 Commitment, the Total</w:t>
      </w:r>
      <w:r>
        <w:rPr>
          <w:rFonts w:ascii="Arial" w:cs="Arial" w:eastAsia="Arial" w:hAnsi="Arial"/>
          <w:sz w:val="21"/>
          <w:szCs w:val="21"/>
          <w:color w:val="auto"/>
        </w:rPr>
        <w:t xml:space="preserve"> </w:t>
      </w:r>
      <w:r>
        <w:rPr>
          <w:rFonts w:ascii="Arial" w:cs="Arial" w:eastAsia="Arial" w:hAnsi="Arial"/>
          <w:sz w:val="21"/>
          <w:szCs w:val="21"/>
          <w:color w:val="0000FF"/>
        </w:rPr>
        <w:t xml:space="preserve">2019 Extended </w:t>
      </w:r>
      <w:r>
        <w:rPr>
          <w:rFonts w:ascii="Arial" w:cs="Arial" w:eastAsia="Arial" w:hAnsi="Arial"/>
          <w:sz w:val="21"/>
          <w:szCs w:val="21"/>
          <w:color w:val="000000"/>
        </w:rPr>
        <w:t>Tranche A Term Loan Commitment, the Total Initial Tranche B Term Loan Commitment, the Total Incremental</w:t>
      </w:r>
      <w:r>
        <w:rPr>
          <w:rFonts w:ascii="Arial" w:cs="Arial" w:eastAsia="Arial" w:hAnsi="Arial"/>
          <w:sz w:val="21"/>
          <w:szCs w:val="21"/>
          <w:color w:val="0000FF"/>
        </w:rPr>
        <w:t xml:space="preserve"> </w:t>
      </w:r>
      <w:r>
        <w:rPr>
          <w:rFonts w:ascii="Arial" w:cs="Arial" w:eastAsia="Arial" w:hAnsi="Arial"/>
          <w:sz w:val="21"/>
          <w:szCs w:val="21"/>
          <w:color w:val="000000"/>
        </w:rPr>
        <w:t>Term Loan Commitment, the Total Revolving Credit Commitment, the Total Extended Revolving Credit Commitment of each Extension Series and the Total Additional/Replacement Revolving Credit Commitment.</w:t>
      </w:r>
    </w:p>
    <w:p>
      <w:pPr>
        <w:spacing w:after="0" w:line="176"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Credit Exposure</w:t>
      </w:r>
      <w:r>
        <w:rPr>
          <w:rFonts w:ascii="Arial" w:cs="Arial" w:eastAsia="Arial" w:hAnsi="Arial"/>
          <w:sz w:val="22"/>
          <w:szCs w:val="22"/>
          <w:color w:val="auto"/>
        </w:rPr>
        <w:t>” shall mean, at any date, the sum of the Total Commitment at such date and the outstanding principal amount of all Term Loans at such date.</w:t>
      </w:r>
    </w:p>
    <w:p>
      <w:pPr>
        <w:spacing w:after="0" w:line="391"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79</w:t>
      </w:r>
    </w:p>
    <w:p>
      <w:pPr>
        <w:sectPr>
          <w:pgSz w:w="11900" w:h="16838" w:orient="portrait"/>
          <w:cols w:equalWidth="0" w:num="1">
            <w:col w:w="11400"/>
          </w:cols>
          <w:pgMar w:left="240" w:top="131" w:right="259" w:bottom="1440" w:gutter="0" w:footer="0" w:header="0"/>
        </w:sectPr>
      </w:pPr>
    </w:p>
    <w:bookmarkStart w:id="104" w:name="page105"/>
    <w:bookmarkEnd w:id="104"/>
    <w:p>
      <w:pPr>
        <w:ind w:right="12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Extended Revolving Credit Commitment</w:t>
      </w:r>
      <w:r>
        <w:rPr>
          <w:rFonts w:ascii="Arial" w:cs="Arial" w:eastAsia="Arial" w:hAnsi="Arial"/>
          <w:sz w:val="22"/>
          <w:szCs w:val="22"/>
          <w:color w:val="auto"/>
        </w:rPr>
        <w:t>” shall mean the sum of all Extended Revolving Credit Commitments of all Lenders under each Extension Series.</w:t>
      </w:r>
    </w:p>
    <w:p>
      <w:pPr>
        <w:spacing w:after="0" w:line="283" w:lineRule="exact"/>
        <w:rPr>
          <w:sz w:val="20"/>
          <w:szCs w:val="20"/>
          <w:color w:val="auto"/>
        </w:rPr>
      </w:pPr>
    </w:p>
    <w:p>
      <w:pPr>
        <w:ind w:right="30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Incremental Term Loan Commitment</w:t>
      </w:r>
      <w:r>
        <w:rPr>
          <w:rFonts w:ascii="Arial" w:cs="Arial" w:eastAsia="Arial" w:hAnsi="Arial"/>
          <w:sz w:val="19"/>
          <w:szCs w:val="19"/>
          <w:color w:val="auto"/>
        </w:rPr>
        <w:t>” shall mean the sum of the Incremental Term Loan Commitments of any Class of Incremental Term Loans of all the Lenders providing such Class of Incremental Term Loans.</w:t>
      </w:r>
    </w:p>
    <w:p>
      <w:pPr>
        <w:spacing w:after="0" w:line="213" w:lineRule="exact"/>
        <w:rPr>
          <w:sz w:val="20"/>
          <w:szCs w:val="20"/>
          <w:color w:val="auto"/>
        </w:rPr>
      </w:pPr>
    </w:p>
    <w:p>
      <w:pPr>
        <w:ind w:right="920" w:firstLine="1297"/>
        <w:spacing w:after="0" w:line="263"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Total Initial Tranche A Term Loan Commitment</w:t>
      </w:r>
      <w:r>
        <w:rPr>
          <w:rFonts w:ascii="Arial" w:cs="Arial" w:eastAsia="Arial" w:hAnsi="Arial"/>
          <w:sz w:val="22"/>
          <w:szCs w:val="22"/>
          <w:color w:val="FF0000"/>
          <w:strike w:val="1"/>
        </w:rPr>
        <w:t>” shall mean the sum of the Initial Tranche A Term Loan Commitments of all the Lenders.</w:t>
      </w:r>
    </w:p>
    <w:p>
      <w:pPr>
        <w:spacing w:after="0" w:line="283" w:lineRule="exact"/>
        <w:rPr>
          <w:sz w:val="20"/>
          <w:szCs w:val="20"/>
          <w:color w:val="auto"/>
        </w:rPr>
      </w:pPr>
    </w:p>
    <w:p>
      <w:pPr>
        <w:ind w:right="9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Tranche B Term Loan Commitment</w:t>
      </w:r>
      <w:r>
        <w:rPr>
          <w:rFonts w:ascii="Arial" w:cs="Arial" w:eastAsia="Arial" w:hAnsi="Arial"/>
          <w:sz w:val="22"/>
          <w:szCs w:val="22"/>
          <w:color w:val="auto"/>
        </w:rPr>
        <w:t>” shall mean the sum of the Initial Tranche B Term Loan Commitments of all the Lenders.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Commitment</w:t>
      </w:r>
      <w:r>
        <w:rPr>
          <w:rFonts w:ascii="Arial" w:cs="Arial" w:eastAsia="Arial" w:hAnsi="Arial"/>
          <w:sz w:val="22"/>
          <w:szCs w:val="22"/>
          <w:color w:val="auto"/>
        </w:rPr>
        <w:t>” shall mean the sum of the Revolving Credit Commitments of all the Lenders.</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A Lender</w:t>
      </w:r>
      <w:r>
        <w:rPr>
          <w:rFonts w:ascii="Arial" w:cs="Arial" w:eastAsia="Arial" w:hAnsi="Arial"/>
          <w:sz w:val="21"/>
          <w:szCs w:val="21"/>
          <w:color w:val="auto"/>
        </w:rPr>
        <w:t>” shall mean any Lender holding Tranche A Loans and/or any commitment thereunder.</w:t>
      </w:r>
    </w:p>
    <w:p>
      <w:pPr>
        <w:spacing w:after="0" w:line="339"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A Loans</w:t>
      </w:r>
      <w:r>
        <w:rPr>
          <w:rFonts w:ascii="Arial" w:cs="Arial" w:eastAsia="Arial" w:hAnsi="Arial"/>
          <w:sz w:val="22"/>
          <w:szCs w:val="22"/>
          <w:color w:val="auto"/>
        </w:rPr>
        <w:t xml:space="preserve">” shall mean the </w:t>
      </w:r>
      <w:r>
        <w:rPr>
          <w:rFonts w:ascii="Arial" w:cs="Arial" w:eastAsia="Arial" w:hAnsi="Arial"/>
          <w:sz w:val="22"/>
          <w:szCs w:val="22"/>
          <w:color w:val="0000FF"/>
        </w:rPr>
        <w:t>2017</w:t>
      </w:r>
      <w:r>
        <w:rPr>
          <w:rFonts w:ascii="Arial" w:cs="Arial" w:eastAsia="Arial" w:hAnsi="Arial"/>
          <w:sz w:val="22"/>
          <w:szCs w:val="22"/>
          <w:color w:val="auto"/>
        </w:rPr>
        <w:t xml:space="preserve"> Initial Tranche A Term Loans, </w:t>
      </w:r>
      <w:r>
        <w:rPr>
          <w:rFonts w:ascii="Arial" w:cs="Arial" w:eastAsia="Arial" w:hAnsi="Arial"/>
          <w:sz w:val="22"/>
          <w:szCs w:val="22"/>
          <w:color w:val="0000FF"/>
        </w:rPr>
        <w:t>the 2019 Extended Tranche A Term Loans,</w:t>
      </w:r>
      <w:r>
        <w:rPr>
          <w:rFonts w:ascii="Arial" w:cs="Arial" w:eastAsia="Arial" w:hAnsi="Arial"/>
          <w:sz w:val="22"/>
          <w:szCs w:val="22"/>
          <w:color w:val="auto"/>
        </w:rPr>
        <w:t xml:space="preserve"> </w:t>
      </w:r>
      <w:r>
        <w:rPr>
          <w:rFonts w:ascii="Arial" w:cs="Arial" w:eastAsia="Arial" w:hAnsi="Arial"/>
          <w:sz w:val="22"/>
          <w:szCs w:val="22"/>
          <w:color w:val="0000FF"/>
        </w:rPr>
        <w:t xml:space="preserve">any </w:t>
      </w:r>
      <w:r>
        <w:rPr>
          <w:rFonts w:ascii="Arial" w:cs="Arial" w:eastAsia="Arial" w:hAnsi="Arial"/>
          <w:sz w:val="22"/>
          <w:szCs w:val="22"/>
          <w:color w:val="000000"/>
        </w:rPr>
        <w:t>Incremental Tranche A Term Loans or any Extended Term Loans for which</w:t>
      </w:r>
      <w:r>
        <w:rPr>
          <w:rFonts w:ascii="Arial" w:cs="Arial" w:eastAsia="Arial" w:hAnsi="Arial"/>
          <w:sz w:val="22"/>
          <w:szCs w:val="22"/>
          <w:color w:val="0000FF"/>
        </w:rPr>
        <w:t xml:space="preserve"> 2017 </w:t>
      </w:r>
      <w:r>
        <w:rPr>
          <w:rFonts w:ascii="Arial" w:cs="Arial" w:eastAsia="Arial" w:hAnsi="Arial"/>
          <w:sz w:val="22"/>
          <w:szCs w:val="22"/>
          <w:color w:val="000000"/>
        </w:rPr>
        <w:t>Initial</w:t>
      </w:r>
      <w:r>
        <w:rPr>
          <w:rFonts w:ascii="Arial" w:cs="Arial" w:eastAsia="Arial" w:hAnsi="Arial"/>
          <w:sz w:val="22"/>
          <w:szCs w:val="22"/>
          <w:color w:val="0000FF"/>
        </w:rPr>
        <w:t xml:space="preserve"> Tranche A Term Loans, 2019 Extended </w:t>
      </w:r>
      <w:r>
        <w:rPr>
          <w:rFonts w:ascii="Arial" w:cs="Arial" w:eastAsia="Arial" w:hAnsi="Arial"/>
          <w:sz w:val="22"/>
          <w:szCs w:val="22"/>
          <w:color w:val="000000"/>
        </w:rPr>
        <w:t>Tranche A Term Loans or Incremental Tranche A Term Loans were exchanged.</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B Lender</w:t>
      </w:r>
      <w:r>
        <w:rPr>
          <w:rFonts w:ascii="Arial" w:cs="Arial" w:eastAsia="Arial" w:hAnsi="Arial"/>
          <w:sz w:val="21"/>
          <w:szCs w:val="21"/>
          <w:color w:val="auto"/>
        </w:rPr>
        <w:t>” shall mean any Lender holding Tranche B Loans and/or any commitment thereunder.</w:t>
      </w:r>
    </w:p>
    <w:p>
      <w:pPr>
        <w:spacing w:after="0" w:line="339"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B Loans</w:t>
      </w:r>
      <w:r>
        <w:rPr>
          <w:rFonts w:ascii="Arial" w:cs="Arial" w:eastAsia="Arial" w:hAnsi="Arial"/>
          <w:sz w:val="22"/>
          <w:szCs w:val="22"/>
          <w:color w:val="auto"/>
        </w:rPr>
        <w:t>” shall mean the Initial Tranche B Term Loans, Incremental Tranche B Term Loans (including the 2013 Incremental Tranche B Term Loans) or any Extended Term Loans for which Initial Tranche B Term Loans or Incremental Tranche B Term Loans were exchanged.</w:t>
      </w:r>
    </w:p>
    <w:p>
      <w:pPr>
        <w:spacing w:after="0" w:line="294"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shall mean any fees or expenses incurred or paid by the Sponsors, Holdings, the Borrower or any of its Restricted Subsidiaries or any of their Affiliates in connection with the Transactions and the transactions contemplated hereby and thereby.</w:t>
      </w:r>
    </w:p>
    <w:p>
      <w:pPr>
        <w:spacing w:after="0" w:line="294" w:lineRule="exact"/>
        <w:rPr>
          <w:sz w:val="20"/>
          <w:szCs w:val="20"/>
          <w:color w:val="auto"/>
        </w:rPr>
      </w:pPr>
    </w:p>
    <w:p>
      <w:pPr>
        <w:ind w:right="6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shall mean, collectively, (a) the Refinancing, (b) the entering into of the Credit Documents and the funding of the Initial Term Loans and, to the extent applicable, the Revolving Credit Loans on the Closing Date, (c) the declaration and payment of the Special Dividend, (d) the consummation of any other transactions connected with the foregoing and (e)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payment of fees and expenses in connection with any of the foregoing (including the Transaction Expenses).</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shall have the meaning provided in Section 13.6(f).</w:t>
      </w:r>
    </w:p>
    <w:p>
      <w:pPr>
        <w:spacing w:after="0" w:line="328"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shall mean (a) as to any Term Loan, its nature as an ABR Loan or a Eurodollar Loan, (b) as to any Revolving Credit Loan, its nature as an ABR Loan or a Eurodollar Loan, (c) as to any Extended Revolving Credit Loan, its nature as an ABR Loan or a Eurodollar</w:t>
      </w:r>
    </w:p>
    <w:p>
      <w:pPr>
        <w:spacing w:after="0" w:line="348"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80</w:t>
      </w:r>
    </w:p>
    <w:p>
      <w:pPr>
        <w:sectPr>
          <w:pgSz w:w="11900" w:h="16838" w:orient="portrait"/>
          <w:cols w:equalWidth="0" w:num="1">
            <w:col w:w="11400"/>
          </w:cols>
          <w:pgMar w:left="240" w:top="294" w:right="259" w:bottom="1440" w:gutter="0" w:footer="0" w:header="0"/>
        </w:sectPr>
      </w:pPr>
    </w:p>
    <w:bookmarkStart w:id="105" w:name="page106"/>
    <w:bookmarkEnd w:id="105"/>
    <w:p>
      <w:pPr>
        <w:ind w:right="140" w:firstLine="1945"/>
        <w:spacing w:after="0" w:line="265"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Guaranties of Hedging Obligations</w:t>
      </w:r>
      <w:r>
        <w:rPr>
          <w:rFonts w:ascii="Arial" w:cs="Arial" w:eastAsia="Arial" w:hAnsi="Arial"/>
          <w:sz w:val="21"/>
          <w:szCs w:val="21"/>
          <w:color w:val="auto"/>
        </w:rPr>
        <w:t>. Notwithstanding anything else to the contrary in any Credit Document, no Specified Credit Party shall be required to guarantee or provide security for Excluded Swap Obligations, and any reference in any Credit Document with respect to such Specified Credit Party guaranteeing or providing security for the Obligations shall be deemed to be all Obligations other than the Excluded Swap Obligations.</w:t>
      </w:r>
    </w:p>
    <w:p>
      <w:pPr>
        <w:spacing w:after="0" w:line="284"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Amount and Terms of Credit Facilities</w:t>
      </w:r>
    </w:p>
    <w:p>
      <w:pPr>
        <w:spacing w:after="0" w:line="328" w:lineRule="exact"/>
        <w:rPr>
          <w:sz w:val="20"/>
          <w:szCs w:val="20"/>
          <w:color w:val="auto"/>
        </w:rPr>
      </w:pPr>
    </w:p>
    <w:p>
      <w:pPr>
        <w:ind w:firstLine="1945"/>
        <w:spacing w:after="0" w:line="284"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Loans</w:t>
      </w:r>
      <w:r>
        <w:rPr>
          <w:rFonts w:ascii="Arial" w:cs="Arial" w:eastAsia="Arial" w:hAnsi="Arial"/>
          <w:sz w:val="19"/>
          <w:szCs w:val="19"/>
          <w:color w:val="auto"/>
        </w:rPr>
        <w:t xml:space="preserve">. (a) </w:t>
      </w:r>
      <w:r>
        <w:rPr>
          <w:rFonts w:ascii="Arial" w:cs="Arial" w:eastAsia="Arial" w:hAnsi="Arial"/>
          <w:sz w:val="19"/>
          <w:szCs w:val="19"/>
          <w:color w:val="0000FF"/>
        </w:rPr>
        <w:t>(i)</w:t>
      </w:r>
      <w:r>
        <w:rPr>
          <w:rFonts w:ascii="Arial" w:cs="Arial" w:eastAsia="Arial" w:hAnsi="Arial"/>
          <w:sz w:val="19"/>
          <w:szCs w:val="19"/>
          <w:color w:val="auto"/>
        </w:rPr>
        <w:t xml:space="preserve"> Subject to and upon the terms and conditions </w:t>
      </w:r>
      <w:r>
        <w:rPr>
          <w:rFonts w:ascii="Arial" w:cs="Arial" w:eastAsia="Arial" w:hAnsi="Arial"/>
          <w:sz w:val="19"/>
          <w:szCs w:val="19"/>
          <w:color w:val="FF0000"/>
          <w:strike w:val="1"/>
        </w:rPr>
        <w:t>herein set forth, each Initial Tranche A</w:t>
      </w:r>
      <w:r>
        <w:rPr>
          <w:rFonts w:ascii="Arial" w:cs="Arial" w:eastAsia="Arial" w:hAnsi="Arial"/>
          <w:sz w:val="19"/>
          <w:szCs w:val="19"/>
          <w:color w:val="auto"/>
        </w:rPr>
        <w:t xml:space="preserve"> </w:t>
      </w:r>
      <w:r>
        <w:rPr>
          <w:rFonts w:ascii="Arial" w:cs="Arial" w:eastAsia="Arial" w:hAnsi="Arial"/>
          <w:sz w:val="19"/>
          <w:szCs w:val="19"/>
          <w:color w:val="FF0000"/>
          <w:strike w:val="1"/>
        </w:rPr>
        <w:t>Term Lender severally agrees to make a loan or loans (each,</w:t>
      </w:r>
      <w:r>
        <w:rPr>
          <w:rFonts w:ascii="Arial" w:cs="Arial" w:eastAsia="Arial" w:hAnsi="Arial"/>
          <w:sz w:val="19"/>
          <w:szCs w:val="19"/>
          <w:color w:val="0000FF"/>
        </w:rPr>
        <w:t>of this Agreement as in effect immediately prior to the Amendment No.</w:t>
      </w:r>
      <w:r>
        <w:rPr>
          <w:rFonts w:ascii="Arial" w:cs="Arial" w:eastAsia="Arial" w:hAnsi="Arial"/>
          <w:sz w:val="19"/>
          <w:szCs w:val="19"/>
          <w:color w:val="FF0000"/>
        </w:rPr>
        <w:t xml:space="preserve"> </w:t>
      </w:r>
      <w:r>
        <w:rPr>
          <w:rFonts w:ascii="Arial" w:cs="Arial" w:eastAsia="Arial" w:hAnsi="Arial"/>
          <w:sz w:val="19"/>
          <w:szCs w:val="19"/>
          <w:color w:val="0000FF"/>
        </w:rPr>
        <w:t xml:space="preserve">2 Effective Date, each Lender having </w:t>
      </w:r>
      <w:r>
        <w:rPr>
          <w:rFonts w:ascii="Arial" w:cs="Arial" w:eastAsia="Arial" w:hAnsi="Arial"/>
          <w:sz w:val="19"/>
          <w:szCs w:val="19"/>
          <w:color w:val="000000"/>
        </w:rPr>
        <w:t>an “Initial Tranche A Term Loan</w:t>
      </w:r>
      <w:r>
        <w:rPr>
          <w:rFonts w:ascii="Arial" w:cs="Arial" w:eastAsia="Arial" w:hAnsi="Arial"/>
          <w:sz w:val="19"/>
          <w:szCs w:val="19"/>
          <w:color w:val="FF0000"/>
          <w:strike w:val="1"/>
        </w:rPr>
        <w:t>”) to the Borrower, which</w:t>
      </w:r>
      <w:r>
        <w:rPr>
          <w:rFonts w:ascii="Arial" w:cs="Arial" w:eastAsia="Arial" w:hAnsi="Arial"/>
          <w:sz w:val="19"/>
          <w:szCs w:val="19"/>
          <w:color w:val="0000FF"/>
        </w:rPr>
        <w:t xml:space="preserve"> Commitment” (as defined in this Agreement as in effect immediately prior to the Amendment No. 2 Effective Date) (each such Lender, a “Prior Initial Tranche A Term Lender”) severally made a loan or loans pursuant thereto (each, a “Prior Initial Tranche A Term Loan” and collectively the “Prior </w:t>
      </w:r>
      <w:r>
        <w:rPr>
          <w:rFonts w:ascii="Arial" w:cs="Arial" w:eastAsia="Arial" w:hAnsi="Arial"/>
          <w:sz w:val="19"/>
          <w:szCs w:val="19"/>
          <w:u w:val="single" w:color="auto"/>
          <w:color w:val="000000"/>
        </w:rPr>
        <w:t>Initial Tranche A Term Loans</w:t>
      </w:r>
      <w:r>
        <w:rPr>
          <w:rFonts w:ascii="Arial" w:cs="Arial" w:eastAsia="Arial" w:hAnsi="Arial"/>
          <w:sz w:val="19"/>
          <w:szCs w:val="19"/>
          <w:color w:val="0000FF"/>
        </w:rPr>
        <w:t xml:space="preserve"> </w:t>
      </w:r>
      <w:r>
        <w:rPr>
          <w:rFonts w:ascii="Arial" w:cs="Arial" w:eastAsia="Arial" w:hAnsi="Arial"/>
          <w:sz w:val="19"/>
          <w:szCs w:val="19"/>
          <w:color w:val="FF0000"/>
          <w:strike w:val="1"/>
        </w:rPr>
        <w:t>(i) shall not exceed, for any such Lender, the Initial Tranche A Term Loan Commitment of</w:t>
      </w:r>
      <w:r>
        <w:rPr>
          <w:rFonts w:ascii="Arial" w:cs="Arial" w:eastAsia="Arial" w:hAnsi="Arial"/>
          <w:sz w:val="19"/>
          <w:szCs w:val="19"/>
          <w:color w:val="0000FF"/>
        </w:rPr>
        <w:t xml:space="preserve"> </w:t>
      </w:r>
      <w:r>
        <w:rPr>
          <w:rFonts w:ascii="Arial" w:cs="Arial" w:eastAsia="Arial" w:hAnsi="Arial"/>
          <w:sz w:val="19"/>
          <w:szCs w:val="19"/>
          <w:color w:val="FF0000"/>
          <w:strike w:val="1"/>
        </w:rPr>
        <w:t>such Initial Tranche A Term Lender, (ii) shall not exceed, in the aggregate, the Total Initial Tranche A Term Loan Commitment,</w:t>
      </w:r>
    </w:p>
    <w:p>
      <w:pPr>
        <w:spacing w:after="0" w:line="4"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22"/>
          <w:szCs w:val="22"/>
          <w:color w:val="FF0000"/>
          <w:strike w:val="1"/>
        </w:rPr>
      </w:pPr>
      <w:r>
        <w:rPr>
          <w:rFonts w:ascii="Arial" w:cs="Arial" w:eastAsia="Arial" w:hAnsi="Arial"/>
          <w:sz w:val="22"/>
          <w:szCs w:val="22"/>
          <w:color w:val="FF0000"/>
          <w:strike w:val="1"/>
        </w:rPr>
        <w:t>shall be made on the Closing Date and</w:t>
      </w:r>
      <w:r>
        <w:rPr>
          <w:rFonts w:ascii="Arial" w:cs="Arial" w:eastAsia="Arial" w:hAnsi="Arial"/>
          <w:sz w:val="22"/>
          <w:szCs w:val="22"/>
          <w:color w:val="0000FF"/>
        </w:rPr>
        <w:t>”) to the Borrower on the Closing Date.</w:t>
      </w:r>
    </w:p>
    <w:p>
      <w:pPr>
        <w:spacing w:after="0" w:line="309" w:lineRule="exact"/>
        <w:rPr>
          <w:rFonts w:ascii="Arial" w:cs="Arial" w:eastAsia="Arial" w:hAnsi="Arial"/>
          <w:sz w:val="22"/>
          <w:szCs w:val="22"/>
          <w:color w:val="FF0000"/>
          <w:strike w:val="1"/>
        </w:rPr>
      </w:pPr>
    </w:p>
    <w:p>
      <w:pPr>
        <w:ind w:right="100" w:firstLine="1953"/>
        <w:spacing w:after="0" w:line="285" w:lineRule="auto"/>
        <w:tabs>
          <w:tab w:leader="none" w:pos="2263" w:val="left"/>
        </w:tabs>
        <w:numPr>
          <w:ilvl w:val="1"/>
          <w:numId w:val="65"/>
        </w:numPr>
        <w:rPr>
          <w:rFonts w:ascii="Arial" w:cs="Arial" w:eastAsia="Arial" w:hAnsi="Arial"/>
          <w:sz w:val="19"/>
          <w:szCs w:val="19"/>
          <w:color w:val="0000FF"/>
        </w:rPr>
      </w:pPr>
      <w:r>
        <w:rPr>
          <w:rFonts w:ascii="Arial" w:cs="Arial" w:eastAsia="Arial" w:hAnsi="Arial"/>
          <w:sz w:val="19"/>
          <w:szCs w:val="19"/>
          <w:color w:val="0000FF"/>
        </w:rPr>
        <w:t>As of the Amendment No. 2 Effective Date, in accordance with, and upon the terms and conditions set forth in, Amendment No. 2, (A) (x) the Prior Initial Tranche A Term Loans of each Prior Initial Tranche A Term Lender outstanding on such date shall be extended as a new series of Extended Term Loans (the “2019 Initial Extended Tranche A Term Loans”) on such date, in the principal amount with respect to each such Prior Initial Tranche A Term Lender as is set forth on Schedule 2 to Amendment No. 2 opposite such Lender’s name under the heading “2019 Extended Tranche A Term Loan Amount” and (y) certain Lenders shall make Incremental Tranche A Term Loans to the Borrower on the same terms and conditions as the 2019 Initial Extended Tranche A Term Loans (the “2019 Refinancing Extended Tranche A Term Loans”) for the purpose of refinancing a portion of the then-outstanding 2017 Initial Tranche A Term Loans (such 2019 Refinancing Extended Tranche A Term Loans, together with the 2019 Initial Extended Tranche A Term Loans, the “2019 Extended Tranche A Term Loans”), and each Lender making any 2019 Extended Tranche A Term Loans shall become a 2019 Extended Tranche A Term Lender with respect thereto; provided that all such 2019 Extended Tranche A Term Loans made by each of the 2019 Extended Tranche A Term Lenders on the Amendment No. 2 Effective Date shall, unless otherwise provided herein, consist entirely of 2019 Extended Tranche A Term Loans of the same Class; and (B) the Prior Initial Tranche A Term Loans of each Prior Initial Tranche A Term Lender that are not extended as 2019 Extended Tranche A Term Loans pursuant to clause (A) above shall be re-designated, but otherwise continued unchanged hereunder on the Amendment No. 2 Effective Date as the “2017 Initial Tranche A Term Loans”, and each such non-extending Prior Initial Tranche A Term Lender shall be re-designated as a 2017 Initial Tranche A Term Lender with respect to such Lender’s 2017 Initial Tranche A Term Loans.</w:t>
      </w:r>
    </w:p>
    <w:p>
      <w:pPr>
        <w:spacing w:after="0" w:line="200" w:lineRule="exact"/>
        <w:rPr>
          <w:rFonts w:ascii="Arial" w:cs="Arial" w:eastAsia="Arial" w:hAnsi="Arial"/>
          <w:sz w:val="19"/>
          <w:szCs w:val="19"/>
          <w:color w:val="0000FF"/>
        </w:rPr>
      </w:pPr>
    </w:p>
    <w:p>
      <w:pPr>
        <w:spacing w:after="0" w:line="335" w:lineRule="exact"/>
        <w:rPr>
          <w:rFonts w:ascii="Arial" w:cs="Arial" w:eastAsia="Arial" w:hAnsi="Arial"/>
          <w:sz w:val="19"/>
          <w:szCs w:val="19"/>
          <w:color w:val="0000FF"/>
        </w:rPr>
      </w:pPr>
    </w:p>
    <w:p>
      <w:pPr>
        <w:ind w:right="220" w:firstLine="1953"/>
        <w:spacing w:after="0" w:line="253" w:lineRule="auto"/>
        <w:tabs>
          <w:tab w:leader="none" w:pos="2323" w:val="left"/>
        </w:tabs>
        <w:numPr>
          <w:ilvl w:val="1"/>
          <w:numId w:val="65"/>
        </w:numPr>
        <w:rPr>
          <w:rFonts w:ascii="Arial" w:cs="Arial" w:eastAsia="Arial" w:hAnsi="Arial"/>
          <w:sz w:val="22"/>
          <w:szCs w:val="22"/>
          <w:color w:val="0000FF"/>
        </w:rPr>
      </w:pPr>
      <w:r>
        <w:rPr>
          <w:rFonts w:ascii="Arial" w:cs="Arial" w:eastAsia="Arial" w:hAnsi="Arial"/>
          <w:sz w:val="22"/>
          <w:szCs w:val="22"/>
          <w:color w:val="0000FF"/>
        </w:rPr>
        <w:t xml:space="preserve">The 2017 Initial Tranche A Term Loans and the 2019 Extended Tranche A Term Loans (A) shall be </w:t>
      </w:r>
      <w:r>
        <w:rPr>
          <w:rFonts w:ascii="Arial" w:cs="Arial" w:eastAsia="Arial" w:hAnsi="Arial"/>
          <w:sz w:val="22"/>
          <w:szCs w:val="22"/>
          <w:color w:val="000000"/>
        </w:rPr>
        <w:t>denominated in U.S. Dollars, (</w:t>
      </w:r>
      <w:r>
        <w:rPr>
          <w:rFonts w:ascii="Arial" w:cs="Arial" w:eastAsia="Arial" w:hAnsi="Arial"/>
          <w:sz w:val="22"/>
          <w:szCs w:val="22"/>
          <w:color w:val="FF0000"/>
          <w:strike w:val="1"/>
        </w:rPr>
        <w:t>iv</w:t>
      </w:r>
      <w:r>
        <w:rPr>
          <w:rFonts w:ascii="Arial" w:cs="Arial" w:eastAsia="Arial" w:hAnsi="Arial"/>
          <w:sz w:val="22"/>
          <w:szCs w:val="22"/>
          <w:color w:val="0000FF"/>
        </w:rPr>
        <w:t>B</w:t>
      </w:r>
      <w:r>
        <w:rPr>
          <w:rFonts w:ascii="Arial" w:cs="Arial" w:eastAsia="Arial" w:hAnsi="Arial"/>
          <w:sz w:val="22"/>
          <w:szCs w:val="22"/>
          <w:color w:val="000000"/>
        </w:rPr>
        <w:t>) may at the option of the Borrower be incurred and maintained as, and/or converted into, ABR Loans or Eurodollar</w:t>
      </w:r>
    </w:p>
    <w:p>
      <w:pPr>
        <w:spacing w:after="0" w:line="13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85</w:t>
      </w:r>
    </w:p>
    <w:p>
      <w:pPr>
        <w:sectPr>
          <w:pgSz w:w="11900" w:h="16838" w:orient="portrait"/>
          <w:cols w:equalWidth="0" w:num="1">
            <w:col w:w="11400"/>
          </w:cols>
          <w:pgMar w:left="240" w:top="294" w:right="259" w:bottom="1440" w:gutter="0" w:footer="0" w:header="0"/>
        </w:sectPr>
      </w:pPr>
    </w:p>
    <w:bookmarkStart w:id="106" w:name="page107"/>
    <w:bookmarkEnd w:id="106"/>
    <w:p>
      <w:pPr>
        <w:ind w:right="40"/>
        <w:spacing w:after="0" w:line="260" w:lineRule="auto"/>
        <w:rPr>
          <w:sz w:val="20"/>
          <w:szCs w:val="20"/>
          <w:color w:val="auto"/>
        </w:rPr>
      </w:pPr>
      <w:r>
        <w:rPr>
          <w:rFonts w:ascii="Arial" w:cs="Arial" w:eastAsia="Arial" w:hAnsi="Arial"/>
          <w:sz w:val="21"/>
          <w:szCs w:val="21"/>
          <w:color w:val="auto"/>
        </w:rPr>
        <w:t>Loans</w:t>
      </w:r>
      <w:r>
        <w:rPr>
          <w:rFonts w:ascii="Arial" w:cs="Arial" w:eastAsia="Arial" w:hAnsi="Arial"/>
          <w:sz w:val="21"/>
          <w:szCs w:val="21"/>
          <w:color w:val="FF0000"/>
          <w:strike w:val="1"/>
        </w:rPr>
        <w:t>;</w:t>
      </w:r>
      <w:r>
        <w:rPr>
          <w:rFonts w:ascii="Arial" w:cs="Arial" w:eastAsia="Arial" w:hAnsi="Arial"/>
          <w:sz w:val="21"/>
          <w:szCs w:val="21"/>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such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Loans or 2019 Extended</w:t>
      </w:r>
      <w:r>
        <w:rPr>
          <w:rFonts w:ascii="Arial" w:cs="Arial" w:eastAsia="Arial" w:hAnsi="Arial"/>
          <w:sz w:val="21"/>
          <w:szCs w:val="21"/>
          <w:color w:val="auto"/>
        </w:rPr>
        <w:t xml:space="preserve"> Tranche A Term Loans made by each of the </w:t>
      </w:r>
      <w:r>
        <w:rPr>
          <w:rFonts w:ascii="Arial" w:cs="Arial" w:eastAsia="Arial" w:hAnsi="Arial"/>
          <w:sz w:val="21"/>
          <w:szCs w:val="21"/>
          <w:color w:val="0000FF"/>
        </w:rPr>
        <w:t xml:space="preserve">2017 </w:t>
      </w:r>
      <w:r>
        <w:rPr>
          <w:rFonts w:ascii="Arial" w:cs="Arial" w:eastAsia="Arial" w:hAnsi="Arial"/>
          <w:sz w:val="21"/>
          <w:szCs w:val="21"/>
          <w:color w:val="000000"/>
        </w:rPr>
        <w:t>Initial Tranche A Term Lenders</w:t>
      </w:r>
      <w:r>
        <w:rPr>
          <w:rFonts w:ascii="Arial" w:cs="Arial" w:eastAsia="Arial" w:hAnsi="Arial"/>
          <w:sz w:val="21"/>
          <w:szCs w:val="21"/>
          <w:color w:val="0000FF"/>
        </w:rPr>
        <w:t xml:space="preserve"> or 2019 Extended Tranche A Term Lenders, as applicable, </w:t>
      </w:r>
      <w:r>
        <w:rPr>
          <w:rFonts w:ascii="Arial" w:cs="Arial" w:eastAsia="Arial" w:hAnsi="Arial"/>
          <w:sz w:val="21"/>
          <w:szCs w:val="21"/>
          <w:color w:val="000000"/>
        </w:rPr>
        <w:t>pursuant to the same Borrowing</w:t>
      </w:r>
      <w:r>
        <w:rPr>
          <w:rFonts w:ascii="Arial" w:cs="Arial" w:eastAsia="Arial" w:hAnsi="Arial"/>
          <w:sz w:val="21"/>
          <w:szCs w:val="21"/>
          <w:color w:val="0000FF"/>
        </w:rPr>
        <w:t xml:space="preserve"> </w:t>
      </w:r>
      <w:r>
        <w:rPr>
          <w:rFonts w:ascii="Arial" w:cs="Arial" w:eastAsia="Arial" w:hAnsi="Arial"/>
          <w:sz w:val="21"/>
          <w:szCs w:val="21"/>
          <w:color w:val="000000"/>
        </w:rPr>
        <w:t xml:space="preserve">shall, unless otherwise provided herein, consist entirely of </w:t>
      </w:r>
      <w:r>
        <w:rPr>
          <w:rFonts w:ascii="Arial" w:cs="Arial" w:eastAsia="Arial" w:hAnsi="Arial"/>
          <w:sz w:val="21"/>
          <w:szCs w:val="21"/>
          <w:color w:val="0000FF"/>
        </w:rPr>
        <w:t>2017</w:t>
      </w:r>
      <w:r>
        <w:rPr>
          <w:rFonts w:ascii="Arial" w:cs="Arial" w:eastAsia="Arial" w:hAnsi="Arial"/>
          <w:sz w:val="21"/>
          <w:szCs w:val="21"/>
          <w:color w:val="000000"/>
        </w:rPr>
        <w:t xml:space="preserve"> Initial Tranche A Term Loans </w:t>
      </w:r>
      <w:r>
        <w:rPr>
          <w:rFonts w:ascii="Arial" w:cs="Arial" w:eastAsia="Arial" w:hAnsi="Arial"/>
          <w:sz w:val="21"/>
          <w:szCs w:val="21"/>
          <w:color w:val="0000FF"/>
        </w:rPr>
        <w:t>or 2019 Extended Tranche A Term</w:t>
      </w:r>
      <w:r>
        <w:rPr>
          <w:rFonts w:ascii="Arial" w:cs="Arial" w:eastAsia="Arial" w:hAnsi="Arial"/>
          <w:sz w:val="21"/>
          <w:szCs w:val="21"/>
          <w:color w:val="000000"/>
        </w:rPr>
        <w:t xml:space="preserve"> </w:t>
      </w:r>
      <w:r>
        <w:rPr>
          <w:rFonts w:ascii="Arial" w:cs="Arial" w:eastAsia="Arial" w:hAnsi="Arial"/>
          <w:sz w:val="21"/>
          <w:szCs w:val="21"/>
          <w:color w:val="0000FF"/>
        </w:rPr>
        <w:t xml:space="preserve">Loans, as applicable, </w:t>
      </w:r>
      <w:r>
        <w:rPr>
          <w:rFonts w:ascii="Arial" w:cs="Arial" w:eastAsia="Arial" w:hAnsi="Arial"/>
          <w:sz w:val="21"/>
          <w:szCs w:val="21"/>
          <w:color w:val="000000"/>
        </w:rPr>
        <w:t>of the same Type and (</w:t>
      </w:r>
      <w:r>
        <w:rPr>
          <w:rFonts w:ascii="Arial" w:cs="Arial" w:eastAsia="Arial" w:hAnsi="Arial"/>
          <w:sz w:val="21"/>
          <w:szCs w:val="21"/>
          <w:color w:val="FF0000"/>
          <w:strike w:val="1"/>
        </w:rPr>
        <w:t>v</w:t>
      </w:r>
      <w:r>
        <w:rPr>
          <w:rFonts w:ascii="Arial" w:cs="Arial" w:eastAsia="Arial" w:hAnsi="Arial"/>
          <w:sz w:val="21"/>
          <w:szCs w:val="21"/>
          <w:color w:val="0000FF"/>
        </w:rPr>
        <w:t>C</w:t>
      </w:r>
      <w:r>
        <w:rPr>
          <w:rFonts w:ascii="Arial" w:cs="Arial" w:eastAsia="Arial" w:hAnsi="Arial"/>
          <w:sz w:val="21"/>
          <w:szCs w:val="21"/>
          <w:color w:val="000000"/>
        </w:rPr>
        <w:t>) may be repaid or prepaid in accordance with the provisions hereof, but once repaid</w:t>
      </w:r>
      <w:r>
        <w:rPr>
          <w:rFonts w:ascii="Arial" w:cs="Arial" w:eastAsia="Arial" w:hAnsi="Arial"/>
          <w:sz w:val="21"/>
          <w:szCs w:val="21"/>
          <w:color w:val="0000FF"/>
        </w:rPr>
        <w:t xml:space="preserve"> </w:t>
      </w:r>
      <w:r>
        <w:rPr>
          <w:rFonts w:ascii="Arial" w:cs="Arial" w:eastAsia="Arial" w:hAnsi="Arial"/>
          <w:sz w:val="21"/>
          <w:szCs w:val="21"/>
          <w:color w:val="000000"/>
        </w:rPr>
        <w:t xml:space="preserve">or prepaid may not be reborrowed. On the </w:t>
      </w:r>
      <w:r>
        <w:rPr>
          <w:rFonts w:ascii="Arial" w:cs="Arial" w:eastAsia="Arial" w:hAnsi="Arial"/>
          <w:sz w:val="21"/>
          <w:szCs w:val="21"/>
          <w:color w:val="0000FF"/>
        </w:rPr>
        <w:t>2017</w:t>
      </w:r>
      <w:r>
        <w:rPr>
          <w:rFonts w:ascii="Arial" w:cs="Arial" w:eastAsia="Arial" w:hAnsi="Arial"/>
          <w:sz w:val="21"/>
          <w:szCs w:val="21"/>
          <w:color w:val="000000"/>
        </w:rPr>
        <w:t xml:space="preserve"> Initial Tranche A Term Loan Maturity Date, all outstanding </w:t>
      </w:r>
      <w:r>
        <w:rPr>
          <w:rFonts w:ascii="Arial" w:cs="Arial" w:eastAsia="Arial" w:hAnsi="Arial"/>
          <w:sz w:val="21"/>
          <w:szCs w:val="21"/>
          <w:color w:val="0000FF"/>
        </w:rPr>
        <w:t>2017</w:t>
      </w:r>
      <w:r>
        <w:rPr>
          <w:rFonts w:ascii="Arial" w:cs="Arial" w:eastAsia="Arial" w:hAnsi="Arial"/>
          <w:sz w:val="21"/>
          <w:szCs w:val="21"/>
          <w:color w:val="000000"/>
        </w:rPr>
        <w:t xml:space="preserve"> Initial Tranche A Term Loans shall be repaid in full. </w:t>
      </w:r>
      <w:r>
        <w:rPr>
          <w:rFonts w:ascii="Arial" w:cs="Arial" w:eastAsia="Arial" w:hAnsi="Arial"/>
          <w:sz w:val="21"/>
          <w:szCs w:val="21"/>
          <w:color w:val="0000FF"/>
        </w:rPr>
        <w:t>On the 2019 Extended Tranche A Term Loan Maturity Date, all outstanding 2019 Extended</w:t>
      </w:r>
      <w:r>
        <w:rPr>
          <w:rFonts w:ascii="Arial" w:cs="Arial" w:eastAsia="Arial" w:hAnsi="Arial"/>
          <w:sz w:val="21"/>
          <w:szCs w:val="21"/>
          <w:color w:val="000000"/>
        </w:rPr>
        <w:t xml:space="preserve"> </w:t>
      </w:r>
      <w:r>
        <w:rPr>
          <w:rFonts w:ascii="Arial" w:cs="Arial" w:eastAsia="Arial" w:hAnsi="Arial"/>
          <w:sz w:val="21"/>
          <w:szCs w:val="21"/>
          <w:color w:val="0000FF"/>
        </w:rPr>
        <w:t>Tranche A Term Loans shall be repaid in full.</w:t>
      </w:r>
    </w:p>
    <w:p>
      <w:pPr>
        <w:spacing w:after="0" w:line="181" w:lineRule="exact"/>
        <w:rPr>
          <w:sz w:val="20"/>
          <w:szCs w:val="20"/>
          <w:color w:val="auto"/>
        </w:rPr>
      </w:pPr>
    </w:p>
    <w:p>
      <w:pPr>
        <w:ind w:firstLine="1305"/>
        <w:spacing w:after="0" w:line="258" w:lineRule="auto"/>
        <w:tabs>
          <w:tab w:leader="none" w:pos="2251" w:val="left"/>
        </w:tabs>
        <w:numPr>
          <w:ilvl w:val="0"/>
          <w:numId w:val="66"/>
        </w:numPr>
        <w:rPr>
          <w:rFonts w:ascii="Arial" w:cs="Arial" w:eastAsia="Arial" w:hAnsi="Arial"/>
          <w:sz w:val="21"/>
          <w:szCs w:val="21"/>
          <w:color w:val="auto"/>
        </w:rPr>
      </w:pPr>
      <w:r>
        <w:rPr>
          <w:rFonts w:ascii="Arial" w:cs="Arial" w:eastAsia="Arial" w:hAnsi="Arial"/>
          <w:sz w:val="21"/>
          <w:szCs w:val="21"/>
          <w:color w:val="auto"/>
        </w:rPr>
        <w:t>(i) Subject to and upon the terms and conditions herein set forth, each Initial Tranche B Term Lender severally agrees to make a loan or loans (each, an “</w:t>
      </w:r>
      <w:r>
        <w:rPr>
          <w:rFonts w:ascii="Arial" w:cs="Arial" w:eastAsia="Arial" w:hAnsi="Arial"/>
          <w:sz w:val="21"/>
          <w:szCs w:val="21"/>
          <w:u w:val="single" w:color="auto"/>
          <w:color w:val="auto"/>
        </w:rPr>
        <w:t>Initial Tranche B Term Loan</w:t>
      </w:r>
      <w:r>
        <w:rPr>
          <w:rFonts w:ascii="Arial" w:cs="Arial" w:eastAsia="Arial" w:hAnsi="Arial"/>
          <w:sz w:val="21"/>
          <w:szCs w:val="21"/>
          <w:color w:val="auto"/>
        </w:rPr>
        <w:t xml:space="preserve">”) to the Borrower, which Initial Tranche B Term Loans (i) shall not exceed, for any such Lender, the Initial Tranche B Term Loan Commitment of such Initial Tranche B Term Lender, (ii) shall not exceed, in the aggregate, the Total Initial Tranche B Term Loan Commitment, (iii) shall be made on the Closing Date and shall be denominated in U.S. Dollars, (iv) may at the option of the Borrower be incurred and maintained as, and/or converted into, ABR Loans or Eurodollar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such Initial Tranche B Term Loans made by each of the Initial Tranche B Term Lenders pursuant to the same Borrowing shall, unless otherwise provided herein, consist entirely of Initial Tranche B Term Loans of the same Type and (v) may be repaid or prepaid in accordance with the provisions hereof, but once repaid or prepaid may not be reborrowed. On the Initial Tranche B Term Loan Maturity Date, all outstanding Initial Tranche B Term Loans shall be repaid in full.</w:t>
      </w:r>
    </w:p>
    <w:p>
      <w:pPr>
        <w:spacing w:after="0" w:line="186" w:lineRule="exact"/>
        <w:rPr>
          <w:sz w:val="20"/>
          <w:szCs w:val="20"/>
          <w:color w:val="auto"/>
        </w:rPr>
      </w:pPr>
    </w:p>
    <w:p>
      <w:pPr>
        <w:ind w:firstLine="1305"/>
        <w:spacing w:after="0" w:line="288" w:lineRule="auto"/>
        <w:tabs>
          <w:tab w:leader="none" w:pos="1777"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Subject to and upon the terms and conditions herein set forth and in Amendment No. 1, each 2013 Incremental Term Lender severally agrees to make a 2013 Incremental Tranche B Term Loan to the Borrower, which 2013 Incremental Tranche B Term Loan (i) shall not exceed, for any such Lender, the Incremental Term Loan Commitment of such 2013 Incremental Term Lender, (ii) shall not exceed, in the aggregate, the Total Incremental Term Loan Commitment, (iii) shall be made on the Incremental Term Loan Effective Date and shall be denominated in U.S. Dollars, (iv) may at the option of the Borrower be incurred and maintained as, and/or converted into, ABR Loans or Eurodollar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2013 Incremental Tranche B Term Loans made by each of the 2013 Incremental Term Lenders pursuant to the same Borrowing shall, unless otherwise provided herein, consist entirely of 2013 Incremental Tranche B Term Loans of the same Class and (v) may be repaid or prepaid in accordance with the provisions hereof, but once repaid or prepaid may not be reborrowed. On the 2013 Incremental Tranche B Term Loan Maturity Date, all outstanding 2013 Incremental Tranche B Term Loans shall be repaid in full.</w:t>
      </w:r>
    </w:p>
    <w:p>
      <w:pPr>
        <w:spacing w:after="0" w:line="160" w:lineRule="exact"/>
        <w:rPr>
          <w:sz w:val="20"/>
          <w:szCs w:val="20"/>
          <w:color w:val="auto"/>
        </w:rPr>
      </w:pPr>
    </w:p>
    <w:p>
      <w:pPr>
        <w:ind w:right="20" w:firstLine="1305"/>
        <w:spacing w:after="0" w:line="294" w:lineRule="auto"/>
        <w:tabs>
          <w:tab w:leader="none" w:pos="1752" w:val="left"/>
        </w:tabs>
        <w:numPr>
          <w:ilvl w:val="0"/>
          <w:numId w:val="68"/>
        </w:numPr>
        <w:rPr>
          <w:rFonts w:ascii="Arial" w:cs="Arial" w:eastAsia="Arial" w:hAnsi="Arial"/>
          <w:sz w:val="19"/>
          <w:szCs w:val="19"/>
          <w:color w:val="auto"/>
        </w:rPr>
      </w:pPr>
      <w:r>
        <w:rPr>
          <w:rFonts w:ascii="Arial" w:cs="Arial" w:eastAsia="Arial" w:hAnsi="Arial"/>
          <w:sz w:val="19"/>
          <w:szCs w:val="19"/>
          <w:color w:val="auto"/>
        </w:rPr>
        <w:t>Subject to and upon the terms and conditions herein set forth, each Revolving Credit Lender severally agrees to make a loan or loans (each, a “</w:t>
      </w:r>
      <w:r>
        <w:rPr>
          <w:rFonts w:ascii="Arial" w:cs="Arial" w:eastAsia="Arial" w:hAnsi="Arial"/>
          <w:sz w:val="19"/>
          <w:szCs w:val="19"/>
          <w:u w:val="single" w:color="auto"/>
          <w:color w:val="auto"/>
        </w:rPr>
        <w:t>Revolving Credit Loan</w:t>
      </w:r>
      <w:r>
        <w:rPr>
          <w:rFonts w:ascii="Arial" w:cs="Arial" w:eastAsia="Arial" w:hAnsi="Arial"/>
          <w:sz w:val="19"/>
          <w:szCs w:val="19"/>
          <w:color w:val="auto"/>
        </w:rPr>
        <w:t>”) to the Borrower in U.S. Dollars, which Revolving Credit Loans (i) shall not exceed, for any such Lender, the Revolving Credit Commitment of such Lender, (ii) shall not, after giving effect thereto and to the application of the proceeds thereof, result in such Lender’s Revolving Credit Exposure at such time exceeding such Lender’s Revolving Credit Commitment at such time, (iii) shall not, after giving effect thereto and to the application of the proceeds thereof, at any time result in the aggregate amount of all Lenders’ Revolving Credit Exposures exceeding</w:t>
      </w:r>
    </w:p>
    <w:p>
      <w:pPr>
        <w:spacing w:after="0" w:line="4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86</w:t>
      </w:r>
    </w:p>
    <w:p>
      <w:pPr>
        <w:sectPr>
          <w:pgSz w:w="11900" w:h="16838" w:orient="portrait"/>
          <w:cols w:equalWidth="0" w:num="1">
            <w:col w:w="11420"/>
          </w:cols>
          <w:pgMar w:left="240" w:top="240" w:right="239" w:bottom="1440" w:gutter="0" w:footer="0" w:header="0"/>
        </w:sectPr>
      </w:pPr>
    </w:p>
    <w:bookmarkStart w:id="107" w:name="page108"/>
    <w:bookmarkEnd w:id="107"/>
    <w:p>
      <w:pPr>
        <w:ind w:right="60"/>
        <w:spacing w:after="0" w:line="297" w:lineRule="auto"/>
        <w:rPr>
          <w:sz w:val="20"/>
          <w:szCs w:val="20"/>
          <w:color w:val="auto"/>
        </w:rPr>
      </w:pPr>
      <w:r>
        <w:rPr>
          <w:rFonts w:ascii="Arial" w:cs="Arial" w:eastAsia="Arial" w:hAnsi="Arial"/>
          <w:sz w:val="19"/>
          <w:szCs w:val="19"/>
          <w:color w:val="auto"/>
        </w:rPr>
        <w:t xml:space="preserve">thereto (except that Mandatory Borrowings shall be made in the amounts required by Section 2.1(f) and Revolving Credit Loans to reimburse the Letter of Credit Issuer with respect to any Unpaid Drawing shall be made in the amounts required by Section 3.3 or Section 3.4, as applicable). More than one Borrowing may be incurred on any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no time shall there be outstanding more than 20 Borrowings of Eurodollar Loans under this Agreement. For purposes of the foregoing, Borrowings having different Interest Periods, regardless of whether they commence on the same date, shall be considered separate Borrowings.</w:t>
      </w:r>
    </w:p>
    <w:p>
      <w:pPr>
        <w:spacing w:after="0" w:line="93" w:lineRule="exact"/>
        <w:rPr>
          <w:sz w:val="20"/>
          <w:szCs w:val="20"/>
          <w:color w:val="auto"/>
        </w:rPr>
      </w:pPr>
    </w:p>
    <w:p>
      <w:pPr>
        <w:ind w:firstLine="1945"/>
        <w:spacing w:after="0" w:line="28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(a) The Borrower shall give the Administrative Agent at the Administrative Agent’s Office (i) prior to 1:00 p.m. (New York City time) at least three Business Days’ prior written notice (or telephonic notice promptly confirmed in writing) of the Borrowing of Initial Term Loans or any Borrowing of Incremental Term Loans (unless otherwise set forth in the applicable Incremental Agreement), as the case may be, if all or any of such Term Loans are to be initially Eurodollar Loans, and (ii) prior written notice (or telephonic notice promptly confirmed in writing) prior to 10:00 a.m. (New York City time) on the date of the Borrowing of Initial Term Loans or any Borrowing of Incremental Term Loans, as the case may be, if all such Term Loans are to be ABR Loans. Such notice (together with each notice of a Borrowing of Revolving Credit Loans pursuant to Section 2.3(b) and each notice of a Borrowing of Swingline Loans pursuant to Section 2.3(d), a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shall specify substantially in the form of Exhibit D (i) the aggregate principal amount of the Initial Term Loans or Incremental Term Loans, as the case may be, to be made, (ii) the date of the Borrowing (which shall be (x) in the case of Initial Term Loans, the Closing Date and (y) in the case of Incremental Term Loans, the applicable Incremental Facility Closing Date in respect of such Class), (iii) whether the Initial Term Loans or Incremental Term Loans, as the case may be, shall consist of ABR Loans and/or Eurodollar Loans and, if the Initial Term Loans or Incremental Term Loans, as the case may be, are to include Eurodollar Loans, the Interest Period to be initially applicable thereto and (iv) whether the Initial Term Loans are being borrowed under the </w:t>
      </w:r>
      <w:r>
        <w:rPr>
          <w:rFonts w:ascii="Arial" w:cs="Arial" w:eastAsia="Arial" w:hAnsi="Arial"/>
          <w:sz w:val="19"/>
          <w:szCs w:val="19"/>
          <w:color w:val="0000FF"/>
        </w:rPr>
        <w:t>2017</w:t>
      </w:r>
      <w:r>
        <w:rPr>
          <w:rFonts w:ascii="Arial" w:cs="Arial" w:eastAsia="Arial" w:hAnsi="Arial"/>
          <w:sz w:val="19"/>
          <w:szCs w:val="19"/>
          <w:color w:val="auto"/>
        </w:rPr>
        <w:t xml:space="preserve"> Initial Tranche A Term Loan Facility or Initial Tranche B Term Loan Facility. The Administrative Agent shall promptly give each Lender written notice (or telephonic notice promptly confirmed in writing) of each proposed Borrowing of Term Loans, of such Lender’s proportionate share thereof and of the other matters covered by the related Notice of Borrowing.</w:t>
      </w:r>
    </w:p>
    <w:p>
      <w:pPr>
        <w:spacing w:after="0" w:line="274" w:lineRule="exact"/>
        <w:rPr>
          <w:sz w:val="20"/>
          <w:szCs w:val="20"/>
          <w:color w:val="auto"/>
        </w:rPr>
      </w:pPr>
    </w:p>
    <w:p>
      <w:pPr>
        <w:ind w:right="40" w:firstLine="1305"/>
        <w:spacing w:after="0" w:line="290" w:lineRule="auto"/>
        <w:tabs>
          <w:tab w:leader="none" w:pos="1728" w:val="left"/>
        </w:tabs>
        <w:numPr>
          <w:ilvl w:val="0"/>
          <w:numId w:val="69"/>
        </w:numPr>
        <w:rPr>
          <w:rFonts w:ascii="Arial" w:cs="Arial" w:eastAsia="Arial" w:hAnsi="Arial"/>
          <w:sz w:val="19"/>
          <w:szCs w:val="19"/>
          <w:color w:val="auto"/>
        </w:rPr>
      </w:pPr>
      <w:r>
        <w:rPr>
          <w:rFonts w:ascii="Arial" w:cs="Arial" w:eastAsia="Arial" w:hAnsi="Arial"/>
          <w:sz w:val="19"/>
          <w:szCs w:val="19"/>
          <w:color w:val="auto"/>
        </w:rPr>
        <w:t>Whenever the Borrower desires to incur Revolving Credit Loans hereunder (other than Mandatory Borrowings or borrowings to repay Unpaid Drawings under Letters of Credit), it shall give the Administrative Agent at the Administrative Agent’s Office, (i) prior to 1:00 p.m. (New York City time) at least three Business Days’ prior written notice (or telephonic notice promptly confirmed in writing) of each Borrowing of Revolving Credit Loans that are to be Eurodollar Loans, and (ii) prior to 1:00 p.m. (New York City time) at least one Business Day’s prior written notice (or telephonic notice promptly confirmed in writing) of each Borrowing of Revolving Credit Loans that are to be ABR Loans. Each such Notice of Borrowing, except as otherwise expressly provided in Section 2.10, shall specify (i) the aggregate principal amount of the Revolving Credit Loans to be made pursuant to such Borrowing, (ii) the date of Borrowing (which shall be a Business Day) and (iii) whether the respective Borrowing shall consist of ABR Loans or Eurodollar Loans and, if Eurodollar Loans, the Interest Period to be initially applicable thereto. The Administrative Agent shall promptly give each Lender written notice (or telephonic notice promptly confirmed in writing) of each</w:t>
      </w:r>
    </w:p>
    <w:p>
      <w:pPr>
        <w:spacing w:after="0" w:line="10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89</w:t>
      </w:r>
    </w:p>
    <w:p>
      <w:pPr>
        <w:sectPr>
          <w:pgSz w:w="11900" w:h="16838" w:orient="portrait"/>
          <w:cols w:equalWidth="0" w:num="1">
            <w:col w:w="11400"/>
          </w:cols>
          <w:pgMar w:left="240" w:top="132" w:right="259" w:bottom="1440" w:gutter="0" w:footer="0" w:header="0"/>
        </w:sectPr>
      </w:pPr>
    </w:p>
    <w:bookmarkStart w:id="108" w:name="page109"/>
    <w:bookmarkEnd w:id="108"/>
    <w:p>
      <w:pPr>
        <w:ind w:right="20"/>
        <w:spacing w:after="0" w:line="250" w:lineRule="auto"/>
        <w:rPr>
          <w:sz w:val="20"/>
          <w:szCs w:val="20"/>
          <w:color w:val="auto"/>
        </w:rPr>
      </w:pPr>
      <w:r>
        <w:rPr>
          <w:rFonts w:ascii="Arial" w:cs="Arial" w:eastAsia="Arial" w:hAnsi="Arial"/>
          <w:sz w:val="22"/>
          <w:szCs w:val="22"/>
          <w:color w:val="auto"/>
        </w:rPr>
        <w:t>Issuer, as the case may be, severally agrees to repay to the Administrative Agent forthwith on demand the amount so distributed to such Lender or the Letter of Credit Issuer, in immediately available funds with interest thereon, for each day from and including the date such amount is distributed to it to but excluding the date of payment to the Administrative Agent, at the Federal Funds Effective Rate.</w:t>
      </w:r>
    </w:p>
    <w:p>
      <w:pPr>
        <w:spacing w:after="0" w:line="188"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395" w:lineRule="exact"/>
        <w:rPr>
          <w:sz w:val="20"/>
          <w:szCs w:val="20"/>
          <w:color w:val="auto"/>
        </w:rPr>
      </w:pPr>
    </w:p>
    <w:p>
      <w:pPr>
        <w:ind w:left="2200" w:hanging="895"/>
        <w:spacing w:after="0"/>
        <w:tabs>
          <w:tab w:leader="none" w:pos="2200" w:val="left"/>
        </w:tabs>
        <w:numPr>
          <w:ilvl w:val="1"/>
          <w:numId w:val="70"/>
        </w:numPr>
        <w:rPr>
          <w:rFonts w:ascii="Arial" w:cs="Arial" w:eastAsia="Arial" w:hAnsi="Arial"/>
          <w:sz w:val="19"/>
          <w:szCs w:val="19"/>
          <w:color w:val="auto"/>
        </w:rPr>
      </w:pPr>
      <w:r>
        <w:rPr>
          <w:rFonts w:ascii="Arial" w:cs="Arial" w:eastAsia="Arial" w:hAnsi="Arial"/>
          <w:sz w:val="19"/>
          <w:szCs w:val="19"/>
          <w:color w:val="FF0000"/>
          <w:strike w:val="1"/>
        </w:rPr>
        <w:t>(a)</w:t>
      </w:r>
      <w:r>
        <w:rPr>
          <w:rFonts w:ascii="Arial" w:cs="Arial" w:eastAsia="Arial" w:hAnsi="Arial"/>
          <w:sz w:val="19"/>
          <w:szCs w:val="19"/>
          <w:color w:val="000000"/>
        </w:rPr>
        <w:t>The Borrower agrees to repay to the Administrative Agent, for the benefit of the applicable Lenders,</w:t>
      </w:r>
    </w:p>
    <w:p>
      <w:pPr>
        <w:spacing w:after="0" w:line="56" w:lineRule="exact"/>
        <w:rPr>
          <w:rFonts w:ascii="Arial" w:cs="Arial" w:eastAsia="Arial" w:hAnsi="Arial"/>
          <w:sz w:val="19"/>
          <w:szCs w:val="19"/>
          <w:color w:val="auto"/>
        </w:rPr>
      </w:pPr>
    </w:p>
    <w:p>
      <w:pPr>
        <w:ind w:firstLine="8"/>
        <w:spacing w:after="0" w:line="256" w:lineRule="auto"/>
        <w:tabs>
          <w:tab w:leader="none" w:pos="258"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on the </w:t>
      </w:r>
      <w:r>
        <w:rPr>
          <w:rFonts w:ascii="Arial" w:cs="Arial" w:eastAsia="Arial" w:hAnsi="Arial"/>
          <w:sz w:val="21"/>
          <w:szCs w:val="21"/>
          <w:color w:val="0000FF"/>
        </w:rPr>
        <w:t>2017</w:t>
      </w:r>
      <w:r>
        <w:rPr>
          <w:rFonts w:ascii="Arial" w:cs="Arial" w:eastAsia="Arial" w:hAnsi="Arial"/>
          <w:sz w:val="21"/>
          <w:szCs w:val="21"/>
          <w:color w:val="auto"/>
        </w:rPr>
        <w:t xml:space="preserve"> Initial Tranche A Term Loan Maturity Date, all then outstanding </w:t>
      </w:r>
      <w:r>
        <w:rPr>
          <w:rFonts w:ascii="Arial" w:cs="Arial" w:eastAsia="Arial" w:hAnsi="Arial"/>
          <w:sz w:val="21"/>
          <w:szCs w:val="21"/>
          <w:color w:val="0000FF"/>
        </w:rPr>
        <w:t>2017</w:t>
      </w:r>
      <w:r>
        <w:rPr>
          <w:rFonts w:ascii="Arial" w:cs="Arial" w:eastAsia="Arial" w:hAnsi="Arial"/>
          <w:sz w:val="21"/>
          <w:szCs w:val="21"/>
          <w:color w:val="auto"/>
        </w:rPr>
        <w:t xml:space="preserve"> Initial Tranche A Term Loans, (ii</w:t>
      </w:r>
      <w:r>
        <w:rPr>
          <w:rFonts w:ascii="Arial" w:cs="Arial" w:eastAsia="Arial" w:hAnsi="Arial"/>
          <w:sz w:val="21"/>
          <w:szCs w:val="21"/>
          <w:color w:val="0000FF"/>
        </w:rPr>
        <w:t>) on the</w:t>
      </w:r>
      <w:r>
        <w:rPr>
          <w:rFonts w:ascii="Arial" w:cs="Arial" w:eastAsia="Arial" w:hAnsi="Arial"/>
          <w:sz w:val="21"/>
          <w:szCs w:val="21"/>
          <w:color w:val="auto"/>
        </w:rPr>
        <w:t xml:space="preserve"> </w:t>
      </w:r>
      <w:r>
        <w:rPr>
          <w:rFonts w:ascii="Arial" w:cs="Arial" w:eastAsia="Arial" w:hAnsi="Arial"/>
          <w:sz w:val="21"/>
          <w:szCs w:val="21"/>
          <w:color w:val="0000FF"/>
        </w:rPr>
        <w:t>2019 Extended Tranche A Term Loan Maturity Date, all then outstanding 2019 Extended Tranche A Term Loans, (iii</w:t>
      </w:r>
      <w:r>
        <w:rPr>
          <w:rFonts w:ascii="Arial" w:cs="Arial" w:eastAsia="Arial" w:hAnsi="Arial"/>
          <w:sz w:val="21"/>
          <w:szCs w:val="21"/>
          <w:color w:val="000000"/>
        </w:rPr>
        <w:t>) on the Initial</w:t>
      </w:r>
      <w:r>
        <w:rPr>
          <w:rFonts w:ascii="Arial" w:cs="Arial" w:eastAsia="Arial" w:hAnsi="Arial"/>
          <w:sz w:val="21"/>
          <w:szCs w:val="21"/>
          <w:color w:val="0000FF"/>
        </w:rPr>
        <w:t xml:space="preserve"> </w:t>
      </w:r>
      <w:r>
        <w:rPr>
          <w:rFonts w:ascii="Arial" w:cs="Arial" w:eastAsia="Arial" w:hAnsi="Arial"/>
          <w:sz w:val="21"/>
          <w:szCs w:val="21"/>
          <w:color w:val="000000"/>
        </w:rPr>
        <w:t>Tranche B Term Loan Maturity Date, all then outstanding Initial Tranche B Term Loans, (</w:t>
      </w:r>
      <w:r>
        <w:rPr>
          <w:rFonts w:ascii="Arial" w:cs="Arial" w:eastAsia="Arial" w:hAnsi="Arial"/>
          <w:sz w:val="21"/>
          <w:szCs w:val="21"/>
          <w:color w:val="FF0000"/>
          <w:strike w:val="1"/>
        </w:rPr>
        <w:t>iii</w:t>
      </w:r>
      <w:r>
        <w:rPr>
          <w:rFonts w:ascii="Arial" w:cs="Arial" w:eastAsia="Arial" w:hAnsi="Arial"/>
          <w:sz w:val="21"/>
          <w:szCs w:val="21"/>
          <w:color w:val="0000FF"/>
        </w:rPr>
        <w:t>iv</w:t>
      </w:r>
      <w:r>
        <w:rPr>
          <w:rFonts w:ascii="Arial" w:cs="Arial" w:eastAsia="Arial" w:hAnsi="Arial"/>
          <w:sz w:val="21"/>
          <w:szCs w:val="21"/>
          <w:color w:val="000000"/>
        </w:rPr>
        <w:t>) on the relevant Incremental Term Loan Maturity Date for any Class of Incremental Term Loans, any then outstanding Incremental Term Loans of such Class, (</w:t>
      </w:r>
      <w:r>
        <w:rPr>
          <w:rFonts w:ascii="Arial" w:cs="Arial" w:eastAsia="Arial" w:hAnsi="Arial"/>
          <w:sz w:val="21"/>
          <w:szCs w:val="21"/>
          <w:color w:val="FF0000"/>
          <w:strike w:val="1"/>
        </w:rPr>
        <w:t>iv</w:t>
      </w:r>
      <w:r>
        <w:rPr>
          <w:rFonts w:ascii="Arial" w:cs="Arial" w:eastAsia="Arial" w:hAnsi="Arial"/>
          <w:sz w:val="21"/>
          <w:szCs w:val="21"/>
          <w:color w:val="0000FF"/>
        </w:rPr>
        <w:t>v</w:t>
      </w:r>
      <w:r>
        <w:rPr>
          <w:rFonts w:ascii="Arial" w:cs="Arial" w:eastAsia="Arial" w:hAnsi="Arial"/>
          <w:sz w:val="21"/>
          <w:szCs w:val="21"/>
          <w:color w:val="000000"/>
        </w:rPr>
        <w:t>) on the Revolving Credit Maturity Date, all then outstanding Revolving Credit Loans, (</w:t>
      </w:r>
      <w:r>
        <w:rPr>
          <w:rFonts w:ascii="Arial" w:cs="Arial" w:eastAsia="Arial" w:hAnsi="Arial"/>
          <w:sz w:val="21"/>
          <w:szCs w:val="21"/>
          <w:color w:val="FF0000"/>
          <w:strike w:val="1"/>
        </w:rPr>
        <w:t>v</w:t>
      </w:r>
      <w:r>
        <w:rPr>
          <w:rFonts w:ascii="Arial" w:cs="Arial" w:eastAsia="Arial" w:hAnsi="Arial"/>
          <w:sz w:val="21"/>
          <w:szCs w:val="21"/>
          <w:color w:val="0000FF"/>
        </w:rPr>
        <w:t>vi</w:t>
      </w:r>
      <w:r>
        <w:rPr>
          <w:rFonts w:ascii="Arial" w:cs="Arial" w:eastAsia="Arial" w:hAnsi="Arial"/>
          <w:sz w:val="21"/>
          <w:szCs w:val="21"/>
          <w:color w:val="000000"/>
        </w:rPr>
        <w:t>) on the relevant maturity date for any Class of Additional/Replacement Revolving Credit Commitments, all then outstanding Additional/Replacement Revolving Credit Loans of such Class, (</w:t>
      </w:r>
      <w:r>
        <w:rPr>
          <w:rFonts w:ascii="Arial" w:cs="Arial" w:eastAsia="Arial" w:hAnsi="Arial"/>
          <w:sz w:val="21"/>
          <w:szCs w:val="21"/>
          <w:color w:val="FF0000"/>
          <w:strike w:val="1"/>
        </w:rPr>
        <w:t>vi</w:t>
      </w:r>
      <w:r>
        <w:rPr>
          <w:rFonts w:ascii="Arial" w:cs="Arial" w:eastAsia="Arial" w:hAnsi="Arial"/>
          <w:sz w:val="21"/>
          <w:szCs w:val="21"/>
          <w:color w:val="0000FF"/>
        </w:rPr>
        <w:t>vii</w:t>
      </w:r>
      <w:r>
        <w:rPr>
          <w:rFonts w:ascii="Arial" w:cs="Arial" w:eastAsia="Arial" w:hAnsi="Arial"/>
          <w:sz w:val="21"/>
          <w:szCs w:val="21"/>
          <w:color w:val="000000"/>
        </w:rPr>
        <w:t>) on the relevant maturity date for any Class of Extended Term Loans, all then outstanding Extended Term Loans of such Class, (</w:t>
      </w:r>
      <w:r>
        <w:rPr>
          <w:rFonts w:ascii="Arial" w:cs="Arial" w:eastAsia="Arial" w:hAnsi="Arial"/>
          <w:sz w:val="21"/>
          <w:szCs w:val="21"/>
          <w:color w:val="FF0000"/>
          <w:strike w:val="1"/>
        </w:rPr>
        <w:t>vii</w:t>
      </w:r>
      <w:r>
        <w:rPr>
          <w:rFonts w:ascii="Arial" w:cs="Arial" w:eastAsia="Arial" w:hAnsi="Arial"/>
          <w:sz w:val="21"/>
          <w:szCs w:val="21"/>
          <w:color w:val="0000FF"/>
        </w:rPr>
        <w:t>viii</w:t>
      </w:r>
      <w:r>
        <w:rPr>
          <w:rFonts w:ascii="Arial" w:cs="Arial" w:eastAsia="Arial" w:hAnsi="Arial"/>
          <w:sz w:val="21"/>
          <w:szCs w:val="21"/>
          <w:color w:val="000000"/>
        </w:rPr>
        <w:t>) on the relevant maturity date for any Class of Extended Revolving Credit Commitments, all then outstanding Extended Revolving Credit Loans of such Class and (</w:t>
      </w:r>
      <w:r>
        <w:rPr>
          <w:rFonts w:ascii="Arial" w:cs="Arial" w:eastAsia="Arial" w:hAnsi="Arial"/>
          <w:sz w:val="21"/>
          <w:szCs w:val="21"/>
          <w:color w:val="FF0000"/>
          <w:strike w:val="1"/>
        </w:rPr>
        <w:t>viii</w:t>
      </w:r>
      <w:r>
        <w:rPr>
          <w:rFonts w:ascii="Arial" w:cs="Arial" w:eastAsia="Arial" w:hAnsi="Arial"/>
          <w:sz w:val="21"/>
          <w:szCs w:val="21"/>
          <w:color w:val="0000FF"/>
        </w:rPr>
        <w:t>ix</w:t>
      </w:r>
      <w:r>
        <w:rPr>
          <w:rFonts w:ascii="Arial" w:cs="Arial" w:eastAsia="Arial" w:hAnsi="Arial"/>
          <w:sz w:val="21"/>
          <w:szCs w:val="21"/>
          <w:color w:val="000000"/>
        </w:rPr>
        <w:t>) on the Swingline Maturity Date, all then outstanding Swingline Loans.</w:t>
      </w:r>
    </w:p>
    <w:p>
      <w:pPr>
        <w:spacing w:after="0" w:line="296" w:lineRule="exact"/>
        <w:rPr>
          <w:rFonts w:ascii="Arial" w:cs="Arial" w:eastAsia="Arial" w:hAnsi="Arial"/>
          <w:sz w:val="21"/>
          <w:szCs w:val="21"/>
          <w:color w:val="auto"/>
        </w:rPr>
      </w:pPr>
    </w:p>
    <w:p>
      <w:pPr>
        <w:ind w:right="20" w:firstLine="1305"/>
        <w:spacing w:after="0" w:line="260" w:lineRule="auto"/>
        <w:tabs>
          <w:tab w:leader="none" w:pos="2197"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The Borrower shall repay to the Administrative Agent, for the benefit of the </w:t>
      </w:r>
      <w:r>
        <w:rPr>
          <w:rFonts w:ascii="Arial" w:cs="Arial" w:eastAsia="Arial" w:hAnsi="Arial"/>
          <w:sz w:val="21"/>
          <w:szCs w:val="21"/>
          <w:color w:val="0000FF"/>
        </w:rPr>
        <w:t>2017</w:t>
      </w:r>
      <w:r>
        <w:rPr>
          <w:rFonts w:ascii="Arial" w:cs="Arial" w:eastAsia="Arial" w:hAnsi="Arial"/>
          <w:sz w:val="21"/>
          <w:szCs w:val="21"/>
          <w:color w:val="auto"/>
        </w:rPr>
        <w:t xml:space="preserve"> Initial Tranche A Term Lenders, on each date set forth below (each, with respect to the </w:t>
      </w:r>
      <w:r>
        <w:rPr>
          <w:rFonts w:ascii="Arial" w:cs="Arial" w:eastAsia="Arial" w:hAnsi="Arial"/>
          <w:sz w:val="21"/>
          <w:szCs w:val="21"/>
          <w:color w:val="0000FF"/>
        </w:rPr>
        <w:t>2017</w:t>
      </w:r>
      <w:r>
        <w:rPr>
          <w:rFonts w:ascii="Arial" w:cs="Arial" w:eastAsia="Arial" w:hAnsi="Arial"/>
          <w:sz w:val="21"/>
          <w:szCs w:val="21"/>
          <w:color w:val="auto"/>
        </w:rPr>
        <w:t xml:space="preserve"> Initial Tranche A Term Lenders, </w:t>
      </w:r>
      <w:r>
        <w:rPr>
          <w:rFonts w:ascii="Arial" w:cs="Arial" w:eastAsia="Arial" w:hAnsi="Arial"/>
          <w:sz w:val="21"/>
          <w:szCs w:val="21"/>
          <w:color w:val="FF0000"/>
          <w:strike w:val="1"/>
        </w:rPr>
        <w:t>an</w:t>
      </w:r>
      <w:r>
        <w:rPr>
          <w:rFonts w:ascii="Arial" w:cs="Arial" w:eastAsia="Arial" w:hAnsi="Arial"/>
          <w:sz w:val="21"/>
          <w:szCs w:val="21"/>
          <w:color w:val="0000FF"/>
        </w:rPr>
        <w:t>a</w:t>
      </w:r>
      <w:r>
        <w:rPr>
          <w:rFonts w:ascii="Arial" w:cs="Arial" w:eastAsia="Arial" w:hAnsi="Arial"/>
          <w:sz w:val="21"/>
          <w:szCs w:val="21"/>
          <w:color w:val="auto"/>
        </w:rPr>
        <w:t xml:space="preserve"> “</w:t>
      </w:r>
      <w:r>
        <w:rPr>
          <w:rFonts w:ascii="Arial" w:cs="Arial" w:eastAsia="Arial" w:hAnsi="Arial"/>
          <w:sz w:val="21"/>
          <w:szCs w:val="21"/>
          <w:color w:val="0000FF"/>
        </w:rPr>
        <w:t>2017</w:t>
      </w:r>
      <w:r>
        <w:rPr>
          <w:rFonts w:ascii="Arial" w:cs="Arial" w:eastAsia="Arial" w:hAnsi="Arial"/>
          <w:sz w:val="21"/>
          <w:szCs w:val="21"/>
          <w:color w:val="auto"/>
        </w:rPr>
        <w:t xml:space="preserve"> </w:t>
      </w:r>
      <w:r>
        <w:rPr>
          <w:rFonts w:ascii="Arial" w:cs="Arial" w:eastAsia="Arial" w:hAnsi="Arial"/>
          <w:sz w:val="21"/>
          <w:szCs w:val="21"/>
          <w:u w:val="single" w:color="auto"/>
          <w:color w:val="auto"/>
        </w:rPr>
        <w:t>Initial Tranche A</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 Loan Repayment Date</w:t>
      </w:r>
      <w:r>
        <w:rPr>
          <w:rFonts w:ascii="Arial" w:cs="Arial" w:eastAsia="Arial" w:hAnsi="Arial"/>
          <w:sz w:val="21"/>
          <w:szCs w:val="21"/>
          <w:color w:val="auto"/>
        </w:rPr>
        <w:t xml:space="preserve">”), a principal amount of the </w:t>
      </w:r>
      <w:r>
        <w:rPr>
          <w:rFonts w:ascii="Arial" w:cs="Arial" w:eastAsia="Arial" w:hAnsi="Arial"/>
          <w:sz w:val="21"/>
          <w:szCs w:val="21"/>
          <w:color w:val="0000FF"/>
        </w:rPr>
        <w:t>2017</w:t>
      </w:r>
      <w:r>
        <w:rPr>
          <w:rFonts w:ascii="Arial" w:cs="Arial" w:eastAsia="Arial" w:hAnsi="Arial"/>
          <w:sz w:val="21"/>
          <w:szCs w:val="21"/>
          <w:color w:val="auto"/>
        </w:rPr>
        <w:t xml:space="preserve"> Initial Tranche A Term Loans (each such amount, </w:t>
      </w:r>
      <w:r>
        <w:rPr>
          <w:rFonts w:ascii="Arial" w:cs="Arial" w:eastAsia="Arial" w:hAnsi="Arial"/>
          <w:sz w:val="21"/>
          <w:szCs w:val="21"/>
          <w:color w:val="FF0000"/>
          <w:strike w:val="1"/>
        </w:rPr>
        <w:t>an</w:t>
      </w:r>
      <w:r>
        <w:rPr>
          <w:rFonts w:ascii="Arial" w:cs="Arial" w:eastAsia="Arial" w:hAnsi="Arial"/>
          <w:sz w:val="21"/>
          <w:szCs w:val="21"/>
          <w:color w:val="0000FF"/>
        </w:rPr>
        <w:t>a</w:t>
      </w:r>
      <w:r>
        <w:rPr>
          <w:rFonts w:ascii="Arial" w:cs="Arial" w:eastAsia="Arial" w:hAnsi="Arial"/>
          <w:sz w:val="21"/>
          <w:szCs w:val="21"/>
          <w:color w:val="auto"/>
        </w:rPr>
        <w:t xml:space="preserve"> “</w:t>
      </w:r>
      <w:r>
        <w:rPr>
          <w:rFonts w:ascii="Arial" w:cs="Arial" w:eastAsia="Arial" w:hAnsi="Arial"/>
          <w:sz w:val="21"/>
          <w:szCs w:val="21"/>
          <w:color w:val="0000FF"/>
        </w:rPr>
        <w:t>2017</w:t>
      </w:r>
      <w:r>
        <w:rPr>
          <w:rFonts w:ascii="Arial" w:cs="Arial" w:eastAsia="Arial" w:hAnsi="Arial"/>
          <w:sz w:val="21"/>
          <w:szCs w:val="21"/>
          <w:color w:val="auto"/>
        </w:rPr>
        <w:t xml:space="preserve"> </w:t>
      </w:r>
      <w:r>
        <w:rPr>
          <w:rFonts w:ascii="Arial" w:cs="Arial" w:eastAsia="Arial" w:hAnsi="Arial"/>
          <w:sz w:val="21"/>
          <w:szCs w:val="21"/>
          <w:u w:val="single" w:color="auto"/>
          <w:color w:val="auto"/>
        </w:rPr>
        <w:t>Initial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Tranche A Term Loan Repayment Amount</w:t>
      </w:r>
      <w:r>
        <w:rPr>
          <w:rFonts w:ascii="Arial" w:cs="Arial" w:eastAsia="Arial" w:hAnsi="Arial"/>
          <w:sz w:val="21"/>
          <w:szCs w:val="21"/>
          <w:color w:val="auto"/>
        </w:rPr>
        <w:t xml:space="preserve">”) (as such principal amount may be reduced by, and after giving effect to, any voluntary and mandatory prepayments made in accordance with Section 5 </w:t>
      </w:r>
      <w:r>
        <w:rPr>
          <w:rFonts w:ascii="Arial" w:cs="Arial" w:eastAsia="Arial" w:hAnsi="Arial"/>
          <w:sz w:val="21"/>
          <w:szCs w:val="21"/>
          <w:color w:val="0000FF"/>
        </w:rPr>
        <w:t>(including all such prepayments made prior to the Amendment No.</w:t>
      </w:r>
      <w:r>
        <w:rPr>
          <w:rFonts w:ascii="Arial" w:cs="Arial" w:eastAsia="Arial" w:hAnsi="Arial"/>
          <w:sz w:val="21"/>
          <w:szCs w:val="21"/>
          <w:color w:val="auto"/>
        </w:rPr>
        <w:t xml:space="preserve"> </w:t>
      </w:r>
      <w:r>
        <w:rPr>
          <w:rFonts w:ascii="Arial" w:cs="Arial" w:eastAsia="Arial" w:hAnsi="Arial"/>
          <w:sz w:val="21"/>
          <w:szCs w:val="21"/>
          <w:color w:val="0000FF"/>
        </w:rPr>
        <w:t xml:space="preserve">2 Effective Date), </w:t>
      </w:r>
      <w:r>
        <w:rPr>
          <w:rFonts w:ascii="Arial" w:cs="Arial" w:eastAsia="Arial" w:hAnsi="Arial"/>
          <w:sz w:val="21"/>
          <w:szCs w:val="21"/>
          <w:color w:val="000000"/>
        </w:rPr>
        <w:t>or as contemplated by Section 2.15), in each case as set forth below opposite such</w:t>
      </w:r>
      <w:r>
        <w:rPr>
          <w:rFonts w:ascii="Arial" w:cs="Arial" w:eastAsia="Arial" w:hAnsi="Arial"/>
          <w:sz w:val="21"/>
          <w:szCs w:val="21"/>
          <w:color w:val="0000FF"/>
        </w:rPr>
        <w:t xml:space="preserve"> 2017 </w:t>
      </w:r>
      <w:r>
        <w:rPr>
          <w:rFonts w:ascii="Arial" w:cs="Arial" w:eastAsia="Arial" w:hAnsi="Arial"/>
          <w:sz w:val="21"/>
          <w:szCs w:val="21"/>
          <w:color w:val="000000"/>
        </w:rPr>
        <w:t>Initial Tranche A Term</w:t>
      </w:r>
      <w:r>
        <w:rPr>
          <w:rFonts w:ascii="Arial" w:cs="Arial" w:eastAsia="Arial" w:hAnsi="Arial"/>
          <w:sz w:val="21"/>
          <w:szCs w:val="21"/>
          <w:color w:val="0000FF"/>
        </w:rPr>
        <w:t xml:space="preserve"> </w:t>
      </w:r>
      <w:r>
        <w:rPr>
          <w:rFonts w:ascii="Arial" w:cs="Arial" w:eastAsia="Arial" w:hAnsi="Arial"/>
          <w:sz w:val="21"/>
          <w:szCs w:val="21"/>
          <w:color w:val="000000"/>
        </w:rPr>
        <w:t>Loan Repayment Date:</w:t>
      </w:r>
    </w:p>
    <w:p>
      <w:pPr>
        <w:spacing w:after="0" w:line="250" w:lineRule="exact"/>
        <w:rPr>
          <w:sz w:val="20"/>
          <w:szCs w:val="20"/>
          <w:color w:val="auto"/>
        </w:rPr>
      </w:pPr>
    </w:p>
    <w:tbl>
      <w:tblPr>
        <w:tblLayout w:type="fixed"/>
        <w:tblInd w:w="2210" w:type="dxa"/>
        <w:tblCellMar>
          <w:top w:w="0" w:type="dxa"/>
          <w:left w:w="0" w:type="dxa"/>
          <w:bottom w:w="0" w:type="dxa"/>
          <w:right w:w="0" w:type="dxa"/>
        </w:tblCellMar>
      </w:tblPr>
      <w:tr>
        <w:trPr>
          <w:trHeight w:val="242"/>
        </w:trPr>
        <w:tc>
          <w:tcPr>
            <w:tcW w:w="328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color w:val="0000FF"/>
              </w:rPr>
              <w:t>2017 Initial Tranche A Term Loan</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0000FF"/>
                <w:w w:val="91"/>
              </w:rPr>
              <w:t>2017 Initial Tranche A Term Loan Repayment</w:t>
            </w:r>
          </w:p>
        </w:tc>
      </w:tr>
      <w:tr>
        <w:trPr>
          <w:trHeight w:val="257"/>
        </w:trPr>
        <w:tc>
          <w:tcPr>
            <w:tcW w:w="328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0000FF"/>
              </w:rPr>
              <w:t>Repayment Date</w:t>
            </w:r>
          </w:p>
        </w:tc>
        <w:tc>
          <w:tcPr>
            <w:tcW w:w="378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0000FF"/>
                <w:w w:val="88"/>
              </w:rPr>
              <w:t xml:space="preserve">Amount </w:t>
            </w:r>
            <w:r>
              <w:rPr>
                <w:rFonts w:ascii="Arial" w:cs="Arial" w:eastAsia="Arial" w:hAnsi="Arial"/>
                <w:sz w:val="25"/>
                <w:szCs w:val="25"/>
                <w:color w:val="0000FF"/>
                <w:w w:val="88"/>
                <w:vertAlign w:val="superscript"/>
              </w:rPr>
              <w:t>13</w:t>
            </w:r>
          </w:p>
        </w:tc>
      </w:tr>
      <w:tr>
        <w:trPr>
          <w:trHeight w:val="237"/>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0000FF"/>
              </w:rPr>
              <w:t>June 30, 2012</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88"/>
              </w:rPr>
              <w:t>$9,187,500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7"/>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0000FF"/>
              </w:rPr>
              <w:t>September 30, 2012</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88"/>
              </w:rPr>
              <w:t>$9,187,500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7"/>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0000FF"/>
              </w:rPr>
              <w:t>December 31, 2012</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88"/>
              </w:rPr>
              <w:t>$9,187,500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7"/>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0000FF"/>
              </w:rPr>
              <w:t>March 31, 2013</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88"/>
              </w:rPr>
              <w:t>$9,187,500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7"/>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0000FF"/>
              </w:rPr>
              <w:t>June 30, 2013</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88"/>
              </w:rPr>
              <w:t>$9,187,500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7"/>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0000FF"/>
              </w:rPr>
              <w:t>September 30, 2013</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88"/>
              </w:rPr>
              <w:t>$9,187,500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7"/>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0000FF"/>
              </w:rPr>
              <w:t>December 31, 2013</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88"/>
              </w:rPr>
              <w:t>$9,187,500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w:t>
      </w:r>
    </w:p>
    <w:p>
      <w:pPr>
        <w:spacing w:after="0" w:line="53" w:lineRule="exact"/>
        <w:rPr>
          <w:sz w:val="20"/>
          <w:szCs w:val="20"/>
          <w:color w:val="auto"/>
        </w:rPr>
      </w:pPr>
    </w:p>
    <w:p>
      <w:pPr>
        <w:ind w:right="180" w:firstLine="8"/>
        <w:spacing w:after="0" w:line="280" w:lineRule="auto"/>
        <w:tabs>
          <w:tab w:leader="none" w:pos="149" w:val="left"/>
        </w:tabs>
        <w:numPr>
          <w:ilvl w:val="0"/>
          <w:numId w:val="72"/>
        </w:numPr>
        <w:rPr>
          <w:rFonts w:ascii="Arial" w:cs="Arial" w:eastAsia="Arial" w:hAnsi="Arial"/>
          <w:sz w:val="18"/>
          <w:szCs w:val="18"/>
          <w:color w:val="0000FF"/>
          <w:vertAlign w:val="superscript"/>
        </w:rPr>
      </w:pPr>
      <w:r>
        <w:rPr>
          <w:rFonts w:ascii="Arial" w:cs="Arial" w:eastAsia="Arial" w:hAnsi="Arial"/>
          <w:sz w:val="14"/>
          <w:szCs w:val="14"/>
          <w:color w:val="0000FF"/>
        </w:rPr>
        <w:t>Repayment amounts from December 31, 2014 through December 31, 2016 will be reduced in the same proportion as the amount of 2017 Initial Tranche A Term Loans are reduced in the Second Amendment.</w:t>
      </w:r>
    </w:p>
    <w:p>
      <w:pPr>
        <w:spacing w:after="0" w:line="167"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92</w:t>
      </w:r>
    </w:p>
    <w:p>
      <w:pPr>
        <w:sectPr>
          <w:pgSz w:w="11900" w:h="16838" w:orient="portrait"/>
          <w:cols w:equalWidth="0" w:num="1">
            <w:col w:w="11420"/>
          </w:cols>
          <w:pgMar w:left="240" w:top="132" w:right="239" w:bottom="1440" w:gutter="0" w:footer="0" w:header="0"/>
        </w:sectPr>
      </w:pPr>
    </w:p>
    <w:bookmarkStart w:id="109" w:name="page110"/>
    <w:bookmarkEnd w:id="109"/>
    <w:tbl>
      <w:tblPr>
        <w:tblLayout w:type="fixed"/>
        <w:tblInd w:w="2210" w:type="dxa"/>
        <w:tblCellMar>
          <w:top w:w="0" w:type="dxa"/>
          <w:left w:w="0" w:type="dxa"/>
          <w:bottom w:w="0" w:type="dxa"/>
          <w:right w:w="0" w:type="dxa"/>
        </w:tblCellMar>
      </w:tblPr>
      <w:tr>
        <w:trPr>
          <w:trHeight w:val="242"/>
        </w:trPr>
        <w:tc>
          <w:tcPr>
            <w:tcW w:w="328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color w:val="0000FF"/>
              </w:rPr>
              <w:t>2017 Initial Tranche A Term Loan</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0000FF"/>
                <w:w w:val="91"/>
              </w:rPr>
              <w:t>2017 Initial Tranche A Term Loan Repayment</w:t>
            </w:r>
          </w:p>
        </w:tc>
      </w:tr>
      <w:tr>
        <w:trPr>
          <w:trHeight w:val="257"/>
        </w:trPr>
        <w:tc>
          <w:tcPr>
            <w:tcW w:w="328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0000FF"/>
              </w:rPr>
              <w:t>Repayment Date</w:t>
            </w:r>
          </w:p>
        </w:tc>
        <w:tc>
          <w:tcPr>
            <w:tcW w:w="378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0000FF"/>
                <w:w w:val="88"/>
              </w:rPr>
              <w:t xml:space="preserve">Amount </w:t>
            </w:r>
            <w:r>
              <w:rPr>
                <w:rFonts w:ascii="Arial" w:cs="Arial" w:eastAsia="Arial" w:hAnsi="Arial"/>
                <w:sz w:val="25"/>
                <w:szCs w:val="25"/>
                <w:color w:val="0000FF"/>
                <w:w w:val="88"/>
                <w:vertAlign w:val="superscript"/>
              </w:rPr>
              <w:t>13</w:t>
            </w: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March 31, 2014</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7"/>
              </w:rPr>
              <w:t>$9,187,500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June 30, 2014</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$18,375,000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September 30, 2014</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$18,375,000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December 31, 2014</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March 31, 2015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June 30, 2015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September 30, 2015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December 31, 2015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March 31, 2016</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June 30, 2016</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September 30, 2016</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December 31, 2016</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33"/>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2017 Initial Tranche A Term Loan</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91"/>
              </w:rPr>
              <w:t>Balance of outstanding 2017 Initial Tranche A</w:t>
            </w:r>
          </w:p>
        </w:tc>
      </w:tr>
      <w:tr>
        <w:trPr>
          <w:trHeight w:val="250"/>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0000FF"/>
              </w:rPr>
              <w:t>Maturity Date</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0000FF"/>
                <w:w w:val="89"/>
              </w:rPr>
              <w:t>Term Loans</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line="154" w:lineRule="exact"/>
        <w:rPr>
          <w:sz w:val="20"/>
          <w:szCs w:val="20"/>
          <w:color w:val="auto"/>
        </w:rPr>
      </w:pPr>
    </w:p>
    <w:p>
      <w:pPr>
        <w:ind w:firstLine="1305"/>
        <w:spacing w:after="0" w:line="294" w:lineRule="auto"/>
        <w:tabs>
          <w:tab w:leader="none" w:pos="2185" w:val="left"/>
        </w:tabs>
        <w:numPr>
          <w:ilvl w:val="0"/>
          <w:numId w:val="73"/>
        </w:numPr>
        <w:rPr>
          <w:rFonts w:ascii="Arial" w:cs="Arial" w:eastAsia="Arial" w:hAnsi="Arial"/>
          <w:sz w:val="19"/>
          <w:szCs w:val="19"/>
          <w:color w:val="0827ED"/>
        </w:rPr>
      </w:pPr>
      <w:r>
        <w:rPr>
          <w:rFonts w:ascii="Arial" w:cs="Arial" w:eastAsia="Arial" w:hAnsi="Arial"/>
          <w:sz w:val="19"/>
          <w:szCs w:val="19"/>
          <w:color w:val="0000FF"/>
        </w:rPr>
        <w:t>The Borrower shall repay to the Administrative Agent, for the benefit of the 2019 Extended Tranche A Term Lenders, on each date set forth below (each, with respect to the 2019 Extended Tranche A Term Lender, a “2019 Extended Tranche A Term Loan Repayment Date”), a principal amount of the 2019 Extended Tranche A Term Loans (as such principal amount may be reduced by, and after giving effect to, any voluntary and mandatory prepayments made in accordance with Section 5 or as contemplated by Section 2.15), in each case as set forth below opposite such 2019 Extended Tranche A Term Loan Repayment Date (each such amount, a “2019 Extended Tranche A Term Loan Repayment Amount”):</w:t>
      </w:r>
    </w:p>
    <w:p>
      <w:pPr>
        <w:spacing w:after="0" w:line="57" w:lineRule="exact"/>
        <w:rPr>
          <w:sz w:val="20"/>
          <w:szCs w:val="20"/>
          <w:color w:val="auto"/>
        </w:rPr>
      </w:pPr>
    </w:p>
    <w:tbl>
      <w:tblPr>
        <w:tblLayout w:type="fixed"/>
        <w:tblInd w:w="2210" w:type="dxa"/>
        <w:tblCellMar>
          <w:top w:w="0" w:type="dxa"/>
          <w:left w:w="0" w:type="dxa"/>
          <w:bottom w:w="0" w:type="dxa"/>
          <w:right w:w="0" w:type="dxa"/>
        </w:tblCellMar>
      </w:tblPr>
      <w:tr>
        <w:trPr>
          <w:trHeight w:val="253"/>
        </w:trPr>
        <w:tc>
          <w:tcPr>
            <w:tcW w:w="6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20"/>
                <w:szCs w:val="20"/>
                <w:color w:val="FF0000"/>
                <w:strike w:val="1"/>
                <w:w w:val="98"/>
              </w:rPr>
              <w:t>Initial</w:t>
            </w:r>
          </w:p>
        </w:tc>
        <w:tc>
          <w:tcPr>
            <w:tcW w:w="2680" w:type="dxa"/>
            <w:vAlign w:val="bottom"/>
            <w:tcBorders>
              <w:top w:val="single" w:sz="8" w:color="auto"/>
              <w:right w:val="single" w:sz="8" w:color="auto"/>
            </w:tcBorders>
            <w:gridSpan w:val="9"/>
          </w:tcPr>
          <w:p>
            <w:pPr>
              <w:jc w:val="right"/>
              <w:ind w:right="41"/>
              <w:spacing w:after="0"/>
              <w:rPr>
                <w:sz w:val="20"/>
                <w:szCs w:val="20"/>
                <w:color w:val="auto"/>
              </w:rPr>
            </w:pPr>
            <w:r>
              <w:rPr>
                <w:rFonts w:ascii="Arial" w:cs="Arial" w:eastAsia="Arial" w:hAnsi="Arial"/>
                <w:sz w:val="20"/>
                <w:szCs w:val="20"/>
                <w:color w:val="0000FF"/>
                <w:w w:val="88"/>
              </w:rPr>
              <w:t xml:space="preserve">2019 Extended </w:t>
            </w:r>
            <w:r>
              <w:rPr>
                <w:rFonts w:ascii="Arial" w:cs="Arial" w:eastAsia="Arial" w:hAnsi="Arial"/>
                <w:sz w:val="20"/>
                <w:szCs w:val="20"/>
                <w:color w:val="000000"/>
                <w:w w:val="88"/>
              </w:rPr>
              <w:t>Tranche A Term</w:t>
            </w: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20"/>
                <w:szCs w:val="20"/>
                <w:color w:val="FF0000"/>
                <w:strike w:val="1"/>
                <w:w w:val="98"/>
              </w:rPr>
              <w:t>Initial</w:t>
            </w:r>
          </w:p>
        </w:tc>
        <w:tc>
          <w:tcPr>
            <w:tcW w:w="3180" w:type="dxa"/>
            <w:vAlign w:val="bottom"/>
            <w:tcBorders>
              <w:top w:val="single" w:sz="8" w:color="auto"/>
              <w:right w:val="single" w:sz="8" w:color="auto"/>
            </w:tcBorders>
            <w:gridSpan w:val="3"/>
          </w:tcPr>
          <w:p>
            <w:pPr>
              <w:jc w:val="right"/>
              <w:ind w:right="81"/>
              <w:spacing w:after="0"/>
              <w:rPr>
                <w:sz w:val="20"/>
                <w:szCs w:val="20"/>
                <w:color w:val="auto"/>
              </w:rPr>
            </w:pPr>
            <w:r>
              <w:rPr>
                <w:rFonts w:ascii="Arial" w:cs="Arial" w:eastAsia="Arial" w:hAnsi="Arial"/>
                <w:sz w:val="20"/>
                <w:szCs w:val="20"/>
                <w:color w:val="0000FF"/>
                <w:w w:val="89"/>
              </w:rPr>
              <w:t xml:space="preserve">2019 Extended </w:t>
            </w:r>
            <w:r>
              <w:rPr>
                <w:rFonts w:ascii="Arial" w:cs="Arial" w:eastAsia="Arial" w:hAnsi="Arial"/>
                <w:sz w:val="20"/>
                <w:szCs w:val="20"/>
                <w:color w:val="000000"/>
                <w:w w:val="89"/>
              </w:rPr>
              <w:t>Tranche A Term Loan</w:t>
            </w:r>
          </w:p>
        </w:tc>
      </w:tr>
      <w:tr>
        <w:trPr>
          <w:trHeight w:val="250"/>
        </w:trPr>
        <w:tc>
          <w:tcPr>
            <w:tcW w:w="600" w:type="dxa"/>
            <w:vAlign w:val="bottom"/>
            <w:tcBorders>
              <w:left w:val="single" w:sz="8" w:color="auto"/>
            </w:tcBorders>
          </w:tcPr>
          <w:p>
            <w:pPr>
              <w:spacing w:after="0"/>
              <w:rPr>
                <w:sz w:val="21"/>
                <w:szCs w:val="21"/>
                <w:color w:val="auto"/>
              </w:rPr>
            </w:pPr>
          </w:p>
        </w:tc>
        <w:tc>
          <w:tcPr>
            <w:tcW w:w="2680" w:type="dxa"/>
            <w:vAlign w:val="bottom"/>
            <w:tcBorders>
              <w:right w:val="single" w:sz="8" w:color="auto"/>
            </w:tcBorders>
            <w:gridSpan w:val="9"/>
          </w:tcPr>
          <w:p>
            <w:pPr>
              <w:ind w:left="140"/>
              <w:spacing w:after="0"/>
              <w:rPr>
                <w:sz w:val="20"/>
                <w:szCs w:val="20"/>
                <w:color w:val="auto"/>
              </w:rPr>
            </w:pPr>
            <w:r>
              <w:rPr>
                <w:rFonts w:ascii="Arial" w:cs="Arial" w:eastAsia="Arial" w:hAnsi="Arial"/>
                <w:sz w:val="20"/>
                <w:szCs w:val="20"/>
                <w:color w:val="auto"/>
              </w:rPr>
              <w:t>Loan Repayment Date</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tcBorders>
              <w:right w:val="single" w:sz="8" w:color="auto"/>
            </w:tcBorders>
            <w:gridSpan w:val="2"/>
          </w:tcPr>
          <w:p>
            <w:pPr>
              <w:jc w:val="right"/>
              <w:ind w:right="1021"/>
              <w:spacing w:after="0"/>
              <w:rPr>
                <w:sz w:val="20"/>
                <w:szCs w:val="20"/>
                <w:color w:val="auto"/>
              </w:rPr>
            </w:pPr>
            <w:r>
              <w:rPr>
                <w:rFonts w:ascii="Arial" w:cs="Arial" w:eastAsia="Arial" w:hAnsi="Arial"/>
                <w:sz w:val="20"/>
                <w:szCs w:val="20"/>
                <w:color w:val="auto"/>
                <w:w w:val="96"/>
              </w:rPr>
              <w:t>Repayment Amount</w:t>
            </w:r>
          </w:p>
        </w:tc>
      </w:tr>
      <w:tr>
        <w:trPr>
          <w:trHeight w:val="239"/>
        </w:trPr>
        <w:tc>
          <w:tcPr>
            <w:tcW w:w="60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r>
      <w:tr>
        <w:trPr>
          <w:trHeight w:val="254"/>
        </w:trPr>
        <w:tc>
          <w:tcPr>
            <w:tcW w:w="1140" w:type="dxa"/>
            <w:vAlign w:val="bottom"/>
            <w:tcBorders>
              <w:left w:val="single" w:sz="8" w:color="auto"/>
            </w:tcBorders>
            <w:gridSpan w:val="4"/>
          </w:tcPr>
          <w:p>
            <w:pPr>
              <w:ind w:left="40"/>
              <w:spacing w:after="0"/>
              <w:rPr>
                <w:sz w:val="20"/>
                <w:szCs w:val="20"/>
                <w:color w:val="auto"/>
              </w:rPr>
            </w:pPr>
            <w:r>
              <w:rPr>
                <w:rFonts w:ascii="Arial" w:cs="Arial" w:eastAsia="Arial" w:hAnsi="Arial"/>
                <w:sz w:val="20"/>
                <w:szCs w:val="20"/>
                <w:color w:val="FF0000"/>
                <w:strike w:val="1"/>
                <w:w w:val="85"/>
              </w:rPr>
              <w:t>June 30, 2012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c>
          <w:tcPr>
            <w:tcW w:w="940" w:type="dxa"/>
            <w:vAlign w:val="bottom"/>
            <w:gridSpan w:val="2"/>
          </w:tcPr>
          <w:p>
            <w:pPr>
              <w:spacing w:after="0"/>
              <w:rPr>
                <w:sz w:val="22"/>
                <w:szCs w:val="22"/>
                <w:color w:val="auto"/>
              </w:rPr>
            </w:pPr>
          </w:p>
        </w:tc>
        <w:tc>
          <w:tcPr>
            <w:tcW w:w="2840" w:type="dxa"/>
            <w:vAlign w:val="bottom"/>
            <w:tcBorders>
              <w:right w:val="single" w:sz="8" w:color="auto"/>
            </w:tcBorders>
            <w:gridSpan w:val="2"/>
          </w:tcPr>
          <w:p>
            <w:pPr>
              <w:jc w:val="center"/>
              <w:ind w:right="901"/>
              <w:spacing w:after="0"/>
              <w:rPr>
                <w:sz w:val="20"/>
                <w:szCs w:val="20"/>
                <w:color w:val="auto"/>
              </w:rPr>
            </w:pPr>
            <w:r>
              <w:rPr>
                <w:rFonts w:ascii="Arial" w:cs="Arial" w:eastAsia="Arial" w:hAnsi="Arial"/>
                <w:sz w:val="20"/>
                <w:szCs w:val="20"/>
                <w:color w:val="FF0000"/>
                <w:strike w:val="1"/>
                <w:w w:val="87"/>
              </w:rPr>
              <w:t>$9,187,500</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640" w:type="dxa"/>
            <w:vAlign w:val="bottom"/>
            <w:tcBorders>
              <w:left w:val="single" w:sz="8" w:color="auto"/>
            </w:tcBorders>
            <w:gridSpan w:val="9"/>
          </w:tcPr>
          <w:p>
            <w:pPr>
              <w:ind w:left="40"/>
              <w:spacing w:after="0"/>
              <w:rPr>
                <w:sz w:val="20"/>
                <w:szCs w:val="20"/>
                <w:color w:val="auto"/>
              </w:rPr>
            </w:pPr>
            <w:r>
              <w:rPr>
                <w:rFonts w:ascii="Arial" w:cs="Arial" w:eastAsia="Arial" w:hAnsi="Arial"/>
                <w:sz w:val="20"/>
                <w:szCs w:val="20"/>
                <w:color w:val="FF0000"/>
                <w:strike w:val="1"/>
                <w:w w:val="87"/>
              </w:rPr>
              <w:t>September 30, 2012</w:t>
            </w:r>
          </w:p>
        </w:tc>
        <w:tc>
          <w:tcPr>
            <w:tcW w:w="1640" w:type="dxa"/>
            <w:vAlign w:val="bottom"/>
            <w:tcBorders>
              <w:right w:val="single" w:sz="8" w:color="auto"/>
            </w:tcBorders>
          </w:tcPr>
          <w:p>
            <w:pPr>
              <w:spacing w:after="0"/>
              <w:rPr>
                <w:sz w:val="22"/>
                <w:szCs w:val="22"/>
                <w:color w:val="auto"/>
              </w:rPr>
            </w:pPr>
          </w:p>
        </w:tc>
        <w:tc>
          <w:tcPr>
            <w:tcW w:w="378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FF0000"/>
                <w:w w:val="87"/>
              </w:rPr>
              <w:t>$9,187,500</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200" w:type="dxa"/>
            <w:vAlign w:val="bottom"/>
            <w:tcBorders>
              <w:left w:val="single" w:sz="8" w:color="auto"/>
            </w:tcBorders>
            <w:gridSpan w:val="5"/>
          </w:tcPr>
          <w:p>
            <w:pPr>
              <w:ind w:left="40"/>
              <w:spacing w:after="0"/>
              <w:rPr>
                <w:sz w:val="20"/>
                <w:szCs w:val="20"/>
                <w:color w:val="auto"/>
              </w:rPr>
            </w:pPr>
            <w:r>
              <w:rPr>
                <w:rFonts w:ascii="Arial" w:cs="Arial" w:eastAsia="Arial" w:hAnsi="Arial"/>
                <w:sz w:val="20"/>
                <w:szCs w:val="20"/>
                <w:color w:val="auto"/>
                <w:w w:val="90"/>
              </w:rPr>
              <w:t>December 31,</w:t>
            </w:r>
          </w:p>
        </w:tc>
        <w:tc>
          <w:tcPr>
            <w:tcW w:w="400" w:type="dxa"/>
            <w:vAlign w:val="bottom"/>
            <w:gridSpan w:val="3"/>
          </w:tcPr>
          <w:p>
            <w:pPr>
              <w:jc w:val="right"/>
              <w:spacing w:after="0"/>
              <w:rPr>
                <w:sz w:val="20"/>
                <w:szCs w:val="20"/>
                <w:color w:val="auto"/>
              </w:rPr>
            </w:pPr>
            <w:r>
              <w:rPr>
                <w:rFonts w:ascii="Arial" w:cs="Arial" w:eastAsia="Arial" w:hAnsi="Arial"/>
                <w:sz w:val="20"/>
                <w:szCs w:val="20"/>
                <w:color w:val="FF0000"/>
                <w:strike w:val="1"/>
                <w:w w:val="85"/>
              </w:rPr>
              <w:t>2012</w:t>
            </w:r>
          </w:p>
        </w:tc>
        <w:tc>
          <w:tcPr>
            <w:tcW w:w="1680" w:type="dxa"/>
            <w:vAlign w:val="bottom"/>
            <w:tcBorders>
              <w:right w:val="single" w:sz="8" w:color="auto"/>
            </w:tcBorders>
            <w:gridSpan w:val="2"/>
          </w:tcPr>
          <w:p>
            <w:pPr>
              <w:jc w:val="right"/>
              <w:ind w:right="1181"/>
              <w:spacing w:after="0"/>
              <w:rPr>
                <w:sz w:val="20"/>
                <w:szCs w:val="20"/>
                <w:color w:val="auto"/>
              </w:rPr>
            </w:pPr>
            <w:r>
              <w:rPr>
                <w:rFonts w:ascii="Arial" w:cs="Arial" w:eastAsia="Arial" w:hAnsi="Arial"/>
                <w:sz w:val="20"/>
                <w:szCs w:val="20"/>
                <w:color w:val="auto"/>
                <w:w w:val="85"/>
              </w:rPr>
              <w:t>2017</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w w:val="87"/>
              </w:rPr>
              <w:t>$9,187,500</w:t>
            </w:r>
          </w:p>
        </w:tc>
        <w:tc>
          <w:tcPr>
            <w:tcW w:w="194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0000FF"/>
                <w:w w:val="87"/>
              </w:rPr>
              <w:t>8,613,281.25</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9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w w:val="94"/>
              </w:rPr>
              <w:t>March 31,</w:t>
            </w:r>
          </w:p>
        </w:tc>
        <w:tc>
          <w:tcPr>
            <w:tcW w:w="400" w:type="dxa"/>
            <w:vAlign w:val="bottom"/>
            <w:gridSpan w:val="4"/>
          </w:tcPr>
          <w:p>
            <w:pPr>
              <w:jc w:val="right"/>
              <w:spacing w:after="0"/>
              <w:rPr>
                <w:sz w:val="20"/>
                <w:szCs w:val="20"/>
                <w:color w:val="auto"/>
              </w:rPr>
            </w:pPr>
            <w:r>
              <w:rPr>
                <w:rFonts w:ascii="Arial" w:cs="Arial" w:eastAsia="Arial" w:hAnsi="Arial"/>
                <w:sz w:val="20"/>
                <w:szCs w:val="20"/>
                <w:color w:val="FF0000"/>
                <w:strike w:val="1"/>
                <w:w w:val="85"/>
              </w:rPr>
              <w:t>2013</w:t>
            </w:r>
          </w:p>
        </w:tc>
        <w:tc>
          <w:tcPr>
            <w:tcW w:w="1980" w:type="dxa"/>
            <w:vAlign w:val="bottom"/>
            <w:tcBorders>
              <w:right w:val="single" w:sz="8" w:color="auto"/>
            </w:tcBorders>
            <w:gridSpan w:val="3"/>
          </w:tcPr>
          <w:p>
            <w:pPr>
              <w:jc w:val="right"/>
              <w:ind w:right="1481"/>
              <w:spacing w:after="0"/>
              <w:rPr>
                <w:sz w:val="20"/>
                <w:szCs w:val="20"/>
                <w:color w:val="auto"/>
              </w:rPr>
            </w:pPr>
            <w:r>
              <w:rPr>
                <w:rFonts w:ascii="Arial" w:cs="Arial" w:eastAsia="Arial" w:hAnsi="Arial"/>
                <w:sz w:val="20"/>
                <w:szCs w:val="20"/>
                <w:color w:val="auto"/>
                <w:w w:val="85"/>
              </w:rPr>
              <w:t>2018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w w:val="87"/>
              </w:rPr>
              <w:t>$9,187,500</w:t>
            </w:r>
          </w:p>
        </w:tc>
        <w:tc>
          <w:tcPr>
            <w:tcW w:w="194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0000FF"/>
                <w:w w:val="87"/>
              </w:rPr>
              <w:t>8,613,281.25</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76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color w:val="auto"/>
                <w:w w:val="91"/>
              </w:rPr>
              <w:t>June 30,</w:t>
            </w:r>
          </w:p>
        </w:tc>
        <w:tc>
          <w:tcPr>
            <w:tcW w:w="380" w:type="dxa"/>
            <w:vAlign w:val="bottom"/>
            <w:gridSpan w:val="2"/>
          </w:tcPr>
          <w:p>
            <w:pPr>
              <w:spacing w:after="0"/>
              <w:rPr>
                <w:sz w:val="20"/>
                <w:szCs w:val="20"/>
                <w:color w:val="auto"/>
              </w:rPr>
            </w:pPr>
            <w:r>
              <w:rPr>
                <w:rFonts w:ascii="Arial" w:cs="Arial" w:eastAsia="Arial" w:hAnsi="Arial"/>
                <w:sz w:val="20"/>
                <w:szCs w:val="20"/>
                <w:color w:val="FF0000"/>
                <w:strike w:val="1"/>
                <w:w w:val="80"/>
              </w:rPr>
              <w:t>2013</w:t>
            </w:r>
          </w:p>
        </w:tc>
        <w:tc>
          <w:tcPr>
            <w:tcW w:w="2140" w:type="dxa"/>
            <w:vAlign w:val="bottom"/>
            <w:tcBorders>
              <w:right w:val="single" w:sz="8" w:color="auto"/>
            </w:tcBorders>
            <w:gridSpan w:val="6"/>
          </w:tcPr>
          <w:p>
            <w:pPr>
              <w:jc w:val="right"/>
              <w:ind w:right="1641"/>
              <w:spacing w:after="0"/>
              <w:rPr>
                <w:sz w:val="20"/>
                <w:szCs w:val="20"/>
                <w:color w:val="auto"/>
              </w:rPr>
            </w:pPr>
            <w:r>
              <w:rPr>
                <w:rFonts w:ascii="Arial" w:cs="Arial" w:eastAsia="Arial" w:hAnsi="Arial"/>
                <w:sz w:val="20"/>
                <w:szCs w:val="20"/>
                <w:color w:val="auto"/>
                <w:w w:val="85"/>
              </w:rPr>
              <w:t>2018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w w:val="87"/>
              </w:rPr>
              <w:t>$9,187,500</w:t>
            </w:r>
          </w:p>
        </w:tc>
        <w:tc>
          <w:tcPr>
            <w:tcW w:w="194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0000FF"/>
                <w:w w:val="87"/>
              </w:rPr>
              <w:t>8,613,281.25</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240" w:type="dxa"/>
            <w:vAlign w:val="bottom"/>
            <w:tcBorders>
              <w:left w:val="single" w:sz="8" w:color="auto"/>
            </w:tcBorders>
            <w:gridSpan w:val="6"/>
          </w:tcPr>
          <w:p>
            <w:pPr>
              <w:ind w:left="40"/>
              <w:spacing w:after="0"/>
              <w:rPr>
                <w:sz w:val="20"/>
                <w:szCs w:val="20"/>
                <w:color w:val="auto"/>
              </w:rPr>
            </w:pPr>
            <w:r>
              <w:rPr>
                <w:rFonts w:ascii="Arial" w:cs="Arial" w:eastAsia="Arial" w:hAnsi="Arial"/>
                <w:sz w:val="20"/>
                <w:szCs w:val="20"/>
                <w:color w:val="auto"/>
                <w:w w:val="89"/>
              </w:rPr>
              <w:t>September 30,</w:t>
            </w:r>
          </w:p>
        </w:tc>
        <w:tc>
          <w:tcPr>
            <w:tcW w:w="400" w:type="dxa"/>
            <w:vAlign w:val="bottom"/>
            <w:gridSpan w:val="3"/>
          </w:tcPr>
          <w:p>
            <w:pPr>
              <w:jc w:val="right"/>
              <w:spacing w:after="0"/>
              <w:rPr>
                <w:sz w:val="20"/>
                <w:szCs w:val="20"/>
                <w:color w:val="auto"/>
              </w:rPr>
            </w:pPr>
            <w:r>
              <w:rPr>
                <w:rFonts w:ascii="Arial" w:cs="Arial" w:eastAsia="Arial" w:hAnsi="Arial"/>
                <w:sz w:val="20"/>
                <w:szCs w:val="20"/>
                <w:color w:val="FF0000"/>
                <w:strike w:val="1"/>
                <w:w w:val="85"/>
              </w:rPr>
              <w:t>2013</w:t>
            </w:r>
          </w:p>
        </w:tc>
        <w:tc>
          <w:tcPr>
            <w:tcW w:w="164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w w:val="80"/>
              </w:rPr>
              <w:t>2018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w w:val="87"/>
              </w:rPr>
              <w:t>$9,187,500</w:t>
            </w:r>
          </w:p>
        </w:tc>
        <w:tc>
          <w:tcPr>
            <w:tcW w:w="194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0000FF"/>
                <w:w w:val="87"/>
              </w:rPr>
              <w:t>8,613,281.25</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200" w:type="dxa"/>
            <w:vAlign w:val="bottom"/>
            <w:tcBorders>
              <w:left w:val="single" w:sz="8" w:color="auto"/>
            </w:tcBorders>
            <w:gridSpan w:val="5"/>
          </w:tcPr>
          <w:p>
            <w:pPr>
              <w:ind w:left="40"/>
              <w:spacing w:after="0"/>
              <w:rPr>
                <w:sz w:val="20"/>
                <w:szCs w:val="20"/>
                <w:color w:val="auto"/>
              </w:rPr>
            </w:pPr>
            <w:r>
              <w:rPr>
                <w:rFonts w:ascii="Arial" w:cs="Arial" w:eastAsia="Arial" w:hAnsi="Arial"/>
                <w:sz w:val="20"/>
                <w:szCs w:val="20"/>
                <w:color w:val="auto"/>
                <w:w w:val="90"/>
              </w:rPr>
              <w:t>December 31,</w:t>
            </w:r>
          </w:p>
        </w:tc>
        <w:tc>
          <w:tcPr>
            <w:tcW w:w="400" w:type="dxa"/>
            <w:vAlign w:val="bottom"/>
            <w:gridSpan w:val="3"/>
          </w:tcPr>
          <w:p>
            <w:pPr>
              <w:jc w:val="right"/>
              <w:spacing w:after="0"/>
              <w:rPr>
                <w:sz w:val="20"/>
                <w:szCs w:val="20"/>
                <w:color w:val="auto"/>
              </w:rPr>
            </w:pPr>
            <w:r>
              <w:rPr>
                <w:rFonts w:ascii="Arial" w:cs="Arial" w:eastAsia="Arial" w:hAnsi="Arial"/>
                <w:sz w:val="20"/>
                <w:szCs w:val="20"/>
                <w:color w:val="FF0000"/>
                <w:strike w:val="1"/>
                <w:w w:val="85"/>
              </w:rPr>
              <w:t>2013</w:t>
            </w:r>
          </w:p>
        </w:tc>
        <w:tc>
          <w:tcPr>
            <w:tcW w:w="1680" w:type="dxa"/>
            <w:vAlign w:val="bottom"/>
            <w:tcBorders>
              <w:right w:val="single" w:sz="8" w:color="auto"/>
            </w:tcBorders>
            <w:gridSpan w:val="2"/>
          </w:tcPr>
          <w:p>
            <w:pPr>
              <w:jc w:val="right"/>
              <w:ind w:right="1181"/>
              <w:spacing w:after="0"/>
              <w:rPr>
                <w:sz w:val="20"/>
                <w:szCs w:val="20"/>
                <w:color w:val="auto"/>
              </w:rPr>
            </w:pPr>
            <w:r>
              <w:rPr>
                <w:rFonts w:ascii="Arial" w:cs="Arial" w:eastAsia="Arial" w:hAnsi="Arial"/>
                <w:sz w:val="20"/>
                <w:szCs w:val="20"/>
                <w:color w:val="auto"/>
                <w:w w:val="85"/>
              </w:rPr>
              <w:t>2018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w w:val="87"/>
              </w:rPr>
              <w:t>$9,187,500</w:t>
            </w:r>
          </w:p>
        </w:tc>
        <w:tc>
          <w:tcPr>
            <w:tcW w:w="194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0000FF"/>
                <w:w w:val="87"/>
              </w:rPr>
              <w:t>8,613,281.25</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9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w w:val="94"/>
              </w:rPr>
              <w:t>March 31,</w:t>
            </w:r>
          </w:p>
        </w:tc>
        <w:tc>
          <w:tcPr>
            <w:tcW w:w="400" w:type="dxa"/>
            <w:vAlign w:val="bottom"/>
            <w:gridSpan w:val="4"/>
          </w:tcPr>
          <w:p>
            <w:pPr>
              <w:jc w:val="right"/>
              <w:spacing w:after="0"/>
              <w:rPr>
                <w:sz w:val="20"/>
                <w:szCs w:val="20"/>
                <w:color w:val="auto"/>
              </w:rPr>
            </w:pPr>
            <w:r>
              <w:rPr>
                <w:rFonts w:ascii="Arial" w:cs="Arial" w:eastAsia="Arial" w:hAnsi="Arial"/>
                <w:sz w:val="20"/>
                <w:szCs w:val="20"/>
                <w:color w:val="FF0000"/>
                <w:strike w:val="1"/>
                <w:w w:val="85"/>
              </w:rPr>
              <w:t>2014</w:t>
            </w:r>
          </w:p>
        </w:tc>
        <w:tc>
          <w:tcPr>
            <w:tcW w:w="1980" w:type="dxa"/>
            <w:vAlign w:val="bottom"/>
            <w:tcBorders>
              <w:right w:val="single" w:sz="8" w:color="auto"/>
            </w:tcBorders>
            <w:gridSpan w:val="3"/>
          </w:tcPr>
          <w:p>
            <w:pPr>
              <w:jc w:val="right"/>
              <w:ind w:right="1481"/>
              <w:spacing w:after="0"/>
              <w:rPr>
                <w:sz w:val="20"/>
                <w:szCs w:val="20"/>
                <w:color w:val="auto"/>
              </w:rPr>
            </w:pPr>
            <w:r>
              <w:rPr>
                <w:rFonts w:ascii="Arial" w:cs="Arial" w:eastAsia="Arial" w:hAnsi="Arial"/>
                <w:sz w:val="20"/>
                <w:szCs w:val="20"/>
                <w:color w:val="auto"/>
                <w:w w:val="85"/>
              </w:rPr>
              <w:t>2019</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w w:val="87"/>
              </w:rPr>
              <w:t>$9,187,500</w:t>
            </w:r>
          </w:p>
        </w:tc>
        <w:tc>
          <w:tcPr>
            <w:tcW w:w="194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0000FF"/>
                <w:w w:val="87"/>
              </w:rPr>
              <w:t>8,613,281.25</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76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color w:val="auto"/>
                <w:w w:val="91"/>
              </w:rPr>
              <w:t>June 30,</w:t>
            </w:r>
          </w:p>
        </w:tc>
        <w:tc>
          <w:tcPr>
            <w:tcW w:w="380" w:type="dxa"/>
            <w:vAlign w:val="bottom"/>
            <w:gridSpan w:val="2"/>
          </w:tcPr>
          <w:p>
            <w:pPr>
              <w:spacing w:after="0"/>
              <w:rPr>
                <w:sz w:val="20"/>
                <w:szCs w:val="20"/>
                <w:color w:val="auto"/>
              </w:rPr>
            </w:pPr>
            <w:r>
              <w:rPr>
                <w:rFonts w:ascii="Arial" w:cs="Arial" w:eastAsia="Arial" w:hAnsi="Arial"/>
                <w:sz w:val="20"/>
                <w:szCs w:val="20"/>
                <w:color w:val="FF0000"/>
                <w:strike w:val="1"/>
                <w:w w:val="80"/>
              </w:rPr>
              <w:t>2014</w:t>
            </w:r>
          </w:p>
        </w:tc>
        <w:tc>
          <w:tcPr>
            <w:tcW w:w="2140" w:type="dxa"/>
            <w:vAlign w:val="bottom"/>
            <w:tcBorders>
              <w:right w:val="single" w:sz="8" w:color="auto"/>
            </w:tcBorders>
            <w:gridSpan w:val="6"/>
          </w:tcPr>
          <w:p>
            <w:pPr>
              <w:jc w:val="right"/>
              <w:ind w:right="1641"/>
              <w:spacing w:after="0"/>
              <w:rPr>
                <w:sz w:val="20"/>
                <w:szCs w:val="20"/>
                <w:color w:val="auto"/>
              </w:rPr>
            </w:pPr>
            <w:r>
              <w:rPr>
                <w:rFonts w:ascii="Arial" w:cs="Arial" w:eastAsia="Arial" w:hAnsi="Arial"/>
                <w:sz w:val="20"/>
                <w:szCs w:val="20"/>
                <w:color w:val="auto"/>
                <w:w w:val="85"/>
              </w:rPr>
              <w:t>2019</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FF0000"/>
                <w:strike w:val="1"/>
                <w:w w:val="87"/>
              </w:rPr>
              <w:t>$9,187,500</w:t>
            </w:r>
          </w:p>
        </w:tc>
        <w:tc>
          <w:tcPr>
            <w:tcW w:w="194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0000FF"/>
                <w:w w:val="87"/>
              </w:rPr>
              <w:t>8,613,281.25</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640" w:type="dxa"/>
            <w:vAlign w:val="bottom"/>
            <w:tcBorders>
              <w:left w:val="single" w:sz="8" w:color="auto"/>
            </w:tcBorders>
            <w:gridSpan w:val="9"/>
          </w:tcPr>
          <w:p>
            <w:pPr>
              <w:ind w:left="40"/>
              <w:spacing w:after="0"/>
              <w:rPr>
                <w:sz w:val="20"/>
                <w:szCs w:val="20"/>
                <w:color w:val="auto"/>
              </w:rPr>
            </w:pPr>
            <w:r>
              <w:rPr>
                <w:rFonts w:ascii="Arial" w:cs="Arial" w:eastAsia="Arial" w:hAnsi="Arial"/>
                <w:sz w:val="20"/>
                <w:szCs w:val="20"/>
                <w:color w:val="FF0000"/>
                <w:strike w:val="1"/>
                <w:w w:val="87"/>
              </w:rPr>
              <w:t>September 30, 2014</w:t>
            </w:r>
          </w:p>
        </w:tc>
        <w:tc>
          <w:tcPr>
            <w:tcW w:w="1640" w:type="dxa"/>
            <w:vAlign w:val="bottom"/>
            <w:tcBorders>
              <w:right w:val="single" w:sz="8" w:color="auto"/>
            </w:tcBorders>
          </w:tcPr>
          <w:p>
            <w:pPr>
              <w:spacing w:after="0"/>
              <w:rPr>
                <w:sz w:val="22"/>
                <w:szCs w:val="22"/>
                <w:color w:val="auto"/>
              </w:rPr>
            </w:pPr>
          </w:p>
        </w:tc>
        <w:tc>
          <w:tcPr>
            <w:tcW w:w="940" w:type="dxa"/>
            <w:vAlign w:val="bottom"/>
            <w:gridSpan w:val="2"/>
          </w:tcPr>
          <w:p>
            <w:pPr>
              <w:spacing w:after="0"/>
              <w:rPr>
                <w:sz w:val="22"/>
                <w:szCs w:val="22"/>
                <w:color w:val="auto"/>
              </w:rPr>
            </w:pPr>
          </w:p>
        </w:tc>
        <w:tc>
          <w:tcPr>
            <w:tcW w:w="2840" w:type="dxa"/>
            <w:vAlign w:val="bottom"/>
            <w:tcBorders>
              <w:right w:val="single" w:sz="8" w:color="auto"/>
            </w:tcBorders>
            <w:gridSpan w:val="2"/>
          </w:tcPr>
          <w:p>
            <w:pPr>
              <w:jc w:val="center"/>
              <w:ind w:right="901"/>
              <w:spacing w:after="0"/>
              <w:rPr>
                <w:sz w:val="20"/>
                <w:szCs w:val="20"/>
                <w:color w:val="auto"/>
              </w:rPr>
            </w:pPr>
            <w:r>
              <w:rPr>
                <w:rFonts w:ascii="Arial" w:cs="Arial" w:eastAsia="Arial" w:hAnsi="Arial"/>
                <w:sz w:val="20"/>
                <w:szCs w:val="20"/>
                <w:color w:val="FF0000"/>
                <w:strike w:val="1"/>
                <w:w w:val="89"/>
              </w:rPr>
              <w:t>$18,375,000</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tcBorders>
            <w:gridSpan w:val="8"/>
          </w:tcPr>
          <w:p>
            <w:pPr>
              <w:ind w:left="40"/>
              <w:spacing w:after="0"/>
              <w:rPr>
                <w:sz w:val="20"/>
                <w:szCs w:val="20"/>
                <w:color w:val="auto"/>
              </w:rPr>
            </w:pPr>
            <w:r>
              <w:rPr>
                <w:rFonts w:ascii="Arial" w:cs="Arial" w:eastAsia="Arial" w:hAnsi="Arial"/>
                <w:sz w:val="20"/>
                <w:szCs w:val="20"/>
                <w:color w:val="FF0000"/>
                <w:strike w:val="1"/>
                <w:w w:val="87"/>
              </w:rPr>
              <w:t>December 31, 2014</w:t>
            </w:r>
          </w:p>
        </w:tc>
        <w:tc>
          <w:tcPr>
            <w:tcW w:w="1680" w:type="dxa"/>
            <w:vAlign w:val="bottom"/>
            <w:tcBorders>
              <w:right w:val="single" w:sz="8" w:color="auto"/>
            </w:tcBorders>
            <w:gridSpan w:val="2"/>
          </w:tcPr>
          <w:p>
            <w:pPr>
              <w:spacing w:after="0"/>
              <w:rPr>
                <w:sz w:val="22"/>
                <w:szCs w:val="22"/>
                <w:color w:val="auto"/>
              </w:rPr>
            </w:pPr>
          </w:p>
        </w:tc>
        <w:tc>
          <w:tcPr>
            <w:tcW w:w="940" w:type="dxa"/>
            <w:vAlign w:val="bottom"/>
            <w:gridSpan w:val="2"/>
          </w:tcPr>
          <w:p>
            <w:pPr>
              <w:spacing w:after="0"/>
              <w:rPr>
                <w:sz w:val="22"/>
                <w:szCs w:val="22"/>
                <w:color w:val="auto"/>
              </w:rPr>
            </w:pPr>
          </w:p>
        </w:tc>
        <w:tc>
          <w:tcPr>
            <w:tcW w:w="2840" w:type="dxa"/>
            <w:vAlign w:val="bottom"/>
            <w:tcBorders>
              <w:right w:val="single" w:sz="8" w:color="auto"/>
            </w:tcBorders>
            <w:gridSpan w:val="2"/>
          </w:tcPr>
          <w:p>
            <w:pPr>
              <w:jc w:val="center"/>
              <w:ind w:right="901"/>
              <w:spacing w:after="0"/>
              <w:rPr>
                <w:sz w:val="20"/>
                <w:szCs w:val="20"/>
                <w:color w:val="auto"/>
              </w:rPr>
            </w:pPr>
            <w:r>
              <w:rPr>
                <w:rFonts w:ascii="Arial" w:cs="Arial" w:eastAsia="Arial" w:hAnsi="Arial"/>
                <w:sz w:val="20"/>
                <w:szCs w:val="20"/>
                <w:color w:val="FF0000"/>
                <w:strike w:val="1"/>
                <w:w w:val="89"/>
              </w:rPr>
              <w:t>$18,375,000</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300" w:type="dxa"/>
            <w:vAlign w:val="bottom"/>
            <w:tcBorders>
              <w:left w:val="single" w:sz="8" w:color="auto"/>
            </w:tcBorders>
            <w:gridSpan w:val="7"/>
          </w:tcPr>
          <w:p>
            <w:pPr>
              <w:ind w:left="40"/>
              <w:spacing w:after="0"/>
              <w:rPr>
                <w:sz w:val="20"/>
                <w:szCs w:val="20"/>
                <w:color w:val="auto"/>
              </w:rPr>
            </w:pPr>
            <w:r>
              <w:rPr>
                <w:rFonts w:ascii="Arial" w:cs="Arial" w:eastAsia="Arial" w:hAnsi="Arial"/>
                <w:sz w:val="20"/>
                <w:szCs w:val="20"/>
                <w:color w:val="FF0000"/>
                <w:strike w:val="1"/>
                <w:w w:val="89"/>
              </w:rPr>
              <w:t>March 31, 2015</w:t>
            </w:r>
          </w:p>
        </w:tc>
        <w:tc>
          <w:tcPr>
            <w:tcW w:w="1980" w:type="dxa"/>
            <w:vAlign w:val="bottom"/>
            <w:tcBorders>
              <w:right w:val="single" w:sz="8" w:color="auto"/>
            </w:tcBorders>
            <w:gridSpan w:val="3"/>
          </w:tcPr>
          <w:p>
            <w:pPr>
              <w:spacing w:after="0"/>
              <w:rPr>
                <w:sz w:val="22"/>
                <w:szCs w:val="22"/>
                <w:color w:val="auto"/>
              </w:rPr>
            </w:pPr>
          </w:p>
        </w:tc>
        <w:tc>
          <w:tcPr>
            <w:tcW w:w="940" w:type="dxa"/>
            <w:vAlign w:val="bottom"/>
            <w:gridSpan w:val="2"/>
          </w:tcPr>
          <w:p>
            <w:pPr>
              <w:spacing w:after="0"/>
              <w:rPr>
                <w:sz w:val="22"/>
                <w:szCs w:val="22"/>
                <w:color w:val="auto"/>
              </w:rPr>
            </w:pPr>
          </w:p>
        </w:tc>
        <w:tc>
          <w:tcPr>
            <w:tcW w:w="2840" w:type="dxa"/>
            <w:vAlign w:val="bottom"/>
            <w:tcBorders>
              <w:right w:val="single" w:sz="8" w:color="auto"/>
            </w:tcBorders>
            <w:gridSpan w:val="2"/>
          </w:tcPr>
          <w:p>
            <w:pPr>
              <w:jc w:val="center"/>
              <w:ind w:right="901"/>
              <w:spacing w:after="0"/>
              <w:rPr>
                <w:sz w:val="20"/>
                <w:szCs w:val="20"/>
                <w:color w:val="auto"/>
              </w:rPr>
            </w:pPr>
            <w:r>
              <w:rPr>
                <w:rFonts w:ascii="Arial" w:cs="Arial" w:eastAsia="Arial" w:hAnsi="Arial"/>
                <w:sz w:val="20"/>
                <w:szCs w:val="20"/>
                <w:color w:val="FF0000"/>
                <w:strike w:val="1"/>
                <w:w w:val="89"/>
              </w:rPr>
              <w:t>$18,375,000</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54"/>
        </w:trPr>
        <w:tc>
          <w:tcPr>
            <w:tcW w:w="1140" w:type="dxa"/>
            <w:vAlign w:val="bottom"/>
            <w:tcBorders>
              <w:left w:val="single" w:sz="8" w:color="auto"/>
            </w:tcBorders>
            <w:gridSpan w:val="4"/>
          </w:tcPr>
          <w:p>
            <w:pPr>
              <w:ind w:left="40"/>
              <w:spacing w:after="0"/>
              <w:rPr>
                <w:sz w:val="20"/>
                <w:szCs w:val="20"/>
                <w:color w:val="auto"/>
              </w:rPr>
            </w:pPr>
            <w:r>
              <w:rPr>
                <w:rFonts w:ascii="Arial" w:cs="Arial" w:eastAsia="Arial" w:hAnsi="Arial"/>
                <w:sz w:val="20"/>
                <w:szCs w:val="20"/>
                <w:color w:val="FF0000"/>
                <w:strike w:val="1"/>
                <w:w w:val="85"/>
              </w:rPr>
              <w:t>June 30, 2015</w:t>
            </w:r>
          </w:p>
        </w:tc>
        <w:tc>
          <w:tcPr>
            <w:tcW w:w="2140" w:type="dxa"/>
            <w:vAlign w:val="bottom"/>
            <w:tcBorders>
              <w:right w:val="single" w:sz="8" w:color="auto"/>
            </w:tcBorders>
            <w:gridSpan w:val="6"/>
          </w:tcPr>
          <w:p>
            <w:pPr>
              <w:spacing w:after="0"/>
              <w:rPr>
                <w:sz w:val="22"/>
                <w:szCs w:val="22"/>
                <w:color w:val="auto"/>
              </w:rPr>
            </w:pPr>
          </w:p>
        </w:tc>
        <w:tc>
          <w:tcPr>
            <w:tcW w:w="940" w:type="dxa"/>
            <w:vAlign w:val="bottom"/>
            <w:gridSpan w:val="2"/>
          </w:tcPr>
          <w:p>
            <w:pPr>
              <w:spacing w:after="0"/>
              <w:rPr>
                <w:sz w:val="22"/>
                <w:szCs w:val="22"/>
                <w:color w:val="auto"/>
              </w:rPr>
            </w:pPr>
          </w:p>
        </w:tc>
        <w:tc>
          <w:tcPr>
            <w:tcW w:w="2840" w:type="dxa"/>
            <w:vAlign w:val="bottom"/>
            <w:tcBorders>
              <w:right w:val="single" w:sz="8" w:color="auto"/>
            </w:tcBorders>
            <w:gridSpan w:val="2"/>
          </w:tcPr>
          <w:p>
            <w:pPr>
              <w:jc w:val="center"/>
              <w:ind w:right="901"/>
              <w:spacing w:after="0"/>
              <w:rPr>
                <w:sz w:val="20"/>
                <w:szCs w:val="20"/>
                <w:color w:val="auto"/>
              </w:rPr>
            </w:pPr>
            <w:r>
              <w:rPr>
                <w:rFonts w:ascii="Arial" w:cs="Arial" w:eastAsia="Arial" w:hAnsi="Arial"/>
                <w:sz w:val="20"/>
                <w:szCs w:val="20"/>
                <w:color w:val="FF0000"/>
                <w:strike w:val="1"/>
                <w:w w:val="89"/>
              </w:rPr>
              <w:t>$18,375,000</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w:t>
      </w:r>
    </w:p>
    <w:p>
      <w:pPr>
        <w:spacing w:after="0" w:line="21"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93</w:t>
      </w:r>
    </w:p>
    <w:p>
      <w:pPr>
        <w:sectPr>
          <w:pgSz w:w="11900" w:h="16838" w:orient="portrait"/>
          <w:cols w:equalWidth="0" w:num="1">
            <w:col w:w="11280"/>
          </w:cols>
          <w:pgMar w:left="240" w:top="254" w:right="379" w:bottom="1440" w:gutter="0" w:footer="0" w:header="0"/>
        </w:sectPr>
      </w:pPr>
    </w:p>
    <w:bookmarkStart w:id="110" w:name="page111"/>
    <w:bookmarkEnd w:id="110"/>
    <w:tbl>
      <w:tblPr>
        <w:tblLayout w:type="fixed"/>
        <w:tblInd w:w="2210" w:type="dxa"/>
        <w:tblCellMar>
          <w:top w:w="0" w:type="dxa"/>
          <w:left w:w="0" w:type="dxa"/>
          <w:bottom w:w="0" w:type="dxa"/>
          <w:right w:w="0" w:type="dxa"/>
        </w:tblCellMar>
      </w:tblPr>
      <w:tr>
        <w:trPr>
          <w:trHeight w:val="253"/>
        </w:trPr>
        <w:tc>
          <w:tcPr>
            <w:tcW w:w="6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20"/>
                <w:szCs w:val="20"/>
                <w:color w:val="FF0000"/>
                <w:strike w:val="1"/>
                <w:w w:val="98"/>
              </w:rPr>
              <w:t>Initial</w:t>
            </w:r>
          </w:p>
        </w:tc>
        <w:tc>
          <w:tcPr>
            <w:tcW w:w="26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0000FF"/>
                <w:w w:val="92"/>
              </w:rPr>
              <w:t xml:space="preserve">2019 Extended </w:t>
            </w:r>
            <w:r>
              <w:rPr>
                <w:rFonts w:ascii="Arial" w:cs="Arial" w:eastAsia="Arial" w:hAnsi="Arial"/>
                <w:sz w:val="20"/>
                <w:szCs w:val="20"/>
                <w:color w:val="000000"/>
                <w:w w:val="92"/>
              </w:rPr>
              <w:t>Tranche A Term</w:t>
            </w: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20"/>
                <w:szCs w:val="20"/>
                <w:color w:val="FF0000"/>
                <w:strike w:val="1"/>
                <w:w w:val="98"/>
              </w:rPr>
              <w:t>Initial</w:t>
            </w:r>
          </w:p>
        </w:tc>
        <w:tc>
          <w:tcPr>
            <w:tcW w:w="3180" w:type="dxa"/>
            <w:vAlign w:val="bottom"/>
            <w:tcBorders>
              <w:top w:val="single" w:sz="8" w:color="auto"/>
              <w:right w:val="single" w:sz="8" w:color="auto"/>
            </w:tcBorders>
            <w:gridSpan w:val="3"/>
          </w:tcPr>
          <w:p>
            <w:pPr>
              <w:jc w:val="right"/>
              <w:ind w:right="81"/>
              <w:spacing w:after="0"/>
              <w:rPr>
                <w:sz w:val="20"/>
                <w:szCs w:val="20"/>
                <w:color w:val="auto"/>
              </w:rPr>
            </w:pPr>
            <w:r>
              <w:rPr>
                <w:rFonts w:ascii="Arial" w:cs="Arial" w:eastAsia="Arial" w:hAnsi="Arial"/>
                <w:sz w:val="20"/>
                <w:szCs w:val="20"/>
                <w:color w:val="0000FF"/>
                <w:w w:val="89"/>
              </w:rPr>
              <w:t xml:space="preserve">2019 Extended </w:t>
            </w:r>
            <w:r>
              <w:rPr>
                <w:rFonts w:ascii="Arial" w:cs="Arial" w:eastAsia="Arial" w:hAnsi="Arial"/>
                <w:sz w:val="20"/>
                <w:szCs w:val="20"/>
                <w:color w:val="000000"/>
                <w:w w:val="89"/>
              </w:rPr>
              <w:t>Tranche A Term Loan</w:t>
            </w:r>
          </w:p>
        </w:tc>
      </w:tr>
      <w:tr>
        <w:trPr>
          <w:trHeight w:val="250"/>
        </w:trPr>
        <w:tc>
          <w:tcPr>
            <w:tcW w:w="600" w:type="dxa"/>
            <w:vAlign w:val="bottom"/>
            <w:tcBorders>
              <w:left w:val="single" w:sz="8" w:color="auto"/>
            </w:tcBorders>
          </w:tcPr>
          <w:p>
            <w:pPr>
              <w:spacing w:after="0"/>
              <w:rPr>
                <w:sz w:val="21"/>
                <w:szCs w:val="21"/>
                <w:color w:val="auto"/>
              </w:rPr>
            </w:pPr>
          </w:p>
        </w:tc>
        <w:tc>
          <w:tcPr>
            <w:tcW w:w="2680" w:type="dxa"/>
            <w:vAlign w:val="bottom"/>
            <w:tcBorders>
              <w:right w:val="single" w:sz="8" w:color="auto"/>
            </w:tcBorders>
          </w:tcPr>
          <w:p>
            <w:pPr>
              <w:jc w:val="center"/>
              <w:ind w:right="521"/>
              <w:spacing w:after="0"/>
              <w:rPr>
                <w:sz w:val="20"/>
                <w:szCs w:val="20"/>
                <w:color w:val="auto"/>
              </w:rPr>
            </w:pPr>
            <w:r>
              <w:rPr>
                <w:rFonts w:ascii="Arial" w:cs="Arial" w:eastAsia="Arial" w:hAnsi="Arial"/>
                <w:sz w:val="20"/>
                <w:szCs w:val="20"/>
                <w:color w:val="auto"/>
                <w:w w:val="88"/>
              </w:rPr>
              <w:t>Loan Repayment Date</w:t>
            </w:r>
          </w:p>
        </w:tc>
        <w:tc>
          <w:tcPr>
            <w:tcW w:w="600" w:type="dxa"/>
            <w:vAlign w:val="bottom"/>
          </w:tcPr>
          <w:p>
            <w:pPr>
              <w:spacing w:after="0"/>
              <w:rPr>
                <w:sz w:val="21"/>
                <w:szCs w:val="21"/>
                <w:color w:val="auto"/>
              </w:rPr>
            </w:pPr>
          </w:p>
        </w:tc>
        <w:tc>
          <w:tcPr>
            <w:tcW w:w="3180" w:type="dxa"/>
            <w:vAlign w:val="bottom"/>
            <w:tcBorders>
              <w:right w:val="single" w:sz="8" w:color="auto"/>
            </w:tcBorders>
            <w:gridSpan w:val="3"/>
          </w:tcPr>
          <w:p>
            <w:pPr>
              <w:jc w:val="center"/>
              <w:ind w:right="561"/>
              <w:spacing w:after="0"/>
              <w:rPr>
                <w:sz w:val="20"/>
                <w:szCs w:val="20"/>
                <w:color w:val="auto"/>
              </w:rPr>
            </w:pPr>
            <w:r>
              <w:rPr>
                <w:rFonts w:ascii="Arial" w:cs="Arial" w:eastAsia="Arial" w:hAnsi="Arial"/>
                <w:sz w:val="20"/>
                <w:szCs w:val="20"/>
                <w:color w:val="auto"/>
                <w:w w:val="90"/>
              </w:rPr>
              <w:t>Repayment Amount</w:t>
            </w:r>
          </w:p>
        </w:tc>
      </w:tr>
      <w:tr>
        <w:trPr>
          <w:trHeight w:val="239"/>
        </w:trPr>
        <w:tc>
          <w:tcPr>
            <w:tcW w:w="600" w:type="dxa"/>
            <w:vAlign w:val="bottom"/>
            <w:tcBorders>
              <w:left w:val="single" w:sz="8" w:color="auto"/>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r>
        <w:trPr>
          <w:trHeight w:val="254"/>
        </w:trPr>
        <w:tc>
          <w:tcPr>
            <w:tcW w:w="32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FF0000"/>
                <w:strike w:val="1"/>
              </w:rPr>
              <w:t>September 30, 2015</w:t>
            </w:r>
          </w:p>
        </w:tc>
        <w:tc>
          <w:tcPr>
            <w:tcW w:w="600" w:type="dxa"/>
            <w:vAlign w:val="bottom"/>
          </w:tcPr>
          <w:p>
            <w:pPr>
              <w:spacing w:after="0"/>
              <w:rPr>
                <w:sz w:val="22"/>
                <w:szCs w:val="22"/>
                <w:color w:val="auto"/>
              </w:rPr>
            </w:pPr>
          </w:p>
        </w:tc>
        <w:tc>
          <w:tcPr>
            <w:tcW w:w="1760" w:type="dxa"/>
            <w:vAlign w:val="bottom"/>
          </w:tcPr>
          <w:p>
            <w:pPr>
              <w:jc w:val="center"/>
              <w:ind w:left="661"/>
              <w:spacing w:after="0"/>
              <w:rPr>
                <w:sz w:val="20"/>
                <w:szCs w:val="20"/>
                <w:color w:val="auto"/>
              </w:rPr>
            </w:pPr>
            <w:r>
              <w:rPr>
                <w:rFonts w:ascii="Arial" w:cs="Arial" w:eastAsia="Arial" w:hAnsi="Arial"/>
                <w:sz w:val="20"/>
                <w:szCs w:val="20"/>
                <w:color w:val="FF0000"/>
                <w:strike w:val="1"/>
                <w:w w:val="89"/>
              </w:rPr>
              <w:t>$18,375,000</w:t>
            </w:r>
          </w:p>
        </w:tc>
        <w:tc>
          <w:tcPr>
            <w:tcW w:w="48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FF0000"/>
                <w:strike w:val="1"/>
              </w:rPr>
              <w:t>December 31, 2015</w:t>
            </w:r>
          </w:p>
        </w:tc>
        <w:tc>
          <w:tcPr>
            <w:tcW w:w="600" w:type="dxa"/>
            <w:vAlign w:val="bottom"/>
          </w:tcPr>
          <w:p>
            <w:pPr>
              <w:spacing w:after="0"/>
              <w:rPr>
                <w:sz w:val="22"/>
                <w:szCs w:val="22"/>
                <w:color w:val="auto"/>
              </w:rPr>
            </w:pPr>
          </w:p>
        </w:tc>
        <w:tc>
          <w:tcPr>
            <w:tcW w:w="1760" w:type="dxa"/>
            <w:vAlign w:val="bottom"/>
          </w:tcPr>
          <w:p>
            <w:pPr>
              <w:jc w:val="center"/>
              <w:ind w:left="661"/>
              <w:spacing w:after="0"/>
              <w:rPr>
                <w:sz w:val="20"/>
                <w:szCs w:val="20"/>
                <w:color w:val="auto"/>
              </w:rPr>
            </w:pPr>
            <w:r>
              <w:rPr>
                <w:rFonts w:ascii="Arial" w:cs="Arial" w:eastAsia="Arial" w:hAnsi="Arial"/>
                <w:sz w:val="20"/>
                <w:szCs w:val="20"/>
                <w:color w:val="FF0000"/>
                <w:strike w:val="1"/>
                <w:w w:val="89"/>
              </w:rPr>
              <w:t>$18,375,000</w:t>
            </w:r>
          </w:p>
        </w:tc>
        <w:tc>
          <w:tcPr>
            <w:tcW w:w="48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FF0000"/>
                <w:strike w:val="1"/>
              </w:rPr>
              <w:t>March 31, 2016</w:t>
            </w:r>
          </w:p>
        </w:tc>
        <w:tc>
          <w:tcPr>
            <w:tcW w:w="600" w:type="dxa"/>
            <w:vAlign w:val="bottom"/>
          </w:tcPr>
          <w:p>
            <w:pPr>
              <w:spacing w:after="0"/>
              <w:rPr>
                <w:sz w:val="22"/>
                <w:szCs w:val="22"/>
                <w:color w:val="auto"/>
              </w:rPr>
            </w:pPr>
          </w:p>
        </w:tc>
        <w:tc>
          <w:tcPr>
            <w:tcW w:w="1760" w:type="dxa"/>
            <w:vAlign w:val="bottom"/>
          </w:tcPr>
          <w:p>
            <w:pPr>
              <w:jc w:val="center"/>
              <w:ind w:left="661"/>
              <w:spacing w:after="0"/>
              <w:rPr>
                <w:sz w:val="20"/>
                <w:szCs w:val="20"/>
                <w:color w:val="auto"/>
              </w:rPr>
            </w:pPr>
            <w:r>
              <w:rPr>
                <w:rFonts w:ascii="Arial" w:cs="Arial" w:eastAsia="Arial" w:hAnsi="Arial"/>
                <w:sz w:val="20"/>
                <w:szCs w:val="20"/>
                <w:color w:val="FF0000"/>
                <w:strike w:val="1"/>
                <w:w w:val="89"/>
              </w:rPr>
              <w:t>$18,375,000</w:t>
            </w:r>
          </w:p>
        </w:tc>
        <w:tc>
          <w:tcPr>
            <w:tcW w:w="48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FF0000"/>
                <w:strike w:val="1"/>
              </w:rPr>
              <w:t>June 30, 2016</w:t>
            </w:r>
          </w:p>
        </w:tc>
        <w:tc>
          <w:tcPr>
            <w:tcW w:w="600" w:type="dxa"/>
            <w:vAlign w:val="bottom"/>
          </w:tcPr>
          <w:p>
            <w:pPr>
              <w:spacing w:after="0"/>
              <w:rPr>
                <w:sz w:val="22"/>
                <w:szCs w:val="22"/>
                <w:color w:val="auto"/>
              </w:rPr>
            </w:pPr>
          </w:p>
        </w:tc>
        <w:tc>
          <w:tcPr>
            <w:tcW w:w="1760" w:type="dxa"/>
            <w:vAlign w:val="bottom"/>
          </w:tcPr>
          <w:p>
            <w:pPr>
              <w:jc w:val="center"/>
              <w:ind w:left="661"/>
              <w:spacing w:after="0"/>
              <w:rPr>
                <w:sz w:val="20"/>
                <w:szCs w:val="20"/>
                <w:color w:val="auto"/>
              </w:rPr>
            </w:pPr>
            <w:r>
              <w:rPr>
                <w:rFonts w:ascii="Arial" w:cs="Arial" w:eastAsia="Arial" w:hAnsi="Arial"/>
                <w:sz w:val="20"/>
                <w:szCs w:val="20"/>
                <w:color w:val="FF0000"/>
                <w:strike w:val="1"/>
                <w:w w:val="89"/>
              </w:rPr>
              <w:t>$18,375,000</w:t>
            </w:r>
          </w:p>
        </w:tc>
        <w:tc>
          <w:tcPr>
            <w:tcW w:w="48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FF0000"/>
                <w:strike w:val="1"/>
              </w:rPr>
              <w:t>September 30, 2016</w:t>
            </w:r>
          </w:p>
        </w:tc>
        <w:tc>
          <w:tcPr>
            <w:tcW w:w="600" w:type="dxa"/>
            <w:vAlign w:val="bottom"/>
          </w:tcPr>
          <w:p>
            <w:pPr>
              <w:spacing w:after="0"/>
              <w:rPr>
                <w:sz w:val="22"/>
                <w:szCs w:val="22"/>
                <w:color w:val="auto"/>
              </w:rPr>
            </w:pPr>
          </w:p>
        </w:tc>
        <w:tc>
          <w:tcPr>
            <w:tcW w:w="1760" w:type="dxa"/>
            <w:vAlign w:val="bottom"/>
          </w:tcPr>
          <w:p>
            <w:pPr>
              <w:jc w:val="center"/>
              <w:ind w:left="661"/>
              <w:spacing w:after="0"/>
              <w:rPr>
                <w:sz w:val="20"/>
                <w:szCs w:val="20"/>
                <w:color w:val="auto"/>
              </w:rPr>
            </w:pPr>
            <w:r>
              <w:rPr>
                <w:rFonts w:ascii="Arial" w:cs="Arial" w:eastAsia="Arial" w:hAnsi="Arial"/>
                <w:sz w:val="20"/>
                <w:szCs w:val="20"/>
                <w:color w:val="FF0000"/>
                <w:strike w:val="1"/>
                <w:w w:val="89"/>
              </w:rPr>
              <w:t>$18,375,000</w:t>
            </w:r>
          </w:p>
        </w:tc>
        <w:tc>
          <w:tcPr>
            <w:tcW w:w="48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FF0000"/>
                <w:strike w:val="1"/>
              </w:rPr>
              <w:t>December 31, 2016</w:t>
            </w:r>
          </w:p>
        </w:tc>
        <w:tc>
          <w:tcPr>
            <w:tcW w:w="600" w:type="dxa"/>
            <w:vAlign w:val="bottom"/>
          </w:tcPr>
          <w:p>
            <w:pPr>
              <w:spacing w:after="0"/>
              <w:rPr>
                <w:sz w:val="22"/>
                <w:szCs w:val="22"/>
                <w:color w:val="auto"/>
              </w:rPr>
            </w:pPr>
          </w:p>
        </w:tc>
        <w:tc>
          <w:tcPr>
            <w:tcW w:w="1760" w:type="dxa"/>
            <w:vAlign w:val="bottom"/>
          </w:tcPr>
          <w:p>
            <w:pPr>
              <w:jc w:val="center"/>
              <w:ind w:left="661"/>
              <w:spacing w:after="0"/>
              <w:rPr>
                <w:sz w:val="20"/>
                <w:szCs w:val="20"/>
                <w:color w:val="auto"/>
              </w:rPr>
            </w:pPr>
            <w:r>
              <w:rPr>
                <w:rFonts w:ascii="Arial" w:cs="Arial" w:eastAsia="Arial" w:hAnsi="Arial"/>
                <w:sz w:val="20"/>
                <w:szCs w:val="20"/>
                <w:color w:val="FF0000"/>
                <w:strike w:val="1"/>
                <w:w w:val="89"/>
              </w:rPr>
              <w:t>$18,375,000</w:t>
            </w:r>
          </w:p>
        </w:tc>
        <w:tc>
          <w:tcPr>
            <w:tcW w:w="48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3"/>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FF0000"/>
                <w:strike w:val="1"/>
                <w:w w:val="98"/>
              </w:rPr>
              <w:t>Initial</w:t>
            </w:r>
          </w:p>
        </w:tc>
        <w:tc>
          <w:tcPr>
            <w:tcW w:w="2680" w:type="dxa"/>
            <w:vAlign w:val="bottom"/>
            <w:tcBorders>
              <w:right w:val="single" w:sz="8" w:color="auto"/>
            </w:tcBorders>
          </w:tcPr>
          <w:p>
            <w:pPr>
              <w:spacing w:after="0"/>
              <w:rPr>
                <w:sz w:val="20"/>
                <w:szCs w:val="20"/>
                <w:color w:val="auto"/>
              </w:rPr>
            </w:pPr>
            <w:r>
              <w:rPr>
                <w:rFonts w:ascii="Arial" w:cs="Arial" w:eastAsia="Arial" w:hAnsi="Arial"/>
                <w:sz w:val="20"/>
                <w:szCs w:val="20"/>
                <w:color w:val="0000FF"/>
                <w:w w:val="92"/>
              </w:rPr>
              <w:t xml:space="preserve">2019 Extended </w:t>
            </w:r>
            <w:r>
              <w:rPr>
                <w:rFonts w:ascii="Arial" w:cs="Arial" w:eastAsia="Arial" w:hAnsi="Arial"/>
                <w:sz w:val="20"/>
                <w:szCs w:val="20"/>
                <w:color w:val="000000"/>
                <w:w w:val="92"/>
              </w:rPr>
              <w:t>Tranche A Term</w:t>
            </w:r>
          </w:p>
        </w:tc>
        <w:tc>
          <w:tcPr>
            <w:tcW w:w="2360" w:type="dxa"/>
            <w:vAlign w:val="bottom"/>
            <w:gridSpan w:val="2"/>
          </w:tcPr>
          <w:p>
            <w:pPr>
              <w:ind w:left="500"/>
              <w:spacing w:after="0"/>
              <w:rPr>
                <w:sz w:val="20"/>
                <w:szCs w:val="20"/>
                <w:color w:val="auto"/>
              </w:rPr>
            </w:pPr>
            <w:r>
              <w:rPr>
                <w:rFonts w:ascii="Arial" w:cs="Arial" w:eastAsia="Arial" w:hAnsi="Arial"/>
                <w:sz w:val="20"/>
                <w:szCs w:val="20"/>
                <w:color w:val="auto"/>
                <w:w w:val="90"/>
              </w:rPr>
              <w:t>Balance of outstanding</w:t>
            </w:r>
          </w:p>
        </w:tc>
        <w:tc>
          <w:tcPr>
            <w:tcW w:w="480" w:type="dxa"/>
            <w:vAlign w:val="bottom"/>
          </w:tcPr>
          <w:p>
            <w:pPr>
              <w:spacing w:after="0"/>
              <w:rPr>
                <w:sz w:val="20"/>
                <w:szCs w:val="20"/>
                <w:color w:val="auto"/>
              </w:rPr>
            </w:pPr>
            <w:r>
              <w:rPr>
                <w:rFonts w:ascii="Arial" w:cs="Arial" w:eastAsia="Arial" w:hAnsi="Arial"/>
                <w:sz w:val="20"/>
                <w:szCs w:val="20"/>
                <w:color w:val="FF0000"/>
                <w:strike w:val="1"/>
                <w:w w:val="98"/>
              </w:rPr>
              <w:t>Initial</w:t>
            </w:r>
          </w:p>
        </w:tc>
        <w:tc>
          <w:tcPr>
            <w:tcW w:w="940" w:type="dxa"/>
            <w:vAlign w:val="bottom"/>
            <w:tcBorders>
              <w:right w:val="single" w:sz="8" w:color="auto"/>
            </w:tcBorders>
          </w:tcPr>
          <w:p>
            <w:pPr>
              <w:jc w:val="right"/>
              <w:ind w:right="441"/>
              <w:spacing w:after="0"/>
              <w:rPr>
                <w:sz w:val="20"/>
                <w:szCs w:val="20"/>
                <w:color w:val="auto"/>
              </w:rPr>
            </w:pPr>
            <w:r>
              <w:rPr>
                <w:rFonts w:ascii="Arial" w:cs="Arial" w:eastAsia="Arial" w:hAnsi="Arial"/>
                <w:sz w:val="20"/>
                <w:szCs w:val="20"/>
                <w:color w:val="0000FF"/>
                <w:w w:val="85"/>
              </w:rPr>
              <w:t>2019</w:t>
            </w:r>
          </w:p>
        </w:tc>
      </w:tr>
      <w:tr>
        <w:trPr>
          <w:trHeight w:val="250"/>
        </w:trPr>
        <w:tc>
          <w:tcPr>
            <w:tcW w:w="600" w:type="dxa"/>
            <w:vAlign w:val="bottom"/>
            <w:tcBorders>
              <w:left w:val="single" w:sz="8" w:color="auto"/>
            </w:tcBorders>
          </w:tcPr>
          <w:p>
            <w:pPr>
              <w:spacing w:after="0"/>
              <w:rPr>
                <w:sz w:val="21"/>
                <w:szCs w:val="21"/>
                <w:color w:val="auto"/>
              </w:rPr>
            </w:pPr>
          </w:p>
        </w:tc>
        <w:tc>
          <w:tcPr>
            <w:tcW w:w="2680" w:type="dxa"/>
            <w:vAlign w:val="bottom"/>
            <w:tcBorders>
              <w:right w:val="single" w:sz="8" w:color="auto"/>
            </w:tcBorders>
          </w:tcPr>
          <w:p>
            <w:pPr>
              <w:jc w:val="center"/>
              <w:ind w:right="521"/>
              <w:spacing w:after="0"/>
              <w:rPr>
                <w:sz w:val="20"/>
                <w:szCs w:val="20"/>
                <w:color w:val="auto"/>
              </w:rPr>
            </w:pPr>
            <w:r>
              <w:rPr>
                <w:rFonts w:ascii="Arial" w:cs="Arial" w:eastAsia="Arial" w:hAnsi="Arial"/>
                <w:sz w:val="20"/>
                <w:szCs w:val="20"/>
                <w:color w:val="auto"/>
                <w:w w:val="93"/>
              </w:rPr>
              <w:t>Loan Maturity Date</w:t>
            </w:r>
          </w:p>
        </w:tc>
        <w:tc>
          <w:tcPr>
            <w:tcW w:w="378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0000FF"/>
                <w:w w:val="89"/>
              </w:rPr>
              <w:t xml:space="preserve">Extended </w:t>
            </w:r>
            <w:r>
              <w:rPr>
                <w:rFonts w:ascii="Arial" w:cs="Arial" w:eastAsia="Arial" w:hAnsi="Arial"/>
                <w:sz w:val="20"/>
                <w:szCs w:val="20"/>
                <w:color w:val="000000"/>
                <w:w w:val="89"/>
              </w:rPr>
              <w:t>Tranche A Term Loans</w:t>
            </w: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62"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0000FF"/>
        </w:rPr>
        <w:t>Each 2019 Extended Tranche A Term Lender acknowledges and agrees that otherwise applicable amortization payments prior to December 31, 2017 have been reduced to zero as a result of voluntary prepayments made prior to the Amendment No. 2 Effective Date.</w:t>
      </w:r>
    </w:p>
    <w:p>
      <w:pPr>
        <w:spacing w:after="0" w:line="132" w:lineRule="exact"/>
        <w:rPr>
          <w:sz w:val="20"/>
          <w:szCs w:val="20"/>
          <w:color w:val="auto"/>
        </w:rPr>
      </w:pPr>
    </w:p>
    <w:p>
      <w:pPr>
        <w:ind w:firstLine="1305"/>
        <w:spacing w:after="0" w:line="297" w:lineRule="auto"/>
        <w:tabs>
          <w:tab w:leader="none" w:pos="2197" w:val="left"/>
        </w:tabs>
        <w:numPr>
          <w:ilvl w:val="0"/>
          <w:numId w:val="74"/>
        </w:numPr>
        <w:rPr>
          <w:rFonts w:ascii="Arial" w:cs="Arial" w:eastAsia="Arial" w:hAnsi="Arial"/>
          <w:sz w:val="19"/>
          <w:szCs w:val="19"/>
          <w:color w:val="0827ED"/>
        </w:rPr>
      </w:pPr>
      <w:r>
        <w:rPr>
          <w:rFonts w:ascii="Arial" w:cs="Arial" w:eastAsia="Arial" w:hAnsi="Arial"/>
          <w:sz w:val="19"/>
          <w:szCs w:val="19"/>
          <w:color w:val="FF0000"/>
          <w:strike w:val="1"/>
        </w:rPr>
        <w:t>(c)</w:t>
      </w:r>
      <w:r>
        <w:rPr>
          <w:rFonts w:ascii="Arial" w:cs="Arial" w:eastAsia="Arial" w:hAnsi="Arial"/>
          <w:sz w:val="19"/>
          <w:szCs w:val="19"/>
          <w:color w:val="FF0000"/>
        </w:rPr>
        <w:t xml:space="preserve"> </w:t>
      </w:r>
      <w:r>
        <w:rPr>
          <w:rFonts w:ascii="Arial" w:cs="Arial" w:eastAsia="Arial" w:hAnsi="Arial"/>
          <w:sz w:val="19"/>
          <w:szCs w:val="19"/>
          <w:color w:val="000000"/>
        </w:rPr>
        <w:t>The Borrower shall repay to the Administrative Agent, for the benefit of the Initial Tranche B Term</w:t>
      </w:r>
      <w:r>
        <w:rPr>
          <w:rFonts w:ascii="Arial" w:cs="Arial" w:eastAsia="Arial" w:hAnsi="Arial"/>
          <w:sz w:val="19"/>
          <w:szCs w:val="19"/>
          <w:color w:val="FF0000"/>
        </w:rPr>
        <w:t xml:space="preserve"> </w:t>
      </w:r>
      <w:r>
        <w:rPr>
          <w:rFonts w:ascii="Arial" w:cs="Arial" w:eastAsia="Arial" w:hAnsi="Arial"/>
          <w:sz w:val="19"/>
          <w:szCs w:val="19"/>
          <w:color w:val="000000"/>
        </w:rPr>
        <w:t>Lenders, on each date set forth below (each, an “</w:t>
      </w:r>
      <w:r>
        <w:rPr>
          <w:rFonts w:ascii="Arial" w:cs="Arial" w:eastAsia="Arial" w:hAnsi="Arial"/>
          <w:sz w:val="19"/>
          <w:szCs w:val="19"/>
          <w:u w:val="single" w:color="auto"/>
          <w:color w:val="000000"/>
        </w:rPr>
        <w:t>Initial Tranche B Term Loan Repayment Date</w:t>
      </w:r>
      <w:r>
        <w:rPr>
          <w:rFonts w:ascii="Arial" w:cs="Arial" w:eastAsia="Arial" w:hAnsi="Arial"/>
          <w:sz w:val="19"/>
          <w:szCs w:val="19"/>
          <w:color w:val="000000"/>
        </w:rPr>
        <w:t>”), a principal amount of the Initial Tranche B Term Loans (each such amount, an “</w:t>
      </w:r>
      <w:r>
        <w:rPr>
          <w:rFonts w:ascii="Arial" w:cs="Arial" w:eastAsia="Arial" w:hAnsi="Arial"/>
          <w:sz w:val="19"/>
          <w:szCs w:val="19"/>
          <w:u w:val="single" w:color="auto"/>
          <w:color w:val="000000"/>
        </w:rPr>
        <w:t>Initial Tranche B Term Loan Repayment Amount</w:t>
      </w:r>
      <w:r>
        <w:rPr>
          <w:rFonts w:ascii="Arial" w:cs="Arial" w:eastAsia="Arial" w:hAnsi="Arial"/>
          <w:sz w:val="19"/>
          <w:szCs w:val="19"/>
          <w:color w:val="000000"/>
        </w:rPr>
        <w:t>”) (as such principal amount may be reduced by, and after giving effect to, any voluntary and mandatory prepayments made in accordance with Section 5 or as contemplated by Section 2.15), in each case as set forth below opposite such Initial Tranche B Term Loan Repayment Date:</w:t>
      </w:r>
    </w:p>
    <w:p>
      <w:pPr>
        <w:spacing w:after="0" w:line="54" w:lineRule="exact"/>
        <w:rPr>
          <w:sz w:val="20"/>
          <w:szCs w:val="20"/>
          <w:color w:val="auto"/>
        </w:rPr>
      </w:pPr>
    </w:p>
    <w:tbl>
      <w:tblPr>
        <w:tblLayout w:type="fixed"/>
        <w:tblInd w:w="2250" w:type="dxa"/>
        <w:tblCellMar>
          <w:top w:w="0" w:type="dxa"/>
          <w:left w:w="0" w:type="dxa"/>
          <w:bottom w:w="0" w:type="dxa"/>
          <w:right w:w="0" w:type="dxa"/>
        </w:tblCellMar>
      </w:tblPr>
      <w:tr>
        <w:trPr>
          <w:trHeight w:val="230"/>
        </w:trPr>
        <w:tc>
          <w:tcPr>
            <w:tcW w:w="500" w:type="dxa"/>
            <w:vAlign w:val="bottom"/>
            <w:tcBorders>
              <w:top w:val="single" w:sz="8" w:color="auto"/>
              <w:left w:val="single" w:sz="8" w:color="auto"/>
            </w:tcBorders>
          </w:tcPr>
          <w:p>
            <w:pPr>
              <w:spacing w:after="0"/>
              <w:rPr>
                <w:sz w:val="19"/>
                <w:szCs w:val="19"/>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2"/>
              </w:rPr>
              <w:t>Initial Tranche B Term Loan</w:t>
            </w:r>
          </w:p>
        </w:tc>
        <w:tc>
          <w:tcPr>
            <w:tcW w:w="520" w:type="dxa"/>
            <w:vAlign w:val="bottom"/>
            <w:tcBorders>
              <w:top w:val="single" w:sz="8" w:color="auto"/>
              <w:right w:val="single" w:sz="8" w:color="auto"/>
            </w:tcBorders>
          </w:tcPr>
          <w:p>
            <w:pPr>
              <w:spacing w:after="0"/>
              <w:rPr>
                <w:sz w:val="19"/>
                <w:szCs w:val="19"/>
                <w:color w:val="auto"/>
              </w:rPr>
            </w:pPr>
          </w:p>
        </w:tc>
        <w:tc>
          <w:tcPr>
            <w:tcW w:w="368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20"/>
                <w:szCs w:val="20"/>
                <w:color w:val="auto"/>
                <w:w w:val="90"/>
              </w:rPr>
              <w:t>Initial Tranche B Term Loan Repayment</w:t>
            </w:r>
          </w:p>
        </w:tc>
      </w:tr>
      <w:tr>
        <w:trPr>
          <w:trHeight w:val="210"/>
        </w:trPr>
        <w:tc>
          <w:tcPr>
            <w:tcW w:w="500" w:type="dxa"/>
            <w:vAlign w:val="bottom"/>
            <w:tcBorders>
              <w:lef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480"/>
              <w:spacing w:after="0" w:line="209" w:lineRule="exact"/>
              <w:rPr>
                <w:sz w:val="20"/>
                <w:szCs w:val="20"/>
                <w:color w:val="auto"/>
              </w:rPr>
            </w:pPr>
            <w:r>
              <w:rPr>
                <w:rFonts w:ascii="Arial" w:cs="Arial" w:eastAsia="Arial" w:hAnsi="Arial"/>
                <w:sz w:val="20"/>
                <w:szCs w:val="20"/>
                <w:color w:val="auto"/>
                <w:w w:val="87"/>
              </w:rPr>
              <w:t>Repayment Date</w:t>
            </w:r>
          </w:p>
        </w:tc>
        <w:tc>
          <w:tcPr>
            <w:tcW w:w="5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jc w:val="center"/>
              <w:ind w:right="1280"/>
              <w:spacing w:after="0" w:line="209" w:lineRule="exact"/>
              <w:rPr>
                <w:sz w:val="20"/>
                <w:szCs w:val="20"/>
                <w:color w:val="auto"/>
              </w:rPr>
            </w:pPr>
            <w:r>
              <w:rPr>
                <w:rFonts w:ascii="Arial" w:cs="Arial" w:eastAsia="Arial" w:hAnsi="Arial"/>
                <w:sz w:val="20"/>
                <w:szCs w:val="20"/>
                <w:color w:val="auto"/>
                <w:w w:val="92"/>
              </w:rPr>
              <w:t>Amount</w:t>
            </w:r>
          </w:p>
        </w:tc>
        <w:tc>
          <w:tcPr>
            <w:tcW w:w="260" w:type="dxa"/>
            <w:vAlign w:val="bottom"/>
            <w:tcBorders>
              <w:right w:val="single" w:sz="8" w:color="auto"/>
            </w:tcBorders>
          </w:tcPr>
          <w:p>
            <w:pPr>
              <w:spacing w:after="0"/>
              <w:rPr>
                <w:sz w:val="18"/>
                <w:szCs w:val="18"/>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June 30, 2012</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September 30, 2012</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December 31, 2012</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March 31, 2013</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June 30, 2013</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September 30, 2013</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December 31, 2013</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March 31, 2014</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June 30, 2014</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September 30, 2014</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December 31, 2014</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March 31, 2015</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June 30, 2015</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September 30, 2015</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December 31, 2015</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March 31, 2016</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June 30, 2016</w:t>
            </w:r>
          </w:p>
        </w:tc>
        <w:tc>
          <w:tcPr>
            <w:tcW w:w="3420" w:type="dxa"/>
            <w:vAlign w:val="bottom"/>
            <w:gridSpan w:val="4"/>
          </w:tcPr>
          <w:p>
            <w:pPr>
              <w:jc w:val="center"/>
              <w:ind w:left="121"/>
              <w:spacing w:after="0"/>
              <w:rPr>
                <w:sz w:val="20"/>
                <w:szCs w:val="20"/>
                <w:color w:val="auto"/>
              </w:rPr>
            </w:pPr>
            <w:r>
              <w:rPr>
                <w:rFonts w:ascii="Arial" w:cs="Arial" w:eastAsia="Arial" w:hAnsi="Arial"/>
                <w:sz w:val="20"/>
                <w:szCs w:val="20"/>
                <w:color w:val="auto"/>
                <w:w w:val="87"/>
              </w:rPr>
              <w:t>$1,537,500</w:t>
            </w:r>
          </w:p>
        </w:tc>
        <w:tc>
          <w:tcPr>
            <w:tcW w:w="260" w:type="dxa"/>
            <w:vAlign w:val="bottom"/>
            <w:tcBorders>
              <w:right w:val="single" w:sz="8" w:color="auto"/>
            </w:tcBorders>
          </w:tcPr>
          <w:p>
            <w:pPr>
              <w:spacing w:after="0"/>
              <w:rPr>
                <w:sz w:val="22"/>
                <w:szCs w:val="22"/>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94</w:t>
      </w:r>
    </w:p>
    <w:p>
      <w:pPr>
        <w:sectPr>
          <w:pgSz w:w="11900" w:h="16838" w:orient="portrait"/>
          <w:cols w:equalWidth="0" w:num="1">
            <w:col w:w="11280"/>
          </w:cols>
          <w:pgMar w:left="240" w:top="417" w:right="379" w:bottom="1440" w:gutter="0" w:footer="0" w:header="0"/>
        </w:sectPr>
      </w:pPr>
    </w:p>
    <w:bookmarkStart w:id="111" w:name="page112"/>
    <w:bookmarkEnd w:id="111"/>
    <w:tbl>
      <w:tblPr>
        <w:tblLayout w:type="fixed"/>
        <w:tblInd w:w="2250" w:type="dxa"/>
        <w:tblCellMar>
          <w:top w:w="0" w:type="dxa"/>
          <w:left w:w="0" w:type="dxa"/>
          <w:bottom w:w="0" w:type="dxa"/>
          <w:right w:w="0" w:type="dxa"/>
        </w:tblCellMar>
      </w:tblPr>
      <w:tr>
        <w:trPr>
          <w:trHeight w:val="230"/>
        </w:trPr>
        <w:tc>
          <w:tcPr>
            <w:tcW w:w="40" w:type="dxa"/>
            <w:vAlign w:val="bottom"/>
            <w:tcBorders>
              <w:top w:val="single" w:sz="8" w:color="auto"/>
              <w:left w:val="single" w:sz="8" w:color="auto"/>
            </w:tcBorders>
          </w:tcPr>
          <w:p>
            <w:pPr>
              <w:spacing w:after="0"/>
              <w:rPr>
                <w:sz w:val="19"/>
                <w:szCs w:val="19"/>
                <w:color w:val="auto"/>
              </w:rPr>
            </w:pPr>
          </w:p>
        </w:tc>
        <w:tc>
          <w:tcPr>
            <w:tcW w:w="32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20"/>
                <w:szCs w:val="20"/>
                <w:color w:val="auto"/>
                <w:w w:val="90"/>
              </w:rPr>
              <w:t>2013 Incremental Tranche B Term Loan</w:t>
            </w:r>
          </w:p>
        </w:tc>
        <w:tc>
          <w:tcPr>
            <w:tcW w:w="22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gridSpan w:val="4"/>
          </w:tcPr>
          <w:p>
            <w:pPr>
              <w:jc w:val="center"/>
              <w:ind w:right="240"/>
              <w:spacing w:after="0"/>
              <w:rPr>
                <w:sz w:val="20"/>
                <w:szCs w:val="20"/>
                <w:color w:val="auto"/>
              </w:rPr>
            </w:pPr>
            <w:r>
              <w:rPr>
                <w:rFonts w:ascii="Arial" w:cs="Arial" w:eastAsia="Arial" w:hAnsi="Arial"/>
                <w:sz w:val="20"/>
                <w:szCs w:val="20"/>
                <w:color w:val="auto"/>
                <w:w w:val="89"/>
              </w:rPr>
              <w:t>2013 Incremental Tranche B Term Loan</w:t>
            </w:r>
          </w:p>
        </w:tc>
      </w:tr>
      <w:tr>
        <w:trPr>
          <w:trHeight w:val="210"/>
        </w:trPr>
        <w:tc>
          <w:tcPr>
            <w:tcW w:w="40" w:type="dxa"/>
            <w:vAlign w:val="bottom"/>
            <w:tcBorders>
              <w:left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color w:val="auto"/>
              </w:rPr>
              <w:t>Repayment Date</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90"/>
              </w:rPr>
              <w:t>Repayment Amount</w:t>
            </w:r>
          </w:p>
        </w:tc>
        <w:tc>
          <w:tcPr>
            <w:tcW w:w="260" w:type="dxa"/>
            <w:vAlign w:val="bottom"/>
            <w:tcBorders>
              <w:right w:val="single" w:sz="8" w:color="auto"/>
            </w:tcBorders>
          </w:tcPr>
          <w:p>
            <w:pPr>
              <w:spacing w:after="0"/>
              <w:rPr>
                <w:sz w:val="18"/>
                <w:szCs w:val="18"/>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0" w:type="dxa"/>
            <w:vAlign w:val="bottom"/>
            <w:tcBorders>
              <w:top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September 30, 2017</w:t>
            </w:r>
          </w:p>
        </w:tc>
        <w:tc>
          <w:tcPr>
            <w:tcW w:w="2620" w:type="dxa"/>
            <w:vAlign w:val="bottom"/>
            <w:gridSpan w:val="3"/>
          </w:tcPr>
          <w:p>
            <w:pPr>
              <w:jc w:val="center"/>
              <w:ind w:left="921"/>
              <w:spacing w:after="0"/>
              <w:rPr>
                <w:sz w:val="20"/>
                <w:szCs w:val="20"/>
                <w:color w:val="auto"/>
              </w:rPr>
            </w:pPr>
            <w:r>
              <w:rPr>
                <w:rFonts w:ascii="Arial" w:cs="Arial" w:eastAsia="Arial" w:hAnsi="Arial"/>
                <w:sz w:val="20"/>
                <w:szCs w:val="20"/>
                <w:color w:val="auto"/>
                <w:w w:val="87"/>
              </w:rPr>
              <w:t>$2,709,625</w:t>
            </w:r>
          </w:p>
        </w:tc>
        <w:tc>
          <w:tcPr>
            <w:tcW w:w="8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December 31, 2017</w:t>
            </w:r>
          </w:p>
        </w:tc>
        <w:tc>
          <w:tcPr>
            <w:tcW w:w="2620" w:type="dxa"/>
            <w:vAlign w:val="bottom"/>
            <w:gridSpan w:val="3"/>
          </w:tcPr>
          <w:p>
            <w:pPr>
              <w:jc w:val="center"/>
              <w:ind w:left="921"/>
              <w:spacing w:after="0"/>
              <w:rPr>
                <w:sz w:val="20"/>
                <w:szCs w:val="20"/>
                <w:color w:val="auto"/>
              </w:rPr>
            </w:pPr>
            <w:r>
              <w:rPr>
                <w:rFonts w:ascii="Arial" w:cs="Arial" w:eastAsia="Arial" w:hAnsi="Arial"/>
                <w:sz w:val="20"/>
                <w:szCs w:val="20"/>
                <w:color w:val="auto"/>
                <w:w w:val="87"/>
              </w:rPr>
              <w:t>$2,709,625</w:t>
            </w:r>
          </w:p>
        </w:tc>
        <w:tc>
          <w:tcPr>
            <w:tcW w:w="8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March 31, 2018</w:t>
            </w:r>
          </w:p>
        </w:tc>
        <w:tc>
          <w:tcPr>
            <w:tcW w:w="2620" w:type="dxa"/>
            <w:vAlign w:val="bottom"/>
            <w:gridSpan w:val="3"/>
          </w:tcPr>
          <w:p>
            <w:pPr>
              <w:jc w:val="center"/>
              <w:ind w:left="921"/>
              <w:spacing w:after="0"/>
              <w:rPr>
                <w:sz w:val="20"/>
                <w:szCs w:val="20"/>
                <w:color w:val="auto"/>
              </w:rPr>
            </w:pPr>
            <w:r>
              <w:rPr>
                <w:rFonts w:ascii="Arial" w:cs="Arial" w:eastAsia="Arial" w:hAnsi="Arial"/>
                <w:sz w:val="20"/>
                <w:szCs w:val="20"/>
                <w:color w:val="auto"/>
                <w:w w:val="87"/>
              </w:rPr>
              <w:t>$2,709,625</w:t>
            </w:r>
          </w:p>
        </w:tc>
        <w:tc>
          <w:tcPr>
            <w:tcW w:w="8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June 30, 2018</w:t>
            </w:r>
          </w:p>
        </w:tc>
        <w:tc>
          <w:tcPr>
            <w:tcW w:w="2620" w:type="dxa"/>
            <w:vAlign w:val="bottom"/>
            <w:gridSpan w:val="3"/>
          </w:tcPr>
          <w:p>
            <w:pPr>
              <w:jc w:val="center"/>
              <w:ind w:left="921"/>
              <w:spacing w:after="0"/>
              <w:rPr>
                <w:sz w:val="20"/>
                <w:szCs w:val="20"/>
                <w:color w:val="auto"/>
              </w:rPr>
            </w:pPr>
            <w:r>
              <w:rPr>
                <w:rFonts w:ascii="Arial" w:cs="Arial" w:eastAsia="Arial" w:hAnsi="Arial"/>
                <w:sz w:val="20"/>
                <w:szCs w:val="20"/>
                <w:color w:val="auto"/>
                <w:w w:val="87"/>
              </w:rPr>
              <w:t>$2,709,625</w:t>
            </w:r>
          </w:p>
        </w:tc>
        <w:tc>
          <w:tcPr>
            <w:tcW w:w="8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September 30, 2018</w:t>
            </w:r>
          </w:p>
        </w:tc>
        <w:tc>
          <w:tcPr>
            <w:tcW w:w="2620" w:type="dxa"/>
            <w:vAlign w:val="bottom"/>
            <w:gridSpan w:val="3"/>
          </w:tcPr>
          <w:p>
            <w:pPr>
              <w:jc w:val="center"/>
              <w:ind w:left="921"/>
              <w:spacing w:after="0"/>
              <w:rPr>
                <w:sz w:val="20"/>
                <w:szCs w:val="20"/>
                <w:color w:val="auto"/>
              </w:rPr>
            </w:pPr>
            <w:r>
              <w:rPr>
                <w:rFonts w:ascii="Arial" w:cs="Arial" w:eastAsia="Arial" w:hAnsi="Arial"/>
                <w:sz w:val="20"/>
                <w:szCs w:val="20"/>
                <w:color w:val="auto"/>
                <w:w w:val="87"/>
              </w:rPr>
              <w:t>$2,709,625</w:t>
            </w:r>
          </w:p>
        </w:tc>
        <w:tc>
          <w:tcPr>
            <w:tcW w:w="8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December 31, 2018</w:t>
            </w:r>
          </w:p>
        </w:tc>
        <w:tc>
          <w:tcPr>
            <w:tcW w:w="2620" w:type="dxa"/>
            <w:vAlign w:val="bottom"/>
            <w:gridSpan w:val="3"/>
          </w:tcPr>
          <w:p>
            <w:pPr>
              <w:jc w:val="center"/>
              <w:ind w:left="921"/>
              <w:spacing w:after="0"/>
              <w:rPr>
                <w:sz w:val="20"/>
                <w:szCs w:val="20"/>
                <w:color w:val="auto"/>
              </w:rPr>
            </w:pPr>
            <w:r>
              <w:rPr>
                <w:rFonts w:ascii="Arial" w:cs="Arial" w:eastAsia="Arial" w:hAnsi="Arial"/>
                <w:sz w:val="20"/>
                <w:szCs w:val="20"/>
                <w:color w:val="auto"/>
                <w:w w:val="87"/>
              </w:rPr>
              <w:t>$2,709,625</w:t>
            </w:r>
          </w:p>
        </w:tc>
        <w:tc>
          <w:tcPr>
            <w:tcW w:w="8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3"/>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w w:val="90"/>
              </w:rPr>
              <w:t>2013 Incremental Tranche B Term Loan</w:t>
            </w:r>
          </w:p>
        </w:tc>
        <w:tc>
          <w:tcPr>
            <w:tcW w:w="220" w:type="dxa"/>
            <w:vAlign w:val="bottom"/>
          </w:tcPr>
          <w:p>
            <w:pPr>
              <w:spacing w:after="0"/>
              <w:rPr>
                <w:sz w:val="20"/>
                <w:szCs w:val="20"/>
                <w:color w:val="auto"/>
              </w:rPr>
            </w:pPr>
          </w:p>
        </w:tc>
        <w:tc>
          <w:tcPr>
            <w:tcW w:w="346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20"/>
                <w:szCs w:val="20"/>
                <w:color w:val="auto"/>
                <w:w w:val="89"/>
              </w:rPr>
              <w:t>Balance of 2013 Incremental Tranche B</w:t>
            </w:r>
          </w:p>
        </w:tc>
      </w:tr>
      <w:tr>
        <w:trPr>
          <w:trHeight w:val="250"/>
        </w:trPr>
        <w:tc>
          <w:tcPr>
            <w:tcW w:w="33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color w:val="auto"/>
              </w:rPr>
              <w:t>Maturity Date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60" w:type="dxa"/>
            <w:vAlign w:val="bottom"/>
            <w:tcBorders>
              <w:right w:val="single" w:sz="8" w:color="auto"/>
            </w:tcBorders>
            <w:gridSpan w:val="3"/>
          </w:tcPr>
          <w:p>
            <w:pPr>
              <w:jc w:val="center"/>
              <w:ind w:right="1060"/>
              <w:spacing w:after="0"/>
              <w:rPr>
                <w:sz w:val="20"/>
                <w:szCs w:val="20"/>
                <w:color w:val="auto"/>
              </w:rPr>
            </w:pPr>
            <w:r>
              <w:rPr>
                <w:rFonts w:ascii="Arial" w:cs="Arial" w:eastAsia="Arial" w:hAnsi="Arial"/>
                <w:sz w:val="20"/>
                <w:szCs w:val="20"/>
                <w:color w:val="auto"/>
                <w:w w:val="89"/>
              </w:rPr>
              <w:t>Term Loans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bl>
    <w:p>
      <w:pPr>
        <w:spacing w:after="0" w:line="154" w:lineRule="exact"/>
        <w:rPr>
          <w:sz w:val="20"/>
          <w:szCs w:val="20"/>
          <w:color w:val="auto"/>
        </w:rPr>
      </w:pPr>
    </w:p>
    <w:p>
      <w:pPr>
        <w:ind w:right="20" w:firstLine="1305"/>
        <w:spacing w:after="0" w:line="258" w:lineRule="auto"/>
        <w:tabs>
          <w:tab w:leader="none" w:pos="2185" w:val="left"/>
        </w:tabs>
        <w:numPr>
          <w:ilvl w:val="0"/>
          <w:numId w:val="75"/>
        </w:numPr>
        <w:rPr>
          <w:rFonts w:ascii="Arial" w:cs="Arial" w:eastAsia="Arial" w:hAnsi="Arial"/>
          <w:sz w:val="21"/>
          <w:szCs w:val="21"/>
          <w:color w:val="0827ED"/>
        </w:rPr>
      </w:pPr>
      <w:r>
        <w:rPr>
          <w:rFonts w:ascii="Arial" w:cs="Arial" w:eastAsia="Arial" w:hAnsi="Arial"/>
          <w:sz w:val="21"/>
          <w:szCs w:val="21"/>
          <w:color w:val="FF0000"/>
          <w:strike w:val="1"/>
        </w:rPr>
        <w:t>(d)</w:t>
      </w:r>
      <w:r>
        <w:rPr>
          <w:rFonts w:ascii="Arial" w:cs="Arial" w:eastAsia="Arial" w:hAnsi="Arial"/>
          <w:sz w:val="21"/>
          <w:szCs w:val="21"/>
          <w:color w:val="FF0000"/>
        </w:rPr>
        <w:t xml:space="preserve"> </w:t>
      </w:r>
      <w:r>
        <w:rPr>
          <w:rFonts w:ascii="Arial" w:cs="Arial" w:eastAsia="Arial" w:hAnsi="Arial"/>
          <w:sz w:val="21"/>
          <w:szCs w:val="21"/>
          <w:color w:val="000000"/>
        </w:rPr>
        <w:t>In the event any Incremental Term Loans are made, such Incremental Term Loans shall mature and be</w:t>
      </w:r>
      <w:r>
        <w:rPr>
          <w:rFonts w:ascii="Arial" w:cs="Arial" w:eastAsia="Arial" w:hAnsi="Arial"/>
          <w:sz w:val="21"/>
          <w:szCs w:val="21"/>
          <w:color w:val="FF0000"/>
        </w:rPr>
        <w:t xml:space="preserve"> </w:t>
      </w:r>
      <w:r>
        <w:rPr>
          <w:rFonts w:ascii="Arial" w:cs="Arial" w:eastAsia="Arial" w:hAnsi="Arial"/>
          <w:sz w:val="21"/>
          <w:szCs w:val="21"/>
          <w:color w:val="000000"/>
        </w:rPr>
        <w:t>repaid in amounts (each such amount, an “</w:t>
      </w:r>
      <w:r>
        <w:rPr>
          <w:rFonts w:ascii="Arial" w:cs="Arial" w:eastAsia="Arial" w:hAnsi="Arial"/>
          <w:sz w:val="21"/>
          <w:szCs w:val="21"/>
          <w:u w:val="single" w:color="auto"/>
          <w:color w:val="000000"/>
        </w:rPr>
        <w:t>Incremental Term Loan Repayment Amount</w:t>
      </w:r>
      <w:r>
        <w:rPr>
          <w:rFonts w:ascii="Arial" w:cs="Arial" w:eastAsia="Arial" w:hAnsi="Arial"/>
          <w:sz w:val="21"/>
          <w:szCs w:val="21"/>
          <w:color w:val="000000"/>
        </w:rPr>
        <w:t>”) and on dates as agreed between the Borrower and the relevant Lenders of such Incremental Term Loans in the applicable Incremental Agreement (each an “</w:t>
      </w:r>
      <w:r>
        <w:rPr>
          <w:rFonts w:ascii="Arial" w:cs="Arial" w:eastAsia="Arial" w:hAnsi="Arial"/>
          <w:sz w:val="21"/>
          <w:szCs w:val="21"/>
          <w:u w:val="single" w:color="auto"/>
          <w:color w:val="000000"/>
        </w:rPr>
        <w:t>Incremental Term Loan Repayment Date</w:t>
      </w:r>
      <w:r>
        <w:rPr>
          <w:rFonts w:ascii="Arial" w:cs="Arial" w:eastAsia="Arial" w:hAnsi="Arial"/>
          <w:sz w:val="21"/>
          <w:szCs w:val="21"/>
          <w:color w:val="000000"/>
        </w:rPr>
        <w:t>”), subject to the requirements set forth in Section 2.14. In the event that any Extended Term Loans are established, such Extended Term Loans shall, subject to the requirements of Section 2.15, mature and be repaid by the Borrower in the amounts (each such amount, an “</w:t>
      </w:r>
      <w:r>
        <w:rPr>
          <w:rFonts w:ascii="Arial" w:cs="Arial" w:eastAsia="Arial" w:hAnsi="Arial"/>
          <w:sz w:val="21"/>
          <w:szCs w:val="21"/>
          <w:u w:val="single" w:color="auto"/>
          <w:color w:val="000000"/>
        </w:rPr>
        <w:t>Extended Term Loan Repayment Amount</w:t>
      </w:r>
      <w:r>
        <w:rPr>
          <w:rFonts w:ascii="Arial" w:cs="Arial" w:eastAsia="Arial" w:hAnsi="Arial"/>
          <w:sz w:val="21"/>
          <w:szCs w:val="21"/>
          <w:color w:val="000000"/>
        </w:rPr>
        <w:t>”) and on the dates (each an “</w:t>
      </w:r>
      <w:r>
        <w:rPr>
          <w:rFonts w:ascii="Arial" w:cs="Arial" w:eastAsia="Arial" w:hAnsi="Arial"/>
          <w:sz w:val="21"/>
          <w:szCs w:val="21"/>
          <w:u w:val="single" w:color="auto"/>
          <w:color w:val="000000"/>
        </w:rPr>
        <w:t>Extended Repayment Date</w:t>
      </w:r>
      <w:r>
        <w:rPr>
          <w:rFonts w:ascii="Arial" w:cs="Arial" w:eastAsia="Arial" w:hAnsi="Arial"/>
          <w:sz w:val="21"/>
          <w:szCs w:val="21"/>
          <w:color w:val="000000"/>
        </w:rPr>
        <w:t>”) set forth in the applicable Extension Agreement. In the event any Extended Revolving Credit Commitments are established, such Extended Revolving Credit Commitments shall, subject to the requirements of Section 2.15, be terminated (and all Extended Revolving Credit Loans of the same Extension Series repaid) on the dates set forth in the applicable Extension Agreement.</w:t>
      </w:r>
    </w:p>
    <w:p>
      <w:pPr>
        <w:spacing w:after="0" w:line="294" w:lineRule="exact"/>
        <w:rPr>
          <w:rFonts w:ascii="Arial" w:cs="Arial" w:eastAsia="Arial" w:hAnsi="Arial"/>
          <w:sz w:val="21"/>
          <w:szCs w:val="21"/>
          <w:color w:val="0827ED"/>
        </w:rPr>
      </w:pPr>
    </w:p>
    <w:p>
      <w:pPr>
        <w:ind w:firstLine="1305"/>
        <w:spacing w:after="0" w:line="250" w:lineRule="auto"/>
        <w:tabs>
          <w:tab w:leader="none" w:pos="2161" w:val="left"/>
        </w:tabs>
        <w:numPr>
          <w:ilvl w:val="0"/>
          <w:numId w:val="75"/>
        </w:numPr>
        <w:rPr>
          <w:rFonts w:ascii="Arial" w:cs="Arial" w:eastAsia="Arial" w:hAnsi="Arial"/>
          <w:sz w:val="22"/>
          <w:szCs w:val="22"/>
          <w:color w:val="0827ED"/>
        </w:rPr>
      </w:pPr>
      <w:r>
        <w:rPr>
          <w:rFonts w:ascii="Arial" w:cs="Arial" w:eastAsia="Arial" w:hAnsi="Arial"/>
          <w:sz w:val="22"/>
          <w:szCs w:val="22"/>
          <w:color w:val="FF0000"/>
          <w:strike w:val="1"/>
        </w:rPr>
        <w:t>(e)</w:t>
      </w:r>
      <w:r>
        <w:rPr>
          <w:rFonts w:ascii="Arial" w:cs="Arial" w:eastAsia="Arial" w:hAnsi="Arial"/>
          <w:sz w:val="22"/>
          <w:szCs w:val="22"/>
          <w:color w:val="FF0000"/>
        </w:rPr>
        <w:t xml:space="preserve"> </w:t>
      </w:r>
      <w:r>
        <w:rPr>
          <w:rFonts w:ascii="Arial" w:cs="Arial" w:eastAsia="Arial" w:hAnsi="Arial"/>
          <w:sz w:val="22"/>
          <w:szCs w:val="22"/>
          <w:color w:val="000000"/>
        </w:rPr>
        <w:t>Each Lender shall maintain in accordance with its usual practice an account or accounts evidencing the</w:t>
      </w:r>
      <w:r>
        <w:rPr>
          <w:rFonts w:ascii="Arial" w:cs="Arial" w:eastAsia="Arial" w:hAnsi="Arial"/>
          <w:sz w:val="22"/>
          <w:szCs w:val="22"/>
          <w:color w:val="FF0000"/>
        </w:rPr>
        <w:t xml:space="preserve"> </w:t>
      </w:r>
      <w:r>
        <w:rPr>
          <w:rFonts w:ascii="Arial" w:cs="Arial" w:eastAsia="Arial" w:hAnsi="Arial"/>
          <w:sz w:val="22"/>
          <w:szCs w:val="22"/>
          <w:color w:val="000000"/>
        </w:rPr>
        <w:t>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296" w:lineRule="exact"/>
        <w:rPr>
          <w:rFonts w:ascii="Arial" w:cs="Arial" w:eastAsia="Arial" w:hAnsi="Arial"/>
          <w:sz w:val="22"/>
          <w:szCs w:val="22"/>
          <w:color w:val="0827ED"/>
        </w:rPr>
      </w:pPr>
    </w:p>
    <w:p>
      <w:pPr>
        <w:ind w:left="2200" w:hanging="895"/>
        <w:spacing w:after="0"/>
        <w:tabs>
          <w:tab w:leader="none" w:pos="2200" w:val="left"/>
        </w:tabs>
        <w:numPr>
          <w:ilvl w:val="0"/>
          <w:numId w:val="75"/>
        </w:numPr>
        <w:rPr>
          <w:rFonts w:ascii="Arial" w:cs="Arial" w:eastAsia="Arial" w:hAnsi="Arial"/>
          <w:sz w:val="21"/>
          <w:szCs w:val="21"/>
          <w:color w:val="0827ED"/>
        </w:rPr>
      </w:pPr>
      <w:r>
        <w:rPr>
          <w:rFonts w:ascii="Arial" w:cs="Arial" w:eastAsia="Arial" w:hAnsi="Arial"/>
          <w:sz w:val="21"/>
          <w:szCs w:val="21"/>
          <w:color w:val="FF0000"/>
          <w:strike w:val="1"/>
        </w:rPr>
        <w:t>(f)</w:t>
      </w:r>
      <w:r>
        <w:rPr>
          <w:rFonts w:ascii="Arial" w:cs="Arial" w:eastAsia="Arial" w:hAnsi="Arial"/>
          <w:sz w:val="21"/>
          <w:szCs w:val="21"/>
          <w:color w:val="FF0000"/>
        </w:rPr>
        <w:t xml:space="preserve"> </w:t>
      </w:r>
      <w:r>
        <w:rPr>
          <w:rFonts w:ascii="Arial" w:cs="Arial" w:eastAsia="Arial" w:hAnsi="Arial"/>
          <w:sz w:val="21"/>
          <w:szCs w:val="21"/>
          <w:color w:val="000000"/>
        </w:rPr>
        <w:t>The Administrative Agent, on behalf of the Borrower, shall maintain the Register pursuant to</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13.6(b) and a subaccount for each Lender, in which the Register and the subaccounts (taken together) shall be recorded</w:t>
      </w:r>
    </w:p>
    <w:p>
      <w:pPr>
        <w:spacing w:after="0" w:line="38" w:lineRule="exact"/>
        <w:rPr>
          <w:sz w:val="20"/>
          <w:szCs w:val="20"/>
          <w:color w:val="auto"/>
        </w:rPr>
      </w:pPr>
    </w:p>
    <w:p>
      <w:pPr>
        <w:ind w:firstLine="8"/>
        <w:spacing w:after="0" w:line="287" w:lineRule="auto"/>
        <w:tabs>
          <w:tab w:leader="none" w:pos="25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amount of each Loan made hereunder, whether such Loan is </w:t>
      </w:r>
      <w:r>
        <w:rPr>
          <w:rFonts w:ascii="Arial" w:cs="Arial" w:eastAsia="Arial" w:hAnsi="Arial"/>
          <w:sz w:val="19"/>
          <w:szCs w:val="19"/>
          <w:color w:val="FF0000"/>
          <w:strike w:val="1"/>
        </w:rPr>
        <w:t>an</w:t>
      </w:r>
      <w:r>
        <w:rPr>
          <w:rFonts w:ascii="Arial" w:cs="Arial" w:eastAsia="Arial" w:hAnsi="Arial"/>
          <w:sz w:val="19"/>
          <w:szCs w:val="19"/>
          <w:color w:val="0000FF"/>
        </w:rPr>
        <w:t>a 2017</w:t>
      </w:r>
      <w:r>
        <w:rPr>
          <w:rFonts w:ascii="Arial" w:cs="Arial" w:eastAsia="Arial" w:hAnsi="Arial"/>
          <w:sz w:val="19"/>
          <w:szCs w:val="19"/>
          <w:color w:val="auto"/>
        </w:rPr>
        <w:t xml:space="preserve"> Initial </w:t>
      </w:r>
      <w:r>
        <w:rPr>
          <w:rFonts w:ascii="Arial" w:cs="Arial" w:eastAsia="Arial" w:hAnsi="Arial"/>
          <w:sz w:val="19"/>
          <w:szCs w:val="19"/>
          <w:color w:val="0000FF"/>
        </w:rPr>
        <w:t>Tranche A Term Loan, a 2019 Extended</w:t>
      </w:r>
      <w:r>
        <w:rPr>
          <w:rFonts w:ascii="Arial" w:cs="Arial" w:eastAsia="Arial" w:hAnsi="Arial"/>
          <w:sz w:val="19"/>
          <w:szCs w:val="19"/>
          <w:color w:val="auto"/>
        </w:rPr>
        <w:t xml:space="preserve"> Tranche A Term Loan, an Initial Tranche B Term Loan, an Incremental Term Loan (and the relevant Class thereof), a Revolving Credit Loan, an Additional/Replacement Revolving Credit Loan (and the relevant Class thereof), an Extended Term Loan (and the relevant Class thereof), an Extended Revolving Credit Loan (and the relevant Class thereof) or a Swingline Loan, as applicable, the Type of each Loan made and the Interest Period, if any, applicable thereto, (ii) the amount of any principal or interest due and payable or to become due and payable from the Borrower to each Lender or the Swingline Lender hereunder, (iii) the amount of any sum received by the Administrative Agent hereunder from the Borrower and each Lender’s share thereof and (iv) any cancellation or retirement of Loans contemplated by Section 13.6(i).</w:t>
      </w:r>
    </w:p>
    <w:p>
      <w:pPr>
        <w:spacing w:after="0" w:line="107"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96</w:t>
      </w:r>
    </w:p>
    <w:p>
      <w:pPr>
        <w:sectPr>
          <w:pgSz w:w="11900" w:h="16838" w:orient="portrait"/>
          <w:cols w:equalWidth="0" w:num="1">
            <w:col w:w="11380"/>
          </w:cols>
          <w:pgMar w:left="240" w:top="255" w:right="279" w:bottom="1440" w:gutter="0" w:footer="0" w:header="0"/>
        </w:sectPr>
      </w:pPr>
    </w:p>
    <w:bookmarkStart w:id="112" w:name="page113"/>
    <w:bookmarkEnd w:id="112"/>
    <w:p>
      <w:pPr>
        <w:ind w:right="20" w:firstLine="1305"/>
        <w:spacing w:after="0" w:line="261" w:lineRule="auto"/>
        <w:tabs>
          <w:tab w:leader="none" w:pos="2194" w:val="left"/>
        </w:tabs>
        <w:numPr>
          <w:ilvl w:val="0"/>
          <w:numId w:val="77"/>
        </w:numPr>
        <w:rPr>
          <w:rFonts w:ascii="Arial" w:cs="Arial" w:eastAsia="Arial" w:hAnsi="Arial"/>
          <w:sz w:val="21"/>
          <w:szCs w:val="21"/>
          <w:color w:val="0827ED"/>
        </w:rPr>
      </w:pPr>
      <w:r>
        <w:rPr>
          <w:rFonts w:ascii="Arial" w:cs="Arial" w:eastAsia="Arial" w:hAnsi="Arial"/>
          <w:sz w:val="21"/>
          <w:szCs w:val="21"/>
          <w:color w:val="FF0000"/>
          <w:strike w:val="1"/>
        </w:rPr>
        <w:t>(g)</w:t>
      </w:r>
      <w:r>
        <w:rPr>
          <w:rFonts w:ascii="Arial" w:cs="Arial" w:eastAsia="Arial" w:hAnsi="Arial"/>
          <w:sz w:val="21"/>
          <w:szCs w:val="21"/>
          <w:color w:val="FF0000"/>
        </w:rPr>
        <w:t xml:space="preserve"> </w:t>
      </w:r>
      <w:r>
        <w:rPr>
          <w:rFonts w:ascii="Arial" w:cs="Arial" w:eastAsia="Arial" w:hAnsi="Arial"/>
          <w:sz w:val="21"/>
          <w:szCs w:val="21"/>
          <w:color w:val="000000"/>
        </w:rPr>
        <w:t>The entries made in the Register and accounts and subaccounts maintained pursuant to paragraphs (</w:t>
      </w:r>
      <w:r>
        <w:rPr>
          <w:rFonts w:ascii="Arial" w:cs="Arial" w:eastAsia="Arial" w:hAnsi="Arial"/>
          <w:sz w:val="21"/>
          <w:szCs w:val="21"/>
          <w:color w:val="FF0000"/>
          <w:strike w:val="1"/>
        </w:rPr>
        <w:t>e</w:t>
      </w:r>
      <w:r>
        <w:rPr>
          <w:rFonts w:ascii="Arial" w:cs="Arial" w:eastAsia="Arial" w:hAnsi="Arial"/>
          <w:sz w:val="21"/>
          <w:szCs w:val="21"/>
          <w:color w:val="0000FF"/>
        </w:rPr>
        <w:t>f</w:t>
      </w:r>
      <w:r>
        <w:rPr>
          <w:rFonts w:ascii="Arial" w:cs="Arial" w:eastAsia="Arial" w:hAnsi="Arial"/>
          <w:sz w:val="21"/>
          <w:szCs w:val="21"/>
          <w:color w:val="000000"/>
        </w:rPr>
        <w:t>)</w:t>
      </w:r>
      <w:r>
        <w:rPr>
          <w:rFonts w:ascii="Arial" w:cs="Arial" w:eastAsia="Arial" w:hAnsi="Arial"/>
          <w:sz w:val="21"/>
          <w:szCs w:val="21"/>
          <w:color w:val="FF0000"/>
        </w:rPr>
        <w:t xml:space="preserve"> </w:t>
      </w:r>
      <w:r>
        <w:rPr>
          <w:rFonts w:ascii="Arial" w:cs="Arial" w:eastAsia="Arial" w:hAnsi="Arial"/>
          <w:sz w:val="21"/>
          <w:szCs w:val="21"/>
          <w:color w:val="000000"/>
        </w:rPr>
        <w:t>and (</w:t>
      </w:r>
      <w:r>
        <w:rPr>
          <w:rFonts w:ascii="Arial" w:cs="Arial" w:eastAsia="Arial" w:hAnsi="Arial"/>
          <w:sz w:val="21"/>
          <w:szCs w:val="21"/>
          <w:color w:val="FF0000"/>
          <w:strike w:val="1"/>
        </w:rPr>
        <w:t>f</w:t>
      </w:r>
      <w:r>
        <w:rPr>
          <w:rFonts w:ascii="Arial" w:cs="Arial" w:eastAsia="Arial" w:hAnsi="Arial"/>
          <w:sz w:val="21"/>
          <w:szCs w:val="21"/>
          <w:color w:val="0000FF"/>
        </w:rPr>
        <w:t>g</w:t>
      </w:r>
      <w:r>
        <w:rPr>
          <w:rFonts w:ascii="Arial" w:cs="Arial" w:eastAsia="Arial" w:hAnsi="Arial"/>
          <w:sz w:val="21"/>
          <w:szCs w:val="21"/>
          <w:color w:val="000000"/>
        </w:rPr>
        <w:t xml:space="preserve">) of this Section 2.5 shall, to the extent permitted by Applicable Law, be prima facie evidence of the existence and amounts of the obligations of the Borrower therein recorded;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spacing w:after="0" w:line="180" w:lineRule="exact"/>
        <w:rPr>
          <w:sz w:val="20"/>
          <w:szCs w:val="20"/>
          <w:color w:val="auto"/>
        </w:rPr>
      </w:pPr>
    </w:p>
    <w:p>
      <w:pPr>
        <w:ind w:firstLine="1945"/>
        <w:spacing w:after="0" w:line="284"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Conversions and Continuations</w:t>
      </w:r>
      <w:r>
        <w:rPr>
          <w:rFonts w:ascii="Arial" w:cs="Arial" w:eastAsia="Arial" w:hAnsi="Arial"/>
          <w:sz w:val="19"/>
          <w:szCs w:val="19"/>
          <w:color w:val="auto"/>
        </w:rPr>
        <w:t xml:space="preserve">. (a) The Borrower shall have the option on any Business Day, subject to Section 2.11, to convert all or a portion equal to at least the Minimum Borrowing Amount of the outstanding principal amount of Term Loans, Revolving Credit Loans, Additional/Replacement Revolving Credit Loans or Extended Revolving Credit Loans of one Type into a Borrowing or Borrowings of another Type and except as otherwise provided herein the Borrower shall have the option on the last day of an Interest Period to continue the outstanding principal amount of any Eurodollar Loans as Eurodollar Loans for an additional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partial conversion of Eurodollar Loans shall reduce the outstanding principal amount of Eurodollar Loans made pursuant to a single Borrowing to less than the Minimum Borrowing Amount, (ii) ABR Loans may not be converted into Eurodollar Loans if an Event of Default is in existence on the date of the conversion and the Administrative Agent has, or the Required Credit Facility Lenders with respect to any such Credit Facility have, determined in its or their sole discretion not to permit such conversion, (iii) Eurodollar Loans may not be continued as Eurodollar Loans for an additional Interest Period if an Event of Default is in existence on the date of the proposed continuation and the Administrative Agent has, or the Required Credit Facility Lenders with respect to any such Credit Facility have, determined in its or their sole discretion not to permit such continuation and (iv) Borrowings resulting from conversions pursuant to this Section 2.6 shall be limited in number as provided in Section 2.2. Each such conversion or continuation shall be effected by the Borrower giving the Administrative Agent at the Administrative Agent’s Office prior to 1:00 p.m. (New York City time) at least (i) three Business Days’, in the case of a continuation of, or conversion to, Eurodollar Loans or (ii) one Business Day’s, in the case of a conversion into ABR Loans, prior written notice (or telephonic notice promptly confirmed in writing) (each, a “</w:t>
      </w:r>
      <w:r>
        <w:rPr>
          <w:rFonts w:ascii="Arial" w:cs="Arial" w:eastAsia="Arial" w:hAnsi="Arial"/>
          <w:sz w:val="19"/>
          <w:szCs w:val="19"/>
          <w:u w:val="single" w:color="auto"/>
          <w:color w:val="auto"/>
        </w:rPr>
        <w:t>Notice of Conversion or Continuation</w:t>
      </w:r>
      <w:r>
        <w:rPr>
          <w:rFonts w:ascii="Arial" w:cs="Arial" w:eastAsia="Arial" w:hAnsi="Arial"/>
          <w:sz w:val="19"/>
          <w:szCs w:val="19"/>
          <w:color w:val="auto"/>
        </w:rPr>
        <w:t>”) specifying the Loans to be so converted or continued, the Type of Loans to be converted into or continued, the requested date of the conversion or continuation, as the case may be (which shall be a Business Day), the principal amount of Loans to be converted or continued, as the case may be, and, if such Loans are to be converted into, or continued as, Eurodollar Loans, the Interest Period to be initially applicable thereto. If the Borrower fails to give a timely notice requesting a conversion or continuation, then the applicable Term Loans, Revolving Credit Loans, Additional/Replacement Revolving Credit Loans or Extended Revolving Credit Loans shall be made or continued as the same Type of Loan, which, if a Eurodollar Loan, shall have the same Interest Period as that of the Loans being continued or converted (subject to the definition of Interest Period). Any such automatic continuation shall be effective as of the last day of the Interest Period then in effect with respect to the applicable Eurodollar Loans. If the Borrower requests a conversion to, or continuation of Eurodollar Loans in any such Notice of Conversion of Continuation, but fails to specify an Interest Period, it will be deemed to have specified an Interest Period of one month’s duration. Notwithstanding anything to the contrary herein, a Swingline Loan may not be converted to a Eurodollar Loan. The Administrative Agent shall give each</w:t>
      </w:r>
    </w:p>
    <w:p>
      <w:pPr>
        <w:spacing w:after="0" w:line="200" w:lineRule="exact"/>
        <w:rPr>
          <w:sz w:val="20"/>
          <w:szCs w:val="20"/>
          <w:color w:val="auto"/>
        </w:rPr>
      </w:pPr>
    </w:p>
    <w:p>
      <w:pPr>
        <w:spacing w:after="0" w:line="219"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97</w:t>
      </w:r>
    </w:p>
    <w:p>
      <w:pPr>
        <w:sectPr>
          <w:pgSz w:w="11900" w:h="16838" w:orient="portrait"/>
          <w:cols w:equalWidth="0" w:num="1">
            <w:col w:w="11420"/>
          </w:cols>
          <w:pgMar w:left="240" w:top="187" w:right="2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applicable Lender notice as promptly as practicable of any such proposed conversion or continuation affecting any of its Loans.</w:t>
      </w:r>
    </w:p>
    <w:p>
      <w:pPr>
        <w:spacing w:after="0" w:line="362" w:lineRule="exact"/>
        <w:rPr>
          <w:sz w:val="20"/>
          <w:szCs w:val="20"/>
          <w:color w:val="auto"/>
        </w:rPr>
      </w:pPr>
    </w:p>
    <w:p>
      <w:pPr>
        <w:ind w:right="40" w:firstLine="1305"/>
        <w:spacing w:after="0" w:line="253" w:lineRule="auto"/>
        <w:tabs>
          <w:tab w:leader="none" w:pos="1765"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an Event of Default is in existence at the time of any proposed continuation of any Eurodollar Loans and the Administrative Agent has, or the Required Lenders with respect to any such continuation have, determined in its or their sole discretion not to permit</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such continuation, Eurodollar Loans shall be automatically converted on the last day of the current Interest Period into ABR Loans.</w:t>
      </w:r>
    </w:p>
    <w:p>
      <w:pPr>
        <w:spacing w:after="0" w:line="362" w:lineRule="exact"/>
        <w:rPr>
          <w:sz w:val="20"/>
          <w:szCs w:val="20"/>
          <w:color w:val="auto"/>
        </w:rPr>
      </w:pPr>
    </w:p>
    <w:p>
      <w:pPr>
        <w:ind w:right="20" w:firstLine="1945"/>
        <w:spacing w:after="0" w:line="286"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Pro Rata Borrowings</w:t>
      </w:r>
      <w:r>
        <w:rPr>
          <w:rFonts w:ascii="Arial" w:cs="Arial" w:eastAsia="Arial" w:hAnsi="Arial"/>
          <w:sz w:val="19"/>
          <w:szCs w:val="19"/>
          <w:color w:val="auto"/>
        </w:rPr>
        <w:t xml:space="preserve">. Each Borrowing of </w:t>
      </w:r>
      <w:r>
        <w:rPr>
          <w:rFonts w:ascii="Arial" w:cs="Arial" w:eastAsia="Arial" w:hAnsi="Arial"/>
          <w:sz w:val="19"/>
          <w:szCs w:val="19"/>
          <w:color w:val="0000FF"/>
        </w:rPr>
        <w:t>2017</w:t>
      </w:r>
      <w:r>
        <w:rPr>
          <w:rFonts w:ascii="Arial" w:cs="Arial" w:eastAsia="Arial" w:hAnsi="Arial"/>
          <w:sz w:val="19"/>
          <w:szCs w:val="19"/>
          <w:color w:val="auto"/>
        </w:rPr>
        <w:t xml:space="preserve"> Initial </w:t>
      </w:r>
      <w:r>
        <w:rPr>
          <w:rFonts w:ascii="Arial" w:cs="Arial" w:eastAsia="Arial" w:hAnsi="Arial"/>
          <w:sz w:val="19"/>
          <w:szCs w:val="19"/>
          <w:color w:val="0000FF"/>
        </w:rPr>
        <w:t>Tranche A Term Loans or 2019 Extended</w:t>
      </w:r>
      <w:r>
        <w:rPr>
          <w:rFonts w:ascii="Arial" w:cs="Arial" w:eastAsia="Arial" w:hAnsi="Arial"/>
          <w:sz w:val="19"/>
          <w:szCs w:val="19"/>
          <w:color w:val="auto"/>
        </w:rPr>
        <w:t xml:space="preserve"> Tranche A Term Loans under this Agreement shall be granted by the </w:t>
      </w:r>
      <w:r>
        <w:rPr>
          <w:rFonts w:ascii="Arial" w:cs="Arial" w:eastAsia="Arial" w:hAnsi="Arial"/>
          <w:sz w:val="19"/>
          <w:szCs w:val="19"/>
          <w:color w:val="0000FF"/>
        </w:rPr>
        <w:t>2017</w:t>
      </w:r>
      <w:r>
        <w:rPr>
          <w:rFonts w:ascii="Arial" w:cs="Arial" w:eastAsia="Arial" w:hAnsi="Arial"/>
          <w:sz w:val="19"/>
          <w:szCs w:val="19"/>
          <w:color w:val="auto"/>
        </w:rPr>
        <w:t xml:space="preserve"> Initial Tranche A Term Lenders </w:t>
      </w:r>
      <w:r>
        <w:rPr>
          <w:rFonts w:ascii="Arial" w:cs="Arial" w:eastAsia="Arial" w:hAnsi="Arial"/>
          <w:sz w:val="19"/>
          <w:szCs w:val="19"/>
          <w:color w:val="0000FF"/>
        </w:rPr>
        <w:t>or the 2019 Extended</w:t>
      </w:r>
      <w:r>
        <w:rPr>
          <w:rFonts w:ascii="Arial" w:cs="Arial" w:eastAsia="Arial" w:hAnsi="Arial"/>
          <w:sz w:val="19"/>
          <w:szCs w:val="19"/>
          <w:color w:val="auto"/>
        </w:rPr>
        <w:t xml:space="preserve"> </w:t>
      </w:r>
      <w:r>
        <w:rPr>
          <w:rFonts w:ascii="Arial" w:cs="Arial" w:eastAsia="Arial" w:hAnsi="Arial"/>
          <w:sz w:val="19"/>
          <w:szCs w:val="19"/>
          <w:color w:val="0000FF"/>
        </w:rPr>
        <w:t xml:space="preserve">Tranche A Term Lenders, as applicable, </w:t>
      </w:r>
      <w:r>
        <w:rPr>
          <w:rFonts w:ascii="Arial" w:cs="Arial" w:eastAsia="Arial" w:hAnsi="Arial"/>
          <w:sz w:val="19"/>
          <w:szCs w:val="19"/>
          <w:u w:val="single" w:color="auto"/>
          <w:color w:val="000000"/>
        </w:rPr>
        <w:t>pro rata</w:t>
      </w:r>
      <w:r>
        <w:rPr>
          <w:rFonts w:ascii="Arial" w:cs="Arial" w:eastAsia="Arial" w:hAnsi="Arial"/>
          <w:sz w:val="19"/>
          <w:szCs w:val="19"/>
          <w:color w:val="0000FF"/>
        </w:rPr>
        <w:t xml:space="preserve"> </w:t>
      </w:r>
      <w:r>
        <w:rPr>
          <w:rFonts w:ascii="Arial" w:cs="Arial" w:eastAsia="Arial" w:hAnsi="Arial"/>
          <w:sz w:val="19"/>
          <w:szCs w:val="19"/>
          <w:color w:val="000000"/>
        </w:rPr>
        <w:t>on the basis of their then-applicable</w:t>
      </w:r>
      <w:r>
        <w:rPr>
          <w:rFonts w:ascii="Arial" w:cs="Arial" w:eastAsia="Arial" w:hAnsi="Arial"/>
          <w:sz w:val="19"/>
          <w:szCs w:val="19"/>
          <w:color w:val="0000FF"/>
        </w:rPr>
        <w:t xml:space="preserve"> 2017 </w:t>
      </w:r>
      <w:r>
        <w:rPr>
          <w:rFonts w:ascii="Arial" w:cs="Arial" w:eastAsia="Arial" w:hAnsi="Arial"/>
          <w:sz w:val="19"/>
          <w:szCs w:val="19"/>
          <w:color w:val="000000"/>
        </w:rPr>
        <w:t>Initial Tranche A Term Loan</w:t>
      </w:r>
      <w:r>
        <w:rPr>
          <w:rFonts w:ascii="Arial" w:cs="Arial" w:eastAsia="Arial" w:hAnsi="Arial"/>
          <w:sz w:val="19"/>
          <w:szCs w:val="19"/>
          <w:color w:val="0000FF"/>
        </w:rPr>
        <w:t xml:space="preserve"> </w:t>
      </w:r>
      <w:r>
        <w:rPr>
          <w:rFonts w:ascii="Arial" w:cs="Arial" w:eastAsia="Arial" w:hAnsi="Arial"/>
          <w:sz w:val="19"/>
          <w:szCs w:val="19"/>
          <w:color w:val="000000"/>
        </w:rPr>
        <w:t xml:space="preserve">Commitments </w:t>
      </w:r>
      <w:r>
        <w:rPr>
          <w:rFonts w:ascii="Arial" w:cs="Arial" w:eastAsia="Arial" w:hAnsi="Arial"/>
          <w:sz w:val="19"/>
          <w:szCs w:val="19"/>
          <w:color w:val="0000FF"/>
        </w:rPr>
        <w:t>or 2019 Extended Tranche A Term Loan Commitments, respectively,</w:t>
      </w:r>
      <w:r>
        <w:rPr>
          <w:rFonts w:ascii="Arial" w:cs="Arial" w:eastAsia="Arial" w:hAnsi="Arial"/>
          <w:sz w:val="19"/>
          <w:szCs w:val="19"/>
          <w:color w:val="000000"/>
        </w:rPr>
        <w:t xml:space="preserve"> and each Borrowing of Initial Tranche B Term Loans under this Agreement shall be granted by the Initial Tranche B Term Lenders </w:t>
      </w:r>
      <w:r>
        <w:rPr>
          <w:rFonts w:ascii="Arial" w:cs="Arial" w:eastAsia="Arial" w:hAnsi="Arial"/>
          <w:sz w:val="19"/>
          <w:szCs w:val="19"/>
          <w:u w:val="single" w:color="auto"/>
          <w:color w:val="000000"/>
        </w:rPr>
        <w:t>pro rata</w:t>
      </w:r>
      <w:r>
        <w:rPr>
          <w:rFonts w:ascii="Arial" w:cs="Arial" w:eastAsia="Arial" w:hAnsi="Arial"/>
          <w:sz w:val="19"/>
          <w:szCs w:val="19"/>
          <w:color w:val="000000"/>
        </w:rPr>
        <w:t xml:space="preserve"> on the basis of their then-applicable Initial Tranche B Term Loan Commitments. Each Borrowing of Revolving Credit Loans under this Agreement shall be granted by the Revolving Credit Lenders </w:t>
      </w:r>
      <w:r>
        <w:rPr>
          <w:rFonts w:ascii="Arial" w:cs="Arial" w:eastAsia="Arial" w:hAnsi="Arial"/>
          <w:sz w:val="19"/>
          <w:szCs w:val="19"/>
          <w:u w:val="single" w:color="auto"/>
          <w:color w:val="000000"/>
        </w:rPr>
        <w:t>pro rata</w:t>
      </w:r>
      <w:r>
        <w:rPr>
          <w:rFonts w:ascii="Arial" w:cs="Arial" w:eastAsia="Arial" w:hAnsi="Arial"/>
          <w:sz w:val="19"/>
          <w:szCs w:val="19"/>
          <w:color w:val="000000"/>
        </w:rPr>
        <w:t xml:space="preserve"> on the basis of their then-applicable Revolving Credit Commitment Percentages with respect to the applicable Class. Each Borrowing of Incremental Term Loans under this Agreement shall be granted by the Lenders of the relevant Class thereof </w:t>
      </w:r>
      <w:r>
        <w:rPr>
          <w:rFonts w:ascii="Arial" w:cs="Arial" w:eastAsia="Arial" w:hAnsi="Arial"/>
          <w:sz w:val="19"/>
          <w:szCs w:val="19"/>
          <w:u w:val="single" w:color="auto"/>
          <w:color w:val="000000"/>
        </w:rPr>
        <w:t>pro rata</w:t>
      </w:r>
      <w:r>
        <w:rPr>
          <w:rFonts w:ascii="Arial" w:cs="Arial" w:eastAsia="Arial" w:hAnsi="Arial"/>
          <w:sz w:val="19"/>
          <w:szCs w:val="19"/>
          <w:color w:val="000000"/>
        </w:rPr>
        <w:t xml:space="preserve"> on the basis of their then-applicable Incremental Term Loan Commitments for such Class. Each Borrowing of Additional/Replacement Revolving Credit Loans under this Agreement shall be granted by the Lenders of the relevant Class thereof </w:t>
      </w:r>
      <w:r>
        <w:rPr>
          <w:rFonts w:ascii="Arial" w:cs="Arial" w:eastAsia="Arial" w:hAnsi="Arial"/>
          <w:sz w:val="19"/>
          <w:szCs w:val="19"/>
          <w:u w:val="single" w:color="auto"/>
          <w:color w:val="000000"/>
        </w:rPr>
        <w:t>pro rata</w:t>
      </w:r>
      <w:r>
        <w:rPr>
          <w:rFonts w:ascii="Arial" w:cs="Arial" w:eastAsia="Arial" w:hAnsi="Arial"/>
          <w:sz w:val="19"/>
          <w:szCs w:val="19"/>
          <w:color w:val="000000"/>
        </w:rPr>
        <w:t xml:space="preserve"> on the basis of their then-applicable Additional/Replacement Revolving Credit Commitments for such Class. Each Borrowing of Extended Revolving Credit Loans under this Agreement shall be granted by the Lenders of the relevant Class thereof </w:t>
      </w:r>
      <w:r>
        <w:rPr>
          <w:rFonts w:ascii="Arial" w:cs="Arial" w:eastAsia="Arial" w:hAnsi="Arial"/>
          <w:sz w:val="19"/>
          <w:szCs w:val="19"/>
          <w:u w:val="single" w:color="auto"/>
          <w:color w:val="000000"/>
        </w:rPr>
        <w:t>pro rata</w:t>
      </w:r>
      <w:r>
        <w:rPr>
          <w:rFonts w:ascii="Arial" w:cs="Arial" w:eastAsia="Arial" w:hAnsi="Arial"/>
          <w:sz w:val="19"/>
          <w:szCs w:val="19"/>
          <w:color w:val="000000"/>
        </w:rPr>
        <w:t xml:space="preserve"> on the basis of their then-applicable Extended Revolving Credit Commitments for such Class. It is understood that (a) no Lender shall be responsible for any default by any other Lender in its obligation to make Loans hereunder and that each Lender, severally and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obligations under any Credit Document.</w:t>
      </w:r>
    </w:p>
    <w:p>
      <w:pPr>
        <w:spacing w:after="0" w:line="216" w:lineRule="exact"/>
        <w:rPr>
          <w:sz w:val="20"/>
          <w:szCs w:val="20"/>
          <w:color w:val="auto"/>
        </w:rPr>
      </w:pPr>
    </w:p>
    <w:p>
      <w:pPr>
        <w:ind w:right="20" w:firstLine="1945"/>
        <w:spacing w:after="0" w:line="260"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Interest</w:t>
      </w:r>
      <w:r>
        <w:rPr>
          <w:rFonts w:ascii="Arial" w:cs="Arial" w:eastAsia="Arial" w:hAnsi="Arial"/>
          <w:sz w:val="22"/>
          <w:szCs w:val="22"/>
          <w:color w:val="auto"/>
        </w:rPr>
        <w:t>. (a) The unpaid principal amount of each ABR Loan shall bear interest from the date of the Borrowing thereof until maturity (whether by acceleration or otherwise) at a rate per annum that shall at all times be the Applicable Margin in effect from time to time plus the ABR in effect from time to time.</w:t>
      </w:r>
    </w:p>
    <w:p>
      <w:pPr>
        <w:spacing w:after="0" w:line="177" w:lineRule="exact"/>
        <w:rPr>
          <w:sz w:val="20"/>
          <w:szCs w:val="20"/>
          <w:color w:val="auto"/>
        </w:rPr>
      </w:pPr>
    </w:p>
    <w:p>
      <w:pPr>
        <w:ind w:right="180" w:firstLine="1305"/>
        <w:spacing w:after="0" w:line="253" w:lineRule="auto"/>
        <w:tabs>
          <w:tab w:leader="none" w:pos="2197"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unpaid principal amount of each Eurodollar Loan shall bear interest from the date of the Borrowing thereof until maturity thereof (whether by acceleration or otherwise) at a rate per annum that shall at all times be the Applicable Margin in effect from time to time plus the Eurodollar Rate in effect from time to time.</w:t>
      </w:r>
    </w:p>
    <w:p>
      <w:pPr>
        <w:spacing w:after="0" w:line="185" w:lineRule="exact"/>
        <w:rPr>
          <w:rFonts w:ascii="Arial" w:cs="Arial" w:eastAsia="Arial" w:hAnsi="Arial"/>
          <w:sz w:val="22"/>
          <w:szCs w:val="22"/>
          <w:color w:val="auto"/>
        </w:rPr>
      </w:pPr>
    </w:p>
    <w:p>
      <w:pPr>
        <w:ind w:right="80" w:firstLine="1305"/>
        <w:spacing w:after="0" w:line="253" w:lineRule="auto"/>
        <w:tabs>
          <w:tab w:leader="none" w:pos="2185"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all or a portion of the principal amount of any Loan or any interest payable thereon or any fees or other amounts due hereunder shall not be paid when due (whether at the stated maturity, by acceleration or otherwise), such overdue amount shall bear interest</w:t>
      </w:r>
    </w:p>
    <w:p>
      <w:pPr>
        <w:spacing w:after="0" w:line="78"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98</w:t>
      </w:r>
    </w:p>
    <w:p>
      <w:pPr>
        <w:sectPr>
          <w:pgSz w:w="11900" w:h="16838" w:orient="portrait"/>
          <w:cols w:equalWidth="0" w:num="1">
            <w:col w:w="11380"/>
          </w:cols>
          <w:pgMar w:left="240" w:top="294" w:right="27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equal to the aggregate amount of Additional/Replacement Revolving Credit Commitments so provided.</w:t>
      </w:r>
    </w:p>
    <w:p>
      <w:pPr>
        <w:spacing w:after="0" w:line="220" w:lineRule="exact"/>
        <w:rPr>
          <w:sz w:val="20"/>
          <w:szCs w:val="20"/>
          <w:color w:val="auto"/>
        </w:rPr>
      </w:pPr>
    </w:p>
    <w:p>
      <w:pPr>
        <w:ind w:firstLine="1305"/>
        <w:spacing w:after="0" w:line="257" w:lineRule="auto"/>
        <w:tabs>
          <w:tab w:leader="none" w:pos="2185"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(i) (A) The Incremental Tranche A Term Loans (i) shall rank pari passu in right of payment and of security with the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Loans and the 2019 Extended</w:t>
      </w:r>
      <w:r>
        <w:rPr>
          <w:rFonts w:ascii="Arial" w:cs="Arial" w:eastAsia="Arial" w:hAnsi="Arial"/>
          <w:sz w:val="21"/>
          <w:szCs w:val="21"/>
          <w:color w:val="auto"/>
        </w:rPr>
        <w:t xml:space="preserve"> Tranche A Term Loans, (ii) shall not mature earlier than the </w:t>
      </w:r>
      <w:r>
        <w:rPr>
          <w:rFonts w:ascii="Arial" w:cs="Arial" w:eastAsia="Arial" w:hAnsi="Arial"/>
          <w:sz w:val="21"/>
          <w:szCs w:val="21"/>
          <w:color w:val="0000FF"/>
        </w:rPr>
        <w:t xml:space="preserve">2017 </w:t>
      </w:r>
      <w:r>
        <w:rPr>
          <w:rFonts w:ascii="Arial" w:cs="Arial" w:eastAsia="Arial" w:hAnsi="Arial"/>
          <w:sz w:val="21"/>
          <w:szCs w:val="21"/>
          <w:color w:val="000000"/>
        </w:rPr>
        <w:t>Initial Tranche A Term Loan Maturity Date, (iii) shall not have a shorter Weighted Average Life to Maturity than the</w:t>
      </w:r>
      <w:r>
        <w:rPr>
          <w:rFonts w:ascii="Arial" w:cs="Arial" w:eastAsia="Arial" w:hAnsi="Arial"/>
          <w:sz w:val="21"/>
          <w:szCs w:val="21"/>
          <w:color w:val="0000FF"/>
        </w:rPr>
        <w:t xml:space="preserve"> 2017 </w:t>
      </w:r>
      <w:r>
        <w:rPr>
          <w:rFonts w:ascii="Arial" w:cs="Arial" w:eastAsia="Arial" w:hAnsi="Arial"/>
          <w:sz w:val="21"/>
          <w:szCs w:val="21"/>
          <w:color w:val="000000"/>
        </w:rPr>
        <w:t>Initial Tranche A Term Loan Facility, (iv) shall have an amortization schedule (subject to clause (iii) above), and interest rates (including through fixed interest rates), interest margins, rate floors, upfront fees, funding discounts, original issue discounts and prepayment premiums for the Incremental Tranche A Term Loans as determined by the Borrower and the lenders of the Incremental Tranche A Term Loans</w:t>
      </w:r>
      <w:r>
        <w:rPr>
          <w:rFonts w:ascii="Arial" w:cs="Arial" w:eastAsia="Arial" w:hAnsi="Arial"/>
          <w:sz w:val="21"/>
          <w:szCs w:val="21"/>
          <w:color w:val="0000FF"/>
        </w:rPr>
        <w:t>,</w:t>
      </w:r>
      <w:r>
        <w:rPr>
          <w:rFonts w:ascii="Arial" w:cs="Arial" w:eastAsia="Arial" w:hAnsi="Arial"/>
          <w:sz w:val="21"/>
          <w:szCs w:val="21"/>
          <w:color w:val="000000"/>
        </w:rPr>
        <w:t xml:space="preserve"> and (v) may otherwise have terms and conditions different from those of the </w:t>
      </w:r>
      <w:r>
        <w:rPr>
          <w:rFonts w:ascii="Arial" w:cs="Arial" w:eastAsia="Arial" w:hAnsi="Arial"/>
          <w:sz w:val="21"/>
          <w:szCs w:val="21"/>
          <w:color w:val="0000FF"/>
        </w:rPr>
        <w:t>2017</w:t>
      </w:r>
      <w:r>
        <w:rPr>
          <w:rFonts w:ascii="Arial" w:cs="Arial" w:eastAsia="Arial" w:hAnsi="Arial"/>
          <w:sz w:val="21"/>
          <w:szCs w:val="21"/>
          <w:color w:val="000000"/>
        </w:rPr>
        <w:t xml:space="preserve"> Initial Tranche A Term Loans and (B) the Incremental Tranche B Term Loans (i) shall rank pari passu in right of payment and of security with the Initial Tranche B Term Loans, (ii) shall not mature earlier than the Initial Tranche B Term Loan Maturity Date, (iii) shall not have a shorter Weighted Average Life to Maturity than the Initial Tranche B Term Loan Facility, (iv) shall have an amortization schedule (subject to clause (iii) above), and interest rates (including through fixed interest rates), interest margins, rate floors, upfront fees, funding discounts, original issue discounts and prepayment premiums for the Incremental Tranche B Term Loans as determined by the Borrower and the lenders of the Incremental Tranche B Term Loans and (v) may otherwise have terms and conditions different from those of the Initial Tranche B Term Loans;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(except with respect to matters contemplated by subclauses (ii), (iii) and (iv) in clauses (A) and (B) above) any differences shall be reasonably satisfactory to the Administrative Agent.</w:t>
      </w:r>
    </w:p>
    <w:p>
      <w:pPr>
        <w:spacing w:after="0" w:line="184" w:lineRule="exact"/>
        <w:rPr>
          <w:rFonts w:ascii="Arial" w:cs="Arial" w:eastAsia="Arial" w:hAnsi="Arial"/>
          <w:sz w:val="21"/>
          <w:szCs w:val="21"/>
          <w:color w:val="auto"/>
        </w:rPr>
      </w:pPr>
    </w:p>
    <w:p>
      <w:pPr>
        <w:jc w:val="both"/>
        <w:ind w:right="340" w:firstLine="1953"/>
        <w:spacing w:after="0" w:line="260" w:lineRule="auto"/>
        <w:tabs>
          <w:tab w:leader="none" w:pos="2389"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Incremental Revolving Credit Commitment Increase shall be treated the same as the Revolving Credit Commitments (including with respect to maturity date thereof) and shall be considered to be part of the Revolving Credit Facility.</w:t>
      </w:r>
    </w:p>
    <w:p>
      <w:pPr>
        <w:spacing w:after="0" w:line="177" w:lineRule="exact"/>
        <w:rPr>
          <w:rFonts w:ascii="Arial" w:cs="Arial" w:eastAsia="Arial" w:hAnsi="Arial"/>
          <w:sz w:val="22"/>
          <w:szCs w:val="22"/>
          <w:color w:val="auto"/>
        </w:rPr>
      </w:pPr>
    </w:p>
    <w:p>
      <w:pPr>
        <w:ind w:right="140" w:firstLine="1953"/>
        <w:spacing w:after="0" w:line="288" w:lineRule="auto"/>
        <w:tabs>
          <w:tab w:leader="none" w:pos="2449"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The Additional/Replacement Revolving Credit Commitments (i) shall rank pari passu in right of payment and of security with the Revolving Credit Loans, (ii) shall not mature earlier than </w:t>
      </w:r>
      <w:r>
        <w:rPr>
          <w:rFonts w:ascii="Arial" w:cs="Arial" w:eastAsia="Arial" w:hAnsi="Arial"/>
          <w:sz w:val="19"/>
          <w:szCs w:val="19"/>
          <w:color w:val="FF0000"/>
          <w:strike w:val="1"/>
        </w:rPr>
        <w:t>the Revolving Credit Maturity</w:t>
      </w:r>
      <w:r>
        <w:rPr>
          <w:rFonts w:ascii="Arial" w:cs="Arial" w:eastAsia="Arial" w:hAnsi="Arial"/>
          <w:sz w:val="19"/>
          <w:szCs w:val="19"/>
          <w:color w:val="auto"/>
        </w:rPr>
        <w:t xml:space="preserve"> </w:t>
      </w:r>
      <w:r>
        <w:rPr>
          <w:rFonts w:ascii="Arial" w:cs="Arial" w:eastAsia="Arial" w:hAnsi="Arial"/>
          <w:sz w:val="19"/>
          <w:szCs w:val="19"/>
          <w:color w:val="FF0000"/>
          <w:strike w:val="1"/>
        </w:rPr>
        <w:t>Date</w:t>
      </w:r>
      <w:r>
        <w:rPr>
          <w:rFonts w:ascii="Arial" w:cs="Arial" w:eastAsia="Arial" w:hAnsi="Arial"/>
          <w:sz w:val="19"/>
          <w:szCs w:val="19"/>
          <w:color w:val="0000FF"/>
        </w:rPr>
        <w:t>March 29, 2017</w:t>
      </w:r>
      <w:r>
        <w:rPr>
          <w:rFonts w:ascii="Arial" w:cs="Arial" w:eastAsia="Arial" w:hAnsi="Arial"/>
          <w:sz w:val="19"/>
          <w:szCs w:val="19"/>
          <w:color w:val="FF0000"/>
        </w:rPr>
        <w:t xml:space="preserve"> </w:t>
      </w:r>
      <w:r>
        <w:rPr>
          <w:rFonts w:ascii="Arial" w:cs="Arial" w:eastAsia="Arial" w:hAnsi="Arial"/>
          <w:sz w:val="19"/>
          <w:szCs w:val="19"/>
          <w:color w:val="000000"/>
        </w:rPr>
        <w:t>and shall require no mandatory commitment reduction prior to</w:t>
      </w:r>
      <w:r>
        <w:rPr>
          <w:rFonts w:ascii="Arial" w:cs="Arial" w:eastAsia="Arial" w:hAnsi="Arial"/>
          <w:sz w:val="19"/>
          <w:szCs w:val="19"/>
          <w:color w:val="FF0000"/>
        </w:rPr>
        <w:t xml:space="preserve"> </w:t>
      </w:r>
      <w:r>
        <w:rPr>
          <w:rFonts w:ascii="Arial" w:cs="Arial" w:eastAsia="Arial" w:hAnsi="Arial"/>
          <w:sz w:val="19"/>
          <w:szCs w:val="19"/>
          <w:color w:val="FF0000"/>
          <w:strike w:val="1"/>
        </w:rPr>
        <w:t>the Revolving Credit Maturity Date</w:t>
      </w:r>
      <w:r>
        <w:rPr>
          <w:rFonts w:ascii="Arial" w:cs="Arial" w:eastAsia="Arial" w:hAnsi="Arial"/>
          <w:sz w:val="19"/>
          <w:szCs w:val="19"/>
          <w:color w:val="0000FF"/>
        </w:rPr>
        <w:t>March 29,</w:t>
      </w:r>
      <w:r>
        <w:rPr>
          <w:rFonts w:ascii="Arial" w:cs="Arial" w:eastAsia="Arial" w:hAnsi="Arial"/>
          <w:sz w:val="19"/>
          <w:szCs w:val="19"/>
          <w:color w:val="FF0000"/>
        </w:rPr>
        <w:t xml:space="preserve"> </w:t>
      </w:r>
      <w:r>
        <w:rPr>
          <w:rFonts w:ascii="Arial" w:cs="Arial" w:eastAsia="Arial" w:hAnsi="Arial"/>
          <w:sz w:val="19"/>
          <w:szCs w:val="19"/>
          <w:color w:val="0000FF"/>
        </w:rPr>
        <w:t>2017</w:t>
      </w:r>
      <w:r>
        <w:rPr>
          <w:rFonts w:ascii="Arial" w:cs="Arial" w:eastAsia="Arial" w:hAnsi="Arial"/>
          <w:sz w:val="19"/>
          <w:szCs w:val="19"/>
          <w:color w:val="000000"/>
        </w:rPr>
        <w:t>, (iii) shall have interest rates (including through fixed interest rates), interest margins, rate floors, upfront fees, undrawn</w:t>
      </w:r>
      <w:r>
        <w:rPr>
          <w:rFonts w:ascii="Arial" w:cs="Arial" w:eastAsia="Arial" w:hAnsi="Arial"/>
          <w:sz w:val="19"/>
          <w:szCs w:val="19"/>
          <w:color w:val="0000FF"/>
        </w:rPr>
        <w:t xml:space="preserve"> </w:t>
      </w:r>
      <w:r>
        <w:rPr>
          <w:rFonts w:ascii="Arial" w:cs="Arial" w:eastAsia="Arial" w:hAnsi="Arial"/>
          <w:sz w:val="19"/>
          <w:szCs w:val="19"/>
          <w:color w:val="000000"/>
        </w:rPr>
        <w:t>commitment fees, funding discounts, original issue discounts and prepayment premiums as determined by the Borrower and the lenders of such commitments, (iv) shall contain borrowing, repayment and termination of Commitment procedures as determined by the Borrower and the lenders of such commitments, (v) may include provisions relating to swingline loans and/or letters of credit, as applicable, issued thereunder, which issuances shall be on terms substantially similar (except for the overall size of such subfacilities, the fees payable in connection therewith and the identity of the swingline lender and letter of credit issuer, as applicable, which shall be determined by the Borrower, the lenders of such commitments and the applicable letter of credit issuers and swingline lenders and borrowing, repayment and termination of commitment procedures with respect thereto, in each case which shall be specified in the applicable Incremental Agreement) to the terms relating to Swingline Loans and Letters of Credit with respect to the Revolving Credit Commitments or otherwise reasonably acceptable to the Administrative Agent and (vi) may otherwise have terms and</w:t>
      </w:r>
    </w:p>
    <w:p>
      <w:pPr>
        <w:spacing w:after="0" w:line="306"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105</w:t>
      </w:r>
    </w:p>
    <w:p>
      <w:pPr>
        <w:sectPr>
          <w:pgSz w:w="11900" w:h="16838" w:orient="portrait"/>
          <w:cols w:equalWidth="0" w:num="1">
            <w:col w:w="11420"/>
          </w:cols>
          <w:pgMar w:left="240" w:top="240" w:right="239" w:bottom="1440" w:gutter="0" w:footer="0" w:header="0"/>
        </w:sectPr>
      </w:pPr>
    </w:p>
    <w:bookmarkStart w:id="115" w:name="page116"/>
    <w:bookmarkEnd w:id="115"/>
    <w:p>
      <w:pPr>
        <w:ind w:right="100" w:firstLine="1945"/>
        <w:spacing w:after="0" w:line="270"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Existing Letters of Credit</w:t>
      </w:r>
      <w:r>
        <w:rPr>
          <w:rFonts w:ascii="Arial" w:cs="Arial" w:eastAsia="Arial" w:hAnsi="Arial"/>
          <w:sz w:val="21"/>
          <w:szCs w:val="21"/>
          <w:color w:val="auto"/>
        </w:rPr>
        <w:t>. Subject to the terms and conditions hereof, each Existing Letter of Credit that is outstanding on the Closing Date, listed on Schedule 1.1(c) shall, effective as of the Closing Date and without any further action by the Borrower, be continued as a Letter of Credit hereunder, from and after the Closing Date be deemed a Letter of Credit for all purposes hereof and be subject to and governed by the terms and conditions hereof.</w:t>
      </w:r>
    </w:p>
    <w:p>
      <w:pPr>
        <w:spacing w:after="0" w:line="169" w:lineRule="exact"/>
        <w:rPr>
          <w:sz w:val="20"/>
          <w:szCs w:val="20"/>
          <w:color w:val="auto"/>
        </w:rPr>
      </w:pPr>
    </w:p>
    <w:p>
      <w:pPr>
        <w:ind w:right="20" w:firstLine="1945"/>
        <w:spacing w:after="0" w:line="290"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Letter of Credit Issuer and the Borrower when a Letter of Credit is issued, (i) the rules of the ISP shall apply to each standby Letter of Credit, and (ii) the rules of the UCP shall apply to each commercial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Applicable Law, order, or practice that is required or permitted to be applied to any Letter of Credit or this Agreement, including the Applicable Law or any order of a jurisdiction where the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5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Fees; Commitment Reductions and Terminations</w:t>
      </w:r>
      <w:r>
        <w:rPr>
          <w:rFonts w:ascii="Arial" w:cs="Arial" w:eastAsia="Arial" w:hAnsi="Arial"/>
          <w:sz w:val="19"/>
          <w:szCs w:val="19"/>
          <w:color w:val="auto"/>
        </w:rPr>
        <w:t>.</w:t>
      </w:r>
    </w:p>
    <w:p>
      <w:pPr>
        <w:spacing w:after="0" w:line="233" w:lineRule="exact"/>
        <w:rPr>
          <w:sz w:val="20"/>
          <w:szCs w:val="20"/>
          <w:color w:val="auto"/>
        </w:rPr>
      </w:pPr>
    </w:p>
    <w:p>
      <w:pPr>
        <w:ind w:firstLine="1945"/>
        <w:spacing w:after="0" w:line="290"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(a) The Borrower agrees to pay to the Administrative Agent for the account of each Revolving Credit Lender (in each case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Revolving Credit Commitments of all such Revolving Credit Lenders) a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that shall accrue from and including the </w:t>
      </w:r>
      <w:r>
        <w:rPr>
          <w:rFonts w:ascii="Arial" w:cs="Arial" w:eastAsia="Arial" w:hAnsi="Arial"/>
          <w:sz w:val="19"/>
          <w:szCs w:val="19"/>
          <w:color w:val="FF0000"/>
          <w:strike w:val="1"/>
        </w:rPr>
        <w:t>Closing</w:t>
      </w:r>
      <w:r>
        <w:rPr>
          <w:rFonts w:ascii="Arial" w:cs="Arial" w:eastAsia="Arial" w:hAnsi="Arial"/>
          <w:sz w:val="19"/>
          <w:szCs w:val="19"/>
          <w:color w:val="0000FF"/>
        </w:rPr>
        <w:t>Amendment No. 2 Effective</w:t>
      </w:r>
      <w:r>
        <w:rPr>
          <w:rFonts w:ascii="Arial" w:cs="Arial" w:eastAsia="Arial" w:hAnsi="Arial"/>
          <w:sz w:val="19"/>
          <w:szCs w:val="19"/>
          <w:color w:val="auto"/>
        </w:rPr>
        <w:t xml:space="preserve"> Date to but excluding the Revolving Credit Termination Date. Each Commitment Fee shall be payable (x) quarterly in arrears on the last Business Day of each March, June, September and December (for the three-month period (or portion thereof) ended on such day for which no payment has been received) and (y) on the Revolving Credit Termination Date (for the period ended on such date for which no payment has been received pursuant to clause (x) above), and shall be computed for each day during such period at a rate per annum equal to the Commitment Fee Rate in effect on such day to be calculated based on the actual amount of the Available Revolving Credit Commitment (assuming for this purpose that there is no reference to “Swingline Loans” in clause (b)(i) of the definition of Available Revolving Credit Commitment) in effect on such day.</w:t>
      </w:r>
    </w:p>
    <w:p>
      <w:pPr>
        <w:spacing w:after="0" w:line="156" w:lineRule="exact"/>
        <w:rPr>
          <w:sz w:val="20"/>
          <w:szCs w:val="20"/>
          <w:color w:val="auto"/>
        </w:rPr>
      </w:pPr>
    </w:p>
    <w:p>
      <w:pPr>
        <w:ind w:right="220" w:firstLine="1305"/>
        <w:spacing w:after="0" w:line="292" w:lineRule="auto"/>
        <w:tabs>
          <w:tab w:leader="none" w:pos="1761"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Borrower agrees to pay (i) directly to the Letter of Credit Issuer for its own account a fronting fee (the “</w:t>
      </w:r>
      <w:r>
        <w:rPr>
          <w:rFonts w:ascii="Arial" w:cs="Arial" w:eastAsia="Arial" w:hAnsi="Arial"/>
          <w:sz w:val="19"/>
          <w:szCs w:val="19"/>
          <w:u w:val="single" w:color="auto"/>
          <w:color w:val="auto"/>
        </w:rPr>
        <w:t>Fronting Fee</w:t>
      </w:r>
      <w:r>
        <w:rPr>
          <w:rFonts w:ascii="Arial" w:cs="Arial" w:eastAsia="Arial" w:hAnsi="Arial"/>
          <w:sz w:val="19"/>
          <w:szCs w:val="19"/>
          <w:color w:val="auto"/>
        </w:rPr>
        <w:t>”) with respect to each Letter of Credit, computed at the rate for each day equal to 0.125% per annum or such other amount as is agreed in a separate writing between any Letter of Credit Issuer and the Borrower times the average daily Stated Amount of such Letter of Credit and (ii) any other letter of credit fee agreed to in writing by any Letter of Credit Issuer and the Borrower. The Fronting Fee shall be due and payable quarterly in arrears on the first Business Day after the end of each March, June, September and December, in respect of the most recently-ended quarterly period (or portion thereof, in the case of the first payment), commencing with the first such date to occur after the issuance of such</w:t>
      </w:r>
    </w:p>
    <w:p>
      <w:pPr>
        <w:spacing w:after="0" w:line="43"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126</w:t>
      </w:r>
    </w:p>
    <w:p>
      <w:pPr>
        <w:sectPr>
          <w:pgSz w:w="11900" w:h="16838" w:orient="portrait"/>
          <w:cols w:equalWidth="0" w:num="1">
            <w:col w:w="11380"/>
          </w:cols>
          <w:pgMar w:left="240" w:top="240" w:right="279" w:bottom="1440" w:gutter="0" w:footer="0" w:header="0"/>
        </w:sectPr>
      </w:pPr>
    </w:p>
    <w:bookmarkStart w:id="116" w:name="page117"/>
    <w:bookmarkEnd w:id="116"/>
    <w:p>
      <w:pPr>
        <w:spacing w:after="0" w:line="285" w:lineRule="auto"/>
        <w:rPr>
          <w:sz w:val="20"/>
          <w:szCs w:val="20"/>
          <w:color w:val="auto"/>
        </w:rPr>
      </w:pPr>
      <w:r>
        <w:rPr>
          <w:rFonts w:ascii="Arial" w:cs="Arial" w:eastAsia="Arial" w:hAnsi="Arial"/>
          <w:sz w:val="19"/>
          <w:szCs w:val="19"/>
          <w:color w:val="auto"/>
        </w:rPr>
        <w:t xml:space="preserve">effect to such repayment or reduction, the Existing Revolving Credit Loans of such Class are held by the Lenders of such Class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in accordance with their Existing Revolving Credit Commitments of such Class after giving effect to such reduction) (provided that (x) after giving effect to any such reduction and to the repayment of any Loans made on such date, the aggregate amount of the revolving credit exposure of any such Lender does not exceed the Existing Revolving Credit Commitment thereof (such revolving credit exposure and Existing Revolving Credit Commitment being determined in each case, for the avoidance of doubt, exclusive of such Lender’s Extended Revolving Credit Commitment and any exposure in respect thereof) and</w:t>
      </w:r>
    </w:p>
    <w:p>
      <w:pPr>
        <w:spacing w:after="0" w:line="1" w:lineRule="exact"/>
        <w:rPr>
          <w:sz w:val="20"/>
          <w:szCs w:val="20"/>
          <w:color w:val="auto"/>
        </w:rPr>
      </w:pPr>
    </w:p>
    <w:p>
      <w:pPr>
        <w:ind w:right="120" w:firstLine="8"/>
        <w:spacing w:after="0" w:line="284" w:lineRule="auto"/>
        <w:tabs>
          <w:tab w:leader="none" w:pos="306" w:val="left"/>
        </w:tabs>
        <w:numPr>
          <w:ilvl w:val="0"/>
          <w:numId w:val="82"/>
        </w:numPr>
        <w:rPr>
          <w:rFonts w:ascii="Arial" w:cs="Arial" w:eastAsia="Arial" w:hAnsi="Arial"/>
          <w:sz w:val="19"/>
          <w:szCs w:val="19"/>
          <w:color w:val="auto"/>
        </w:rPr>
      </w:pPr>
      <w:r>
        <w:rPr>
          <w:rFonts w:ascii="Arial" w:cs="Arial" w:eastAsia="Arial" w:hAnsi="Arial"/>
          <w:sz w:val="19"/>
          <w:szCs w:val="19"/>
          <w:color w:val="auto"/>
        </w:rPr>
        <w:t>for the avoidance of doubt, any such repayment of Loans contemplated by the preceding clause shall be made in compliance with the requirements of Section 5.3(a) with respect to the ratable allocation of payments hereunder, with such allocation being determined after giving effect to any exchange pursuant to Section 2.15 of Existing Revolving Credit Commitments and Existing Revolving Credit Loans into Extended Revolving Credit Commitments and Extended Revolving Credit Loans respectively, and prior to any reduction being made to the Commitment of any other Lender), (c) any partial reduction pursuant to this Section 4.2 shall be in an aggregate amount of $10,000,000 or any whole multiple of $1,000,000 in excess thereof, (d) after giving effect to such termination or reduction and to any prepayments of Revolving Credit Loans or cancellation or Cash Collateralization of Letters of Credit made on the date thereof in accordance with this Agreement, the aggregate amount of the Lenders’ Revolving Credit Exposures for such Class shall not exceed the Total Revolving Credit Commitment for such Class, (e) after giving effect to such termination or reduction and to any prepayments of Additional/Replacement Revolving Credit Loans of any Class or cancellation or cash collateralization of letters of credit made on the date thereof in accordance with the Agreement, the aggregate amount of such Lender’s revolving credit exposure shall not exceed the Total Additional/Replacement Revolving Credit Commitment for such Class and (f) if, after giving effect to any reduction hereunder, the Letter of Credit Commitment or the Swingline Commitment exceeds the sum of the Total Revolving Credit Commitment and the Total Additional/Replacement Revolving Credit Commitment (if any), such Commitment shall be automatically reduced by the amount of such excess.</w:t>
      </w:r>
    </w:p>
    <w:p>
      <w:pPr>
        <w:spacing w:after="0" w:line="277" w:lineRule="exact"/>
        <w:rPr>
          <w:rFonts w:ascii="Arial" w:cs="Arial" w:eastAsia="Arial" w:hAnsi="Arial"/>
          <w:sz w:val="19"/>
          <w:szCs w:val="19"/>
          <w:color w:val="auto"/>
        </w:rPr>
      </w:pPr>
    </w:p>
    <w:p>
      <w:pPr>
        <w:ind w:right="40" w:firstLine="1305"/>
        <w:spacing w:after="0" w:line="266" w:lineRule="auto"/>
        <w:tabs>
          <w:tab w:leader="none" w:pos="1728" w:val="left"/>
        </w:tabs>
        <w:numPr>
          <w:ilvl w:val="1"/>
          <w:numId w:val="82"/>
        </w:numPr>
        <w:rPr>
          <w:rFonts w:ascii="Arial" w:cs="Arial" w:eastAsia="Arial" w:hAnsi="Arial"/>
          <w:sz w:val="21"/>
          <w:szCs w:val="21"/>
          <w:color w:val="auto"/>
        </w:rPr>
      </w:pPr>
      <w:r>
        <w:rPr>
          <w:rFonts w:ascii="Arial" w:cs="Arial" w:eastAsia="Arial" w:hAnsi="Arial"/>
          <w:sz w:val="21"/>
          <w:szCs w:val="21"/>
          <w:color w:val="auto"/>
        </w:rPr>
        <w:t xml:space="preserve">Upon at least one Business Day’s prior written notice (or telephonic notice promptly confirmed in writing) to the Administrative Agent and the Letter of Credit Issuer (which notice the Administrative Agent shall promptly transmit to each of the applicable Revolving Credit Lenders), the Borrower shall have the right, on any day, permanently to terminate or reduce the Letter of Credit Commitment in whole or in part;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after giving effect to such termination or reduction, the Letter of Credit Obligations shall not exceed the Letter of Credit Commitment.</w:t>
      </w:r>
    </w:p>
    <w:p>
      <w:pPr>
        <w:spacing w:after="0" w:line="282" w:lineRule="exact"/>
        <w:rPr>
          <w:rFonts w:ascii="Arial" w:cs="Arial" w:eastAsia="Arial" w:hAnsi="Arial"/>
          <w:sz w:val="21"/>
          <w:szCs w:val="21"/>
          <w:color w:val="auto"/>
        </w:rPr>
      </w:pPr>
    </w:p>
    <w:p>
      <w:pPr>
        <w:ind w:right="40" w:firstLine="1305"/>
        <w:spacing w:after="0" w:line="297" w:lineRule="auto"/>
        <w:tabs>
          <w:tab w:leader="none" w:pos="1716"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The Borrower may terminate the unused amount of the Commitment of a Defaulting Lender upon not less than two Business Days’ prior notice to the Administrative Agent (which will promptly notify the Lenders thereof), and in such event the provisions of Section 2.16(a)(iv) will apply to all amounts thereafter paid by the Borrower for the account of such Defaulting Lender under this Agreement (whether on account of principal, interest, fees, indemnity or other amounts),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termination will not be deemed to be a waiver or release of any claim the Borrower, the Administrative Agent, any Letter of Credit Issuer, the Swingline Lender or any Lender may have against such Defaulting Lender.</w:t>
      </w:r>
    </w:p>
    <w:p>
      <w:pPr>
        <w:spacing w:after="0" w:line="9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128</w:t>
      </w:r>
    </w:p>
    <w:p>
      <w:pPr>
        <w:sectPr>
          <w:pgSz w:w="11900" w:h="16838" w:orient="portrait"/>
          <w:cols w:equalWidth="0" w:num="1">
            <w:col w:w="11360"/>
          </w:cols>
          <w:pgMar w:left="240" w:top="294" w:right="299" w:bottom="1440" w:gutter="0" w:footer="0" w:header="0"/>
        </w:sectPr>
      </w:pPr>
    </w:p>
    <w:bookmarkStart w:id="117" w:name="page118"/>
    <w:bookmarkEnd w:id="117"/>
    <w:p>
      <w:pPr>
        <w:jc w:val="both"/>
        <w:ind w:right="60" w:firstLine="1945"/>
        <w:spacing w:after="0" w:line="26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Mandatory Termination of Commitments</w:t>
      </w:r>
      <w:r>
        <w:rPr>
          <w:rFonts w:ascii="Arial" w:cs="Arial" w:eastAsia="Arial" w:hAnsi="Arial"/>
          <w:sz w:val="22"/>
          <w:szCs w:val="22"/>
          <w:color w:val="auto"/>
        </w:rPr>
        <w:t xml:space="preserve">. (a) The </w:t>
      </w:r>
      <w:r>
        <w:rPr>
          <w:rFonts w:ascii="Arial" w:cs="Arial" w:eastAsia="Arial" w:hAnsi="Arial"/>
          <w:sz w:val="22"/>
          <w:szCs w:val="22"/>
          <w:color w:val="FF0000"/>
          <w:strike w:val="1"/>
        </w:rPr>
        <w:t>Total</w:t>
      </w:r>
      <w:r>
        <w:rPr>
          <w:rFonts w:ascii="Arial" w:cs="Arial" w:eastAsia="Arial" w:hAnsi="Arial"/>
          <w:sz w:val="22"/>
          <w:szCs w:val="22"/>
          <w:color w:val="0000FF"/>
        </w:rPr>
        <w:t>2017</w:t>
      </w:r>
      <w:r>
        <w:rPr>
          <w:rFonts w:ascii="Arial" w:cs="Arial" w:eastAsia="Arial" w:hAnsi="Arial"/>
          <w:sz w:val="22"/>
          <w:szCs w:val="22"/>
          <w:color w:val="auto"/>
        </w:rPr>
        <w:t xml:space="preserve"> Initial Tranche A Term Loan Commitment and Total Initial Tranche B Term Loan Commitment </w:t>
      </w:r>
      <w:r>
        <w:rPr>
          <w:rFonts w:ascii="Arial" w:cs="Arial" w:eastAsia="Arial" w:hAnsi="Arial"/>
          <w:sz w:val="22"/>
          <w:szCs w:val="22"/>
          <w:color w:val="FF0000"/>
          <w:strike w:val="1"/>
        </w:rPr>
        <w:t>shall each terminate at 5:00 p.m. (New York City time)</w:t>
      </w:r>
      <w:r>
        <w:rPr>
          <w:rFonts w:ascii="Arial" w:cs="Arial" w:eastAsia="Arial" w:hAnsi="Arial"/>
          <w:sz w:val="22"/>
          <w:szCs w:val="22"/>
          <w:color w:val="0000FF"/>
        </w:rPr>
        <w:t>each terminated</w:t>
      </w:r>
      <w:r>
        <w:rPr>
          <w:rFonts w:ascii="Arial" w:cs="Arial" w:eastAsia="Arial" w:hAnsi="Arial"/>
          <w:sz w:val="22"/>
          <w:szCs w:val="22"/>
          <w:color w:val="auto"/>
        </w:rPr>
        <w:t xml:space="preserve"> on the Closing Date.</w:t>
      </w:r>
    </w:p>
    <w:p>
      <w:pPr>
        <w:spacing w:after="0" w:line="285" w:lineRule="exact"/>
        <w:rPr>
          <w:sz w:val="20"/>
          <w:szCs w:val="20"/>
          <w:color w:val="auto"/>
        </w:rPr>
      </w:pPr>
    </w:p>
    <w:p>
      <w:pPr>
        <w:ind w:right="680" w:firstLine="1305"/>
        <w:spacing w:after="0" w:line="263" w:lineRule="auto"/>
        <w:tabs>
          <w:tab w:leader="none" w:pos="2197"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Total Revolving Credit Commitment shall terminate at 5:00 p.m. (New York City time) on the Revolving Credit Maturity Date.</w:t>
      </w:r>
    </w:p>
    <w:p>
      <w:pPr>
        <w:spacing w:after="0" w:line="282" w:lineRule="exact"/>
        <w:rPr>
          <w:rFonts w:ascii="Arial" w:cs="Arial" w:eastAsia="Arial" w:hAnsi="Arial"/>
          <w:sz w:val="22"/>
          <w:szCs w:val="22"/>
          <w:color w:val="auto"/>
        </w:rPr>
      </w:pPr>
    </w:p>
    <w:p>
      <w:pPr>
        <w:ind w:left="2200" w:hanging="895"/>
        <w:spacing w:after="0"/>
        <w:tabs>
          <w:tab w:leader="none" w:pos="22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Swingline Commitment shall terminate at 5:00 p.m. (New York City time) on the Swingline Maturity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309" w:lineRule="exact"/>
        <w:rPr>
          <w:rFonts w:ascii="Arial" w:cs="Arial" w:eastAsia="Arial" w:hAnsi="Arial"/>
          <w:sz w:val="19"/>
          <w:szCs w:val="19"/>
          <w:color w:val="auto"/>
        </w:rPr>
      </w:pPr>
    </w:p>
    <w:p>
      <w:pPr>
        <w:ind w:right="920" w:firstLine="1305"/>
        <w:spacing w:after="0" w:line="253" w:lineRule="auto"/>
        <w:tabs>
          <w:tab w:leader="none" w:pos="2197"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Incremental Term Loan Commitment for any Class shall, unless otherwise provided in the documentation governing such Incremental Term Loan Commitment, terminate at 5:00 p.m. (New York City time) on the Incremental Facility Closing Date for such Class.</w:t>
      </w:r>
    </w:p>
    <w:p>
      <w:pPr>
        <w:spacing w:after="0" w:line="293" w:lineRule="exact"/>
        <w:rPr>
          <w:rFonts w:ascii="Arial" w:cs="Arial" w:eastAsia="Arial" w:hAnsi="Arial"/>
          <w:sz w:val="22"/>
          <w:szCs w:val="22"/>
          <w:color w:val="auto"/>
        </w:rPr>
      </w:pPr>
    </w:p>
    <w:p>
      <w:pPr>
        <w:ind w:right="360" w:firstLine="1305"/>
        <w:spacing w:after="0" w:line="343" w:lineRule="auto"/>
        <w:tabs>
          <w:tab w:leader="none" w:pos="2185"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Additional/Replacement Revolving Credit Commitment for any Class shall terminate at 5:00 p.m. (New York City time) on the maturity date for such Class specified in the documentation governing such Class.</w:t>
      </w:r>
    </w:p>
    <w:p>
      <w:pPr>
        <w:spacing w:after="0" w:line="212" w:lineRule="exact"/>
        <w:rPr>
          <w:rFonts w:ascii="Arial" w:cs="Arial" w:eastAsia="Arial" w:hAnsi="Arial"/>
          <w:sz w:val="19"/>
          <w:szCs w:val="19"/>
          <w:color w:val="auto"/>
        </w:rPr>
      </w:pPr>
    </w:p>
    <w:p>
      <w:pPr>
        <w:ind w:right="320" w:firstLine="1305"/>
        <w:spacing w:after="0" w:line="263" w:lineRule="auto"/>
        <w:tabs>
          <w:tab w:leader="none" w:pos="2161"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Extended Loan/Commitment for any Extension Series shall terminate at 5:00 p.m. (New York City time) on the maturity date for such tranche specified in the Extension Agreement.</w:t>
      </w:r>
    </w:p>
    <w:p>
      <w:pPr>
        <w:spacing w:after="0" w:line="282" w:lineRule="exact"/>
        <w:rPr>
          <w:rFonts w:ascii="Arial" w:cs="Arial" w:eastAsia="Arial" w:hAnsi="Arial"/>
          <w:sz w:val="22"/>
          <w:szCs w:val="22"/>
          <w:color w:val="auto"/>
        </w:rPr>
      </w:pPr>
    </w:p>
    <w:p>
      <w:pPr>
        <w:ind w:firstLine="1305"/>
        <w:spacing w:after="0" w:line="263" w:lineRule="auto"/>
        <w:tabs>
          <w:tab w:leader="none" w:pos="2197" w:val="left"/>
        </w:tabs>
        <w:numPr>
          <w:ilvl w:val="0"/>
          <w:numId w:val="83"/>
        </w:numPr>
        <w:rPr>
          <w:rFonts w:ascii="Arial" w:cs="Arial" w:eastAsia="Arial" w:hAnsi="Arial"/>
          <w:sz w:val="22"/>
          <w:szCs w:val="22"/>
          <w:color w:val="0827ED"/>
        </w:rPr>
      </w:pPr>
      <w:r>
        <w:rPr>
          <w:rFonts w:ascii="Arial" w:cs="Arial" w:eastAsia="Arial" w:hAnsi="Arial"/>
          <w:sz w:val="22"/>
          <w:szCs w:val="22"/>
          <w:color w:val="0000FF"/>
        </w:rPr>
        <w:t>The Total 2019 Extended Tranche A Term Loan Commitment shall terminate at 5:00 p.m. (New York City time) on Amendment No. 2 Effective Date.</w:t>
      </w:r>
    </w:p>
    <w:p>
      <w:pPr>
        <w:spacing w:after="0" w:line="283"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8"/>
          <w:szCs w:val="18"/>
          <w:u w:val="single" w:color="auto"/>
          <w:color w:val="auto"/>
        </w:rPr>
        <w:t>Payments</w:t>
      </w:r>
    </w:p>
    <w:p>
      <w:pPr>
        <w:spacing w:after="0" w:line="328" w:lineRule="exact"/>
        <w:rPr>
          <w:sz w:val="20"/>
          <w:szCs w:val="20"/>
          <w:color w:val="auto"/>
        </w:rPr>
      </w:pPr>
    </w:p>
    <w:p>
      <w:pPr>
        <w:jc w:val="both"/>
        <w:ind w:right="80" w:firstLine="1945"/>
        <w:spacing w:after="0" w:line="28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Voluntary Prepayments</w:t>
      </w:r>
      <w:r>
        <w:rPr>
          <w:rFonts w:ascii="Arial" w:cs="Arial" w:eastAsia="Arial" w:hAnsi="Arial"/>
          <w:sz w:val="19"/>
          <w:szCs w:val="19"/>
          <w:color w:val="auto"/>
        </w:rPr>
        <w:t>. (a) The Borrower shall have the right to prepay Term Loans, Revolving Credit Loans, Extended Revolving Credit Loans, Additional/Replacement Revolving Credit Loans and Swingline Loans, without, except as set forth in Section 5.1(b), premium or penalty, in whole or in part from time to time on the following terms and conditions:</w:t>
      </w:r>
    </w:p>
    <w:p>
      <w:pPr>
        <w:spacing w:after="0" w:line="1" w:lineRule="exact"/>
        <w:rPr>
          <w:sz w:val="20"/>
          <w:szCs w:val="20"/>
          <w:color w:val="auto"/>
        </w:rPr>
      </w:pPr>
    </w:p>
    <w:p>
      <w:pPr>
        <w:ind w:right="20" w:firstLine="8"/>
        <w:spacing w:after="0" w:line="256" w:lineRule="auto"/>
        <w:tabs>
          <w:tab w:leader="none" w:pos="294"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the Borrower shall give the Administrative Agent at the Administrative Agent’s Office written notice (or telephonic notice promptly confirmed in writing) of its intent to make such prepayment, the amount of such prepayment and in the case of Eurodollar Loans, the specific Borrowing(s) pursuant to which made, which notice shall be given by the Borrower no later than (i) in the case of Term Loans, Extended Revolving Credit Loans, Additional/Replacement Revolving Credit Loans or Revolving Credit Loans, 1:00 p.m. (New York City time) (x) one Business Day prior to (in the case of ABR Loans) or (y) three Business Days prior to (in the case of Eurodollar Loans), or (ii) in the case of Swingline Loans, 1:00 p.m. (New York City time) on, the date of such prepayment and shall promptly be transmitted by the Administrative Agent to each of the relevant Lenders or the Swingline Lender, as the case may be; (b) each partial prepayment of any Borrowing of Term Loans or Revolving Credit Loans shall be in a multiple of $100,000 and in an aggregate principal amount of at least $1,000,000 and each partial prepayment of Swingline Loans shall be in a multiple of $100,000 and in an aggregate principal amount of at least $100,000;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partial prepayment of Eurodollar Loans made pursuant to a single Borrowing shall reduce the outstanding Eurodollar Loans made pursuant to such Borrowing to an amount less than the</w:t>
      </w:r>
    </w:p>
    <w:p>
      <w:pPr>
        <w:spacing w:after="0" w:line="132"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129</w:t>
      </w:r>
    </w:p>
    <w:p>
      <w:pPr>
        <w:sectPr>
          <w:pgSz w:w="11900" w:h="16838" w:orient="portrait"/>
          <w:cols w:equalWidth="0" w:num="1">
            <w:col w:w="11420"/>
          </w:cols>
          <w:pgMar w:left="240" w:top="294" w:right="2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to evidence that each Credit Party is duly organized or formed, and that each of the Borrower</w:t>
      </w:r>
    </w:p>
    <w:p>
      <w:pPr>
        <w:spacing w:after="0" w:line="22"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and each Guarantor is validly existing, in good standing and qualified to engage in business in (x) in the case of the Borrower, the State of Massachusetts and (y) in the case of each Guarantor, the State of Delaware.</w:t>
      </w:r>
    </w:p>
    <w:p>
      <w:pPr>
        <w:spacing w:after="0" w:line="355" w:lineRule="exact"/>
        <w:rPr>
          <w:sz w:val="20"/>
          <w:szCs w:val="20"/>
          <w:color w:val="auto"/>
        </w:rPr>
      </w:pPr>
    </w:p>
    <w:p>
      <w:pPr>
        <w:ind w:right="200" w:firstLine="1945"/>
        <w:spacing w:after="0" w:line="297"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Fees and Expenses</w:t>
      </w:r>
      <w:r>
        <w:rPr>
          <w:rFonts w:ascii="Arial" w:cs="Arial" w:eastAsia="Arial" w:hAnsi="Arial"/>
          <w:sz w:val="19"/>
          <w:szCs w:val="19"/>
          <w:color w:val="auto"/>
        </w:rPr>
        <w:t xml:space="preserve">. The fees in the amounts previously agreed in writing by the Agents to be received on the Closing Date and all reasonable out-of-pocket expenses (including the reasonable fees, disbursements and other charges of counsel) for which invoices have been presented at least three Business Days prior to the Closing Date (except as otherwise reasonably agreed by the Borrower), shall have been, or will be substantially simultaneously with the initial Credit Event, paid in full (which amounts may be offset against the proceeds of the </w:t>
      </w:r>
      <w:r>
        <w:rPr>
          <w:rFonts w:ascii="Arial" w:cs="Arial" w:eastAsia="Arial" w:hAnsi="Arial"/>
          <w:sz w:val="19"/>
          <w:szCs w:val="19"/>
          <w:color w:val="0000FF"/>
        </w:rPr>
        <w:t>“</w:t>
      </w:r>
      <w:r>
        <w:rPr>
          <w:rFonts w:ascii="Arial" w:cs="Arial" w:eastAsia="Arial" w:hAnsi="Arial"/>
          <w:sz w:val="19"/>
          <w:szCs w:val="19"/>
          <w:color w:val="auto"/>
        </w:rPr>
        <w:t>Initial Tranche A Term Loan</w:t>
      </w:r>
      <w:r>
        <w:rPr>
          <w:rFonts w:ascii="Arial" w:cs="Arial" w:eastAsia="Arial" w:hAnsi="Arial"/>
          <w:sz w:val="19"/>
          <w:szCs w:val="19"/>
          <w:color w:val="0000FF"/>
        </w:rPr>
        <w:t>” (as defined in this Agreement as in</w:t>
      </w:r>
      <w:r>
        <w:rPr>
          <w:rFonts w:ascii="Arial" w:cs="Arial" w:eastAsia="Arial" w:hAnsi="Arial"/>
          <w:sz w:val="19"/>
          <w:szCs w:val="19"/>
          <w:color w:val="auto"/>
        </w:rPr>
        <w:t xml:space="preserve"> </w:t>
      </w:r>
      <w:r>
        <w:rPr>
          <w:rFonts w:ascii="Arial" w:cs="Arial" w:eastAsia="Arial" w:hAnsi="Arial"/>
          <w:sz w:val="19"/>
          <w:szCs w:val="19"/>
          <w:color w:val="0000FF"/>
        </w:rPr>
        <w:t xml:space="preserve">effect immediately prior to the Amendment No. 2 Effective Date) </w:t>
      </w:r>
      <w:r>
        <w:rPr>
          <w:rFonts w:ascii="Arial" w:cs="Arial" w:eastAsia="Arial" w:hAnsi="Arial"/>
          <w:sz w:val="19"/>
          <w:szCs w:val="19"/>
          <w:color w:val="000000"/>
        </w:rPr>
        <w:t>and/or the Initial Tranche B Term Loan).</w:t>
      </w:r>
    </w:p>
    <w:p>
      <w:pPr>
        <w:spacing w:after="0" w:line="255" w:lineRule="exact"/>
        <w:rPr>
          <w:sz w:val="20"/>
          <w:szCs w:val="20"/>
          <w:color w:val="auto"/>
        </w:rPr>
      </w:pPr>
    </w:p>
    <w:p>
      <w:pPr>
        <w:ind w:firstLine="1945"/>
        <w:spacing w:after="0" w:line="254"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Solvency Certificate</w:t>
      </w:r>
      <w:r>
        <w:rPr>
          <w:rFonts w:ascii="Arial" w:cs="Arial" w:eastAsia="Arial" w:hAnsi="Arial"/>
          <w:sz w:val="22"/>
          <w:szCs w:val="22"/>
          <w:color w:val="auto"/>
        </w:rPr>
        <w:t>. The Administrative Agent shall have received a certificate from the chief financial officer of the Borrower substantially in the form of Exhibit L, with appropriate attachments and demonstrating that after giving effect to the consummation of the Transactions and other transactions contemplated hereby, the Borrower and its Subsidiaries, on a consolidated basis, are Solvent.</w:t>
      </w:r>
    </w:p>
    <w:p>
      <w:pPr>
        <w:spacing w:after="0" w:line="293" w:lineRule="exact"/>
        <w:rPr>
          <w:sz w:val="20"/>
          <w:szCs w:val="20"/>
          <w:color w:val="auto"/>
        </w:rPr>
      </w:pPr>
    </w:p>
    <w:p>
      <w:pPr>
        <w:ind w:right="160" w:firstLine="1945"/>
        <w:spacing w:after="0" w:line="251"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Refinancing</w:t>
      </w:r>
      <w:r>
        <w:rPr>
          <w:rFonts w:ascii="Arial" w:cs="Arial" w:eastAsia="Arial" w:hAnsi="Arial"/>
          <w:sz w:val="19"/>
          <w:szCs w:val="19"/>
          <w:color w:val="auto"/>
        </w:rPr>
        <w:t>.</w:t>
      </w:r>
      <w:r>
        <w:rPr>
          <w:rFonts w:ascii="Arial" w:cs="Arial" w:eastAsia="Arial" w:hAnsi="Arial"/>
          <w:sz w:val="22"/>
          <w:szCs w:val="22"/>
          <w:color w:val="auto"/>
        </w:rPr>
        <w:t xml:space="preserve"> The Refinancing shall have been consummated, or shall be consummated simultaneously with the funding of the Initial Term Loans hereunder and the Administrative Agent shall have received reasonably satisfactory evidence of the repayment of all Indebtedness for borrowed money to be repaid on the Closing Date pursuant to the Refinancing, including one or more duly executed payoff letters, terminations and releases in form and substance reasonably satisfactory to the Administrative Agent.</w:t>
      </w:r>
    </w:p>
    <w:p>
      <w:pPr>
        <w:spacing w:after="0" w:line="298" w:lineRule="exact"/>
        <w:rPr>
          <w:sz w:val="20"/>
          <w:szCs w:val="20"/>
          <w:color w:val="auto"/>
        </w:rPr>
      </w:pPr>
    </w:p>
    <w:p>
      <w:pPr>
        <w:ind w:right="20" w:firstLine="1945"/>
        <w:spacing w:after="0" w:line="297"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Insurance Certificates</w:t>
      </w:r>
      <w:r>
        <w:rPr>
          <w:rFonts w:ascii="Arial" w:cs="Arial" w:eastAsia="Arial" w:hAnsi="Arial"/>
          <w:sz w:val="19"/>
          <w:szCs w:val="19"/>
          <w:color w:val="auto"/>
        </w:rPr>
        <w:t>. The Administrative Agent shall have received copies of insurance certificates evidencing the insurance required to be maintained by the Borrower and the Restricted Subsidiaries pursuant to Section 9.3, each of which shall be endorsed or otherwise amended to include a “standard” or “New York” lender’s additional loss payable or additional mortgagee endorsement (as applicable) and shall name the Collateral Agent, on behalf of the Secured Parties, as additional insured on any liability policy and the Collateral Agent, on behalf of the Secured Parties, as additional loss payee and/or mortgagee on any casualty policy, in form and substance reasonably satisfactory to the Administrative Agent.</w:t>
      </w:r>
    </w:p>
    <w:p>
      <w:pPr>
        <w:spacing w:after="0" w:line="255" w:lineRule="exact"/>
        <w:rPr>
          <w:sz w:val="20"/>
          <w:szCs w:val="20"/>
          <w:color w:val="auto"/>
        </w:rPr>
      </w:pPr>
    </w:p>
    <w:p>
      <w:pPr>
        <w:ind w:firstLine="1945"/>
        <w:spacing w:after="0" w:line="266"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PATRIOT ACT</w:t>
      </w:r>
      <w:r>
        <w:rPr>
          <w:rFonts w:ascii="Arial" w:cs="Arial" w:eastAsia="Arial" w:hAnsi="Arial"/>
          <w:sz w:val="21"/>
          <w:szCs w:val="21"/>
          <w:color w:val="auto"/>
        </w:rPr>
        <w:t>. The Administrative Agent and the Joint Lead Arrangers shall have received all documentation and other information concerning the Borrower and the Guarantors as has been reasonably requested in writing at least 10 Business Days prior to the Closing Date by the Administrative Agent or the Joint Lead Arrangers (on behalf of itself and/or any Lender) that either reasonably determines is required by regulatory authorities under applicable “know your customer” and anti-money laundering rules and regulations, including without limitation the PATRIOT Act.</w:t>
      </w:r>
    </w:p>
    <w:p>
      <w:pPr>
        <w:spacing w:after="0" w:line="120"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Without limiting the generality of the provisions of the last paragraph of Section 12.3, for purposes of determining compliance with the conditions specified in this Section 6,</w:t>
      </w:r>
    </w:p>
    <w:p>
      <w:pPr>
        <w:spacing w:after="0" w:line="175"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144</w:t>
      </w:r>
    </w:p>
    <w:p>
      <w:pPr>
        <w:sectPr>
          <w:pgSz w:w="11900" w:h="16838" w:orient="portrait"/>
          <w:cols w:equalWidth="0" w:num="1">
            <w:col w:w="11420"/>
          </w:cols>
          <w:pgMar w:left="240" w:top="131" w:right="239" w:bottom="1440" w:gutter="0" w:footer="0" w:header="0"/>
        </w:sectPr>
      </w:pPr>
    </w:p>
    <w:bookmarkStart w:id="119" w:name="page120"/>
    <w:bookmarkEnd w:id="119"/>
    <w:p>
      <w:pPr>
        <w:spacing w:after="0" w:line="288" w:lineRule="auto"/>
        <w:rPr>
          <w:sz w:val="20"/>
          <w:szCs w:val="20"/>
          <w:color w:val="auto"/>
        </w:rPr>
      </w:pPr>
      <w:r>
        <w:rPr>
          <w:rFonts w:ascii="Arial" w:cs="Arial" w:eastAsia="Arial" w:hAnsi="Arial"/>
          <w:sz w:val="19"/>
          <w:szCs w:val="19"/>
          <w:color w:val="auto"/>
        </w:rPr>
        <w:t>Collateral Agent, (2) dated or re-certificated not earlier than three months prior to the date of such delivery, (3) certified to the Administrative Agent, the Collateral Agent and the title insurance company issuing the title insurance policy for such Mortgaged Property pursuant to clause (ii), which certification shall be reasonably acceptable to the Collateral Agent and (4) complying with the “Minimum Standard Detail Requirements for ALTA/ACSM Land Title Surveys,” jointly established and adopted by American Land Title Association, the American Congress on Surveying and Mapping and the National Society of Professional Surveyors in 2005 (except for such deviations as are acceptable to the Collateral Agent) or (B) coverage under the title insurance policy or policies referred to in clause (ii) above that does not contain a general exception for survey matters and which contains survey-related endorsements reasonably acceptable to the Collateral Agent, (y) a local opinion of counsel to the Borrower (or in the event a Subsidiary of the Borrower is the mortgagor, to such Subsidiary) with respect to the enforceability, perfection, due authorization, execution and delivery of the applicable Mortgages and any related fixture filings, and (z) such other documents as the Collateral Agent may reasonably request, in each case in form and substance reasonably satisfactory to the Collateral Agent.</w:t>
      </w:r>
    </w:p>
    <w:p>
      <w:pPr>
        <w:spacing w:after="0" w:line="155" w:lineRule="exact"/>
        <w:rPr>
          <w:sz w:val="20"/>
          <w:szCs w:val="20"/>
          <w:color w:val="auto"/>
        </w:rPr>
      </w:pPr>
    </w:p>
    <w:p>
      <w:pPr>
        <w:ind w:right="40" w:firstLine="1305"/>
        <w:spacing w:after="0" w:line="320" w:lineRule="auto"/>
        <w:tabs>
          <w:tab w:leader="none" w:pos="1716"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Notwithstanding anything herein to the contrary, if the Collateral Agent and the Borrower reasonably determine in writing that the cost of creating or perfecting any Lien on any property is excessive in relation to the benefits afforded to the Lenders thereby, then such property may be excluded from the Collateral for all purposes of the Credit Documents.</w:t>
      </w:r>
    </w:p>
    <w:p>
      <w:pPr>
        <w:spacing w:after="0" w:line="125" w:lineRule="exact"/>
        <w:rPr>
          <w:rFonts w:ascii="Arial" w:cs="Arial" w:eastAsia="Arial" w:hAnsi="Arial"/>
          <w:sz w:val="19"/>
          <w:szCs w:val="19"/>
          <w:color w:val="auto"/>
        </w:rPr>
      </w:pPr>
    </w:p>
    <w:p>
      <w:pPr>
        <w:ind w:right="120" w:firstLine="1305"/>
        <w:spacing w:after="0" w:line="260" w:lineRule="auto"/>
        <w:tabs>
          <w:tab w:leader="none" w:pos="1728"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Borrower shall not be required to take any actions outside the United States to (i) create any security interest in assets titled or located outside the United States or (ii) perfect or make enforceable any security interests in any Collateral.</w:t>
      </w:r>
    </w:p>
    <w:p>
      <w:pPr>
        <w:spacing w:after="0" w:line="177" w:lineRule="exact"/>
        <w:rPr>
          <w:sz w:val="20"/>
          <w:szCs w:val="20"/>
          <w:color w:val="auto"/>
        </w:rPr>
      </w:pPr>
    </w:p>
    <w:p>
      <w:pPr>
        <w:ind w:firstLine="1945"/>
        <w:spacing w:after="0" w:line="287" w:lineRule="auto"/>
        <w:rPr>
          <w:sz w:val="20"/>
          <w:szCs w:val="20"/>
          <w:color w:val="auto"/>
        </w:rPr>
      </w:pPr>
      <w:r>
        <w:rPr>
          <w:rFonts w:ascii="Arial" w:cs="Arial" w:eastAsia="Arial" w:hAnsi="Arial"/>
          <w:sz w:val="19"/>
          <w:szCs w:val="19"/>
          <w:color w:val="auto"/>
        </w:rPr>
        <w:t xml:space="preserve">9.15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proceeds of the </w:t>
      </w:r>
      <w:r>
        <w:rPr>
          <w:rFonts w:ascii="Arial" w:cs="Arial" w:eastAsia="Arial" w:hAnsi="Arial"/>
          <w:sz w:val="19"/>
          <w:szCs w:val="19"/>
          <w:color w:val="0000FF"/>
        </w:rPr>
        <w:t>“</w:t>
      </w:r>
      <w:r>
        <w:rPr>
          <w:rFonts w:ascii="Arial" w:cs="Arial" w:eastAsia="Arial" w:hAnsi="Arial"/>
          <w:sz w:val="19"/>
          <w:szCs w:val="19"/>
          <w:color w:val="auto"/>
        </w:rPr>
        <w:t xml:space="preserve">Initial Tranche A Term Loans </w:t>
      </w:r>
      <w:r>
        <w:rPr>
          <w:rFonts w:ascii="Arial" w:cs="Arial" w:eastAsia="Arial" w:hAnsi="Arial"/>
          <w:sz w:val="19"/>
          <w:szCs w:val="19"/>
          <w:color w:val="FF0000"/>
          <w:strike w:val="1"/>
        </w:rPr>
        <w:t>and</w:t>
      </w:r>
      <w:r>
        <w:rPr>
          <w:rFonts w:ascii="Arial" w:cs="Arial" w:eastAsia="Arial" w:hAnsi="Arial"/>
          <w:sz w:val="19"/>
          <w:szCs w:val="19"/>
          <w:color w:val="0000FF"/>
        </w:rPr>
        <w:t>” (as defined in this</w:t>
      </w:r>
      <w:r>
        <w:rPr>
          <w:rFonts w:ascii="Arial" w:cs="Arial" w:eastAsia="Arial" w:hAnsi="Arial"/>
          <w:sz w:val="19"/>
          <w:szCs w:val="19"/>
          <w:color w:val="auto"/>
        </w:rPr>
        <w:t xml:space="preserve"> </w:t>
      </w:r>
      <w:r>
        <w:rPr>
          <w:rFonts w:ascii="Arial" w:cs="Arial" w:eastAsia="Arial" w:hAnsi="Arial"/>
          <w:sz w:val="19"/>
          <w:szCs w:val="19"/>
          <w:color w:val="0000FF"/>
        </w:rPr>
        <w:t xml:space="preserve">Agreement as in effect immediately prior to the Amendment No. 2 Effective Date), the </w:t>
      </w:r>
      <w:r>
        <w:rPr>
          <w:rFonts w:ascii="Arial" w:cs="Arial" w:eastAsia="Arial" w:hAnsi="Arial"/>
          <w:sz w:val="19"/>
          <w:szCs w:val="19"/>
          <w:color w:val="000000"/>
        </w:rPr>
        <w:t>Initial Tranche B Term Loans and the</w:t>
      </w:r>
      <w:r>
        <w:rPr>
          <w:rFonts w:ascii="Arial" w:cs="Arial" w:eastAsia="Arial" w:hAnsi="Arial"/>
          <w:sz w:val="19"/>
          <w:szCs w:val="19"/>
          <w:color w:val="0000FF"/>
        </w:rPr>
        <w:t xml:space="preserve"> </w:t>
      </w:r>
      <w:r>
        <w:rPr>
          <w:rFonts w:ascii="Arial" w:cs="Arial" w:eastAsia="Arial" w:hAnsi="Arial"/>
          <w:sz w:val="19"/>
          <w:szCs w:val="19"/>
          <w:color w:val="000000"/>
        </w:rPr>
        <w:t>Revolving Credit Loans, if any, borrowed on the Closing Date, together with cash on hand at the Borrower and its Subsidiaries, will be used on the Closing Date (i) to consummate the Refinancing and/or (ii) to pay the Transaction Expenses. After the Closing Date, Revolving Credit Loans available under the Revolving Credit Facility will be used for working capital requirements and other general corporate purposes of the Borrower or its Subsidiaries, including the financing of acquisitions permitted hereunder and other investments and dividends. The proceeds of the Incremental Term Loan Facility, the proceeds of any Revolving Credit Loans made pursuant to any Incremental Revolving Credit Commitment Increase and the proceeds of any Additional/Replacement Revolving Credit Loans made pursuant to any Additional/Replacement Revolving Credit Commitments may be used for working capital requirements and other general corporate purposes of the Borrower and its Subsidiaries including the financing of acquisitions permitted hereunder, other investments and dividends and other distributions permitted hereunder on account of the Capital Stock of the Borrower (or any Parent Entity thereof). The proceeds of the 2013 Incremental Tranche B Term Loans will be used to fund the 2013 Tranche A Term Loan Repayment (as defined in Amendment No. 1), the 2013 Tranche B Term Loan Repayment (as defined in Amendment No. 1) and for working capital requirements and other general corporate purposes of the Borrower and its Subsidiaries, including the financing of</w:t>
      </w:r>
    </w:p>
    <w:p>
      <w:pPr>
        <w:spacing w:after="0" w:line="31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163</w:t>
      </w:r>
    </w:p>
    <w:p>
      <w:pPr>
        <w:sectPr>
          <w:pgSz w:w="11900" w:h="16838" w:orient="portrait"/>
          <w:cols w:equalWidth="0" w:num="1">
            <w:col w:w="11420"/>
          </w:cols>
          <w:pgMar w:left="240" w:top="240" w:right="239" w:bottom="1440" w:gutter="0" w:footer="0" w:header="0"/>
        </w:sectPr>
      </w:pPr>
    </w:p>
    <w:bookmarkStart w:id="120" w:name="page121"/>
    <w:bookmarkEnd w:id="120"/>
    <w:p>
      <w:pPr>
        <w:ind w:left="660" w:right="20"/>
        <w:spacing w:after="0" w:line="263" w:lineRule="auto"/>
        <w:rPr>
          <w:sz w:val="20"/>
          <w:szCs w:val="20"/>
          <w:color w:val="auto"/>
        </w:rPr>
      </w:pPr>
      <w:r>
        <w:rPr>
          <w:rFonts w:ascii="Arial" w:cs="Arial" w:eastAsia="Arial" w:hAnsi="Arial"/>
          <w:sz w:val="22"/>
          <w:szCs w:val="22"/>
          <w:color w:val="auto"/>
        </w:rPr>
        <w:t>consent to any assignment if, in order for such assignment to comply with Applicable Law, the Borrower would be required to obtain the consent of, or make any filing or registration with, any Governmental Authority, and</w:t>
      </w:r>
    </w:p>
    <w:p>
      <w:pPr>
        <w:spacing w:after="0" w:line="229" w:lineRule="exact"/>
        <w:rPr>
          <w:sz w:val="20"/>
          <w:szCs w:val="20"/>
          <w:color w:val="auto"/>
        </w:rPr>
      </w:pPr>
    </w:p>
    <w:p>
      <w:pPr>
        <w:jc w:val="both"/>
        <w:ind w:left="660" w:firstLine="1293"/>
        <w:spacing w:after="0" w:line="250" w:lineRule="auto"/>
        <w:tabs>
          <w:tab w:leader="none" w:pos="2893"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Administrative Agent and, in the case of Revolving Credit Commitments or Revolving Credit Loans, the Swingline Lender and each Letter of Credit Issuer; provided that no consent of the Administrative Agent shall be required for an assignment of any Term Loan to a Lender, an Affiliate of a Lender or an Approved Fund or to any Purchasing Borrower Party or any Affiliated Lender.</w:t>
      </w:r>
    </w:p>
    <w:p>
      <w:pPr>
        <w:spacing w:after="0" w:line="188" w:lineRule="exact"/>
        <w:rPr>
          <w:sz w:val="20"/>
          <w:szCs w:val="20"/>
          <w:color w:val="auto"/>
        </w:rPr>
      </w:pPr>
    </w:p>
    <w:p>
      <w:pPr>
        <w:ind w:right="700" w:firstLine="1297"/>
        <w:spacing w:after="0" w:line="343" w:lineRule="auto"/>
        <w:rPr>
          <w:sz w:val="20"/>
          <w:szCs w:val="20"/>
          <w:color w:val="auto"/>
        </w:rPr>
      </w:pPr>
      <w:r>
        <w:rPr>
          <w:rFonts w:ascii="Arial" w:cs="Arial" w:eastAsia="Arial" w:hAnsi="Arial"/>
          <w:sz w:val="19"/>
          <w:szCs w:val="19"/>
          <w:color w:val="auto"/>
        </w:rPr>
        <w:t>Notwithstanding the foregoing or anything to the contrary set forth herein, any assignment of any Loans to a Purchasing Borrower Party or any Affiliated Lender shall also be subject to the requirements of Section 13.6(g).</w:t>
      </w:r>
    </w:p>
    <w:p>
      <w:pPr>
        <w:spacing w:after="0" w:line="105" w:lineRule="exact"/>
        <w:rPr>
          <w:sz w:val="20"/>
          <w:szCs w:val="20"/>
          <w:color w:val="auto"/>
        </w:rPr>
      </w:pPr>
    </w:p>
    <w:p>
      <w:pPr>
        <w:ind w:left="2860" w:hanging="907"/>
        <w:spacing w:after="0"/>
        <w:tabs>
          <w:tab w:leader="none" w:pos="28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20" w:lineRule="exact"/>
        <w:rPr>
          <w:sz w:val="20"/>
          <w:szCs w:val="20"/>
          <w:color w:val="auto"/>
        </w:rPr>
      </w:pPr>
    </w:p>
    <w:p>
      <w:pPr>
        <w:ind w:left="660" w:right="60" w:firstLine="1293"/>
        <w:spacing w:after="0" w:line="287" w:lineRule="auto"/>
        <w:tabs>
          <w:tab w:leader="none" w:pos="2905"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except in the case of (i) an assignment to a Lender, an Affiliate of a Lender or an Approved Fund or (ii) an assignment of the entire remaining amount of the assigning Lender’s Commitments or Loans, the amount of the Commitments or Loans of the assigning Lender subject to each such assignment (determined as of the date the Assignment and Acceptance with respect to such assignment is delivered to the Administrative Agent) shall not be less than, in the case of Revolving Credit Commitments or Revolving Credit Loans, Additional/Replacement Revolving Credit Commitments or Additional/Replacement Revolving Credit Loans, $5,000,000 or, in the case of </w:t>
      </w:r>
      <w:r>
        <w:rPr>
          <w:rFonts w:ascii="Arial" w:cs="Arial" w:eastAsia="Arial" w:hAnsi="Arial"/>
          <w:sz w:val="19"/>
          <w:szCs w:val="19"/>
          <w:color w:val="0000FF"/>
        </w:rPr>
        <w:t>2017</w:t>
      </w:r>
      <w:r>
        <w:rPr>
          <w:rFonts w:ascii="Arial" w:cs="Arial" w:eastAsia="Arial" w:hAnsi="Arial"/>
          <w:sz w:val="19"/>
          <w:szCs w:val="19"/>
          <w:color w:val="auto"/>
        </w:rPr>
        <w:t xml:space="preserve"> Initial </w:t>
      </w:r>
      <w:r>
        <w:rPr>
          <w:rFonts w:ascii="Arial" w:cs="Arial" w:eastAsia="Arial" w:hAnsi="Arial"/>
          <w:sz w:val="19"/>
          <w:szCs w:val="19"/>
          <w:color w:val="0000FF"/>
        </w:rPr>
        <w:t>Tranche A Term Loan</w:t>
      </w:r>
      <w:r>
        <w:rPr>
          <w:rFonts w:ascii="Arial" w:cs="Arial" w:eastAsia="Arial" w:hAnsi="Arial"/>
          <w:sz w:val="19"/>
          <w:szCs w:val="19"/>
          <w:color w:val="auto"/>
        </w:rPr>
        <w:t xml:space="preserve"> </w:t>
      </w:r>
      <w:r>
        <w:rPr>
          <w:rFonts w:ascii="Arial" w:cs="Arial" w:eastAsia="Arial" w:hAnsi="Arial"/>
          <w:sz w:val="19"/>
          <w:szCs w:val="19"/>
          <w:color w:val="0000FF"/>
        </w:rPr>
        <w:t xml:space="preserve">Commitments, 2019 Extended </w:t>
      </w:r>
      <w:r>
        <w:rPr>
          <w:rFonts w:ascii="Arial" w:cs="Arial" w:eastAsia="Arial" w:hAnsi="Arial"/>
          <w:sz w:val="19"/>
          <w:szCs w:val="19"/>
          <w:color w:val="000000"/>
        </w:rPr>
        <w:t>Tranche A Term Loan Commitments, Initial Tranche B Term Loan Commitments,</w:t>
      </w:r>
      <w:r>
        <w:rPr>
          <w:rFonts w:ascii="Arial" w:cs="Arial" w:eastAsia="Arial" w:hAnsi="Arial"/>
          <w:sz w:val="19"/>
          <w:szCs w:val="19"/>
          <w:color w:val="0000FF"/>
        </w:rPr>
        <w:t xml:space="preserve"> </w:t>
      </w:r>
      <w:r>
        <w:rPr>
          <w:rFonts w:ascii="Arial" w:cs="Arial" w:eastAsia="Arial" w:hAnsi="Arial"/>
          <w:sz w:val="19"/>
          <w:szCs w:val="19"/>
          <w:color w:val="000000"/>
        </w:rPr>
        <w:t>Incremental Term Loan Commitments or Term Loans, $1,000,000, unless each of the Borrower and the Administrative Agent otherwise consents; provided that no such consent of the Borrower shall be required if an Event of Default under Section 11 has occurred and is continuing; and provided, further, that contemporaneous assignments to a single assignee made by affiliated Lenders or related Approved Funds or by a single assignor to related Approved Funds shall be aggregated for purposes of meeting the minimum assignment amount requirements stated above;</w:t>
      </w:r>
    </w:p>
    <w:p>
      <w:pPr>
        <w:spacing w:after="0" w:line="159" w:lineRule="exact"/>
        <w:rPr>
          <w:rFonts w:ascii="Arial" w:cs="Arial" w:eastAsia="Arial" w:hAnsi="Arial"/>
          <w:sz w:val="19"/>
          <w:szCs w:val="19"/>
          <w:color w:val="auto"/>
        </w:rPr>
      </w:pPr>
    </w:p>
    <w:p>
      <w:pPr>
        <w:ind w:left="660" w:right="80" w:firstLine="1293"/>
        <w:spacing w:after="0" w:line="263" w:lineRule="auto"/>
        <w:tabs>
          <w:tab w:leader="none" w:pos="2893" w:val="left"/>
        </w:tabs>
        <w:numPr>
          <w:ilvl w:val="0"/>
          <w:numId w:val="88"/>
        </w:numPr>
        <w:rPr>
          <w:rFonts w:ascii="Arial" w:cs="Arial" w:eastAsia="Arial" w:hAnsi="Arial"/>
          <w:sz w:val="22"/>
          <w:szCs w:val="22"/>
          <w:color w:val="auto"/>
        </w:rPr>
      </w:pPr>
      <w:r>
        <w:rPr>
          <w:rFonts w:ascii="Arial" w:cs="Arial" w:eastAsia="Arial" w:hAnsi="Arial"/>
          <w:sz w:val="22"/>
          <w:szCs w:val="22"/>
          <w:color w:val="auto"/>
        </w:rPr>
        <w:t>subject to the terms of Section 13.7(c), the parties to each assignment shall execute and deliver to the Administrative Agent an Assignment and Acceptance;</w:t>
      </w:r>
    </w:p>
    <w:p>
      <w:pPr>
        <w:spacing w:after="0" w:line="174" w:lineRule="exact"/>
        <w:rPr>
          <w:rFonts w:ascii="Arial" w:cs="Arial" w:eastAsia="Arial" w:hAnsi="Arial"/>
          <w:sz w:val="22"/>
          <w:szCs w:val="22"/>
          <w:color w:val="auto"/>
        </w:rPr>
      </w:pPr>
    </w:p>
    <w:p>
      <w:pPr>
        <w:ind w:left="660" w:right="20" w:firstLine="1293"/>
        <w:spacing w:after="0" w:line="292" w:lineRule="auto"/>
        <w:tabs>
          <w:tab w:leader="none" w:pos="2893"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parties to each assignment shall e xecute and deliver to the Administrative Agent an Assignment and Acceptance together with a processing fee of $3,500 (it being understood that such processing fee shall not apply to any assignment by any of the Joint Lead Arrangers, the Joint Bookrunners or any of their respective affiliates hereunder); provided that (x) a single processing fee of $3,500 will be payable for multiple assignments by Lenders permitted hereunder that comprise one transaction and are implemented substantially concurrently with one another and (y) the Administrative Agent may, in its sole discretion, elect to waive or reduce such processing fee in the case of any assignment, including assignments effected pursuant to the provisions of Section 13.7;</w:t>
      </w:r>
    </w:p>
    <w:p>
      <w:pPr>
        <w:spacing w:after="0" w:line="4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207</w:t>
      </w:r>
    </w:p>
    <w:p>
      <w:pPr>
        <w:sectPr>
          <w:pgSz w:w="11900" w:h="16838" w:orient="portrait"/>
          <w:cols w:equalWidth="0" w:num="1">
            <w:col w:w="11380"/>
          </w:cols>
          <w:pgMar w:left="240" w:top="294" w:right="279" w:bottom="1440" w:gutter="0" w:footer="0" w:header="0"/>
        </w:sectPr>
      </w:pPr>
    </w:p>
    <w:bookmarkStart w:id="121" w:name="page122"/>
    <w:bookmarkEnd w:id="121"/>
    <w:p>
      <w:pPr>
        <w:ind w:left="660" w:right="180" w:firstLine="1293"/>
        <w:spacing w:after="0" w:line="259" w:lineRule="exact"/>
        <w:tabs>
          <w:tab w:leader="none" w:pos="2905"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assignee, if it shall not be a Lender, shall deliver to the Administrative Agent any tax form required by Section 5.4 and an administrative questionnaire in a form approved by the Administrative Agent in which the assignee designates one or more credit contacts to whom all syndicate-level information (which may contain material non</w:t>
      </w:r>
      <w:r>
        <w:rPr>
          <w:rFonts w:ascii="MS PGothic" w:cs="MS PGothic" w:eastAsia="MS PGothic" w:hAnsi="MS PGothic"/>
          <w:sz w:val="21"/>
          <w:szCs w:val="21"/>
          <w:color w:val="auto"/>
        </w:rPr>
        <w:t>‑</w:t>
      </w:r>
      <w:r>
        <w:rPr>
          <w:rFonts w:ascii="Arial" w:cs="Arial" w:eastAsia="Arial" w:hAnsi="Arial"/>
          <w:sz w:val="21"/>
          <w:szCs w:val="21"/>
          <w:color w:val="auto"/>
        </w:rPr>
        <w:t>public information about the Credit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204" w:lineRule="exact"/>
        <w:rPr>
          <w:rFonts w:ascii="Arial" w:cs="Arial" w:eastAsia="Arial" w:hAnsi="Arial"/>
          <w:sz w:val="21"/>
          <w:szCs w:val="21"/>
          <w:color w:val="auto"/>
        </w:rPr>
      </w:pPr>
    </w:p>
    <w:p>
      <w:pPr>
        <w:jc w:val="both"/>
        <w:ind w:left="660" w:right="20" w:firstLine="1293"/>
        <w:spacing w:after="0" w:line="250" w:lineRule="auto"/>
        <w:tabs>
          <w:tab w:leader="none" w:pos="2881" w:val="left"/>
        </w:tabs>
        <w:numPr>
          <w:ilvl w:val="0"/>
          <w:numId w:val="89"/>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 with respect to the Loan or the Commitment assigned, except that this clause (E) shall not prohibit any Lender from assigning all or a portion of its rights and obligations among separate tranches of Loans (if any) on a non-</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w:t>
      </w:r>
    </w:p>
    <w:p>
      <w:pPr>
        <w:spacing w:after="0" w:line="242"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Notwithstanding the foregoing or anything to the contrary set forth herein (i) any assignment of any Loans or Commitments to an Affiliated Lender shall also be subject to the requirements set forth in Section 13.6(g) and (ii) no natural person may be an assignee or Participant with respect to any Loans or Commitments.</w:t>
      </w:r>
    </w:p>
    <w:p>
      <w:pPr>
        <w:spacing w:after="0" w:line="240" w:lineRule="exact"/>
        <w:rPr>
          <w:sz w:val="20"/>
          <w:szCs w:val="20"/>
          <w:color w:val="auto"/>
        </w:rPr>
      </w:pPr>
    </w:p>
    <w:p>
      <w:pPr>
        <w:ind w:right="20" w:firstLine="1953"/>
        <w:spacing w:after="0" w:line="289" w:lineRule="auto"/>
        <w:tabs>
          <w:tab w:leader="none" w:pos="2917"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Section 13.6(b)(vi),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and subject to the requirements of Sections 2.10, 2.11, 5.4 and 13.5). Any assignment or transfer by a Lender of rights or obligations under this Agreement that does not comply with this Section 13.6 shall be treated for purposes of this Agreement as a sale by such Lender of a participation in such rights and obligations in accordance with Section 13.6(d).</w:t>
      </w:r>
    </w:p>
    <w:p>
      <w:pPr>
        <w:spacing w:after="0" w:line="157" w:lineRule="exact"/>
        <w:rPr>
          <w:rFonts w:ascii="Arial" w:cs="Arial" w:eastAsia="Arial" w:hAnsi="Arial"/>
          <w:sz w:val="19"/>
          <w:szCs w:val="19"/>
          <w:color w:val="auto"/>
        </w:rPr>
      </w:pPr>
    </w:p>
    <w:p>
      <w:pPr>
        <w:ind w:right="20" w:firstLine="1953"/>
        <w:spacing w:after="0" w:line="288" w:lineRule="auto"/>
        <w:tabs>
          <w:tab w:leader="none" w:pos="2905"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By executing and delivering an Assignment and Acceptance, the assigning Lender thereunder and the assignee thereunder shall be deemed to confirm to and agree with each other and the other parties hereto as follows: (A) such assigning Lender warrants that it is the legal and beneficial owner of the interest being assigned thereby free and clear of any adverse claim and that its </w:t>
      </w:r>
      <w:r>
        <w:rPr>
          <w:rFonts w:ascii="Arial" w:cs="Arial" w:eastAsia="Arial" w:hAnsi="Arial"/>
          <w:sz w:val="19"/>
          <w:szCs w:val="19"/>
          <w:color w:val="0000FF"/>
        </w:rPr>
        <w:t>2017</w:t>
      </w:r>
      <w:r>
        <w:rPr>
          <w:rFonts w:ascii="Arial" w:cs="Arial" w:eastAsia="Arial" w:hAnsi="Arial"/>
          <w:sz w:val="19"/>
          <w:szCs w:val="19"/>
          <w:color w:val="auto"/>
        </w:rPr>
        <w:t xml:space="preserve"> Initial Tranche A Term Loan Commitment, </w:t>
      </w:r>
      <w:r>
        <w:rPr>
          <w:rFonts w:ascii="Arial" w:cs="Arial" w:eastAsia="Arial" w:hAnsi="Arial"/>
          <w:sz w:val="19"/>
          <w:szCs w:val="19"/>
          <w:color w:val="FF0000"/>
          <w:strike w:val="1"/>
        </w:rPr>
        <w:t>Initial</w:t>
      </w:r>
      <w:r>
        <w:rPr>
          <w:rFonts w:ascii="Arial" w:cs="Arial" w:eastAsia="Arial" w:hAnsi="Arial"/>
          <w:sz w:val="19"/>
          <w:szCs w:val="19"/>
          <w:color w:val="auto"/>
        </w:rPr>
        <w:t xml:space="preserve"> </w:t>
      </w:r>
      <w:r>
        <w:rPr>
          <w:rFonts w:ascii="Arial" w:cs="Arial" w:eastAsia="Arial" w:hAnsi="Arial"/>
          <w:sz w:val="19"/>
          <w:szCs w:val="19"/>
          <w:color w:val="0000FF"/>
        </w:rPr>
        <w:t>2019 Extended</w:t>
      </w:r>
      <w:r>
        <w:rPr>
          <w:rFonts w:ascii="Arial" w:cs="Arial" w:eastAsia="Arial" w:hAnsi="Arial"/>
          <w:sz w:val="19"/>
          <w:szCs w:val="19"/>
          <w:color w:val="auto"/>
        </w:rPr>
        <w:t xml:space="preserve"> Tranche A Term Loan Commitment, Incremental Term Loan Commitment, Revolving Credit Commitment and Additional/Replacement Revolving Credit Commitment, and the outstanding balances of its Loans, in each case without giving effect to assignments thereof which have not become effective, are as set forth in such Assignment and Acceptance, (B) except as set forth in (A)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any other Credit Document or any other instrument or document furnished pursuant hereto, or the financial condition of Holdings, the Borrower or any</w:t>
      </w:r>
    </w:p>
    <w:p>
      <w:pPr>
        <w:spacing w:after="0" w:line="309"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208</w:t>
      </w:r>
    </w:p>
    <w:p>
      <w:pPr>
        <w:sectPr>
          <w:pgSz w:w="11900" w:h="16838" w:orient="portrait"/>
          <w:cols w:equalWidth="0" w:num="1">
            <w:col w:w="11400"/>
          </w:cols>
          <w:pgMar w:left="240" w:top="240" w:right="259" w:bottom="1440" w:gutter="0" w:footer="0" w:header="0"/>
        </w:sectPr>
      </w:pPr>
    </w:p>
    <w:bookmarkStart w:id="122" w:name="page123"/>
    <w:bookmarkEnd w:id="122"/>
    <w:p>
      <w:pPr>
        <w:ind w:right="180"/>
        <w:spacing w:after="0" w:line="263" w:lineRule="auto"/>
        <w:rPr>
          <w:sz w:val="20"/>
          <w:szCs w:val="20"/>
          <w:color w:val="auto"/>
        </w:rPr>
      </w:pPr>
      <w:r>
        <w:rPr>
          <w:rFonts w:ascii="Arial" w:cs="Arial" w:eastAsia="Arial" w:hAnsi="Arial"/>
          <w:sz w:val="22"/>
          <w:szCs w:val="22"/>
          <w:color w:val="auto"/>
        </w:rPr>
        <w:t>information that identifies the Borrower, which information includes the name and address of the Borrower and other information that will allow such Lender to identify the Borrower in accordance with the Patriot Act.</w:t>
      </w:r>
    </w:p>
    <w:p>
      <w:pPr>
        <w:spacing w:after="0" w:line="175" w:lineRule="exact"/>
        <w:rPr>
          <w:sz w:val="20"/>
          <w:szCs w:val="20"/>
          <w:color w:val="auto"/>
        </w:rPr>
      </w:pPr>
    </w:p>
    <w:p>
      <w:pPr>
        <w:ind w:firstLine="1945"/>
        <w:spacing w:after="0" w:line="266" w:lineRule="auto"/>
        <w:rPr>
          <w:sz w:val="20"/>
          <w:szCs w:val="20"/>
          <w:color w:val="auto"/>
        </w:rPr>
      </w:pPr>
      <w:r>
        <w:rPr>
          <w:rFonts w:ascii="Arial" w:cs="Arial" w:eastAsia="Arial" w:hAnsi="Arial"/>
          <w:sz w:val="21"/>
          <w:szCs w:val="21"/>
          <w:color w:val="auto"/>
        </w:rPr>
        <w:t xml:space="preserve">13.18 </w:t>
      </w:r>
      <w:r>
        <w:rPr>
          <w:rFonts w:ascii="Arial" w:cs="Arial" w:eastAsia="Arial" w:hAnsi="Arial"/>
          <w:sz w:val="21"/>
          <w:szCs w:val="21"/>
          <w:u w:val="single" w:color="auto"/>
          <w:color w:val="auto"/>
        </w:rPr>
        <w:t>Legend</w:t>
      </w:r>
      <w:r>
        <w:rPr>
          <w:rFonts w:ascii="Arial" w:cs="Arial" w:eastAsia="Arial" w:hAnsi="Arial"/>
          <w:sz w:val="21"/>
          <w:szCs w:val="21"/>
          <w:color w:val="auto"/>
        </w:rPr>
        <w:t xml:space="preserve">. The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 Loans, 2019 Extended</w:t>
      </w:r>
      <w:r>
        <w:rPr>
          <w:rFonts w:ascii="Arial" w:cs="Arial" w:eastAsia="Arial" w:hAnsi="Arial"/>
          <w:sz w:val="21"/>
          <w:szCs w:val="21"/>
          <w:color w:val="auto"/>
        </w:rPr>
        <w:t xml:space="preserve"> Tranche A Term Loans, Initial Tranche B Term Loans and 2013 Incremental Tranche B Term Loans may be issued with original issue discount (“</w:t>
      </w:r>
      <w:r>
        <w:rPr>
          <w:rFonts w:ascii="Arial" w:cs="Arial" w:eastAsia="Arial" w:hAnsi="Arial"/>
          <w:sz w:val="21"/>
          <w:szCs w:val="21"/>
          <w:u w:val="single" w:color="auto"/>
          <w:color w:val="auto"/>
        </w:rPr>
        <w:t>OID</w:t>
      </w:r>
      <w:r>
        <w:rPr>
          <w:rFonts w:ascii="Arial" w:cs="Arial" w:eastAsia="Arial" w:hAnsi="Arial"/>
          <w:sz w:val="21"/>
          <w:szCs w:val="21"/>
          <w:color w:val="auto"/>
        </w:rPr>
        <w:t xml:space="preserve">”) for U.S. Federal income tax purposes. The issue price, amount of OID, issue date and yield to maturity of these </w:t>
      </w:r>
      <w:r>
        <w:rPr>
          <w:rFonts w:ascii="Arial" w:cs="Arial" w:eastAsia="Arial" w:hAnsi="Arial"/>
          <w:sz w:val="21"/>
          <w:szCs w:val="21"/>
          <w:color w:val="0000FF"/>
        </w:rPr>
        <w:t>2017</w:t>
      </w:r>
      <w:r>
        <w:rPr>
          <w:rFonts w:ascii="Arial" w:cs="Arial" w:eastAsia="Arial" w:hAnsi="Arial"/>
          <w:sz w:val="21"/>
          <w:szCs w:val="21"/>
          <w:color w:val="auto"/>
        </w:rPr>
        <w:t xml:space="preserve"> Initial </w:t>
      </w:r>
      <w:r>
        <w:rPr>
          <w:rFonts w:ascii="Arial" w:cs="Arial" w:eastAsia="Arial" w:hAnsi="Arial"/>
          <w:sz w:val="21"/>
          <w:szCs w:val="21"/>
          <w:color w:val="0000FF"/>
        </w:rPr>
        <w:t>Tranche A Term</w:t>
      </w:r>
      <w:r>
        <w:rPr>
          <w:rFonts w:ascii="Arial" w:cs="Arial" w:eastAsia="Arial" w:hAnsi="Arial"/>
          <w:sz w:val="21"/>
          <w:szCs w:val="21"/>
          <w:color w:val="auto"/>
        </w:rPr>
        <w:t xml:space="preserve"> </w:t>
      </w:r>
      <w:r>
        <w:rPr>
          <w:rFonts w:ascii="Arial" w:cs="Arial" w:eastAsia="Arial" w:hAnsi="Arial"/>
          <w:sz w:val="21"/>
          <w:szCs w:val="21"/>
          <w:color w:val="0000FF"/>
        </w:rPr>
        <w:t xml:space="preserve">Loans, 2019 Extended </w:t>
      </w:r>
      <w:r>
        <w:rPr>
          <w:rFonts w:ascii="Arial" w:cs="Arial" w:eastAsia="Arial" w:hAnsi="Arial"/>
          <w:sz w:val="21"/>
          <w:szCs w:val="21"/>
          <w:color w:val="000000"/>
        </w:rPr>
        <w:t>Tranche A Term Loans, Initial Tranche B Term Loans and 2013 Incremental Tranche B Term Loans may be</w:t>
      </w:r>
      <w:r>
        <w:rPr>
          <w:rFonts w:ascii="Arial" w:cs="Arial" w:eastAsia="Arial" w:hAnsi="Arial"/>
          <w:sz w:val="21"/>
          <w:szCs w:val="21"/>
          <w:color w:val="0000FF"/>
        </w:rPr>
        <w:t xml:space="preserve"> </w:t>
      </w:r>
      <w:r>
        <w:rPr>
          <w:rFonts w:ascii="Arial" w:cs="Arial" w:eastAsia="Arial" w:hAnsi="Arial"/>
          <w:sz w:val="21"/>
          <w:szCs w:val="21"/>
          <w:color w:val="000000"/>
        </w:rPr>
        <w:t>obtained by writing to the Administrative Agent at the address set forth in Section 13.2.</w:t>
      </w:r>
    </w:p>
    <w:p>
      <w:pPr>
        <w:spacing w:after="0" w:line="174"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22"/>
          <w:szCs w:val="22"/>
          <w:color w:val="auto"/>
        </w:rPr>
        <w:t>13.19</w:t>
      </w:r>
      <w:r>
        <w:rPr>
          <w:sz w:val="20"/>
          <w:szCs w:val="20"/>
          <w:color w:val="auto"/>
        </w:rPr>
        <w:tab/>
      </w:r>
      <w:r>
        <w:rPr>
          <w:rFonts w:ascii="Arial" w:cs="Arial" w:eastAsia="Arial" w:hAnsi="Arial"/>
          <w:sz w:val="19"/>
          <w:szCs w:val="19"/>
          <w:u w:val="single" w:color="auto"/>
          <w:color w:val="auto"/>
        </w:rPr>
        <w:t>Release of Collateral and Guarantee Obligations; Subordination of Liens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84" w:lineRule="auto"/>
        <w:tabs>
          <w:tab w:leader="none" w:pos="2185"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Lenders hereby irrevocably agree that the Liens granted to the Collateral Agent by the Credit Parties on any Collateral shall be automatically released (i) in full, as set forth in clause (b) below, (ii) upon the sale, transfer or other disposition of such Collateral (including as part of or in connection with any other sale, transfer or other disposition permitted hereunder) to any Person other than another Credit Party, to the extent such sale, transfer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by a Person that is not a Credit Party, upon termination or expiration of such lease, (iv) if the release of such Lien is approved, authorized or ratified in writing by the Required Lenders (or such other percentage of the Lenders whose consent may be required in accordance with Section 13.1), (v) to the extent the property constituting such Collateral is owned by any Guarantor, upon the release of such Guarantor from its obligations under the Guarantee (in accordance with the second succeeding sentence and Section 25 of the Guarantee), (vi) as required by the Collateral Agent to effect any sale, transfer or other disposition of Collateral in connection with any exercise of remedies of the Collateral Agent pursuant to the Security Documents and (vii) to the extent such Collateral otherwise becomes Excluded Capital Stock or Excluded Property (as defined in the Security Agreement).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the Guarantors shall be released from the Guarantees upon consummation of any transaction permitted hereunder resulting in such Subsidiary ceasing to constitute a Restricted Subsidiary, or otherwise becoming an Excluded Subsidiary, or, in the case of a Previous Holdings, in accordance with the conditions set forth in the definition of Holdings.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 Any</w:t>
      </w:r>
    </w:p>
    <w:p>
      <w:pPr>
        <w:spacing w:after="0" w:line="200" w:lineRule="exact"/>
        <w:rPr>
          <w:sz w:val="20"/>
          <w:szCs w:val="20"/>
          <w:color w:val="auto"/>
        </w:rPr>
      </w:pPr>
    </w:p>
    <w:p>
      <w:pPr>
        <w:spacing w:after="0" w:line="284"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224</w:t>
      </w:r>
    </w:p>
    <w:p>
      <w:pPr>
        <w:sectPr>
          <w:pgSz w:w="11900" w:h="16838" w:orient="portrait"/>
          <w:cols w:equalWidth="0" w:num="1">
            <w:col w:w="11400"/>
          </w:cols>
          <w:pgMar w:left="240" w:top="240" w:right="2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Annex I-B</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Delayed Amendments to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1-B]</w:t>
      </w:r>
    </w:p>
    <w:p>
      <w:pPr>
        <w:sectPr>
          <w:pgSz w:w="11900" w:h="16838" w:orient="portrait"/>
          <w:cols w:equalWidth="0" w:num="1">
            <w:col w:w="9019"/>
          </w:cols>
          <w:pgMar w:left="1440" w:top="382"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color w:val="FF0000"/>
          <w:strike w:val="1"/>
        </w:rPr>
        <w:t>Execution Version</w:t>
      </w:r>
      <w:r>
        <w:rPr>
          <w:rFonts w:ascii="Arial" w:cs="Arial" w:eastAsia="Arial" w:hAnsi="Arial"/>
          <w:sz w:val="22"/>
          <w:szCs w:val="22"/>
          <w:color w:val="0000FF"/>
        </w:rPr>
        <w:t>FINAL CONFORMED COPY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CONFORMED TO AMENDMENTS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EFFECTUATED PURSUANT TO</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AMENDMENT NO. </w:t>
      </w:r>
      <w:r>
        <w:rPr>
          <w:rFonts w:ascii="Arial" w:cs="Arial" w:eastAsia="Arial" w:hAnsi="Arial"/>
          <w:sz w:val="22"/>
          <w:szCs w:val="22"/>
          <w:color w:val="FF0000"/>
          <w:strike w:val="1"/>
        </w:rPr>
        <w:t>1</w:t>
      </w:r>
      <w:r>
        <w:rPr>
          <w:rFonts w:ascii="Arial" w:cs="Arial" w:eastAsia="Arial" w:hAnsi="Arial"/>
          <w:sz w:val="22"/>
          <w:szCs w:val="22"/>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29, 2012</w:t>
      </w:r>
    </w:p>
    <w:p>
      <w:pPr>
        <w:spacing w:after="0" w:line="200" w:lineRule="exact"/>
        <w:rPr>
          <w:sz w:val="20"/>
          <w:szCs w:val="20"/>
          <w:color w:val="auto"/>
        </w:rPr>
      </w:pPr>
    </w:p>
    <w:p>
      <w:pPr>
        <w:spacing w:after="0" w:line="23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LPL INVESTMENT HOLDINGS INC.,</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as Holdings,</w:t>
      </w:r>
    </w:p>
    <w:p>
      <w:pPr>
        <w:spacing w:after="0" w:line="14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LPL HOLDINGS, INC.,</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as Borrower,</w:t>
      </w:r>
    </w:p>
    <w:p>
      <w:pPr>
        <w:spacing w:after="0" w:line="142"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The Several Lenders</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from Time to Time Parties Hereto,</w:t>
      </w:r>
    </w:p>
    <w:p>
      <w:pPr>
        <w:spacing w:after="0" w:line="142"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 Collateral Agent, Letter of Credit Issuer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MERRILL LYNCH, PIERCE, FENNER &amp; SMITH INCORPORATED AND GOLDMAN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SACHS BANK USA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Lead Arrangers,</w:t>
      </w:r>
    </w:p>
    <w:p>
      <w:pPr>
        <w:spacing w:after="0" w:line="142" w:lineRule="exact"/>
        <w:rPr>
          <w:sz w:val="20"/>
          <w:szCs w:val="20"/>
          <w:color w:val="auto"/>
        </w:rPr>
      </w:pPr>
    </w:p>
    <w:p>
      <w:pPr>
        <w:jc w:val="center"/>
        <w:spacing w:after="0" w:line="252" w:lineRule="auto"/>
        <w:rPr>
          <w:sz w:val="20"/>
          <w:szCs w:val="20"/>
          <w:color w:val="auto"/>
        </w:rPr>
      </w:pPr>
      <w:r>
        <w:rPr>
          <w:rFonts w:ascii="Arial" w:cs="Arial" w:eastAsia="Arial" w:hAnsi="Arial"/>
          <w:sz w:val="22"/>
          <w:szCs w:val="22"/>
          <w:b w:val="1"/>
          <w:bCs w:val="1"/>
          <w:color w:val="auto"/>
        </w:rPr>
        <w:t xml:space="preserve">MERRILL LYNCH, PIERCE, FENNER &amp; SMITH INCORPORATED, GOLDMAN SACHS BANK USA, J.P. MORGAN SECURITIES LLC, MORGAN STANLEY SENIOR FUNDING, INC. AND SUNTRUST ROBINSON HUMPHREY, INC. </w:t>
      </w:r>
      <w:r>
        <w:rPr>
          <w:rFonts w:ascii="Arial" w:cs="Arial" w:eastAsia="Arial" w:hAnsi="Arial"/>
          <w:sz w:val="22"/>
          <w:szCs w:val="22"/>
          <w:color w:val="auto"/>
        </w:rPr>
        <w:t>as Joint Bookrunners,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GOLDMAN SACHS BANK USA, J.P. MORGAN SECURITIES LLC AND MORGAN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STANLEY SENIOR FUNDING,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Agents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SUNTRUST BANK</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FF0000"/>
          <w:strike w:val="1"/>
        </w:rPr>
        <w:t>NYDOC SO2/996722.8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60" w:right="560" w:hanging="655"/>
        <w:spacing w:after="0" w:line="291" w:lineRule="auto"/>
        <w:tabs>
          <w:tab w:leader="none" w:pos="19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other Domestic Subsidiary acquired pursuant to a Permitted Acquisition and financed with secured Indebtedness incurred pursuant to Section 10.1(j) or 10.1(k) and permitted by the proviso to subclause</w:t>
      </w:r>
    </w:p>
    <w:p>
      <w:pPr>
        <w:spacing w:after="0" w:line="1" w:lineRule="exact"/>
        <w:rPr>
          <w:rFonts w:ascii="Arial" w:cs="Arial" w:eastAsia="Arial" w:hAnsi="Arial"/>
          <w:sz w:val="19"/>
          <w:szCs w:val="19"/>
          <w:color w:val="auto"/>
        </w:rPr>
      </w:pPr>
    </w:p>
    <w:p>
      <w:pPr>
        <w:ind w:left="1960" w:right="20"/>
        <w:spacing w:after="0" w:line="244" w:lineRule="auto"/>
        <w:rPr>
          <w:rFonts w:ascii="Arial" w:cs="Arial" w:eastAsia="Arial" w:hAnsi="Arial"/>
          <w:sz w:val="19"/>
          <w:szCs w:val="19"/>
          <w:color w:val="auto"/>
        </w:rPr>
      </w:pPr>
      <w:r>
        <w:rPr>
          <w:rFonts w:ascii="Arial" w:cs="Arial" w:eastAsia="Arial" w:hAnsi="Arial"/>
          <w:sz w:val="22"/>
          <w:szCs w:val="22"/>
          <w:color w:val="auto"/>
        </w:rPr>
        <w:t>(z) and (y) of each such Section, respectively, and each Restricted Subsidiary acquired in such Permitted Acquisition that guarantees such Indebtedness to the extent that, and for so long as, the documentation relating to such Indebtedness to which such Restricted Subsidiary is a party prohibits such Restricted Subsidiary from guaranteeing the Obligations (so long as such prohibition is not incurred in contemplation of such acquisition),</w:t>
      </w:r>
    </w:p>
    <w:p>
      <w:pPr>
        <w:spacing w:after="0" w:line="303" w:lineRule="exact"/>
        <w:rPr>
          <w:rFonts w:ascii="Arial" w:cs="Arial" w:eastAsia="Arial" w:hAnsi="Arial"/>
          <w:sz w:val="19"/>
          <w:szCs w:val="19"/>
          <w:color w:val="auto"/>
        </w:rPr>
      </w:pPr>
    </w:p>
    <w:p>
      <w:pPr>
        <w:ind w:left="1960" w:hanging="655"/>
        <w:spacing w:after="0"/>
        <w:tabs>
          <w:tab w:leader="none" w:pos="1960" w:val="left"/>
        </w:tabs>
        <w:numPr>
          <w:ilvl w:val="0"/>
          <w:numId w:val="92"/>
        </w:numPr>
        <w:rPr>
          <w:rFonts w:ascii="Arial" w:cs="Arial" w:eastAsia="Arial" w:hAnsi="Arial"/>
          <w:sz w:val="22"/>
          <w:szCs w:val="22"/>
          <w:color w:val="0000FF"/>
        </w:rPr>
      </w:pPr>
      <w:r>
        <w:rPr>
          <w:rFonts w:ascii="Arial" w:cs="Arial" w:eastAsia="Arial" w:hAnsi="Arial"/>
          <w:sz w:val="22"/>
          <w:szCs w:val="22"/>
          <w:color w:val="0000FF"/>
        </w:rPr>
        <w:t xml:space="preserve">any Subsidiary that is a captive insurance company, </w:t>
      </w:r>
      <w:r>
        <w:rPr>
          <w:rFonts w:ascii="Arial" w:cs="Arial" w:eastAsia="Arial" w:hAnsi="Arial"/>
          <w:sz w:val="22"/>
          <w:szCs w:val="22"/>
          <w:color w:val="000000"/>
        </w:rPr>
        <w:t>and</w:t>
      </w:r>
    </w:p>
    <w:p>
      <w:pPr>
        <w:spacing w:after="0" w:line="327" w:lineRule="exact"/>
        <w:rPr>
          <w:rFonts w:ascii="Arial" w:cs="Arial" w:eastAsia="Arial" w:hAnsi="Arial"/>
          <w:sz w:val="22"/>
          <w:szCs w:val="22"/>
          <w:color w:val="0000FF"/>
        </w:rPr>
      </w:pPr>
    </w:p>
    <w:p>
      <w:pPr>
        <w:ind w:left="1960" w:hanging="655"/>
        <w:spacing w:after="0"/>
        <w:tabs>
          <w:tab w:leader="none" w:pos="1960" w:val="left"/>
        </w:tabs>
        <w:numPr>
          <w:ilvl w:val="0"/>
          <w:numId w:val="92"/>
        </w:numPr>
        <w:rPr>
          <w:rFonts w:ascii="Arial" w:cs="Arial" w:eastAsia="Arial" w:hAnsi="Arial"/>
          <w:sz w:val="19"/>
          <w:szCs w:val="19"/>
          <w:color w:val="0000FF"/>
        </w:rPr>
      </w:pPr>
      <w:r>
        <w:rPr>
          <w:rFonts w:ascii="Arial" w:cs="Arial" w:eastAsia="Arial" w:hAnsi="Arial"/>
          <w:sz w:val="19"/>
          <w:szCs w:val="19"/>
          <w:color w:val="FF0000"/>
          <w:strike w:val="1"/>
        </w:rPr>
        <w:t>(j)</w:t>
      </w:r>
      <w:r>
        <w:rPr>
          <w:rFonts w:ascii="Arial" w:cs="Arial" w:eastAsia="Arial" w:hAnsi="Arial"/>
          <w:sz w:val="19"/>
          <w:szCs w:val="19"/>
          <w:color w:val="FF0000"/>
        </w:rPr>
        <w:t xml:space="preserve"> </w:t>
      </w:r>
      <w:r>
        <w:rPr>
          <w:rFonts w:ascii="Arial" w:cs="Arial" w:eastAsia="Arial" w:hAnsi="Arial"/>
          <w:sz w:val="19"/>
          <w:szCs w:val="19"/>
          <w:color w:val="000000"/>
        </w:rPr>
        <w:t>any Subsidiary to the extent that the guarantee of the Obligations would result in material adverse tax</w:t>
      </w:r>
    </w:p>
    <w:p>
      <w:pPr>
        <w:sectPr>
          <w:pgSz w:w="11900" w:h="16838" w:orient="portrait"/>
          <w:cols w:equalWidth="0" w:num="1">
            <w:col w:w="11420"/>
          </w:cols>
          <w:pgMar w:left="240" w:top="132" w:right="239" w:bottom="0" w:gutter="0" w:footer="0" w:header="0"/>
        </w:sectPr>
      </w:pPr>
    </w:p>
    <w:bookmarkStart w:id="125" w:name="page126"/>
    <w:bookmarkEnd w:id="125"/>
    <w:p>
      <w:pPr>
        <w:ind w:left="760"/>
        <w:spacing w:after="0" w:line="343" w:lineRule="auto"/>
        <w:rPr>
          <w:sz w:val="20"/>
          <w:szCs w:val="20"/>
          <w:color w:val="auto"/>
        </w:rPr>
      </w:pPr>
      <w:r>
        <w:rPr>
          <w:rFonts w:ascii="Arial" w:cs="Arial" w:eastAsia="Arial" w:hAnsi="Arial"/>
          <w:sz w:val="19"/>
          <w:szCs w:val="19"/>
          <w:color w:val="auto"/>
        </w:rPr>
        <w:t>consequences to Holdings, the Borrower or any Subsidiary as reasonably determined by the Borrower in consultation with the Administrative Agent and notified in writing to the Collateral Agent.</w:t>
      </w:r>
    </w:p>
    <w:p>
      <w:pPr>
        <w:sectPr>
          <w:pgSz w:w="11900" w:h="16838" w:orient="portrait"/>
          <w:cols w:equalWidth="0" w:num="1">
            <w:col w:w="9780"/>
          </w:cols>
          <w:pgMar w:left="1440" w:top="131" w:right="679" w:bottom="1440" w:gutter="0" w:footer="0" w:header="0"/>
        </w:sectPr>
      </w:pPr>
    </w:p>
    <w:bookmarkStart w:id="126" w:name="page127"/>
    <w:bookmarkEnd w:id="126"/>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shall mean, with respect to any Credit Party, any obligation (a “</w:t>
      </w:r>
      <w:r>
        <w:rPr>
          <w:rFonts w:ascii="Arial" w:cs="Arial" w:eastAsia="Arial" w:hAnsi="Arial"/>
          <w:sz w:val="19"/>
          <w:szCs w:val="19"/>
          <w:u w:val="single" w:color="auto"/>
          <w:color w:val="auto"/>
        </w:rPr>
        <w:t>Swap Obligation</w:t>
      </w:r>
      <w:r>
        <w:rPr>
          <w:rFonts w:ascii="Arial" w:cs="Arial" w:eastAsia="Arial" w:hAnsi="Arial"/>
          <w:sz w:val="19"/>
          <w:szCs w:val="19"/>
          <w:color w:val="auto"/>
        </w:rPr>
        <w:t>”) to pay or perform under any agreement, contract, or transaction that constitutes a “swap” within the meaning of Section 1a(47) of the Commodity Exchange Act, if, and to the extent that, all or a portion of the guarantee of such Credit Party of, or the grant by such Credit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(determined after giving effect to Section 9.18 hereof and any other “keepwell, support or other agreement” for the benefit of such Credit Party for all purposes of Section 1a(18)(A)(v)(II) of the Commodity Exchange Act) at the time the Guarantee of such Credit Party, or a grant by such Credit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26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Exclusive IP Licenses</w:t>
      </w:r>
      <w:r>
        <w:rPr>
          <w:rFonts w:ascii="Arial" w:cs="Arial" w:eastAsia="Arial" w:hAnsi="Arial"/>
          <w:sz w:val="22"/>
          <w:szCs w:val="22"/>
          <w:color w:val="auto"/>
        </w:rPr>
        <w:t>” shall mean any exclusive intellectual property license, sublicense or cross-license granted by the Borrower or any of its Restricted Subsidiaries to another Person, which license, sublicense or cross-license was not made in the ordinary course of business and which materially limits the ability of the Borrower or its Restricted Subsidiaries to continue to use such intellectual property in its business.</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Class</w:t>
      </w:r>
      <w:r>
        <w:rPr>
          <w:rFonts w:ascii="Arial" w:cs="Arial" w:eastAsia="Arial" w:hAnsi="Arial"/>
          <w:sz w:val="22"/>
          <w:szCs w:val="22"/>
          <w:color w:val="auto"/>
        </w:rPr>
        <w:t>” shall mean Existing Term Loan Classes and each Class of Existing Revolving Credit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Commitments.</w:t>
      </w:r>
    </w:p>
    <w:p>
      <w:pPr>
        <w:spacing w:after="0" w:line="31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shall mean the Letters of Credit listed on Schedule 1.1(c).</w:t>
      </w:r>
    </w:p>
    <w:p>
      <w:pPr>
        <w:spacing w:after="0" w:line="200" w:lineRule="exact"/>
        <w:rPr>
          <w:sz w:val="20"/>
          <w:szCs w:val="20"/>
          <w:color w:val="auto"/>
        </w:rPr>
      </w:pPr>
    </w:p>
    <w:p>
      <w:pPr>
        <w:spacing w:after="0" w:line="290"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40</w:t>
      </w:r>
    </w:p>
    <w:p>
      <w:pPr>
        <w:sectPr>
          <w:pgSz w:w="11900" w:h="16838" w:orient="portrait"/>
          <w:cols w:equalWidth="0" w:num="1">
            <w:col w:w="11300"/>
          </w:cols>
          <w:pgMar w:left="240" w:top="294" w:right="359" w:bottom="1440" w:gutter="0" w:footer="0" w:header="0"/>
        </w:sectPr>
      </w:pPr>
    </w:p>
    <w:bookmarkStart w:id="127" w:name="page128"/>
    <w:bookmarkEnd w:id="127"/>
    <w:p>
      <w:pPr>
        <w:ind w:right="40"/>
        <w:spacing w:after="0" w:line="286" w:lineRule="auto"/>
        <w:rPr>
          <w:sz w:val="20"/>
          <w:szCs w:val="20"/>
          <w:color w:val="auto"/>
        </w:rPr>
      </w:pPr>
      <w:r>
        <w:rPr>
          <w:rFonts w:ascii="Arial" w:cs="Arial" w:eastAsia="Arial" w:hAnsi="Arial"/>
          <w:sz w:val="19"/>
          <w:szCs w:val="19"/>
          <w:color w:val="auto"/>
        </w:rPr>
        <w:t>Consolidated EBITDA Ratio as of the Test Period most recently ended on or prior to the incurrence of any such Incremental Facility, calculated on a Pro Forma Basis, as if such incurrence (and transaction) had occurred on the first day of such Test Period, that is no greater than 2.25:1.0 (the “</w:t>
      </w:r>
      <w:r>
        <w:rPr>
          <w:rFonts w:ascii="Arial" w:cs="Arial" w:eastAsia="Arial" w:hAnsi="Arial"/>
          <w:sz w:val="19"/>
          <w:szCs w:val="19"/>
          <w:u w:val="single" w:color="auto"/>
          <w:color w:val="auto"/>
        </w:rPr>
        <w:t>Incremental Limit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Incremental Term Loans may be incurred without regard to the Incremental Limit, without regard to the requirement set forth in the proviso to Section 2.14(a) that the Borrower and the Restricted Subsidiaries be in compliance on a Pro Forma Basis with the requirements of Sections 10.9 and 10.10 as of the most recently ended Test Period, and without regard to whether an Event of Default has occurred and is continuing, to the extent that the Net Cash Proceeds from such Incremental Term Loans are used on the date of incurrence of such Incremental Term Loans to prepay Term Loans in accordance with the procedures set forth in Section 5.2(a)(i) and subject to the payment of premiums set forth in Section 5.1(b), if applicable, and (ii) Additional/Replacement Revolving Credit Commitments may be provided without regard to the Incremental Limit, without regard to the requirement set forth in the proviso to Section 2.14(a) that the Borrower and the Restricted Subsidiaries be in compliance on a Pro Forma Basis with the requirements of Sections 10.9 and 10.10 as of the most recently ended Test Period, and without regard to whether an Event of Default has occurred and is continuing, to the extent that the existing Revolving Credit Commitments shall be permanently reduced in accordance with Section 5.2(e)(ii) by an amount equal to the aggregate amount of Additional/Replacement Revolving Credit Commitments so provided.</w:t>
      </w:r>
    </w:p>
    <w:p>
      <w:pPr>
        <w:spacing w:after="0" w:line="271" w:lineRule="exact"/>
        <w:rPr>
          <w:sz w:val="20"/>
          <w:szCs w:val="20"/>
          <w:color w:val="auto"/>
        </w:rPr>
      </w:pPr>
    </w:p>
    <w:p>
      <w:pPr>
        <w:ind w:firstLine="1305"/>
        <w:spacing w:after="0" w:line="283" w:lineRule="auto"/>
        <w:tabs>
          <w:tab w:leader="none" w:pos="2185"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(i) (A) The Incremental Tranche A Term Loans (i) shall rank pari passu in right of payment and of security with the 2017 Initial Tranche A Term Loans and the 2019 Extended Tranche A Term Loans, (ii) shall not mature earlier than </w:t>
      </w:r>
      <w:r>
        <w:rPr>
          <w:rFonts w:ascii="Arial" w:cs="Arial" w:eastAsia="Arial" w:hAnsi="Arial"/>
          <w:sz w:val="19"/>
          <w:szCs w:val="19"/>
          <w:color w:val="FF0000"/>
          <w:strike w:val="1"/>
        </w:rPr>
        <w:t>the</w:t>
      </w:r>
      <w:r>
        <w:rPr>
          <w:rFonts w:ascii="Arial" w:cs="Arial" w:eastAsia="Arial" w:hAnsi="Arial"/>
          <w:sz w:val="19"/>
          <w:szCs w:val="19"/>
          <w:color w:val="auto"/>
        </w:rPr>
        <w:t xml:space="preserve"> </w:t>
      </w:r>
      <w:r>
        <w:rPr>
          <w:rFonts w:ascii="Arial" w:cs="Arial" w:eastAsia="Arial" w:hAnsi="Arial"/>
          <w:sz w:val="19"/>
          <w:szCs w:val="19"/>
          <w:color w:val="FF0000"/>
          <w:strike w:val="1"/>
        </w:rPr>
        <w:t>2017 Initial Tranche A Term Loan Maturity Date</w:t>
      </w:r>
      <w:r>
        <w:rPr>
          <w:rFonts w:ascii="Arial" w:cs="Arial" w:eastAsia="Arial" w:hAnsi="Arial"/>
          <w:sz w:val="19"/>
          <w:szCs w:val="19"/>
          <w:color w:val="0000FF"/>
        </w:rPr>
        <w:t>the 2019 Extended</w:t>
      </w:r>
      <w:r>
        <w:rPr>
          <w:rFonts w:ascii="Arial" w:cs="Arial" w:eastAsia="Arial" w:hAnsi="Arial"/>
          <w:sz w:val="19"/>
          <w:szCs w:val="19"/>
          <w:color w:val="FF0000"/>
        </w:rPr>
        <w:t xml:space="preserve"> </w:t>
      </w:r>
      <w:r>
        <w:rPr>
          <w:rFonts w:ascii="Arial" w:cs="Arial" w:eastAsia="Arial" w:hAnsi="Arial"/>
          <w:sz w:val="19"/>
          <w:szCs w:val="19"/>
          <w:color w:val="000000"/>
        </w:rPr>
        <w:t>Tranche A Term Loan Maturity Date, (iii) shall not have a</w:t>
      </w:r>
      <w:r>
        <w:rPr>
          <w:rFonts w:ascii="Arial" w:cs="Arial" w:eastAsia="Arial" w:hAnsi="Arial"/>
          <w:sz w:val="19"/>
          <w:szCs w:val="19"/>
          <w:color w:val="FF0000"/>
        </w:rPr>
        <w:t xml:space="preserve"> </w:t>
      </w:r>
      <w:r>
        <w:rPr>
          <w:rFonts w:ascii="Arial" w:cs="Arial" w:eastAsia="Arial" w:hAnsi="Arial"/>
          <w:sz w:val="19"/>
          <w:szCs w:val="19"/>
          <w:color w:val="000000"/>
        </w:rPr>
        <w:t xml:space="preserve">shorter Weighted Average Life to Maturity than the </w:t>
      </w:r>
      <w:r>
        <w:rPr>
          <w:rFonts w:ascii="Arial" w:cs="Arial" w:eastAsia="Arial" w:hAnsi="Arial"/>
          <w:sz w:val="19"/>
          <w:szCs w:val="19"/>
          <w:color w:val="FF0000"/>
          <w:strike w:val="1"/>
        </w:rPr>
        <w:t>2017 Initial Tranche A Term Loan Facility</w:t>
      </w:r>
      <w:r>
        <w:rPr>
          <w:rFonts w:ascii="Arial" w:cs="Arial" w:eastAsia="Arial" w:hAnsi="Arial"/>
          <w:sz w:val="19"/>
          <w:szCs w:val="19"/>
          <w:color w:val="0000FF"/>
        </w:rPr>
        <w:t>2019 Extended Tranche A Term</w:t>
      </w:r>
      <w:r>
        <w:rPr>
          <w:rFonts w:ascii="Arial" w:cs="Arial" w:eastAsia="Arial" w:hAnsi="Arial"/>
          <w:sz w:val="19"/>
          <w:szCs w:val="19"/>
          <w:color w:val="000000"/>
        </w:rPr>
        <w:t xml:space="preserve"> </w:t>
      </w:r>
      <w:r>
        <w:rPr>
          <w:rFonts w:ascii="Arial" w:cs="Arial" w:eastAsia="Arial" w:hAnsi="Arial"/>
          <w:sz w:val="19"/>
          <w:szCs w:val="19"/>
          <w:color w:val="0000FF"/>
        </w:rPr>
        <w:t>Loan Facility</w:t>
      </w:r>
      <w:r>
        <w:rPr>
          <w:rFonts w:ascii="Arial" w:cs="Arial" w:eastAsia="Arial" w:hAnsi="Arial"/>
          <w:sz w:val="19"/>
          <w:szCs w:val="19"/>
          <w:color w:val="000000"/>
        </w:rPr>
        <w:t>, (iv) shall have an amortization schedule (subject to clause (iii) above), and interest rates (including through fixed</w:t>
      </w:r>
      <w:r>
        <w:rPr>
          <w:rFonts w:ascii="Arial" w:cs="Arial" w:eastAsia="Arial" w:hAnsi="Arial"/>
          <w:sz w:val="19"/>
          <w:szCs w:val="19"/>
          <w:color w:val="0000FF"/>
        </w:rPr>
        <w:t xml:space="preserve"> </w:t>
      </w:r>
      <w:r>
        <w:rPr>
          <w:rFonts w:ascii="Arial" w:cs="Arial" w:eastAsia="Arial" w:hAnsi="Arial"/>
          <w:sz w:val="19"/>
          <w:szCs w:val="19"/>
          <w:color w:val="000000"/>
        </w:rPr>
        <w:t>interest rates), interest margins, rate floors, upfront fees, funding discounts, original issue discounts and prepayment premiums for the Incremental Tranche A Term Loans as determined by the Borrower and the lenders of the Incremental Tranche A Term Loans, and (v) may otherwise have terms and conditions different from those of the 2017 Initial Tranche A Term Loans and (B) the Incremental Tranche B Term Loans (i) shall rank pari passu in right of payment and of security with the Initial Tranche B Term Loans, (ii) shall not mature earlier than the Initial Tranche B Term Loan Maturity Date, (iii) shall not have a shorter Weighted Average Life to Maturity than the Initial Tranche B Term Loan Facility, (iv) shall have an amortization schedule (subject to clause</w:t>
      </w:r>
    </w:p>
    <w:p>
      <w:pPr>
        <w:spacing w:after="0" w:line="6" w:lineRule="exact"/>
        <w:rPr>
          <w:rFonts w:ascii="Arial" w:cs="Arial" w:eastAsia="Arial" w:hAnsi="Arial"/>
          <w:sz w:val="19"/>
          <w:szCs w:val="19"/>
          <w:color w:val="auto"/>
        </w:rPr>
      </w:pPr>
    </w:p>
    <w:p>
      <w:pPr>
        <w:ind w:right="40" w:firstLine="8"/>
        <w:spacing w:after="0" w:line="281" w:lineRule="auto"/>
        <w:tabs>
          <w:tab w:leader="none" w:pos="378"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above), and interest rates (including through fixed interest rates), interest margins, rate floors, upfront fees, funding discounts, original issue discounts and prepayment premiums for the Incremental Tranche B Term Loans as determined by the Borrower and the lenders of the Incremental Tranche B Term Loans and (v) may otherwise have terms and conditions different from those of the Initial Tranche B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with respect to matters contemplated by subclauses (ii), (iii) and (iv) in clauses</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and (B) above) any differences shall be reasonably satisfactory to the Administrative Agent.</w:t>
      </w:r>
    </w:p>
    <w:p>
      <w:pPr>
        <w:spacing w:after="0" w:line="309" w:lineRule="exact"/>
        <w:rPr>
          <w:rFonts w:ascii="Arial" w:cs="Arial" w:eastAsia="Arial" w:hAnsi="Arial"/>
          <w:sz w:val="19"/>
          <w:szCs w:val="19"/>
          <w:color w:val="auto"/>
        </w:rPr>
      </w:pPr>
    </w:p>
    <w:p>
      <w:pPr>
        <w:jc w:val="both"/>
        <w:ind w:right="880" w:firstLine="1953"/>
        <w:spacing w:after="0" w:line="253" w:lineRule="auto"/>
        <w:tabs>
          <w:tab w:leader="none" w:pos="2857" w:val="left"/>
        </w:tabs>
        <w:numPr>
          <w:ilvl w:val="2"/>
          <w:numId w:val="94"/>
        </w:numPr>
        <w:rPr>
          <w:rFonts w:ascii="Arial" w:cs="Arial" w:eastAsia="Arial" w:hAnsi="Arial"/>
          <w:sz w:val="22"/>
          <w:szCs w:val="22"/>
          <w:color w:val="auto"/>
        </w:rPr>
      </w:pPr>
      <w:r>
        <w:rPr>
          <w:rFonts w:ascii="Arial" w:cs="Arial" w:eastAsia="Arial" w:hAnsi="Arial"/>
          <w:sz w:val="22"/>
          <w:szCs w:val="22"/>
          <w:color w:val="auto"/>
        </w:rPr>
        <w:t>The Incremental Revolving Credit Commitment Increase shall be treated the same as the Revolving Credit Commitments (including with respect to maturity date thereof) and shall be considered to be part of the Revolving Credit Facility.</w:t>
      </w:r>
    </w:p>
    <w:p>
      <w:pPr>
        <w:spacing w:after="0" w:line="348"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103</w:t>
      </w:r>
    </w:p>
    <w:p>
      <w:pPr>
        <w:sectPr>
          <w:pgSz w:w="11900" w:h="16838" w:orient="portrait"/>
          <w:cols w:equalWidth="0" w:num="1">
            <w:col w:w="11420"/>
          </w:cols>
          <w:pgMar w:left="240" w:top="294" w:right="239" w:bottom="1440" w:gutter="0" w:footer="0" w:header="0"/>
        </w:sectPr>
      </w:pPr>
    </w:p>
    <w:bookmarkStart w:id="128" w:name="page129"/>
    <w:bookmarkEnd w:id="128"/>
    <w:p>
      <w:pPr>
        <w:ind w:right="100" w:firstLine="1953"/>
        <w:spacing w:after="0" w:line="288" w:lineRule="auto"/>
        <w:tabs>
          <w:tab w:leader="none" w:pos="2917" w:val="left"/>
        </w:tabs>
        <w:numPr>
          <w:ilvl w:val="2"/>
          <w:numId w:val="95"/>
        </w:numPr>
        <w:rPr>
          <w:rFonts w:ascii="Arial" w:cs="Arial" w:eastAsia="Arial" w:hAnsi="Arial"/>
          <w:sz w:val="19"/>
          <w:szCs w:val="19"/>
          <w:color w:val="auto"/>
        </w:rPr>
      </w:pPr>
      <w:r>
        <w:rPr>
          <w:rFonts w:ascii="Arial" w:cs="Arial" w:eastAsia="Arial" w:hAnsi="Arial"/>
          <w:sz w:val="19"/>
          <w:szCs w:val="19"/>
          <w:color w:val="auto"/>
        </w:rPr>
        <w:t xml:space="preserve">The Additional/Replacement Revolving Credit Commitments (i) shall rank pari passu in right of payment and of security with the Revolving Credit Loans, (ii) shall not mature earlier than </w:t>
      </w:r>
      <w:r>
        <w:rPr>
          <w:rFonts w:ascii="Arial" w:cs="Arial" w:eastAsia="Arial" w:hAnsi="Arial"/>
          <w:sz w:val="19"/>
          <w:szCs w:val="19"/>
          <w:color w:val="FF0000"/>
          <w:strike w:val="1"/>
        </w:rPr>
        <w:t>March 29, 2017</w:t>
      </w:r>
      <w:r>
        <w:rPr>
          <w:rFonts w:ascii="Arial" w:cs="Arial" w:eastAsia="Arial" w:hAnsi="Arial"/>
          <w:sz w:val="19"/>
          <w:szCs w:val="19"/>
          <w:color w:val="0000FF"/>
        </w:rPr>
        <w:t>the Revolving Credit</w:t>
      </w:r>
      <w:r>
        <w:rPr>
          <w:rFonts w:ascii="Arial" w:cs="Arial" w:eastAsia="Arial" w:hAnsi="Arial"/>
          <w:sz w:val="19"/>
          <w:szCs w:val="19"/>
          <w:color w:val="auto"/>
        </w:rPr>
        <w:t xml:space="preserve"> </w:t>
      </w:r>
      <w:r>
        <w:rPr>
          <w:rFonts w:ascii="Arial" w:cs="Arial" w:eastAsia="Arial" w:hAnsi="Arial"/>
          <w:sz w:val="19"/>
          <w:szCs w:val="19"/>
          <w:color w:val="0000FF"/>
        </w:rPr>
        <w:t xml:space="preserve">Maturity Date </w:t>
      </w:r>
      <w:r>
        <w:rPr>
          <w:rFonts w:ascii="Arial" w:cs="Arial" w:eastAsia="Arial" w:hAnsi="Arial"/>
          <w:sz w:val="19"/>
          <w:szCs w:val="19"/>
          <w:color w:val="000000"/>
        </w:rPr>
        <w:t>and shall require no mandatory commitment reduction prior to</w:t>
      </w:r>
      <w:r>
        <w:rPr>
          <w:rFonts w:ascii="Arial" w:cs="Arial" w:eastAsia="Arial" w:hAnsi="Arial"/>
          <w:sz w:val="19"/>
          <w:szCs w:val="19"/>
          <w:color w:val="0000FF"/>
        </w:rPr>
        <w:t xml:space="preserve"> </w:t>
      </w:r>
      <w:r>
        <w:rPr>
          <w:rFonts w:ascii="Arial" w:cs="Arial" w:eastAsia="Arial" w:hAnsi="Arial"/>
          <w:sz w:val="19"/>
          <w:szCs w:val="19"/>
          <w:color w:val="FF0000"/>
          <w:strike w:val="1"/>
        </w:rPr>
        <w:t>March 29, 2017</w:t>
      </w:r>
      <w:r>
        <w:rPr>
          <w:rFonts w:ascii="Arial" w:cs="Arial" w:eastAsia="Arial" w:hAnsi="Arial"/>
          <w:sz w:val="19"/>
          <w:szCs w:val="19"/>
          <w:color w:val="0000FF"/>
        </w:rPr>
        <w:t>the Revolving Credit Maturity Date</w:t>
      </w:r>
      <w:r>
        <w:rPr>
          <w:rFonts w:ascii="Arial" w:cs="Arial" w:eastAsia="Arial" w:hAnsi="Arial"/>
          <w:sz w:val="19"/>
          <w:szCs w:val="19"/>
          <w:color w:val="000000"/>
        </w:rPr>
        <w:t>,</w:t>
      </w:r>
    </w:p>
    <w:p>
      <w:pPr>
        <w:spacing w:after="0" w:line="1" w:lineRule="exact"/>
        <w:rPr>
          <w:rFonts w:ascii="Arial" w:cs="Arial" w:eastAsia="Arial" w:hAnsi="Arial"/>
          <w:sz w:val="19"/>
          <w:szCs w:val="19"/>
          <w:color w:val="auto"/>
        </w:rPr>
      </w:pPr>
    </w:p>
    <w:p>
      <w:pPr>
        <w:ind w:right="40" w:firstLine="8"/>
        <w:spacing w:after="0" w:line="256" w:lineRule="auto"/>
        <w:tabs>
          <w:tab w:leader="none" w:pos="378"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shall have interest rates (including through fixed interest rates), interest margins, rate floors, upfront fees, undrawn commitment fees, funding discounts, original issue discounts and prepayment premiums as determined by the Borrower and the lenders of such commitments, (iv) shall contain borrowing, repayment and termination of Commitment procedures as determined by the Borrower and the lenders of such commitments, (v) may include provisions relating to swingline loans and/or letters of credit, as applicable, issued thereunder, which issuances shall be on terms substantially similar (except for the overall size of such subfacilities, the fees payable in connection therewith and the identity of the swingline lender and letter of credit issuer, as applicable, which shall be determined by the Borrower, the lenders of such commitments and the applicable letter of credit issuers and swingline lenders and borrowing, repayment and termination of commitment procedures with respect thereto, in each case which shall be specified in the applicable Incremental Agreement) to the terms relating to Swingline Loans and Letters of Credit with respect to the Revolving Credit Commitments or otherwise reasonably acceptable to the Administrative Agent and (vi) may otherwise have terms and conditions different from those of the Revolving Credit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with respect to matters contemplated by clauses (ii), (iii), (iv) and (v) above) any differences shall be reasonably satisfactory to the Administrative Agent.</w:t>
      </w:r>
    </w:p>
    <w:p>
      <w:pPr>
        <w:spacing w:after="0" w:line="131" w:lineRule="exact"/>
        <w:rPr>
          <w:rFonts w:ascii="Arial" w:cs="Arial" w:eastAsia="Arial" w:hAnsi="Arial"/>
          <w:sz w:val="21"/>
          <w:szCs w:val="21"/>
          <w:color w:val="auto"/>
        </w:rPr>
      </w:pPr>
    </w:p>
    <w:p>
      <w:pPr>
        <w:ind w:firstLine="1305"/>
        <w:spacing w:after="0" w:line="283" w:lineRule="auto"/>
        <w:tabs>
          <w:tab w:leader="none" w:pos="2197" w:val="left"/>
        </w:tabs>
        <w:numPr>
          <w:ilvl w:val="1"/>
          <w:numId w:val="96"/>
        </w:numPr>
        <w:rPr>
          <w:rFonts w:ascii="Arial" w:cs="Arial" w:eastAsia="Arial" w:hAnsi="Arial"/>
          <w:sz w:val="19"/>
          <w:szCs w:val="19"/>
          <w:color w:val="auto"/>
        </w:rPr>
      </w:pPr>
      <w:r>
        <w:rPr>
          <w:rFonts w:ascii="Arial" w:cs="Arial" w:eastAsia="Arial" w:hAnsi="Arial"/>
          <w:sz w:val="19"/>
          <w:szCs w:val="19"/>
          <w:color w:val="auto"/>
        </w:rPr>
        <w:t>Each notice from the Borrower pursuant to this Section 2.14 shall be given in writing and shall set forth the requested amount and proposed terms of the relevant Incremental Term Loans, Incremental Revolving Credit Commitment Increases or Additional/Replacement Revolving Credit Commitments. Incremental Term Loans may be made, and Incremental Revolving Credit Commitment Increases and Additional/Replacement Revolving Credit Commitments may be provided, subject to the prior written consent of the Borrower (not to be unreasonably withheld), by any existing Lender (it being understood that no existing Lender will have an obligation to make a portion of any Incremental Term Loan, no existing Lender with a Revolving Credit Commitment will have any obligation to provide a portion of any Incremental Revolving Credit Commitment Increase and no existing Lender with an Revolving Credit Commitment will have an obligation to provide a portion of any Additional/Replacement Revolving Credit Commitment) or by any other bank, financial institution, other institutional lender or other investor (any such other bank, financial institution or other investor being called an “</w:t>
      </w:r>
      <w:r>
        <w:rPr>
          <w:rFonts w:ascii="Arial" w:cs="Arial" w:eastAsia="Arial" w:hAnsi="Arial"/>
          <w:sz w:val="19"/>
          <w:szCs w:val="19"/>
          <w:u w:val="single" w:color="auto"/>
          <w:color w:val="auto"/>
        </w:rPr>
        <w:t>Additional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7" w:lineRule="exact"/>
        <w:rPr>
          <w:rFonts w:ascii="Arial" w:cs="Arial" w:eastAsia="Arial" w:hAnsi="Arial"/>
          <w:sz w:val="19"/>
          <w:szCs w:val="19"/>
          <w:color w:val="auto"/>
        </w:rPr>
      </w:pPr>
    </w:p>
    <w:p>
      <w:pPr>
        <w:ind w:right="20" w:firstLine="8"/>
        <w:spacing w:after="0" w:line="256" w:lineRule="auto"/>
        <w:tabs>
          <w:tab w:leader="none" w:pos="258"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consented (not to be unreasonably withheld) to such Lender’s or Additional Lender’s making such Incremental Term Loans or providing such Incremental Revolving Credit Commitment Increases or such Additional/Replacement Revolving Credit Commitments if such consent would be required under Section 13.6(b) for an assignment of Loans or Commitments, as applicable, to such Lender or Additional Lender;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solely with respect to any Incremental Revolving Credit Commitment Increases or Additional/Replacement Revolving Credit Commitments, the Swingline Lender and each Letter of Credit Issuer shall have consented (not to be unreasonably withheld) to such Additional Lender’s providing such Incremental Revolving Credit Commitment Increases or Additional/Replacement Revolving Credit Commitments if such consent would be required under Section 13.6(b) for an assignment of Loans or Commitments, as applicable, to such Lender or Additional Lender.</w:t>
      </w:r>
    </w:p>
    <w:p>
      <w:pPr>
        <w:spacing w:after="0" w:line="135"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104</w:t>
      </w:r>
    </w:p>
    <w:p>
      <w:pPr>
        <w:sectPr>
          <w:pgSz w:w="11900" w:h="16838" w:orient="portrait"/>
          <w:cols w:equalWidth="0" w:num="1">
            <w:col w:w="11360"/>
          </w:cols>
          <w:pgMar w:left="240" w:top="294" w:right="299" w:bottom="1440" w:gutter="0" w:footer="0" w:header="0"/>
        </w:sectPr>
      </w:pPr>
    </w:p>
    <w:bookmarkStart w:id="129" w:name="page130"/>
    <w:bookmarkEnd w:id="129"/>
    <w:p>
      <w:pPr>
        <w:ind w:firstLine="1945"/>
        <w:spacing w:after="0" w:line="259" w:lineRule="exact"/>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Net Payments</w:t>
      </w:r>
      <w:r>
        <w:rPr>
          <w:rFonts w:ascii="Arial" w:cs="Arial" w:eastAsia="Arial" w:hAnsi="Arial"/>
          <w:sz w:val="19"/>
          <w:szCs w:val="19"/>
          <w:color w:val="auto"/>
        </w:rPr>
        <w:t>. (a) Except as required by Applicable Law, all payments made by or on behalf of the Borrower under this Agreement or any other Credit Document shall be made free and clear of, and without deduction or withholding for or on account of, any current or future income, stamp or other taxes, levies, imposts, duties, charges, fees, deductions or withholdings, now or hereafter imposed, levied, collected, withheld or assessed by any Governmental Authority (including any interest, additions to tax and penalties) (collectively, “</w:t>
      </w:r>
      <w:r>
        <w:rPr>
          <w:rFonts w:ascii="Arial" w:cs="Arial" w:eastAsia="Arial" w:hAnsi="Arial"/>
          <w:sz w:val="19"/>
          <w:szCs w:val="19"/>
          <w:u w:val="single" w:color="auto"/>
          <w:color w:val="auto"/>
        </w:rPr>
        <w:t>Taxes</w:t>
      </w:r>
      <w:r>
        <w:rPr>
          <w:rFonts w:ascii="Arial" w:cs="Arial" w:eastAsia="Arial" w:hAnsi="Arial"/>
          <w:sz w:val="19"/>
          <w:szCs w:val="19"/>
          <w:color w:val="auto"/>
        </w:rPr>
        <w:t>”), excluding in the case of each Lender and each Agent and except as otherwise provided in Section 5.4(f), (A) net income Taxes (and franchise Taxes imposed in lieu of net income Taxes) that would not have been imposed on such Agent or such Lender but for a present or former connection between such Agent or such Lender and the jurisdiction of the Governmental Authority imposing such Tax or any political subdivision or Governmental Authority thereof or therein (other than any such connection arising from such Agent or such Lender having executed, delivered or performed its obligations or received a payment under, or enforced, received or perfected a security interest under, or engaged in any other transactions pursuant to, this Agreement or any other Credit Document), (B) any branch profits Taxes imposed by the United States of America or any similar Tax imposed by any other jurisdiction described in clause (A) and (C) any U.S. federal withholding Tax pursuant to FATCA (all non</w:t>
      </w:r>
      <w:r>
        <w:rPr>
          <w:rFonts w:ascii="MS PGothic" w:cs="MS PGothic" w:eastAsia="MS PGothic" w:hAnsi="MS PGothic"/>
          <w:sz w:val="19"/>
          <w:szCs w:val="19"/>
          <w:color w:val="auto"/>
        </w:rPr>
        <w:t>‑</w:t>
      </w:r>
      <w:r>
        <w:rPr>
          <w:rFonts w:ascii="Arial" w:cs="Arial" w:eastAsia="Arial" w:hAnsi="Arial"/>
          <w:sz w:val="19"/>
          <w:szCs w:val="19"/>
          <w:color w:val="auto"/>
        </w:rPr>
        <w:t>excluded Taxes, “</w:t>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and all such excluded Taxes, “</w:t>
      </w:r>
      <w:r>
        <w:rPr>
          <w:rFonts w:ascii="Arial" w:cs="Arial" w:eastAsia="Arial" w:hAnsi="Arial"/>
          <w:sz w:val="19"/>
          <w:szCs w:val="19"/>
          <w:u w:val="single" w:color="auto"/>
          <w:color w:val="auto"/>
        </w:rPr>
        <w:t>Excluded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Taxes</w:t>
      </w:r>
      <w:r>
        <w:rPr>
          <w:rFonts w:ascii="Arial" w:cs="Arial" w:eastAsia="Arial" w:hAnsi="Arial"/>
          <w:sz w:val="19"/>
          <w:szCs w:val="19"/>
          <w:color w:val="auto"/>
        </w:rPr>
        <w:t>”). If any Taxes are required to be withheld by a Withholding Agent from any amounts payable under this Agreement or any other Credit Document, the applicable Withholding Agent shall so withhold (pursuant to the information and documentation to be delivered pursuant to Section 5.4(d), 5.4(e) and 5.4(g)) and shall remit the amount withheld to the appropriate Taxing Authority. In addition, where an amount has been withheld in respect of a Non-Excluded Tax, the applicable Credit Party shall increase the amounts payable to the Administrative Agent or such Lender to the extent necessary to yield to the Administrative Agent or such Lender (after payment of all Non</w:t>
      </w:r>
      <w:r>
        <w:rPr>
          <w:rFonts w:ascii="MS PGothic" w:cs="MS PGothic" w:eastAsia="MS PGothic" w:hAnsi="MS PGothic"/>
          <w:sz w:val="19"/>
          <w:szCs w:val="19"/>
          <w:color w:val="auto"/>
        </w:rPr>
        <w:t>‑</w:t>
      </w:r>
      <w:r>
        <w:rPr>
          <w:rFonts w:ascii="Arial" w:cs="Arial" w:eastAsia="Arial" w:hAnsi="Arial"/>
          <w:sz w:val="19"/>
          <w:szCs w:val="19"/>
          <w:color w:val="auto"/>
        </w:rPr>
        <w:t xml:space="preserve">Excluded Taxes or Other Taxes including those applicable to any amounts payable under this Section 5.4) interest or any such other amounts payable hereunder at the rates or in the amounts specified in such Credit Document. Whenever any Taxes are payable by any Credit Party, as promptly as possible thereafter the applicable Credit Party shall send to the Administrative Agent for its own account or for the account of such Lender, as the case may be, a certified copy of an original official receipt, if available (or other evidence acceptable to such Lender, acting reasonably) received by the applicable Credit Party showing payment thereof. </w:t>
      </w:r>
      <w:r>
        <w:rPr>
          <w:rFonts w:ascii="Arial" w:cs="Arial" w:eastAsia="Arial" w:hAnsi="Arial"/>
          <w:sz w:val="19"/>
          <w:szCs w:val="19"/>
          <w:color w:val="0000FF"/>
        </w:rPr>
        <w:t>The Credit Parties, the Administrative Agent and the Lenders acknowledge and agree that, solely for</w:t>
      </w:r>
      <w:r>
        <w:rPr>
          <w:rFonts w:ascii="Arial" w:cs="Arial" w:eastAsia="Arial" w:hAnsi="Arial"/>
          <w:sz w:val="19"/>
          <w:szCs w:val="19"/>
          <w:color w:val="auto"/>
        </w:rPr>
        <w:t xml:space="preserve"> </w:t>
      </w:r>
      <w:r>
        <w:rPr>
          <w:rFonts w:ascii="Arial" w:cs="Arial" w:eastAsia="Arial" w:hAnsi="Arial"/>
          <w:sz w:val="19"/>
          <w:szCs w:val="19"/>
          <w:color w:val="0000FF"/>
        </w:rPr>
        <w:t>purposes of determining the applicability of U.S. Federal withholding Taxes imposed by FATCA, from and after the Second Amendment Effective Date, the Revolving Credit Facility, the 2017 Initial Tranche A Term Loan Facility and the 2019 Extended Tranche A Term Loan Facility will not be treated as a “grandfathered obligation” within the meaning of Treasury Regulation 1.1471-2(b)(2)(i).</w:t>
      </w:r>
    </w:p>
    <w:p>
      <w:pPr>
        <w:spacing w:after="0" w:line="200" w:lineRule="exact"/>
        <w:rPr>
          <w:sz w:val="20"/>
          <w:szCs w:val="20"/>
          <w:color w:val="auto"/>
        </w:rPr>
      </w:pPr>
    </w:p>
    <w:p>
      <w:pPr>
        <w:spacing w:after="0" w:line="23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In addition, each Credit Party shall pay, or at the option of the</w:t>
      </w:r>
    </w:p>
    <w:p>
      <w:pPr>
        <w:spacing w:after="0" w:line="22" w:lineRule="exact"/>
        <w:rPr>
          <w:sz w:val="20"/>
          <w:szCs w:val="20"/>
          <w:color w:val="auto"/>
        </w:rPr>
      </w:pPr>
    </w:p>
    <w:p>
      <w:pPr>
        <w:ind w:right="860"/>
        <w:spacing w:after="0" w:line="249" w:lineRule="auto"/>
        <w:rPr>
          <w:sz w:val="20"/>
          <w:szCs w:val="20"/>
          <w:color w:val="auto"/>
        </w:rPr>
      </w:pPr>
      <w:r>
        <w:rPr>
          <w:rFonts w:ascii="Arial" w:cs="Arial" w:eastAsia="Arial" w:hAnsi="Arial"/>
          <w:sz w:val="22"/>
          <w:szCs w:val="22"/>
          <w:color w:val="auto"/>
        </w:rPr>
        <w:t>Administrative Agent timely reimburse it for the payment for, any present or future stamp, documentary, filing, mortgage, recording, excise, property or intangible taxes (including any</w:t>
      </w:r>
    </w:p>
    <w:p>
      <w:pPr>
        <w:spacing w:after="0" w:line="2"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interest, additions to tax and penalties) that arise from any payment made by such Credit Party hereunder or under any other Credit Documents or from the execution, delivery or registration or recordation of, performance under, or otherwise with respect to, this Agreement or the other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Credit Documents (hereinafter referred to as “</w:t>
      </w:r>
      <w:r>
        <w:rPr>
          <w:rFonts w:ascii="Arial" w:cs="Arial" w:eastAsia="Arial" w:hAnsi="Arial"/>
          <w:sz w:val="22"/>
          <w:szCs w:val="22"/>
          <w:u w:val="single" w:color="auto"/>
          <w:color w:val="auto"/>
        </w:rPr>
        <w:t>Other Taxes</w:t>
      </w:r>
      <w:r>
        <w:rPr>
          <w:rFonts w:ascii="Arial" w:cs="Arial" w:eastAsia="Arial" w:hAnsi="Arial"/>
          <w:sz w:val="22"/>
          <w:szCs w:val="22"/>
          <w:color w:val="auto"/>
        </w:rPr>
        <w:t>”).</w:t>
      </w:r>
    </w:p>
    <w:p>
      <w:pPr>
        <w:spacing w:after="0" w:line="20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136</w:t>
      </w:r>
    </w:p>
    <w:p>
      <w:pPr>
        <w:sectPr>
          <w:pgSz w:w="11900" w:h="16838" w:orient="portrait"/>
          <w:cols w:equalWidth="0" w:num="1">
            <w:col w:w="11420"/>
          </w:cols>
          <w:pgMar w:left="240" w:top="132"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 xml:space="preserve">fees </w:t>
      </w:r>
      <w:r>
        <w:rPr>
          <w:rFonts w:ascii="Arial" w:cs="Arial" w:eastAsia="Arial" w:hAnsi="Arial"/>
          <w:sz w:val="22"/>
          <w:szCs w:val="22"/>
          <w:color w:val="FF0000"/>
          <w:strike w:val="1"/>
        </w:rPr>
        <w:t>and (iv</w:t>
      </w:r>
      <w:r>
        <w:rPr>
          <w:rFonts w:ascii="Arial" w:cs="Arial" w:eastAsia="Arial" w:hAnsi="Arial"/>
          <w:sz w:val="22"/>
          <w:szCs w:val="22"/>
          <w:color w:val="0000FF"/>
        </w:rPr>
        <w:t>, (iv) the amount available to the Borrower for Dividends under Section 10.6(h)(i) as</w:t>
      </w:r>
    </w:p>
    <w:p>
      <w:pPr>
        <w:spacing w:after="0" w:line="22" w:lineRule="exact"/>
        <w:rPr>
          <w:sz w:val="20"/>
          <w:szCs w:val="20"/>
          <w:color w:val="auto"/>
        </w:rPr>
      </w:pPr>
    </w:p>
    <w:p>
      <w:pPr>
        <w:ind w:right="80"/>
        <w:spacing w:after="0" w:line="243" w:lineRule="auto"/>
        <w:rPr>
          <w:sz w:val="20"/>
          <w:szCs w:val="20"/>
          <w:color w:val="auto"/>
        </w:rPr>
      </w:pPr>
      <w:r>
        <w:rPr>
          <w:rFonts w:ascii="Arial" w:cs="Arial" w:eastAsia="Arial" w:hAnsi="Arial"/>
          <w:sz w:val="22"/>
          <w:szCs w:val="22"/>
          <w:color w:val="0000FF"/>
        </w:rPr>
        <w:t>at the end of such fiscal year or quarter period, as the case may be and (v</w:t>
      </w:r>
      <w:r>
        <w:rPr>
          <w:rFonts w:ascii="Arial" w:cs="Arial" w:eastAsia="Arial" w:hAnsi="Arial"/>
          <w:sz w:val="22"/>
          <w:szCs w:val="22"/>
          <w:color w:val="000000"/>
        </w:rPr>
        <w:t>) the amount of any Pro Forma Adjustment not previously</w:t>
      </w:r>
      <w:r>
        <w:rPr>
          <w:rFonts w:ascii="Arial" w:cs="Arial" w:eastAsia="Arial" w:hAnsi="Arial"/>
          <w:sz w:val="22"/>
          <w:szCs w:val="22"/>
          <w:color w:val="0000FF"/>
        </w:rPr>
        <w:t xml:space="preserve"> </w:t>
      </w:r>
      <w:r>
        <w:rPr>
          <w:rFonts w:ascii="Arial" w:cs="Arial" w:eastAsia="Arial" w:hAnsi="Arial"/>
          <w:sz w:val="22"/>
          <w:szCs w:val="22"/>
          <w:color w:val="000000"/>
        </w:rPr>
        <w:t>set forth in a Pro Forma Adjustment Certificate or any change</w:t>
      </w:r>
    </w:p>
    <w:p>
      <w:pPr>
        <w:spacing w:after="0" w:line="1" w:lineRule="exact"/>
        <w:rPr>
          <w:sz w:val="20"/>
          <w:szCs w:val="20"/>
          <w:color w:val="auto"/>
        </w:rPr>
      </w:pPr>
    </w:p>
    <w:p>
      <w:pPr>
        <w:ind w:right="460"/>
        <w:spacing w:after="0" w:line="243" w:lineRule="auto"/>
        <w:rPr>
          <w:sz w:val="20"/>
          <w:szCs w:val="20"/>
          <w:color w:val="auto"/>
        </w:rPr>
      </w:pPr>
      <w:r>
        <w:rPr>
          <w:rFonts w:ascii="Arial" w:cs="Arial" w:eastAsia="Arial" w:hAnsi="Arial"/>
          <w:sz w:val="22"/>
          <w:szCs w:val="22"/>
          <w:color w:val="auto"/>
        </w:rPr>
        <w:t>in the amount of a Pro Forma Adjustment set forth in any Pro Forma Adjustment Certificate previously provided and, in either case, in reasonable detail, the calculations and basis therefor.</w:t>
      </w:r>
    </w:p>
    <w:p>
      <w:pPr>
        <w:spacing w:after="0" w:line="1" w:lineRule="exact"/>
        <w:rPr>
          <w:sz w:val="20"/>
          <w:szCs w:val="20"/>
          <w:color w:val="auto"/>
        </w:rPr>
      </w:pPr>
    </w:p>
    <w:p>
      <w:pPr>
        <w:ind w:right="3180"/>
        <w:spacing w:after="0" w:line="281" w:lineRule="auto"/>
        <w:rPr>
          <w:sz w:val="20"/>
          <w:szCs w:val="20"/>
          <w:color w:val="auto"/>
        </w:rPr>
      </w:pPr>
      <w:r>
        <w:rPr>
          <w:rFonts w:ascii="Arial" w:cs="Arial" w:eastAsia="Arial" w:hAnsi="Arial"/>
          <w:sz w:val="19"/>
          <w:szCs w:val="19"/>
          <w:color w:val="auto"/>
        </w:rPr>
        <w:t>At the time of the delivery of the financial statements provided for in Section 9.1(a), beginning with the fiscal year ended December 31, 2012, a certificate of an Authorized Officer of</w:t>
      </w:r>
    </w:p>
    <w:p>
      <w:pPr>
        <w:spacing w:after="0" w:line="2"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the Borrower setting forth in reasonable detail the calculation of Excess Cash Flow, the Available Amount and the Available Equity Amount as at the end of the fiscal year to which such financial statements relate and the information required pursuant to Section 1 and Section 2 of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Perfection Certificate, or confirming that there has been no change in such information since the Closing Date or the date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most recent certificate delivered pursuant to this Section 9.1(d),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the case may be.</w:t>
      </w:r>
    </w:p>
    <w:p>
      <w:pPr>
        <w:spacing w:after="0" w:line="364" w:lineRule="exact"/>
        <w:rPr>
          <w:sz w:val="20"/>
          <w:szCs w:val="20"/>
          <w:color w:val="auto"/>
        </w:rPr>
      </w:pPr>
    </w:p>
    <w:p>
      <w:pPr>
        <w:ind w:firstLine="1305"/>
        <w:spacing w:after="0" w:line="294" w:lineRule="auto"/>
        <w:tabs>
          <w:tab w:leader="none" w:pos="2185"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Notice of Default or Litigation</w:t>
      </w:r>
      <w:r>
        <w:rPr>
          <w:rFonts w:ascii="Arial" w:cs="Arial" w:eastAsia="Arial" w:hAnsi="Arial"/>
          <w:sz w:val="19"/>
          <w:szCs w:val="19"/>
          <w:color w:val="auto"/>
        </w:rPr>
        <w:t>. Promptly after an Authorized Officer of the Borrower or any of its Restricted Subsidiaries obtains actual knowledge thereof or should have obtained such knowledge thereof through customary due diligence, notice of (i) the occurrence of any event that constitutes a Default or an Event of Default, which notice shall specify the nature thereof, the period of existence thereof and what action the Borrower proposes to take with respect thereto, (ii) any litigation or governmental proceeding pending against the Borrower or any of its Restricted Subsidiaries that could reasonably be expected to result in a Material Adverse Effect and (iii) if the Borrower is no longer a public reporting company, any Material Adverse Effect.</w:t>
      </w:r>
    </w:p>
    <w:p>
      <w:pPr>
        <w:spacing w:after="0" w:line="257" w:lineRule="exact"/>
        <w:rPr>
          <w:rFonts w:ascii="Arial" w:cs="Arial" w:eastAsia="Arial" w:hAnsi="Arial"/>
          <w:sz w:val="19"/>
          <w:szCs w:val="19"/>
          <w:color w:val="auto"/>
        </w:rPr>
      </w:pPr>
    </w:p>
    <w:p>
      <w:pPr>
        <w:ind w:right="180" w:firstLine="1305"/>
        <w:spacing w:after="0" w:line="253" w:lineRule="auto"/>
        <w:tabs>
          <w:tab w:leader="none" w:pos="2161"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Environmental Matters</w:t>
      </w:r>
      <w:r>
        <w:rPr>
          <w:rFonts w:ascii="Arial" w:cs="Arial" w:eastAsia="Arial" w:hAnsi="Arial"/>
          <w:sz w:val="22"/>
          <w:szCs w:val="22"/>
          <w:color w:val="auto"/>
        </w:rPr>
        <w:t>. Promptly after obtaining knowledge of any one or more of the following environmental matters, unless such environmental matters could not, individually or when aggregated with all other such matters, be reasonably expected to result in a Material Adverse Effect, notice of:</w:t>
      </w:r>
    </w:p>
    <w:p>
      <w:pPr>
        <w:spacing w:after="0" w:line="293" w:lineRule="exact"/>
        <w:rPr>
          <w:rFonts w:ascii="Arial" w:cs="Arial" w:eastAsia="Arial" w:hAnsi="Arial"/>
          <w:sz w:val="22"/>
          <w:szCs w:val="22"/>
          <w:color w:val="auto"/>
        </w:rPr>
      </w:pPr>
    </w:p>
    <w:p>
      <w:pPr>
        <w:ind w:left="660" w:right="500" w:firstLine="1293"/>
        <w:spacing w:after="0" w:line="263" w:lineRule="auto"/>
        <w:tabs>
          <w:tab w:leader="none" w:pos="2809"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pending or threatened Environmental Claim against Holdings, the Borrower or any of the Restricted Subsidiaries or any Real Property;</w:t>
      </w:r>
    </w:p>
    <w:p>
      <w:pPr>
        <w:spacing w:after="0" w:line="282" w:lineRule="exact"/>
        <w:rPr>
          <w:rFonts w:ascii="Arial" w:cs="Arial" w:eastAsia="Arial" w:hAnsi="Arial"/>
          <w:sz w:val="22"/>
          <w:szCs w:val="22"/>
          <w:color w:val="auto"/>
        </w:rPr>
      </w:pPr>
    </w:p>
    <w:p>
      <w:pPr>
        <w:ind w:left="660" w:right="160" w:firstLine="1293"/>
        <w:spacing w:after="0" w:line="250" w:lineRule="auto"/>
        <w:tabs>
          <w:tab w:leader="none" w:pos="2869"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condition or occurrence on any Real Property that (x) results in noncompliance by Holdings, the Borrower or any of the Restricted Subsidiaries with any applicable Environmental Law or (y) could reasonably be anticipated to form the basis of an Environmental Claim against Holdings, the Borrower or any of the Restricted Subsidiaries or any Real Property;</w:t>
      </w:r>
    </w:p>
    <w:p>
      <w:pPr>
        <w:spacing w:after="0" w:line="296" w:lineRule="exact"/>
        <w:rPr>
          <w:rFonts w:ascii="Arial" w:cs="Arial" w:eastAsia="Arial" w:hAnsi="Arial"/>
          <w:sz w:val="22"/>
          <w:szCs w:val="22"/>
          <w:color w:val="auto"/>
        </w:rPr>
      </w:pPr>
    </w:p>
    <w:p>
      <w:pPr>
        <w:ind w:left="660" w:right="260" w:firstLine="1293"/>
        <w:spacing w:after="0" w:line="253" w:lineRule="auto"/>
        <w:tabs>
          <w:tab w:leader="none" w:pos="2929"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condition or occurrence on any Real Property that could reasonably be anticipated to cause such Real Property to be subject to any restrictions on the ownership, occupancy, use or transferability of such Real Property under any Environmental Law; and</w:t>
      </w:r>
    </w:p>
    <w:p>
      <w:pPr>
        <w:spacing w:after="0" w:line="293" w:lineRule="exact"/>
        <w:rPr>
          <w:rFonts w:ascii="Arial" w:cs="Arial" w:eastAsia="Arial" w:hAnsi="Arial"/>
          <w:sz w:val="22"/>
          <w:szCs w:val="22"/>
          <w:color w:val="auto"/>
        </w:rPr>
      </w:pPr>
    </w:p>
    <w:p>
      <w:pPr>
        <w:ind w:left="660" w:right="620" w:firstLine="1293"/>
        <w:spacing w:after="0" w:line="263" w:lineRule="auto"/>
        <w:tabs>
          <w:tab w:leader="none" w:pos="2917"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taking of any removal or remedial action in response to the actual or alleged Release or presence of any Hazardous Material on any Real Property.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u w:val="single" w:color="auto"/>
          <w:color w:val="0000FF"/>
        </w:rPr>
        <w:t>01/1378372.11</w:t>
      </w:r>
      <w:r>
        <w:rPr>
          <w:sz w:val="20"/>
          <w:szCs w:val="20"/>
          <w:color w:val="auto"/>
        </w:rPr>
        <w:tab/>
      </w:r>
      <w:r>
        <w:rPr>
          <w:rFonts w:ascii="Arial" w:cs="Arial" w:eastAsia="Arial" w:hAnsi="Arial"/>
          <w:sz w:val="19"/>
          <w:szCs w:val="19"/>
          <w:color w:val="auto"/>
        </w:rPr>
        <w:t>154</w:t>
      </w:r>
    </w:p>
    <w:p>
      <w:pPr>
        <w:sectPr>
          <w:pgSz w:w="11900" w:h="16838" w:orient="portrait"/>
          <w:cols w:equalWidth="0" w:num="1">
            <w:col w:w="11400"/>
          </w:cols>
          <w:pgMar w:left="240" w:top="131" w:right="259" w:bottom="1440" w:gutter="0" w:footer="0" w:header="0"/>
        </w:sectPr>
      </w:pPr>
    </w:p>
    <w:bookmarkStart w:id="131" w:name="page132"/>
    <w:bookmarkEnd w:id="131"/>
    <w:p>
      <w:pPr>
        <w:ind w:right="40" w:firstLine="1953"/>
        <w:spacing w:after="0" w:line="297" w:lineRule="auto"/>
        <w:tabs>
          <w:tab w:leader="none" w:pos="2857" w:val="left"/>
        </w:tabs>
        <w:numPr>
          <w:ilvl w:val="2"/>
          <w:numId w:val="99"/>
        </w:numPr>
        <w:rPr>
          <w:rFonts w:ascii="Arial" w:cs="Arial" w:eastAsia="Arial" w:hAnsi="Arial"/>
          <w:sz w:val="19"/>
          <w:szCs w:val="19"/>
          <w:color w:val="auto"/>
        </w:rPr>
      </w:pPr>
      <w:r>
        <w:rPr>
          <w:rFonts w:ascii="Arial" w:cs="Arial" w:eastAsia="Arial" w:hAnsi="Arial"/>
          <w:sz w:val="19"/>
          <w:szCs w:val="19"/>
          <w:color w:val="auto"/>
        </w:rPr>
        <w:t>the proceeds of which shall be used to pay (or to make Dividends to allow any Parent Entity of the Borrower to pay) its operating expenses incurred in the ordinary course of business and other corporate overhead costs and expenses (including administrative, legal, accounting and similar expenses provided by third parties), which are reasonable and customary and incurred in the ordinary course of business, in an aggregate amount not to exceed $3,000,000 in any fiscal year plus any actual, reasonable and customary indemnification claims made by directors or officers of any Parent Entity of the Borrower;</w:t>
      </w:r>
    </w:p>
    <w:p>
      <w:pPr>
        <w:spacing w:after="0" w:line="255" w:lineRule="exact"/>
        <w:rPr>
          <w:rFonts w:ascii="Arial" w:cs="Arial" w:eastAsia="Arial" w:hAnsi="Arial"/>
          <w:sz w:val="19"/>
          <w:szCs w:val="19"/>
          <w:color w:val="auto"/>
        </w:rPr>
      </w:pPr>
    </w:p>
    <w:p>
      <w:pPr>
        <w:ind w:right="100" w:firstLine="1953"/>
        <w:spacing w:after="0" w:line="253" w:lineRule="auto"/>
        <w:tabs>
          <w:tab w:leader="none" w:pos="2917"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proceeds of which shall be used to pay (or to make Dividends to allow any Parent Entity of the Borrower to pay) franchise taxes and other fees, taxes and expenses required to maintain any of the Borrower’s Parent Entities’ corporate existence;</w:t>
      </w:r>
    </w:p>
    <w:p>
      <w:pPr>
        <w:spacing w:after="0" w:line="293" w:lineRule="exact"/>
        <w:rPr>
          <w:rFonts w:ascii="Arial" w:cs="Arial" w:eastAsia="Arial" w:hAnsi="Arial"/>
          <w:sz w:val="22"/>
          <w:szCs w:val="22"/>
          <w:color w:val="auto"/>
        </w:rPr>
      </w:pPr>
    </w:p>
    <w:p>
      <w:pPr>
        <w:ind w:right="120" w:firstLine="1953"/>
        <w:spacing w:after="0" w:line="263" w:lineRule="auto"/>
        <w:tabs>
          <w:tab w:leader="none" w:pos="2905"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proceeds of which shall be used to pay (or to make Dividends to any Parent Entity thereof) to make Investments contemplated by Section 10.5(c) and Dividends contemplated by Section 10.6(b));</w:t>
      </w:r>
    </w:p>
    <w:p>
      <w:pPr>
        <w:spacing w:after="0" w:line="282" w:lineRule="exact"/>
        <w:rPr>
          <w:rFonts w:ascii="Arial" w:cs="Arial" w:eastAsia="Arial" w:hAnsi="Arial"/>
          <w:sz w:val="22"/>
          <w:szCs w:val="22"/>
          <w:color w:val="auto"/>
        </w:rPr>
      </w:pPr>
    </w:p>
    <w:p>
      <w:pPr>
        <w:ind w:right="60" w:firstLine="1953"/>
        <w:spacing w:after="0" w:line="271" w:lineRule="auto"/>
        <w:tabs>
          <w:tab w:leader="none" w:pos="2845" w:val="left"/>
        </w:tabs>
        <w:numPr>
          <w:ilvl w:val="2"/>
          <w:numId w:val="99"/>
        </w:numPr>
        <w:rPr>
          <w:rFonts w:ascii="Arial" w:cs="Arial" w:eastAsia="Arial" w:hAnsi="Arial"/>
          <w:sz w:val="21"/>
          <w:szCs w:val="21"/>
          <w:color w:val="auto"/>
        </w:rPr>
      </w:pPr>
      <w:r>
        <w:rPr>
          <w:rFonts w:ascii="Arial" w:cs="Arial" w:eastAsia="Arial" w:hAnsi="Arial"/>
          <w:sz w:val="21"/>
          <w:szCs w:val="21"/>
          <w:color w:val="auto"/>
        </w:rPr>
        <w:t>the proceeds of which shall be used to pay (or to make Dividends to allow any Parent Entity of the Borrower to pay) fees and expenses (other than to Affiliates) related to any unsuccessful equity or debt offering, refinancing, issuance, incurrence, Disposition or acquisition or Investment transaction permitted by this Agreement;</w:t>
      </w:r>
    </w:p>
    <w:p>
      <w:pPr>
        <w:spacing w:after="0" w:line="275" w:lineRule="exact"/>
        <w:rPr>
          <w:rFonts w:ascii="Arial" w:cs="Arial" w:eastAsia="Arial" w:hAnsi="Arial"/>
          <w:sz w:val="21"/>
          <w:szCs w:val="21"/>
          <w:color w:val="auto"/>
        </w:rPr>
      </w:pPr>
    </w:p>
    <w:p>
      <w:pPr>
        <w:ind w:right="160" w:firstLine="1953"/>
        <w:spacing w:after="0" w:line="271" w:lineRule="auto"/>
        <w:tabs>
          <w:tab w:leader="none" w:pos="2905" w:val="left"/>
        </w:tabs>
        <w:numPr>
          <w:ilvl w:val="2"/>
          <w:numId w:val="99"/>
        </w:numPr>
        <w:rPr>
          <w:rFonts w:ascii="Arial" w:cs="Arial" w:eastAsia="Arial" w:hAnsi="Arial"/>
          <w:sz w:val="21"/>
          <w:szCs w:val="21"/>
          <w:color w:val="auto"/>
        </w:rPr>
      </w:pPr>
      <w:r>
        <w:rPr>
          <w:rFonts w:ascii="Arial" w:cs="Arial" w:eastAsia="Arial" w:hAnsi="Arial"/>
          <w:sz w:val="21"/>
          <w:szCs w:val="21"/>
          <w:color w:val="auto"/>
        </w:rPr>
        <w:t>the proceeds of which shall be used to pay customary salary, bonus and other benefits payable to officers, employees and consultants of any Parent Entity thereof to the extent such salaries, bonuses and other benefits are attributable to the ownership or operation of the Borrower and its Restricted Subsidiaries;</w:t>
      </w:r>
    </w:p>
    <w:p>
      <w:pPr>
        <w:spacing w:after="0" w:line="275" w:lineRule="exact"/>
        <w:rPr>
          <w:rFonts w:ascii="Arial" w:cs="Arial" w:eastAsia="Arial" w:hAnsi="Arial"/>
          <w:sz w:val="21"/>
          <w:szCs w:val="21"/>
          <w:color w:val="auto"/>
        </w:rPr>
      </w:pPr>
    </w:p>
    <w:p>
      <w:pPr>
        <w:ind w:right="460" w:firstLine="1953"/>
        <w:spacing w:after="0" w:line="343" w:lineRule="auto"/>
        <w:tabs>
          <w:tab w:leader="none" w:pos="2965" w:val="left"/>
        </w:tabs>
        <w:numPr>
          <w:ilvl w:val="2"/>
          <w:numId w:val="99"/>
        </w:numPr>
        <w:rPr>
          <w:rFonts w:ascii="Arial" w:cs="Arial" w:eastAsia="Arial" w:hAnsi="Arial"/>
          <w:sz w:val="19"/>
          <w:szCs w:val="19"/>
          <w:color w:val="auto"/>
        </w:rPr>
      </w:pPr>
      <w:r>
        <w:rPr>
          <w:rFonts w:ascii="Arial" w:cs="Arial" w:eastAsia="Arial" w:hAnsi="Arial"/>
          <w:sz w:val="19"/>
          <w:szCs w:val="19"/>
          <w:color w:val="auto"/>
        </w:rPr>
        <w:t>the proceeds of which shall be distributed in connection with the Transactions (including the Special Dividend, all or a portion of which may be paid after the Closing Date but in no event later than June 15, 2012);</w:t>
      </w:r>
    </w:p>
    <w:p>
      <w:pPr>
        <w:spacing w:after="0" w:line="212" w:lineRule="exact"/>
        <w:rPr>
          <w:rFonts w:ascii="Arial" w:cs="Arial" w:eastAsia="Arial" w:hAnsi="Arial"/>
          <w:sz w:val="19"/>
          <w:szCs w:val="19"/>
          <w:color w:val="auto"/>
        </w:rPr>
      </w:pPr>
    </w:p>
    <w:p>
      <w:pPr>
        <w:ind w:right="220" w:firstLine="1305"/>
        <w:spacing w:after="0" w:line="286" w:lineRule="auto"/>
        <w:tabs>
          <w:tab w:leader="none" w:pos="2197"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in addition to the foregoing Dividends, the Borrower may make additional Dividends,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Dividend shall not cause the aggregate amount of all such Dividends made pursuant to this Section 1.1(h) on or after the Amendment No. 1 Effective Date measured at the time such Dividend is paid to exceed, after giving effect to such Dividend, the sum of (i) so long as no Event of Default has occurred and is continuing or would result therefrom, the greater of</w:t>
      </w:r>
    </w:p>
    <w:p>
      <w:pPr>
        <w:spacing w:after="0" w:line="2" w:lineRule="exact"/>
        <w:rPr>
          <w:rFonts w:ascii="Arial" w:cs="Arial" w:eastAsia="Arial" w:hAnsi="Arial"/>
          <w:sz w:val="19"/>
          <w:szCs w:val="19"/>
          <w:color w:val="auto"/>
        </w:rPr>
      </w:pPr>
    </w:p>
    <w:p>
      <w:pPr>
        <w:ind w:right="220" w:firstLine="8"/>
        <w:spacing w:after="0" w:line="244" w:lineRule="auto"/>
        <w:tabs>
          <w:tab w:leader="none" w:pos="30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color w:val="FF0000"/>
          <w:strike w:val="1"/>
        </w:rPr>
        <w:t>250,000,000</w:t>
      </w:r>
      <w:r>
        <w:rPr>
          <w:rFonts w:ascii="Arial" w:cs="Arial" w:eastAsia="Arial" w:hAnsi="Arial"/>
          <w:sz w:val="22"/>
          <w:szCs w:val="22"/>
          <w:color w:val="0000FF"/>
        </w:rPr>
        <w:t>400,000,000</w:t>
      </w:r>
      <w:r>
        <w:rPr>
          <w:rFonts w:ascii="Arial" w:cs="Arial" w:eastAsia="Arial" w:hAnsi="Arial"/>
          <w:sz w:val="22"/>
          <w:szCs w:val="22"/>
          <w:color w:val="auto"/>
        </w:rPr>
        <w:t xml:space="preserve"> and (y) 6.75% of Consolidated Total Assets (measured as of the date such Dividend is paid based upon the Section 9.1 Financials most recently delivered on or prior to such date), plus (ii) so long as no Event of Default has occurred and is continuing or would result therefrom, an amount equal to the Available Amount at the time such Dividend is paid plus (iii) an amount equal to the Available Equity Amount at the time such Dividend is paid plus (iv) an amount equal to the Incremental Dividend Amount;</w:t>
      </w:r>
    </w:p>
    <w:p>
      <w:pPr>
        <w:spacing w:after="0" w:line="141" w:lineRule="exact"/>
        <w:rPr>
          <w:rFonts w:ascii="Arial" w:cs="Arial" w:eastAsia="Arial" w:hAnsi="Arial"/>
          <w:sz w:val="22"/>
          <w:szCs w:val="22"/>
          <w:color w:val="auto"/>
        </w:rPr>
      </w:pPr>
    </w:p>
    <w:p>
      <w:pPr>
        <w:ind w:firstLine="1305"/>
        <w:spacing w:after="0" w:line="249" w:lineRule="auto"/>
        <w:tabs>
          <w:tab w:leader="none" w:pos="2149"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Borrower may make additional Dividends pursuant to this clause (i) if, after giving Pro Forma Effect to such Dividends, the Borrower would be in compliance with a Consolidated Total Debt to Consolidated EBITDA Ratio as of the most recently ended Test Period</w:t>
      </w:r>
    </w:p>
    <w:p>
      <w:pPr>
        <w:ind w:right="80"/>
        <w:spacing w:after="0" w:line="246" w:lineRule="auto"/>
        <w:rPr>
          <w:rFonts w:ascii="Arial" w:cs="Arial" w:eastAsia="Arial" w:hAnsi="Arial"/>
          <w:sz w:val="22"/>
          <w:szCs w:val="22"/>
          <w:color w:val="auto"/>
        </w:rPr>
      </w:pPr>
      <w:r>
        <w:rPr>
          <w:rFonts w:ascii="Arial" w:cs="Arial" w:eastAsia="Arial" w:hAnsi="Arial"/>
          <w:sz w:val="22"/>
          <w:szCs w:val="22"/>
          <w:color w:val="auto"/>
        </w:rPr>
        <w:t>on or prior to date of the making of any such Dividends, calculated on a Pro Forma Basis, as if such Dividends had occurred on the first day of such Test Period, that is no greater than 2.0:1.0;</w:t>
      </w:r>
    </w:p>
    <w:p>
      <w:pPr>
        <w:spacing w:after="0" w:line="19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183</w:t>
      </w:r>
    </w:p>
    <w:p>
      <w:pPr>
        <w:sectPr>
          <w:pgSz w:w="11900" w:h="16838" w:orient="portrait"/>
          <w:cols w:equalWidth="0" w:num="1">
            <w:col w:w="11420"/>
          </w:cols>
          <w:pgMar w:left="240" w:top="294" w:right="239" w:bottom="1440" w:gutter="0" w:footer="0" w:header="0"/>
        </w:sectPr>
      </w:pPr>
    </w:p>
    <w:bookmarkStart w:id="132" w:name="page133"/>
    <w:bookmarkEnd w:id="132"/>
    <w:p>
      <w:pPr>
        <w:ind w:right="60" w:firstLine="1297"/>
        <w:spacing w:after="0" w:line="284" w:lineRule="auto"/>
        <w:rPr>
          <w:sz w:val="20"/>
          <w:szCs w:val="20"/>
          <w:color w:val="auto"/>
        </w:rPr>
      </w:pPr>
      <w:r>
        <w:rPr>
          <w:rFonts w:ascii="Arial" w:cs="Arial" w:eastAsia="Arial" w:hAnsi="Arial"/>
          <w:sz w:val="19"/>
          <w:szCs w:val="19"/>
          <w:color w:val="auto"/>
        </w:rPr>
        <w:t>Notwithstanding anything to the contrary contained in this Section 13.1, Holdings, the Borrower, the Collateral Agent and the Administrative Agent may (in its or their respective sole discretion, or shall, to the extent required by any Credit Document), without the input or consent of any other Person, (i) effect amendments, supplements or waivers to any of the Security Documents, guarantees, intercreditor agreements or related documents executed by any Credit Party or any other Subsidiary in connection with this Agreement if such amendment, supplement or waiver is delivered in order (x) to comply with Applicable Law or advice of local counsel, (y) to cure ambiguities, omissions, mistakes or defects or (z) to cause such Security Documents, guarantees, intercreditor agreements or related documents to be consistent with this Agreement and the other Credit Documents,</w:t>
      </w:r>
    </w:p>
    <w:p>
      <w:pPr>
        <w:spacing w:after="0" w:line="4" w:lineRule="exact"/>
        <w:rPr>
          <w:sz w:val="20"/>
          <w:szCs w:val="20"/>
          <w:color w:val="auto"/>
        </w:rPr>
      </w:pPr>
    </w:p>
    <w:p>
      <w:pPr>
        <w:ind w:right="140" w:firstLine="8"/>
        <w:spacing w:after="0" w:line="258" w:lineRule="auto"/>
        <w:tabs>
          <w:tab w:leader="none" w:pos="318"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enter into any amendment or waiver of any Security Document, or enter into any new agreement or instrument, to effect the granting, perfection, protection, expansion or enhancement of any security interest in any Collateral or additional property to become Collateral for the benefit of the Secured Parties, or as required by Applicable Law to give effect to, or protect any security interest for the benefit of the Secured Parties, in any property or so that the security interests therein comply with applicable Applicable Law and (iii) effect changes to this Agreement that are necessary and appropriate to provide for the mechanics contemplated by the offering process described in Section 13.6(g)(i)(H) herein.</w:t>
      </w:r>
    </w:p>
    <w:p>
      <w:pPr>
        <w:spacing w:after="0" w:line="288"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341" w:lineRule="exact"/>
        <w:rPr>
          <w:sz w:val="20"/>
          <w:szCs w:val="20"/>
          <w:color w:val="auto"/>
        </w:rPr>
      </w:pPr>
    </w:p>
    <w:p>
      <w:pPr>
        <w:ind w:firstLine="1305"/>
        <w:spacing w:after="0" w:line="251" w:lineRule="auto"/>
        <w:tabs>
          <w:tab w:leader="none" w:pos="171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(and except as provided in clause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297" w:lineRule="exact"/>
        <w:rPr>
          <w:rFonts w:ascii="Arial" w:cs="Arial" w:eastAsia="Arial" w:hAnsi="Arial"/>
          <w:sz w:val="22"/>
          <w:szCs w:val="22"/>
          <w:color w:val="auto"/>
        </w:rPr>
      </w:pPr>
    </w:p>
    <w:p>
      <w:pPr>
        <w:ind w:left="660" w:firstLine="1293"/>
        <w:spacing w:after="0" w:line="250" w:lineRule="auto"/>
        <w:tabs>
          <w:tab w:leader="none" w:pos="2809"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xml:space="preserve">if to the Borrower, the Administrative Agent, the Letter of Credit Issuer or the Swingline Lender, to the address, telecopier number, electronic mail address or telephone number specified for such Person on Schedule 13.2 </w:t>
      </w:r>
      <w:r>
        <w:rPr>
          <w:rFonts w:ascii="Arial" w:cs="Arial" w:eastAsia="Arial" w:hAnsi="Arial"/>
          <w:sz w:val="22"/>
          <w:szCs w:val="22"/>
          <w:color w:val="0000FF"/>
        </w:rPr>
        <w:t>or</w:t>
      </w:r>
      <w:r>
        <w:rPr>
          <w:rFonts w:ascii="Arial" w:cs="Arial" w:eastAsia="Arial" w:hAnsi="Arial"/>
          <w:sz w:val="22"/>
          <w:szCs w:val="22"/>
          <w:color w:val="auto"/>
        </w:rPr>
        <w:t xml:space="preserve"> </w:t>
      </w:r>
      <w:r>
        <w:rPr>
          <w:rFonts w:ascii="Arial" w:cs="Arial" w:eastAsia="Arial" w:hAnsi="Arial"/>
          <w:sz w:val="22"/>
          <w:szCs w:val="22"/>
          <w:color w:val="0000FF"/>
        </w:rPr>
        <w:t>to such other address, telecopier number, electronic mail address or telephone number as shall be designated by such party in a notice to the other parties</w:t>
      </w:r>
      <w:r>
        <w:rPr>
          <w:rFonts w:ascii="Arial" w:cs="Arial" w:eastAsia="Arial" w:hAnsi="Arial"/>
          <w:sz w:val="22"/>
          <w:szCs w:val="22"/>
          <w:color w:val="000000"/>
        </w:rPr>
        <w:t>; and</w:t>
      </w:r>
    </w:p>
    <w:p>
      <w:pPr>
        <w:spacing w:after="0" w:line="296" w:lineRule="exact"/>
        <w:rPr>
          <w:rFonts w:ascii="Arial" w:cs="Arial" w:eastAsia="Arial" w:hAnsi="Arial"/>
          <w:sz w:val="22"/>
          <w:szCs w:val="22"/>
          <w:color w:val="auto"/>
        </w:rPr>
      </w:pPr>
    </w:p>
    <w:p>
      <w:pPr>
        <w:ind w:left="660" w:right="180" w:firstLine="1293"/>
        <w:spacing w:after="0" w:line="271" w:lineRule="auto"/>
        <w:tabs>
          <w:tab w:leader="none" w:pos="2869" w:val="left"/>
        </w:tabs>
        <w:numPr>
          <w:ilvl w:val="1"/>
          <w:numId w:val="103"/>
        </w:numPr>
        <w:rPr>
          <w:rFonts w:ascii="Arial" w:cs="Arial" w:eastAsia="Arial" w:hAnsi="Arial"/>
          <w:sz w:val="21"/>
          <w:szCs w:val="21"/>
          <w:color w:val="auto"/>
        </w:rPr>
      </w:pPr>
      <w:r>
        <w:rPr>
          <w:rFonts w:ascii="Arial" w:cs="Arial" w:eastAsia="Arial" w:hAnsi="Arial"/>
          <w:sz w:val="21"/>
          <w:szCs w:val="21"/>
          <w:color w:val="auto"/>
        </w:rPr>
        <w:t xml:space="preserve">if to any other Lender, to the address, telecopier number, electronic mail address or telephone number specified in its administrative questionnaire </w:t>
      </w:r>
      <w:r>
        <w:rPr>
          <w:rFonts w:ascii="Arial" w:cs="Arial" w:eastAsia="Arial" w:hAnsi="Arial"/>
          <w:sz w:val="21"/>
          <w:szCs w:val="21"/>
          <w:color w:val="0000FF"/>
        </w:rPr>
        <w:t>or to such other address, telecopier number, electronic mail address or</w:t>
      </w:r>
      <w:r>
        <w:rPr>
          <w:rFonts w:ascii="Arial" w:cs="Arial" w:eastAsia="Arial" w:hAnsi="Arial"/>
          <w:sz w:val="21"/>
          <w:szCs w:val="21"/>
          <w:color w:val="auto"/>
        </w:rPr>
        <w:t xml:space="preserve"> </w:t>
      </w:r>
      <w:r>
        <w:rPr>
          <w:rFonts w:ascii="Arial" w:cs="Arial" w:eastAsia="Arial" w:hAnsi="Arial"/>
          <w:sz w:val="21"/>
          <w:szCs w:val="21"/>
          <w:color w:val="0000FF"/>
        </w:rPr>
        <w:t>telephone number as shall be designated by such party in a notice to the other parties</w:t>
      </w:r>
      <w:r>
        <w:rPr>
          <w:rFonts w:ascii="Arial" w:cs="Arial" w:eastAsia="Arial" w:hAnsi="Arial"/>
          <w:sz w:val="21"/>
          <w:szCs w:val="21"/>
          <w:color w:val="000000"/>
        </w:rPr>
        <w:t>.</w:t>
      </w:r>
    </w:p>
    <w:p>
      <w:pPr>
        <w:spacing w:after="0" w:line="276"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309"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204</w:t>
      </w:r>
    </w:p>
    <w:p>
      <w:pPr>
        <w:sectPr>
          <w:pgSz w:w="11900" w:h="16838" w:orient="portrait"/>
          <w:cols w:equalWidth="0" w:num="1">
            <w:col w:w="11420"/>
          </w:cols>
          <w:pgMar w:left="240" w:top="294" w:right="239" w:bottom="1440" w:gutter="0" w:footer="0" w:header="0"/>
        </w:sectPr>
      </w:pPr>
    </w:p>
    <w:bookmarkStart w:id="133" w:name="page134"/>
    <w:bookmarkEnd w:id="133"/>
    <w:p>
      <w:pPr>
        <w:ind w:right="680" w:firstLine="1297"/>
        <w:spacing w:after="0" w:line="343" w:lineRule="auto"/>
        <w:rPr>
          <w:sz w:val="20"/>
          <w:szCs w:val="20"/>
          <w:color w:val="auto"/>
        </w:rPr>
      </w:pPr>
      <w:r>
        <w:rPr>
          <w:rFonts w:ascii="Arial" w:cs="Arial" w:eastAsia="Arial" w:hAnsi="Arial"/>
          <w:sz w:val="19"/>
          <w:szCs w:val="19"/>
          <w:color w:val="auto"/>
        </w:rPr>
        <w:t>Notwithstanding the foregoing or anything to the contrary set forth herein, any assignment of any Loans to a Purchasing Borrower Party or any Affiliated Lender shall also be subject to the requirements of Section 13.6(g).</w:t>
      </w:r>
    </w:p>
    <w:p>
      <w:pPr>
        <w:spacing w:after="0" w:line="213" w:lineRule="exact"/>
        <w:rPr>
          <w:sz w:val="20"/>
          <w:szCs w:val="20"/>
          <w:color w:val="auto"/>
        </w:rPr>
      </w:pPr>
    </w:p>
    <w:p>
      <w:pPr>
        <w:ind w:left="2860" w:hanging="907"/>
        <w:spacing w:after="0"/>
        <w:tabs>
          <w:tab w:leader="none" w:pos="28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328" w:lineRule="exact"/>
        <w:rPr>
          <w:sz w:val="20"/>
          <w:szCs w:val="20"/>
          <w:color w:val="auto"/>
        </w:rPr>
      </w:pPr>
    </w:p>
    <w:p>
      <w:pPr>
        <w:ind w:left="660" w:right="40" w:firstLine="1293"/>
        <w:spacing w:after="0" w:line="287" w:lineRule="auto"/>
        <w:tabs>
          <w:tab w:leader="none" w:pos="290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except in the case of (i) an assignment to a Lender, an Affiliate of a Lender or an Approved Fund or (ii) an assignment of the entire remaining amount of the assigning Lender’s Commitments or Loans, the amount of the Commitments or Loans of the assigning Lender subject to each such assignment (determined as of the date the Assignment and Acceptance with respect to such assignment is delivered to the Administrative Agent) shall not be less than, in the case of Revolving Credit Commitments or Revolving Credit Loans, Additional/Replacement Revolving Credit Commitments or Additional/Replacement Revolving Credit Loans, $5,000,000 or, in the case of 2017 Initial Tranche A Term Loan Commitments, 2019 Extended Tranche A Term Loan Commitments, Initial Tranche B Term Loan Commitments, Incremental Term Loan Commitments or Term Loans, $1,000,000, unless each of the Borrower and the Administrative Agent otherwise consents; provided that no such consent of the Borrower shall be required if an Event of Default under Section 11 has occurred and is continuing; and provided, further, that contemporaneous assignments to a single assignee made by affiliated Lenders or related Approved Funds or by a single assignor to related Approved Funds shall be aggregated for purposes of meeting the minimum assignment amount requirements stated above;</w:t>
      </w:r>
    </w:p>
    <w:p>
      <w:pPr>
        <w:spacing w:after="0" w:line="268" w:lineRule="exact"/>
        <w:rPr>
          <w:rFonts w:ascii="Arial" w:cs="Arial" w:eastAsia="Arial" w:hAnsi="Arial"/>
          <w:sz w:val="19"/>
          <w:szCs w:val="19"/>
          <w:color w:val="auto"/>
        </w:rPr>
      </w:pPr>
    </w:p>
    <w:p>
      <w:pPr>
        <w:ind w:left="660" w:right="60" w:firstLine="1293"/>
        <w:spacing w:after="0" w:line="263" w:lineRule="auto"/>
        <w:tabs>
          <w:tab w:leader="none" w:pos="289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subject to the terms of Section 13.7(c), the parties to each assignment shall execute and deliver to the Administrative Agent an Assignment and Acceptance;</w:t>
      </w:r>
    </w:p>
    <w:p>
      <w:pPr>
        <w:spacing w:after="0" w:line="282" w:lineRule="exact"/>
        <w:rPr>
          <w:rFonts w:ascii="Arial" w:cs="Arial" w:eastAsia="Arial" w:hAnsi="Arial"/>
          <w:sz w:val="22"/>
          <w:szCs w:val="22"/>
          <w:color w:val="auto"/>
        </w:rPr>
      </w:pPr>
    </w:p>
    <w:p>
      <w:pPr>
        <w:ind w:left="660" w:firstLine="1293"/>
        <w:spacing w:after="0" w:line="292" w:lineRule="auto"/>
        <w:tabs>
          <w:tab w:leader="none" w:pos="289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w:t>
      </w:r>
      <w:r>
        <w:rPr>
          <w:rFonts w:ascii="Arial" w:cs="Arial" w:eastAsia="Arial" w:hAnsi="Arial"/>
          <w:sz w:val="19"/>
          <w:szCs w:val="19"/>
          <w:color w:val="FF0000"/>
          <w:strike w:val="1"/>
        </w:rPr>
        <w:t>e xecute</w:t>
      </w:r>
      <w:r>
        <w:rPr>
          <w:rFonts w:ascii="Arial" w:cs="Arial" w:eastAsia="Arial" w:hAnsi="Arial"/>
          <w:sz w:val="19"/>
          <w:szCs w:val="19"/>
          <w:u w:val="single" w:color="auto"/>
          <w:color w:val="0000FF"/>
          <w:strike w:val="1"/>
        </w:rPr>
        <w:t>execute</w:t>
      </w:r>
      <w:r>
        <w:rPr>
          <w:rFonts w:ascii="Arial" w:cs="Arial" w:eastAsia="Arial" w:hAnsi="Arial"/>
          <w:sz w:val="19"/>
          <w:szCs w:val="19"/>
          <w:color w:val="auto"/>
        </w:rPr>
        <w:t xml:space="preserve"> and deliver to the Administrative Agent an Assignment and Acceptance together with a processing fee of $3,500 (it being understood that such processing fee shall not apply to any assignment by any of the Joint Lead Arrangers, the Joint Bookrunners or any of their respective affiliates hereunder); provided that (x) a single processing fee of $3,500 will be payable for multiple assignments by Lenders permitted hereunder that comprise one transaction and are implemented substantially concurrently with one another and (y) the Administrative Agent may, in its sole discretion, elect to waive or reduce such processing fee in the case of any assignment, including assignments effected pursuant to the provisions of Section 13.7;</w:t>
      </w:r>
    </w:p>
    <w:p>
      <w:pPr>
        <w:spacing w:after="0" w:line="259" w:lineRule="exact"/>
        <w:rPr>
          <w:rFonts w:ascii="Arial" w:cs="Arial" w:eastAsia="Arial" w:hAnsi="Arial"/>
          <w:sz w:val="19"/>
          <w:szCs w:val="19"/>
          <w:color w:val="auto"/>
        </w:rPr>
      </w:pPr>
    </w:p>
    <w:p>
      <w:pPr>
        <w:ind w:left="660" w:firstLine="1293"/>
        <w:spacing w:after="0" w:line="260" w:lineRule="exact"/>
        <w:tabs>
          <w:tab w:leader="none" w:pos="247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any tax form required by Section 5.4 and an administrative questionnaire in a form approved by the Administrative Agent in which the assignee designates one or more credit contacts to whom all syndicate-level information (which may contain material non</w:t>
      </w:r>
      <w:r>
        <w:rPr>
          <w:rFonts w:ascii="MS PGothic" w:cs="MS PGothic" w:eastAsia="MS PGothic" w:hAnsi="MS PGothic"/>
          <w:sz w:val="22"/>
          <w:szCs w:val="22"/>
          <w:color w:val="auto"/>
        </w:rPr>
        <w:t>‑</w:t>
      </w:r>
      <w:r>
        <w:rPr>
          <w:rFonts w:ascii="Arial" w:cs="Arial" w:eastAsia="Arial" w:hAnsi="Arial"/>
          <w:sz w:val="22"/>
          <w:szCs w:val="22"/>
          <w:color w:val="auto"/>
        </w:rPr>
        <w:t>public information about the Credit Parties and their Related Parties or their respective securities) will be made available and who may receive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209</w:t>
      </w:r>
    </w:p>
    <w:p>
      <w:pPr>
        <w:sectPr>
          <w:pgSz w:w="11900" w:h="16838" w:orient="portrait"/>
          <w:cols w:equalWidth="0" w:num="1">
            <w:col w:w="11360"/>
          </w:cols>
          <w:pgMar w:left="240" w:top="294" w:right="299" w:bottom="1440" w:gutter="0" w:footer="0" w:header="0"/>
        </w:sectPr>
      </w:pPr>
    </w:p>
    <w:bookmarkStart w:id="134" w:name="page135"/>
    <w:bookmarkEnd w:id="134"/>
    <w:p>
      <w:pPr>
        <w:ind w:left="660" w:right="400"/>
        <w:spacing w:after="0" w:line="263" w:lineRule="auto"/>
        <w:rPr>
          <w:sz w:val="20"/>
          <w:szCs w:val="20"/>
          <w:color w:val="auto"/>
        </w:rPr>
      </w:pPr>
      <w:r>
        <w:rPr>
          <w:rFonts w:ascii="Arial" w:cs="Arial" w:eastAsia="Arial" w:hAnsi="Arial"/>
          <w:sz w:val="22"/>
          <w:szCs w:val="22"/>
          <w:color w:val="auto"/>
        </w:rPr>
        <w:t>information in accordance with the assignee’s compliance procedures and Applicable Laws, including Federal and state securities laws; and</w:t>
      </w:r>
    </w:p>
    <w:p>
      <w:pPr>
        <w:spacing w:after="0" w:line="175" w:lineRule="exact"/>
        <w:rPr>
          <w:sz w:val="20"/>
          <w:szCs w:val="20"/>
          <w:color w:val="auto"/>
        </w:rPr>
      </w:pPr>
    </w:p>
    <w:p>
      <w:pPr>
        <w:jc w:val="both"/>
        <w:ind w:left="660" w:right="20" w:firstLine="1293"/>
        <w:spacing w:after="0" w:line="250" w:lineRule="auto"/>
        <w:tabs>
          <w:tab w:leader="none" w:pos="288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 with respect to the Loan or the Commitment assigned, except that this clause (E) shall not prohibit any Lender from assigning all or a portion of its rights and obligations among separate tranches of Loans (if any) on a non-</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w:t>
      </w:r>
    </w:p>
    <w:p>
      <w:pPr>
        <w:spacing w:after="0" w:line="188"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Notwithstanding the foregoing or anything to the contrary set forth herein (i) any assignment of any Loans or Commitments to an Affiliated Lender shall also be subject to the requirements set forth in Section 13.6(g) and (ii) no natural person may be an assignee or Participant with respect to any Loans or Commitments.</w:t>
      </w:r>
    </w:p>
    <w:p>
      <w:pPr>
        <w:spacing w:after="0" w:line="186" w:lineRule="exact"/>
        <w:rPr>
          <w:sz w:val="20"/>
          <w:szCs w:val="20"/>
          <w:color w:val="auto"/>
        </w:rPr>
      </w:pPr>
    </w:p>
    <w:p>
      <w:pPr>
        <w:ind w:right="20" w:firstLine="1953"/>
        <w:spacing w:after="0" w:line="289" w:lineRule="auto"/>
        <w:tabs>
          <w:tab w:leader="none" w:pos="291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Section 13.6(b)(vi),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and subject to the requirements of Sections 2.10, 2.11, 5.4 and 13.5). Any assignment or transfer by a Lender of rights or obligations under this Agreement that does not comply with this Section 13.6 shall be treated for purposes of this Agreement as a sale by such Lender of a participation in such rights and obligations in accordance with Section 13.6(d).</w:t>
      </w:r>
    </w:p>
    <w:p>
      <w:pPr>
        <w:spacing w:after="0" w:line="157" w:lineRule="exact"/>
        <w:rPr>
          <w:rFonts w:ascii="Arial" w:cs="Arial" w:eastAsia="Arial" w:hAnsi="Arial"/>
          <w:sz w:val="19"/>
          <w:szCs w:val="19"/>
          <w:color w:val="auto"/>
        </w:rPr>
      </w:pPr>
    </w:p>
    <w:p>
      <w:pPr>
        <w:ind w:right="140" w:firstLine="1953"/>
        <w:spacing w:after="0" w:line="286" w:lineRule="auto"/>
        <w:tabs>
          <w:tab w:leader="none" w:pos="247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By executing and delivering an Assignment and Acceptance, the assigning Lender thereunder and the assignee thereunder shall be deemed to confirm to and agree with each other and the other parties hereto as follows: (A) such assigning Lender warrants that it is the legal and beneficial owner of the interest being assigned thereby free and clear of any adverse claim and that its </w:t>
      </w:r>
      <w:r>
        <w:rPr>
          <w:rFonts w:ascii="Arial" w:cs="Arial" w:eastAsia="Arial" w:hAnsi="Arial"/>
          <w:sz w:val="19"/>
          <w:szCs w:val="19"/>
          <w:color w:val="0000FF"/>
        </w:rPr>
        <w:t>2017</w:t>
      </w:r>
      <w:r>
        <w:rPr>
          <w:rFonts w:ascii="Arial" w:cs="Arial" w:eastAsia="Arial" w:hAnsi="Arial"/>
          <w:sz w:val="19"/>
          <w:szCs w:val="19"/>
          <w:color w:val="auto"/>
        </w:rPr>
        <w:t xml:space="preserve"> Initial Tranche A Term Loan Commitment, </w:t>
      </w:r>
      <w:r>
        <w:rPr>
          <w:rFonts w:ascii="Arial" w:cs="Arial" w:eastAsia="Arial" w:hAnsi="Arial"/>
          <w:sz w:val="19"/>
          <w:szCs w:val="19"/>
          <w:color w:val="0000FF"/>
        </w:rPr>
        <w:t>2019 Extended Tranche A Term Loan Commitment</w:t>
      </w:r>
      <w:r>
        <w:rPr>
          <w:rFonts w:ascii="Arial" w:cs="Arial" w:eastAsia="Arial" w:hAnsi="Arial"/>
          <w:sz w:val="19"/>
          <w:szCs w:val="19"/>
          <w:color w:val="auto"/>
        </w:rPr>
        <w:t xml:space="preserve">, Initial Tranche </w:t>
      </w:r>
      <w:r>
        <w:rPr>
          <w:rFonts w:ascii="Arial" w:cs="Arial" w:eastAsia="Arial" w:hAnsi="Arial"/>
          <w:sz w:val="19"/>
          <w:szCs w:val="19"/>
          <w:color w:val="FF0000"/>
          <w:strike w:val="1"/>
        </w:rPr>
        <w:t>A</w:t>
      </w:r>
      <w:r>
        <w:rPr>
          <w:rFonts w:ascii="Arial" w:cs="Arial" w:eastAsia="Arial" w:hAnsi="Arial"/>
          <w:sz w:val="19"/>
          <w:szCs w:val="19"/>
          <w:color w:val="0000FF"/>
        </w:rPr>
        <w:t>B</w:t>
      </w:r>
      <w:r>
        <w:rPr>
          <w:rFonts w:ascii="Arial" w:cs="Arial" w:eastAsia="Arial" w:hAnsi="Arial"/>
          <w:sz w:val="19"/>
          <w:szCs w:val="19"/>
          <w:color w:val="auto"/>
        </w:rPr>
        <w:t xml:space="preserve"> Term Loan Commitment, Incremental Term Loan Commitment, Revolving Credit Commitment and Additional/Replacement Revolving Credit Commitment, and the outstanding balances of its Loans, in each case without giving effect to assignments thereof which have not become effective, are as set forth in such Assignment and Acceptance, (B) except as set forth in (A)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any other Credit Document or any other instrument or document furnished pursuant hereto, or the financial condition of Holdings, the Borrower or any Subsidiary or the performance or observance by Holdings, the Borrower or any Subsidiary of any of its obligations under this Agreement, any other Credit Document or any other instrument or document furnished pursuant hereto; (C) such assignee represents and warrants that it is legally authorized to enter into such Assignment and Acceptance; (D) such assignee confirms that it has received a copy of this Agreement, together with copies of the most recent financial statements referred to</w:t>
      </w:r>
    </w:p>
    <w:p>
      <w:pPr>
        <w:spacing w:after="0" w:line="5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210</w:t>
      </w:r>
    </w:p>
    <w:p>
      <w:pPr>
        <w:sectPr>
          <w:pgSz w:w="11900" w:h="16838" w:orient="portrait"/>
          <w:cols w:equalWidth="0" w:num="1">
            <w:col w:w="11400"/>
          </w:cols>
          <w:pgMar w:left="240" w:top="240" w:right="2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Annex I-C</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Agency Replacement Amendments to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342"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FF0000"/>
          <w:strike w:val="1"/>
        </w:rPr>
        <w:t>Execution Version</w:t>
      </w:r>
      <w:r>
        <w:rPr>
          <w:rFonts w:ascii="Arial" w:cs="Arial" w:eastAsia="Arial" w:hAnsi="Arial"/>
          <w:sz w:val="22"/>
          <w:szCs w:val="22"/>
          <w:color w:val="0000FF"/>
        </w:rPr>
        <w:t>FINAL CONFORMED COPY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CONFORMED TO AMENDMENTS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EFFECTUATED PURSUANT TO</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AMENDMENT NO. </w:t>
      </w:r>
      <w:r>
        <w:rPr>
          <w:rFonts w:ascii="Arial" w:cs="Arial" w:eastAsia="Arial" w:hAnsi="Arial"/>
          <w:sz w:val="22"/>
          <w:szCs w:val="22"/>
          <w:color w:val="FF0000"/>
          <w:strike w:val="1"/>
        </w:rPr>
        <w:t>1</w:t>
      </w:r>
      <w:r>
        <w:rPr>
          <w:rFonts w:ascii="Arial" w:cs="Arial" w:eastAsia="Arial" w:hAnsi="Arial"/>
          <w:sz w:val="22"/>
          <w:szCs w:val="22"/>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29, 2012</w:t>
      </w:r>
    </w:p>
    <w:p>
      <w:pPr>
        <w:spacing w:after="0" w:line="200" w:lineRule="exact"/>
        <w:rPr>
          <w:sz w:val="20"/>
          <w:szCs w:val="20"/>
          <w:color w:val="auto"/>
        </w:rPr>
      </w:pPr>
    </w:p>
    <w:p>
      <w:pPr>
        <w:spacing w:after="0" w:line="23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LPL INVESTMENT HOLDINGS INC.,</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as Holdings,</w:t>
      </w:r>
    </w:p>
    <w:p>
      <w:pPr>
        <w:spacing w:after="0" w:line="14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LPL HOLDINGS, INC.,</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as Borrower,</w:t>
      </w:r>
    </w:p>
    <w:p>
      <w:pPr>
        <w:spacing w:after="0" w:line="142"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The Several Lenders</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from Time to Time Parties Hereto,</w:t>
      </w:r>
    </w:p>
    <w:p>
      <w:pPr>
        <w:spacing w:after="0" w:line="142" w:lineRule="exact"/>
        <w:rPr>
          <w:sz w:val="20"/>
          <w:szCs w:val="20"/>
          <w:color w:val="auto"/>
        </w:rPr>
      </w:pPr>
    </w:p>
    <w:p>
      <w:pPr>
        <w:jc w:val="center"/>
        <w:ind w:right="2800"/>
        <w:spacing w:after="0"/>
        <w:rPr>
          <w:sz w:val="20"/>
          <w:szCs w:val="20"/>
          <w:color w:val="auto"/>
        </w:rPr>
      </w:pPr>
      <w:r>
        <w:rPr>
          <w:rFonts w:ascii="Arial" w:cs="Arial" w:eastAsia="Arial" w:hAnsi="Arial"/>
          <w:sz w:val="22"/>
          <w:szCs w:val="22"/>
          <w:b w:val="1"/>
          <w:bCs w:val="1"/>
          <w:color w:val="0000FF"/>
        </w:rPr>
        <w:t xml:space="preserve">JPMORGAN CHASE </w:t>
      </w:r>
      <w:r>
        <w:rPr>
          <w:rFonts w:ascii="Arial" w:cs="Arial" w:eastAsia="Arial" w:hAnsi="Arial"/>
          <w:sz w:val="22"/>
          <w:szCs w:val="22"/>
          <w:b w:val="1"/>
          <w:bCs w:val="1"/>
          <w:color w:val="000000"/>
        </w:rPr>
        <w:t>BANK</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FF0000"/>
          <w:strike w:val="1"/>
        </w:rPr>
        <w:t>OF AMERICA</w:t>
      </w:r>
      <w:r>
        <w:rPr>
          <w:rFonts w:ascii="Arial" w:cs="Arial" w:eastAsia="Arial" w:hAnsi="Arial"/>
          <w:sz w:val="22"/>
          <w:szCs w:val="22"/>
          <w:b w:val="1"/>
          <w:bCs w:val="1"/>
          <w:color w:val="000000"/>
        </w:rPr>
        <w:t>, N.A.</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as Administrative Agent, Collateral Agent, Letter of Credit Issuer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189230</wp:posOffset>
            </wp:positionV>
            <wp:extent cx="698881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8810" cy="425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left="460"/>
        <w:spacing w:after="0"/>
        <w:rPr>
          <w:sz w:val="20"/>
          <w:szCs w:val="20"/>
          <w:color w:val="auto"/>
        </w:rPr>
      </w:pPr>
      <w:r>
        <w:rPr>
          <w:rFonts w:ascii="Arial" w:cs="Arial" w:eastAsia="Arial" w:hAnsi="Arial"/>
          <w:sz w:val="22"/>
          <w:szCs w:val="22"/>
          <w:b w:val="1"/>
          <w:bCs w:val="1"/>
          <w:color w:val="auto"/>
        </w:rPr>
        <w:t>MERRILL LYNCH, PIERCE, FENNER &amp; SMITH INCORPORATED AND GOLDMAN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SACHS BANK USA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Lead Arrangers,</w:t>
      </w:r>
    </w:p>
    <w:p>
      <w:pPr>
        <w:spacing w:after="0" w:line="142" w:lineRule="exact"/>
        <w:rPr>
          <w:sz w:val="20"/>
          <w:szCs w:val="20"/>
          <w:color w:val="auto"/>
        </w:rPr>
      </w:pPr>
    </w:p>
    <w:p>
      <w:pPr>
        <w:jc w:val="center"/>
        <w:spacing w:after="0" w:line="252" w:lineRule="auto"/>
        <w:rPr>
          <w:sz w:val="20"/>
          <w:szCs w:val="20"/>
          <w:color w:val="auto"/>
        </w:rPr>
      </w:pPr>
      <w:r>
        <w:rPr>
          <w:rFonts w:ascii="Arial" w:cs="Arial" w:eastAsia="Arial" w:hAnsi="Arial"/>
          <w:sz w:val="22"/>
          <w:szCs w:val="22"/>
          <w:b w:val="1"/>
          <w:bCs w:val="1"/>
          <w:color w:val="auto"/>
        </w:rPr>
        <w:t xml:space="preserve">MERRILL LYNCH, PIERCE, FENNER &amp; SMITH INCORPORATED, GOLDMAN SACHS BANK USA, J.P. MORGAN SECURITIES LLC, MORGAN STANLEY SENIOR FUNDING, INC. AND SUNTRUST ROBINSON HUMPHREY, INC. </w:t>
      </w:r>
      <w:r>
        <w:rPr>
          <w:rFonts w:ascii="Arial" w:cs="Arial" w:eastAsia="Arial" w:hAnsi="Arial"/>
          <w:sz w:val="22"/>
          <w:szCs w:val="22"/>
          <w:color w:val="auto"/>
        </w:rPr>
        <w:t>as Joint Bookrunners,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GOLDMAN SACHS BANK USA, J.P. MORGAN SECURITIES LLC AND MORGAN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STANLEY SENIOR FUNDING,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Agents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SUNTRUST BANK</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FF0000"/>
          <w:strike w:val="1"/>
        </w:rPr>
        <w:t>NYDOC SO2/996722.8</w:t>
      </w:r>
    </w:p>
    <w:p>
      <w:pPr>
        <w:sectPr>
          <w:pgSz w:w="11900" w:h="16838" w:orient="portrait"/>
          <w:cols w:equalWidth="0" w:num="1">
            <w:col w:w="11420"/>
          </w:cols>
          <w:pgMar w:left="240" w:top="132" w:right="239" w:bottom="1440" w:gutter="0" w:footer="0" w:header="0"/>
        </w:sectPr>
      </w:pPr>
    </w:p>
    <w:bookmarkStart w:id="137" w:name="page138"/>
    <w:bookmarkEnd w:id="137"/>
    <w:p>
      <w:pPr>
        <w:ind w:left="1420"/>
        <w:spacing w:after="0"/>
        <w:rPr>
          <w:sz w:val="20"/>
          <w:szCs w:val="20"/>
          <w:color w:val="auto"/>
        </w:rPr>
      </w:pPr>
      <w:r>
        <w:rPr>
          <w:rFonts w:ascii="Arial" w:cs="Arial" w:eastAsia="Arial" w:hAnsi="Arial"/>
          <w:sz w:val="22"/>
          <w:szCs w:val="22"/>
          <w:b w:val="1"/>
          <w:bCs w:val="1"/>
          <w:color w:val="auto"/>
        </w:rPr>
        <w:t xml:space="preserve">CREDIT AGREEMENT, </w:t>
      </w:r>
      <w:r>
        <w:rPr>
          <w:rFonts w:ascii="Arial" w:cs="Arial" w:eastAsia="Arial" w:hAnsi="Arial"/>
          <w:sz w:val="22"/>
          <w:szCs w:val="22"/>
          <w:color w:val="auto"/>
        </w:rPr>
        <w:t>dated as of March 29, 2012, among</w:t>
      </w:r>
      <w:r>
        <w:rPr>
          <w:rFonts w:ascii="Arial" w:cs="Arial" w:eastAsia="Arial" w:hAnsi="Arial"/>
          <w:sz w:val="22"/>
          <w:szCs w:val="22"/>
          <w:b w:val="1"/>
          <w:bCs w:val="1"/>
          <w:color w:val="auto"/>
        </w:rPr>
        <w:t xml:space="preserve"> LPL INVESTMENT HOLDINGS INC., </w:t>
      </w:r>
      <w:r>
        <w:rPr>
          <w:rFonts w:ascii="Arial" w:cs="Arial" w:eastAsia="Arial" w:hAnsi="Arial"/>
          <w:sz w:val="22"/>
          <w:szCs w:val="22"/>
          <w:color w:val="auto"/>
        </w:rPr>
        <w:t>a</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xml:space="preserve">”; as hereinafter further defined), </w:t>
      </w:r>
      <w:r>
        <w:rPr>
          <w:rFonts w:ascii="Arial" w:cs="Arial" w:eastAsia="Arial" w:hAnsi="Arial"/>
          <w:sz w:val="19"/>
          <w:szCs w:val="19"/>
          <w:b w:val="1"/>
          <w:bCs w:val="1"/>
          <w:color w:val="auto"/>
        </w:rPr>
        <w:t>LPL HOLDINGS, INC.,</w:t>
      </w:r>
      <w:r>
        <w:rPr>
          <w:rFonts w:ascii="Arial" w:cs="Arial" w:eastAsia="Arial" w:hAnsi="Arial"/>
          <w:sz w:val="19"/>
          <w:szCs w:val="19"/>
          <w:color w:val="auto"/>
        </w:rPr>
        <w:t xml:space="preserve"> a Massachusetts corporation (the</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the banks, financial institutions and other investors from time to time parties hereto as lenders (each a “</w:t>
      </w:r>
      <w:r>
        <w:rPr>
          <w:rFonts w:ascii="Arial" w:cs="Arial" w:eastAsia="Arial" w:hAnsi="Arial"/>
          <w:sz w:val="19"/>
          <w:szCs w:val="19"/>
          <w:u w:val="single" w:color="auto"/>
          <w:color w:val="auto"/>
        </w:rPr>
        <w:t>Lender</w:t>
      </w:r>
      <w:r>
        <w:rPr>
          <w:rFonts w:ascii="Arial" w:cs="Arial" w:eastAsia="Arial" w:hAnsi="Arial"/>
          <w:sz w:val="19"/>
          <w:szCs w:val="19"/>
          <w:color w:val="auto"/>
        </w:rPr>
        <w:t>” and,</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w:t>
      </w:r>
      <w:r>
        <w:rPr>
          <w:rFonts w:ascii="Arial" w:cs="Arial" w:eastAsia="Arial" w:hAnsi="Arial"/>
          <w:sz w:val="21"/>
          <w:szCs w:val="21"/>
          <w:u w:val="single" w:color="auto"/>
          <w:color w:val="auto"/>
        </w:rPr>
        <w:t>;</w:t>
      </w:r>
      <w:r>
        <w:rPr>
          <w:rFonts w:ascii="Arial" w:cs="Arial" w:eastAsia="Arial" w:hAnsi="Arial"/>
          <w:sz w:val="21"/>
          <w:szCs w:val="21"/>
          <w:color w:val="auto"/>
        </w:rPr>
        <w:t xml:space="preserve"> each as hereinafter further defined), and </w:t>
      </w:r>
      <w:r>
        <w:rPr>
          <w:rFonts w:ascii="Arial" w:cs="Arial" w:eastAsia="Arial" w:hAnsi="Arial"/>
          <w:sz w:val="21"/>
          <w:szCs w:val="21"/>
          <w:b w:val="1"/>
          <w:bCs w:val="1"/>
          <w:color w:val="0000FF"/>
        </w:rPr>
        <w:t>JPMORGAN CHASE</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BANK-OF-AMERICA</w:t>
      </w:r>
      <w:r>
        <w:rPr>
          <w:rFonts w:ascii="Arial" w:cs="Arial" w:eastAsia="Arial" w:hAnsi="Arial"/>
          <w:sz w:val="21"/>
          <w:szCs w:val="21"/>
          <w:color w:val="auto"/>
        </w:rPr>
        <w:t xml:space="preserve">, </w:t>
      </w:r>
      <w:r>
        <w:rPr>
          <w:rFonts w:ascii="Arial" w:cs="Arial" w:eastAsia="Arial" w:hAnsi="Arial"/>
          <w:sz w:val="21"/>
          <w:szCs w:val="21"/>
          <w:b w:val="1"/>
          <w:bCs w:val="1"/>
          <w:color w:val="auto"/>
        </w:rPr>
        <w:t>N.A.,</w:t>
      </w:r>
      <w:r>
        <w:rPr>
          <w:rFonts w:ascii="Arial" w:cs="Arial" w:eastAsia="Arial" w:hAnsi="Arial"/>
          <w:sz w:val="21"/>
          <w:szCs w:val="21"/>
          <w:color w:val="auto"/>
        </w:rPr>
        <w:t xml:space="preserve"> as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Administrative Agent, Collateral Agent, a Letter of Credit Issuer and Swingline Lender.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382" w:lineRule="exact"/>
        <w:rPr>
          <w:sz w:val="20"/>
          <w:szCs w:val="20"/>
          <w:color w:val="auto"/>
        </w:rPr>
      </w:pPr>
    </w:p>
    <w:p>
      <w:pPr>
        <w:ind w:right="200" w:firstLine="1297"/>
        <w:spacing w:after="0" w:line="281" w:lineRule="exact"/>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capitalized terms used in these Recitals and the preamble to this Agreement shall have the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meanings set forth for such terms in Section </w:t>
      </w:r>
      <w:r>
        <w:rPr>
          <w:rFonts w:ascii="MS PGothic" w:cs="MS PGothic" w:eastAsia="MS PGothic" w:hAnsi="MS PGothic"/>
          <w:sz w:val="22"/>
          <w:szCs w:val="22"/>
          <w:color w:val="0000FF"/>
        </w:rPr>
        <w:t>☒</w:t>
      </w:r>
      <w:r>
        <w:rPr>
          <w:rFonts w:ascii="Arial" w:cs="Arial" w:eastAsia="Arial" w:hAnsi="Arial"/>
          <w:sz w:val="22"/>
          <w:szCs w:val="22"/>
          <w:color w:val="auto"/>
        </w:rPr>
        <w:t>1.1 hereof;</w:t>
      </w:r>
    </w:p>
    <w:p>
      <w:pPr>
        <w:spacing w:after="0" w:line="277" w:lineRule="exact"/>
        <w:rPr>
          <w:sz w:val="20"/>
          <w:szCs w:val="20"/>
          <w:color w:val="auto"/>
        </w:rPr>
      </w:pPr>
    </w:p>
    <w:p>
      <w:pPr>
        <w:ind w:right="280" w:firstLine="1297"/>
        <w:spacing w:after="0" w:line="24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Holdings, the Borrower, the lending institutions party thereto (the “</w:t>
      </w:r>
      <w:r>
        <w:rPr>
          <w:rFonts w:ascii="Arial" w:cs="Arial" w:eastAsia="Arial" w:hAnsi="Arial"/>
          <w:sz w:val="22"/>
          <w:szCs w:val="22"/>
          <w:u w:val="single" w:color="auto"/>
          <w:color w:val="auto"/>
        </w:rPr>
        <w:t>Original Lenders</w:t>
      </w:r>
      <w:r>
        <w:rPr>
          <w:rFonts w:ascii="Arial" w:cs="Arial" w:eastAsia="Arial" w:hAnsi="Arial"/>
          <w:sz w:val="22"/>
          <w:szCs w:val="22"/>
          <w:color w:val="auto"/>
        </w:rPr>
        <w:t>”), Morgan</w:t>
      </w:r>
      <w:r>
        <w:rPr>
          <w:rFonts w:ascii="Arial" w:cs="Arial" w:eastAsia="Arial" w:hAnsi="Arial"/>
          <w:sz w:val="22"/>
          <w:szCs w:val="22"/>
          <w:b w:val="1"/>
          <w:bCs w:val="1"/>
          <w:color w:val="auto"/>
        </w:rPr>
        <w:t xml:space="preserve"> </w:t>
      </w:r>
      <w:r>
        <w:rPr>
          <w:rFonts w:ascii="Arial" w:cs="Arial" w:eastAsia="Arial" w:hAnsi="Arial"/>
          <w:sz w:val="22"/>
          <w:szCs w:val="22"/>
          <w:color w:val="auto"/>
        </w:rPr>
        <w:t>Stanley Senior Funding, Inc., as administrative agent, and Morgan Stanley &amp; Co., as collateral agent, are parties to that certain Third Amended and Restated Credit Agreement, dated as of May 24, 2010 (as heretofore amended, supplemented or otherwise modified from time to time, the “</w:t>
      </w:r>
      <w:r>
        <w:rPr>
          <w:rFonts w:ascii="Arial" w:cs="Arial" w:eastAsia="Arial" w:hAnsi="Arial"/>
          <w:sz w:val="22"/>
          <w:szCs w:val="22"/>
          <w:u w:val="single" w:color="auto"/>
          <w:color w:val="auto"/>
        </w:rPr>
        <w:t>Original Credit Agreement</w:t>
      </w:r>
      <w:r>
        <w:rPr>
          <w:rFonts w:ascii="Arial" w:cs="Arial" w:eastAsia="Arial" w:hAnsi="Arial"/>
          <w:sz w:val="22"/>
          <w:szCs w:val="22"/>
          <w:color w:val="auto"/>
        </w:rPr>
        <w:t>”), pursuant to which the Original Lenders extended or committed to extend certain credit facilities to the Borrower;</w:t>
      </w:r>
    </w:p>
    <w:p>
      <w:pPr>
        <w:spacing w:after="0" w:line="295"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Borrower has requested that, immediately upon the satisfaction in full of the applicable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precedent set forth in Section 6 below, the Lenders and Letter of Credit Issuers extend a total of $1,600,000,000 of credit to the Borrower in the form of (i) $735,000,000 in aggregate principal amount of tranche A term loans to be borrowed on the Closing Date (the “</w:t>
      </w:r>
      <w:r>
        <w:rPr>
          <w:rFonts w:ascii="Arial" w:cs="Arial" w:eastAsia="Arial" w:hAnsi="Arial"/>
          <w:sz w:val="21"/>
          <w:szCs w:val="21"/>
          <w:u w:val="single" w:color="auto"/>
          <w:color w:val="auto"/>
        </w:rPr>
        <w:t>2017 Initial Tranche A Term Loan Facility</w:t>
      </w:r>
      <w:r>
        <w:rPr>
          <w:rFonts w:ascii="Arial" w:cs="Arial" w:eastAsia="Arial" w:hAnsi="Arial"/>
          <w:sz w:val="21"/>
          <w:szCs w:val="21"/>
          <w:color w:val="auto"/>
        </w:rPr>
        <w:t>” (referred to as the “Initial Tranche A Term Loan Facility” prior to the Amendment No. 2 Effective Date (as defined below)), (ii) $615,000,000 in aggregate principal amount of tranche B term loans to be borrowed on the Closing Date (the “</w:t>
      </w:r>
      <w:r>
        <w:rPr>
          <w:rFonts w:ascii="Arial" w:cs="Arial" w:eastAsia="Arial" w:hAnsi="Arial"/>
          <w:sz w:val="21"/>
          <w:szCs w:val="21"/>
          <w:u w:val="single" w:color="auto"/>
          <w:color w:val="auto"/>
        </w:rPr>
        <w:t>Initial Tranche B Term Loan Facility</w:t>
      </w:r>
      <w:r>
        <w:rPr>
          <w:rFonts w:ascii="Arial" w:cs="Arial" w:eastAsia="Arial" w:hAnsi="Arial"/>
          <w:sz w:val="21"/>
          <w:szCs w:val="21"/>
          <w:color w:val="auto"/>
        </w:rPr>
        <w:t>”) and (iii) $250,000,000 in aggregate principal amount of Revolving Credit Commitments, which amount was increased to $400,000,000 as of the Amendment No. 2 Effective Date (the “</w:t>
      </w:r>
      <w:r>
        <w:rPr>
          <w:rFonts w:ascii="Arial" w:cs="Arial" w:eastAsia="Arial" w:hAnsi="Arial"/>
          <w:sz w:val="21"/>
          <w:szCs w:val="21"/>
          <w:u w:val="single" w:color="auto"/>
          <w:color w:val="auto"/>
        </w:rPr>
        <w:t>Revolving Credit Facility</w:t>
      </w:r>
      <w:r>
        <w:rPr>
          <w:rFonts w:ascii="Arial" w:cs="Arial" w:eastAsia="Arial" w:hAnsi="Arial"/>
          <w:sz w:val="21"/>
          <w:szCs w:val="21"/>
          <w:color w:val="auto"/>
        </w:rPr>
        <w:t>”);</w:t>
      </w:r>
    </w:p>
    <w:p>
      <w:pPr>
        <w:spacing w:after="0" w:line="284"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 intends to use the proceeds of the Initial Term Loans (as defined below) to repay existing</w:t>
      </w:r>
      <w:r>
        <w:rPr>
          <w:rFonts w:ascii="Arial" w:cs="Arial" w:eastAsia="Arial" w:hAnsi="Arial"/>
          <w:sz w:val="21"/>
          <w:szCs w:val="21"/>
          <w:b w:val="1"/>
          <w:bCs w:val="1"/>
          <w:color w:val="auto"/>
        </w:rPr>
        <w:t xml:space="preserve"> </w:t>
      </w:r>
      <w:r>
        <w:rPr>
          <w:rFonts w:ascii="Arial" w:cs="Arial" w:eastAsia="Arial" w:hAnsi="Arial"/>
          <w:sz w:val="21"/>
          <w:szCs w:val="21"/>
          <w:color w:val="auto"/>
        </w:rPr>
        <w:t>indebtedness under the Original Credit Agreement in an aggregate principal amount of approximately $1,337,777,559.51, at which time all existing commitments, security interests and guarantees in respect of the Original Credit Agreement and the related documents and obligations thereunder will be terminated, released and discharged in full (other than contingent obligations, which by their terms survive such termination) (the “</w:t>
      </w:r>
      <w:r>
        <w:rPr>
          <w:rFonts w:ascii="Arial" w:cs="Arial" w:eastAsia="Arial" w:hAnsi="Arial"/>
          <w:sz w:val="21"/>
          <w:szCs w:val="21"/>
          <w:u w:val="single" w:color="auto"/>
          <w:color w:val="auto"/>
        </w:rPr>
        <w:t>Refinancing</w:t>
      </w:r>
      <w:r>
        <w:rPr>
          <w:rFonts w:ascii="Arial" w:cs="Arial" w:eastAsia="Arial" w:hAnsi="Arial"/>
          <w:sz w:val="21"/>
          <w:szCs w:val="21"/>
          <w:color w:val="auto"/>
        </w:rPr>
        <w:t>”);</w:t>
      </w:r>
    </w:p>
    <w:p>
      <w:pPr>
        <w:spacing w:after="0" w:line="279" w:lineRule="exact"/>
        <w:rPr>
          <w:sz w:val="20"/>
          <w:szCs w:val="20"/>
          <w:color w:val="auto"/>
        </w:rPr>
      </w:pPr>
    </w:p>
    <w:p>
      <w:pPr>
        <w:jc w:val="both"/>
        <w:ind w:right="140" w:firstLine="12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intends to pay a special dividend to Holdings from available cash on hand in an amount</w:t>
      </w:r>
      <w:r>
        <w:rPr>
          <w:rFonts w:ascii="Arial" w:cs="Arial" w:eastAsia="Arial" w:hAnsi="Arial"/>
          <w:sz w:val="22"/>
          <w:szCs w:val="22"/>
          <w:b w:val="1"/>
          <w:bCs w:val="1"/>
          <w:color w:val="auto"/>
        </w:rPr>
        <w:t xml:space="preserve"> </w:t>
      </w:r>
      <w:r>
        <w:rPr>
          <w:rFonts w:ascii="Arial" w:cs="Arial" w:eastAsia="Arial" w:hAnsi="Arial"/>
          <w:sz w:val="22"/>
          <w:szCs w:val="22"/>
          <w:color w:val="auto"/>
        </w:rPr>
        <w:t>up to $230,000,000 (the “</w:t>
      </w:r>
      <w:r>
        <w:rPr>
          <w:rFonts w:ascii="Arial" w:cs="Arial" w:eastAsia="Arial" w:hAnsi="Arial"/>
          <w:sz w:val="22"/>
          <w:szCs w:val="22"/>
          <w:u w:val="single" w:color="auto"/>
          <w:color w:val="auto"/>
        </w:rPr>
        <w:t>Special Dividend</w:t>
      </w:r>
      <w:r>
        <w:rPr>
          <w:rFonts w:ascii="Arial" w:cs="Arial" w:eastAsia="Arial" w:hAnsi="Arial"/>
          <w:sz w:val="22"/>
          <w:szCs w:val="22"/>
          <w:color w:val="auto"/>
        </w:rPr>
        <w:t>”) to fund a one-time special dividend by Holdings to its common stockholders, which was announced by Holdings on March 6, 2012;</w:t>
      </w:r>
    </w:p>
    <w:p>
      <w:pPr>
        <w:spacing w:after="0" w:line="284" w:lineRule="exact"/>
        <w:rPr>
          <w:sz w:val="20"/>
          <w:szCs w:val="20"/>
          <w:color w:val="auto"/>
        </w:rPr>
      </w:pPr>
    </w:p>
    <w:p>
      <w:pPr>
        <w:ind w:right="60" w:firstLine="12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foregoing and as an inducement for the Lenders and the Letter of Credit Issuers</w:t>
      </w:r>
      <w:r>
        <w:rPr>
          <w:rFonts w:ascii="Arial" w:cs="Arial" w:eastAsia="Arial" w:hAnsi="Arial"/>
          <w:sz w:val="22"/>
          <w:szCs w:val="22"/>
          <w:b w:val="1"/>
          <w:bCs w:val="1"/>
          <w:color w:val="auto"/>
        </w:rPr>
        <w:t xml:space="preserve"> </w:t>
      </w:r>
      <w:r>
        <w:rPr>
          <w:rFonts w:ascii="Arial" w:cs="Arial" w:eastAsia="Arial" w:hAnsi="Arial"/>
          <w:sz w:val="22"/>
          <w:szCs w:val="22"/>
          <w:color w:val="auto"/>
        </w:rPr>
        <w:t>to extend the credit contemplated hereunder, the Borrower has agreed to secure all of its Obligations by granting to the Collateral Agent, for the benefit of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u w:val="single" w:color="auto"/>
          <w:color w:val="FF0000"/>
          <w:strike w:val="1"/>
        </w:rPr>
        <w:t>NYDOC SO2/996722.8</w:t>
      </w:r>
    </w:p>
    <w:p>
      <w:pPr>
        <w:sectPr>
          <w:pgSz w:w="11900" w:h="16838" w:orient="portrait"/>
          <w:cols w:equalWidth="0" w:num="1">
            <w:col w:w="11420"/>
          </w:cols>
          <w:pgMar w:left="240" w:top="125" w:right="239" w:bottom="1440" w:gutter="0" w:footer="0" w:header="0"/>
        </w:sectPr>
      </w:pPr>
    </w:p>
    <w:bookmarkStart w:id="138" w:name="page139"/>
    <w:bookmarkEnd w:id="138"/>
    <w:p>
      <w:pPr>
        <w:spacing w:after="0" w:line="312" w:lineRule="auto"/>
        <w:rPr>
          <w:sz w:val="20"/>
          <w:szCs w:val="20"/>
          <w:color w:val="auto"/>
        </w:rPr>
      </w:pPr>
      <w:r>
        <w:rPr>
          <w:rFonts w:ascii="Arial" w:cs="Arial" w:eastAsia="Arial" w:hAnsi="Arial"/>
          <w:sz w:val="19"/>
          <w:szCs w:val="19"/>
          <w:color w:val="auto"/>
        </w:rPr>
        <w:t>Consolidated EBITDA of such Pro Forma Entity (determined as if references to the Borrower and the Restricted Subsidiaries in the definition of the term “Consolidated EBITDA” were references to such Pro Forma Entity and its subsidiaries that will become Restricted Subsidiaries), all as determined on a consolidated basis for such Pro Forma Entity in accordance with GAAP.</w:t>
      </w:r>
    </w:p>
    <w:p>
      <w:pPr>
        <w:spacing w:after="0" w:line="242" w:lineRule="exact"/>
        <w:rPr>
          <w:sz w:val="20"/>
          <w:szCs w:val="20"/>
          <w:color w:val="auto"/>
        </w:rPr>
      </w:pPr>
    </w:p>
    <w:p>
      <w:pPr>
        <w:ind w:left="14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Acquired Entity or Business</w:t>
      </w:r>
      <w:r>
        <w:rPr>
          <w:rFonts w:ascii="Arial" w:cs="Arial" w:eastAsia="Arial" w:hAnsi="Arial"/>
          <w:sz w:val="21"/>
          <w:szCs w:val="21"/>
          <w:color w:val="auto"/>
        </w:rPr>
        <w:t>” shall have the meaning provided in the definition of the term “Consolidated</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EBITDA”.</w:t>
      </w:r>
    </w:p>
    <w:p>
      <w:pPr>
        <w:spacing w:after="0" w:line="31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shall have the meaning provided in Section 2.14(d).</w:t>
      </w:r>
    </w:p>
    <w:p>
      <w:pPr>
        <w:spacing w:after="0" w:line="328"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Person</w:t>
      </w:r>
      <w:r>
        <w:rPr>
          <w:rFonts w:ascii="Arial" w:cs="Arial" w:eastAsia="Arial" w:hAnsi="Arial"/>
          <w:sz w:val="22"/>
          <w:szCs w:val="22"/>
          <w:color w:val="auto"/>
        </w:rPr>
        <w:t>” shall have the meaning provided in Section 10.1(k).</w:t>
      </w:r>
    </w:p>
    <w:p>
      <w:pPr>
        <w:spacing w:after="0" w:line="328"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Additional/Replacement Revolving Credit Commitment</w:t>
      </w:r>
      <w:r>
        <w:rPr>
          <w:rFonts w:ascii="Arial" w:cs="Arial" w:eastAsia="Arial" w:hAnsi="Arial"/>
          <w:sz w:val="19"/>
          <w:szCs w:val="19"/>
          <w:color w:val="auto"/>
        </w:rPr>
        <w:t>” shall have the meaning provided in Section 2.14(a).</w:t>
      </w:r>
    </w:p>
    <w:p>
      <w:pPr>
        <w:spacing w:after="0" w:line="362" w:lineRule="exact"/>
        <w:rPr>
          <w:sz w:val="20"/>
          <w:szCs w:val="20"/>
          <w:color w:val="auto"/>
        </w:rPr>
      </w:pPr>
    </w:p>
    <w:p>
      <w:pPr>
        <w:ind w:left="120"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Additional/Replacement Revolving Credit Facility</w:t>
      </w:r>
      <w:r>
        <w:rPr>
          <w:rFonts w:ascii="Arial" w:cs="Arial" w:eastAsia="Arial" w:hAnsi="Arial"/>
          <w:sz w:val="22"/>
          <w:szCs w:val="22"/>
          <w:color w:val="auto"/>
        </w:rPr>
        <w:t>” shall mean each Class of Additional/Replacement Revolving Credit Commitments made pursuant to Section 2.14(a).</w:t>
      </w:r>
    </w:p>
    <w:p>
      <w:pPr>
        <w:spacing w:after="0" w:line="283" w:lineRule="exact"/>
        <w:rPr>
          <w:sz w:val="20"/>
          <w:szCs w:val="20"/>
          <w:color w:val="auto"/>
        </w:rPr>
      </w:pPr>
    </w:p>
    <w:p>
      <w:pPr>
        <w:ind w:left="120" w:right="1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Additional/Replacement Revolving Credit Lender</w:t>
      </w:r>
      <w:r>
        <w:rPr>
          <w:rFonts w:ascii="Arial" w:cs="Arial" w:eastAsia="Arial" w:hAnsi="Arial"/>
          <w:sz w:val="22"/>
          <w:szCs w:val="22"/>
          <w:color w:val="auto"/>
        </w:rPr>
        <w:t>” shall mean, at any time, any Lender that has an Additional/Replacement Revolving Credit Commitment.</w:t>
      </w:r>
    </w:p>
    <w:p>
      <w:pPr>
        <w:spacing w:after="0" w:line="283" w:lineRule="exact"/>
        <w:rPr>
          <w:sz w:val="20"/>
          <w:szCs w:val="20"/>
          <w:color w:val="auto"/>
        </w:rPr>
      </w:pPr>
    </w:p>
    <w:p>
      <w:pPr>
        <w:ind w:left="120"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Additional/Replacement Revolving Credit Loans</w:t>
      </w:r>
      <w:r>
        <w:rPr>
          <w:rFonts w:ascii="Arial" w:cs="Arial" w:eastAsia="Arial" w:hAnsi="Arial"/>
          <w:sz w:val="22"/>
          <w:szCs w:val="22"/>
          <w:color w:val="auto"/>
        </w:rPr>
        <w:t>” shall mean any loan made to the Borrower under a Class of Additional/Replacement Revolving Credit Commitments.</w:t>
      </w:r>
    </w:p>
    <w:p>
      <w:pPr>
        <w:spacing w:after="0" w:line="283" w:lineRule="exact"/>
        <w:rPr>
          <w:sz w:val="20"/>
          <w:szCs w:val="20"/>
          <w:color w:val="auto"/>
        </w:rPr>
      </w:pPr>
    </w:p>
    <w:p>
      <w:pPr>
        <w:ind w:left="120"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Total Additional/Replacement Revolving Credit Commitment</w:t>
      </w:r>
      <w:r>
        <w:rPr>
          <w:rFonts w:ascii="Arial" w:cs="Arial" w:eastAsia="Arial" w:hAnsi="Arial"/>
          <w:sz w:val="22"/>
          <w:szCs w:val="22"/>
          <w:color w:val="auto"/>
        </w:rPr>
        <w:t xml:space="preserve">” shall mean, at any time, with respect to any Class of Additional/Replacement Revolving Credit Commitments, the Total Additional/Replacement Revolving Credit Commitment for such Class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the aggregate Additional/Replacement Revolving Credit Commitments of all Defaulting Lenders in such Class.</w:t>
      </w:r>
    </w:p>
    <w:p>
      <w:pPr>
        <w:spacing w:after="0" w:line="296" w:lineRule="exact"/>
        <w:rPr>
          <w:sz w:val="20"/>
          <w:szCs w:val="20"/>
          <w:color w:val="auto"/>
        </w:rPr>
      </w:pPr>
    </w:p>
    <w:p>
      <w:pPr>
        <w:jc w:val="both"/>
        <w:ind w:left="120" w:right="2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Total Extended Revolving Credit Commitment</w:t>
      </w:r>
      <w:r>
        <w:rPr>
          <w:rFonts w:ascii="Arial" w:cs="Arial" w:eastAsia="Arial" w:hAnsi="Arial"/>
          <w:sz w:val="22"/>
          <w:szCs w:val="22"/>
          <w:color w:val="auto"/>
        </w:rPr>
        <w:t xml:space="preserve">” shall mean, at any time, with respect to any Class of Extended Revolving Credit Commitments, the Total Extended Revolving Credit Commitment for such Class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the aggregate Extended Revolving Credit Commitments of all Defaulting Lenders in such Class.</w:t>
      </w:r>
    </w:p>
    <w:p>
      <w:pPr>
        <w:spacing w:after="0" w:line="294" w:lineRule="exact"/>
        <w:rPr>
          <w:sz w:val="20"/>
          <w:szCs w:val="20"/>
          <w:color w:val="auto"/>
        </w:rPr>
      </w:pPr>
    </w:p>
    <w:p>
      <w:pPr>
        <w:ind w:left="120"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Total Revolving Credit Commitment</w:t>
      </w:r>
      <w:r>
        <w:rPr>
          <w:rFonts w:ascii="Arial" w:cs="Arial" w:eastAsia="Arial" w:hAnsi="Arial"/>
          <w:sz w:val="22"/>
          <w:szCs w:val="22"/>
          <w:color w:val="auto"/>
        </w:rPr>
        <w:t>” shall mean, at any time, the Total Revolving Credit Commitment less the aggregate Revolving Credit Commitments of all Defaulting Lenders.</w:t>
      </w:r>
    </w:p>
    <w:p>
      <w:pPr>
        <w:spacing w:after="0" w:line="283" w:lineRule="exact"/>
        <w:rPr>
          <w:sz w:val="20"/>
          <w:szCs w:val="20"/>
          <w:color w:val="auto"/>
        </w:rPr>
      </w:pPr>
    </w:p>
    <w:p>
      <w:pPr>
        <w:ind w:left="120" w:right="3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shall mean </w:t>
      </w:r>
      <w:r>
        <w:rPr>
          <w:rFonts w:ascii="Arial" w:cs="Arial" w:eastAsia="Arial" w:hAnsi="Arial"/>
          <w:sz w:val="22"/>
          <w:szCs w:val="22"/>
          <w:color w:val="FF0000"/>
          <w:strike w:val="1"/>
        </w:rPr>
        <w:t>Bank of America</w:t>
      </w:r>
      <w:r>
        <w:rPr>
          <w:rFonts w:ascii="Arial" w:cs="Arial" w:eastAsia="Arial" w:hAnsi="Arial"/>
          <w:sz w:val="22"/>
          <w:szCs w:val="22"/>
          <w:color w:val="0000FF"/>
        </w:rPr>
        <w:t>JPMorgan</w:t>
      </w:r>
      <w:r>
        <w:rPr>
          <w:rFonts w:ascii="Arial" w:cs="Arial" w:eastAsia="Arial" w:hAnsi="Arial"/>
          <w:sz w:val="22"/>
          <w:szCs w:val="22"/>
          <w:color w:val="auto"/>
        </w:rPr>
        <w:t xml:space="preserve"> or any successor to </w:t>
      </w:r>
      <w:r>
        <w:rPr>
          <w:rFonts w:ascii="Arial" w:cs="Arial" w:eastAsia="Arial" w:hAnsi="Arial"/>
          <w:sz w:val="22"/>
          <w:szCs w:val="22"/>
          <w:color w:val="FF0000"/>
          <w:strike w:val="1"/>
        </w:rPr>
        <w:t>Bank of America</w:t>
      </w:r>
      <w:r>
        <w:rPr>
          <w:rFonts w:ascii="Arial" w:cs="Arial" w:eastAsia="Arial" w:hAnsi="Arial"/>
          <w:sz w:val="22"/>
          <w:szCs w:val="22"/>
          <w:color w:val="0000FF"/>
        </w:rPr>
        <w:t>JPMorgan</w:t>
      </w:r>
      <w:r>
        <w:rPr>
          <w:rFonts w:ascii="Arial" w:cs="Arial" w:eastAsia="Arial" w:hAnsi="Arial"/>
          <w:sz w:val="22"/>
          <w:szCs w:val="22"/>
          <w:color w:val="auto"/>
        </w:rPr>
        <w:t xml:space="preserve"> appointed in accordance with the provisions of Section 12.8, together with its Affiliates, as the administrative agent for the Lenders under this Agreement and the other Credit Documents.</w:t>
      </w:r>
    </w:p>
    <w:p>
      <w:pPr>
        <w:spacing w:after="0" w:line="294" w:lineRule="exact"/>
        <w:rPr>
          <w:sz w:val="20"/>
          <w:szCs w:val="20"/>
          <w:color w:val="auto"/>
        </w:rPr>
      </w:pPr>
    </w:p>
    <w:p>
      <w:pPr>
        <w:ind w:left="120" w:right="2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shall mean the address and, as appropriate, account of the Administrative Agent set forth on Schedule 13.2 or such other address or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21"/>
          <w:szCs w:val="21"/>
          <w:color w:val="auto"/>
        </w:rPr>
        <w:t>5</w:t>
      </w:r>
    </w:p>
    <w:p>
      <w:pPr>
        <w:sectPr>
          <w:pgSz w:w="11900" w:h="16838" w:orient="portrait"/>
          <w:cols w:equalWidth="0" w:num="1">
            <w:col w:w="11380"/>
          </w:cols>
          <w:pgMar w:left="240" w:top="293" w:right="279" w:bottom="1440" w:gutter="0" w:footer="0" w:header="0"/>
        </w:sectPr>
      </w:pPr>
    </w:p>
    <w:bookmarkStart w:id="139" w:name="page140"/>
    <w:bookmarkEnd w:id="139"/>
    <w:p>
      <w:pPr>
        <w:ind w:left="12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Person, another Person that directly or indirectly, through one or more intermediaries, Controls or is Controlled by or is under common Control with the Person specified. The term “</w:t>
      </w:r>
      <w:r>
        <w:rPr>
          <w:rFonts w:ascii="Arial" w:cs="Arial" w:eastAsia="Arial" w:hAnsi="Arial"/>
          <w:sz w:val="22"/>
          <w:szCs w:val="22"/>
          <w:u w:val="single" w:color="auto"/>
          <w:color w:val="auto"/>
        </w:rPr>
        <w:t>Control</w:t>
      </w:r>
      <w:r>
        <w:rPr>
          <w:rFonts w:ascii="Arial" w:cs="Arial" w:eastAsia="Arial" w:hAnsi="Arial"/>
          <w:sz w:val="22"/>
          <w:szCs w:val="22"/>
          <w:color w:val="auto"/>
        </w:rPr>
        <w:t>” shall mean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300"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Lender</w:t>
      </w:r>
      <w:r>
        <w:rPr>
          <w:rFonts w:ascii="Arial" w:cs="Arial" w:eastAsia="Arial" w:hAnsi="Arial"/>
          <w:sz w:val="19"/>
          <w:szCs w:val="19"/>
          <w:color w:val="auto"/>
        </w:rPr>
        <w:t>” shall mean a Non-Debt Fund Affiliate or a Debt Fund Affiliate.</w:t>
      </w:r>
    </w:p>
    <w:p>
      <w:pPr>
        <w:spacing w:after="0" w:line="362"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 Assignment and Acceptance</w:t>
      </w:r>
      <w:r>
        <w:rPr>
          <w:rFonts w:ascii="Arial" w:cs="Arial" w:eastAsia="Arial" w:hAnsi="Arial"/>
          <w:sz w:val="22"/>
          <w:szCs w:val="22"/>
          <w:color w:val="auto"/>
        </w:rPr>
        <w:t>” shall have the meaning provided in Section 13.6(g)(C).</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 Register</w:t>
      </w:r>
      <w:r>
        <w:rPr>
          <w:rFonts w:ascii="Arial" w:cs="Arial" w:eastAsia="Arial" w:hAnsi="Arial"/>
          <w:sz w:val="22"/>
          <w:szCs w:val="22"/>
          <w:color w:val="auto"/>
        </w:rPr>
        <w:t>” shall have the meaning provided in Section 13.6(j).</w:t>
      </w:r>
    </w:p>
    <w:p>
      <w:pPr>
        <w:spacing w:after="0" w:line="328"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Agency Effective Date</w:t>
      </w:r>
      <w:r>
        <w:rPr>
          <w:rFonts w:ascii="Arial" w:cs="Arial" w:eastAsia="Arial" w:hAnsi="Arial"/>
          <w:sz w:val="19"/>
          <w:szCs w:val="19"/>
          <w:color w:val="auto"/>
        </w:rPr>
        <w:t>” shall mean the “Agency Replacement Effective Date” (as defined in Amendment No. 2).</w:t>
      </w:r>
    </w:p>
    <w:p>
      <w:pPr>
        <w:spacing w:after="0" w:line="362" w:lineRule="exact"/>
        <w:rPr>
          <w:sz w:val="20"/>
          <w:szCs w:val="20"/>
          <w:color w:val="auto"/>
        </w:rPr>
      </w:pPr>
    </w:p>
    <w:p>
      <w:pPr>
        <w:ind w:left="120" w:right="10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Agency Fee Letter</w:t>
      </w:r>
      <w:r>
        <w:rPr>
          <w:rFonts w:ascii="Arial" w:cs="Arial" w:eastAsia="Arial" w:hAnsi="Arial"/>
          <w:sz w:val="22"/>
          <w:szCs w:val="22"/>
          <w:color w:val="auto"/>
        </w:rPr>
        <w:t xml:space="preserve">” shall mean that certain Agency Fee Letter, dated as of </w:t>
      </w:r>
      <w:r>
        <w:rPr>
          <w:rFonts w:ascii="Arial" w:cs="Arial" w:eastAsia="Arial" w:hAnsi="Arial"/>
          <w:sz w:val="22"/>
          <w:szCs w:val="22"/>
          <w:color w:val="FF0000"/>
          <w:strike w:val="1"/>
        </w:rPr>
        <w:t>March 16, 2012,</w:t>
      </w:r>
      <w:r>
        <w:rPr>
          <w:rFonts w:ascii="Arial" w:cs="Arial" w:eastAsia="Arial" w:hAnsi="Arial"/>
          <w:sz w:val="22"/>
          <w:szCs w:val="22"/>
          <w:color w:val="0000FF"/>
        </w:rPr>
        <w:t>the Second</w:t>
      </w:r>
      <w:r>
        <w:rPr>
          <w:rFonts w:ascii="Arial" w:cs="Arial" w:eastAsia="Arial" w:hAnsi="Arial"/>
          <w:sz w:val="22"/>
          <w:szCs w:val="22"/>
          <w:color w:val="auto"/>
        </w:rPr>
        <w:t xml:space="preserve"> </w:t>
      </w:r>
      <w:r>
        <w:rPr>
          <w:rFonts w:ascii="Arial" w:cs="Arial" w:eastAsia="Arial" w:hAnsi="Arial"/>
          <w:sz w:val="22"/>
          <w:szCs w:val="22"/>
          <w:color w:val="0000FF"/>
        </w:rPr>
        <w:t xml:space="preserve">Amendment Effective Date, </w:t>
      </w:r>
      <w:r>
        <w:rPr>
          <w:rFonts w:ascii="Arial" w:cs="Arial" w:eastAsia="Arial" w:hAnsi="Arial"/>
          <w:sz w:val="22"/>
          <w:szCs w:val="22"/>
          <w:color w:val="000000"/>
        </w:rPr>
        <w:t>between the Borrower and the Administrative Agent.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shall have the meaning provided in Section 13.2.</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shall mean each of (i) the Administrative Agent and (ii) the Collateral Agent.</w:t>
      </w:r>
    </w:p>
    <w:p>
      <w:pPr>
        <w:spacing w:after="0" w:line="328" w:lineRule="exact"/>
        <w:rPr>
          <w:sz w:val="20"/>
          <w:szCs w:val="20"/>
          <w:color w:val="auto"/>
        </w:rPr>
      </w:pPr>
    </w:p>
    <w:p>
      <w:pPr>
        <w:ind w:left="120" w:right="1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Debit Items</w:t>
      </w:r>
      <w:r>
        <w:rPr>
          <w:rFonts w:ascii="Arial" w:cs="Arial" w:eastAsia="Arial" w:hAnsi="Arial"/>
          <w:sz w:val="22"/>
          <w:szCs w:val="22"/>
          <w:color w:val="auto"/>
        </w:rPr>
        <w:t>” shall have the meaning set forth in SEC Rule 15c3-1(a)(1)(ii) and items 10-14 of Exhibit A to SEC Rule 15c3-3.</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mean this Credit Agreement.</w:t>
      </w:r>
    </w:p>
    <w:p>
      <w:pPr>
        <w:spacing w:after="0" w:line="328" w:lineRule="exact"/>
        <w:rPr>
          <w:sz w:val="20"/>
          <w:szCs w:val="20"/>
          <w:color w:val="auto"/>
        </w:rPr>
      </w:pPr>
    </w:p>
    <w:p>
      <w:pPr>
        <w:ind w:left="120" w:right="1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w:t>
      </w:r>
      <w:r>
        <w:rPr>
          <w:rFonts w:ascii="Arial" w:cs="Arial" w:eastAsia="Arial" w:hAnsi="Arial"/>
          <w:sz w:val="22"/>
          <w:szCs w:val="22"/>
          <w:color w:val="auto"/>
        </w:rPr>
        <w:t>” shall mean the First Amendment and Incremental Assumption Agreement to this Agreement, dated as of May 13, 2013.</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1 Effective Date</w:t>
      </w:r>
      <w:r>
        <w:rPr>
          <w:rFonts w:ascii="Arial" w:cs="Arial" w:eastAsia="Arial" w:hAnsi="Arial"/>
          <w:sz w:val="19"/>
          <w:szCs w:val="19"/>
          <w:color w:val="auto"/>
        </w:rPr>
        <w:t>” shall mean the “Amendment Effective Date” (as defined in Amendment No.</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w:t>
      </w:r>
    </w:p>
    <w:p>
      <w:pPr>
        <w:spacing w:after="0" w:line="310" w:lineRule="exact"/>
        <w:rPr>
          <w:sz w:val="20"/>
          <w:szCs w:val="20"/>
          <w:color w:val="auto"/>
        </w:rPr>
      </w:pPr>
    </w:p>
    <w:p>
      <w:pPr>
        <w:ind w:left="120"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2</w:t>
      </w:r>
      <w:r>
        <w:rPr>
          <w:rFonts w:ascii="Arial" w:cs="Arial" w:eastAsia="Arial" w:hAnsi="Arial"/>
          <w:sz w:val="22"/>
          <w:szCs w:val="22"/>
          <w:color w:val="auto"/>
        </w:rPr>
        <w:t>” shall mean the Second Amendment, Extension and Incremental Assumption Agreement to this Agreement, dated as of October 1, 2014.</w:t>
      </w:r>
    </w:p>
    <w:p>
      <w:pPr>
        <w:spacing w:after="0" w:line="283" w:lineRule="exact"/>
        <w:rPr>
          <w:sz w:val="20"/>
          <w:szCs w:val="20"/>
          <w:color w:val="auto"/>
        </w:rPr>
      </w:pPr>
    </w:p>
    <w:p>
      <w:pPr>
        <w:ind w:left="120" w:right="10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2 Effective Date</w:t>
      </w:r>
      <w:r>
        <w:rPr>
          <w:rFonts w:ascii="Arial" w:cs="Arial" w:eastAsia="Arial" w:hAnsi="Arial"/>
          <w:sz w:val="22"/>
          <w:szCs w:val="22"/>
          <w:color w:val="auto"/>
        </w:rPr>
        <w:t>” shall mean the “Second Amendment Effective Date” (as defined in Amendment No. 2).</w:t>
      </w:r>
    </w:p>
    <w:p>
      <w:pPr>
        <w:spacing w:after="0" w:line="283" w:lineRule="exact"/>
        <w:rPr>
          <w:sz w:val="20"/>
          <w:szCs w:val="20"/>
          <w:color w:val="auto"/>
        </w:rPr>
      </w:pPr>
    </w:p>
    <w:p>
      <w:pPr>
        <w:ind w:left="120" w:right="30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2 Financial Statement Delivery Date</w:t>
      </w:r>
      <w:r>
        <w:rPr>
          <w:rFonts w:ascii="Arial" w:cs="Arial" w:eastAsia="Arial" w:hAnsi="Arial"/>
          <w:sz w:val="19"/>
          <w:szCs w:val="19"/>
          <w:color w:val="auto"/>
        </w:rPr>
        <w:t>” shall mean the date on which Section 9.1 Financials are delivered to the Administrative Agent under Section 9.1(a) for the fiscal year of the Borrower ending December 31, 2014.</w:t>
      </w:r>
    </w:p>
    <w:p>
      <w:pPr>
        <w:spacing w:after="0" w:line="213"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Anti-Terrorism Laws</w:t>
      </w:r>
      <w:r>
        <w:rPr>
          <w:rFonts w:ascii="Arial" w:cs="Arial" w:eastAsia="Arial" w:hAnsi="Arial"/>
          <w:sz w:val="22"/>
          <w:szCs w:val="22"/>
          <w:color w:val="auto"/>
        </w:rPr>
        <w:t>” shall have the meaning provided in Section 8.19.</w:t>
      </w:r>
    </w:p>
    <w:p>
      <w:pPr>
        <w:sectPr>
          <w:pgSz w:w="11900" w:h="16838" w:orient="portrait"/>
          <w:cols w:equalWidth="0" w:num="1">
            <w:col w:w="11420"/>
          </w:cols>
          <w:pgMar w:left="240" w:top="29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tabs>
          <w:tab w:leader="none" w:pos="282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21"/>
          <w:szCs w:val="21"/>
          <w:color w:val="auto"/>
        </w:rPr>
        <w:t>6</w:t>
      </w:r>
    </w:p>
    <w:p>
      <w:pPr>
        <w:sectPr>
          <w:pgSz w:w="11900" w:h="16838" w:orient="portrait"/>
          <w:cols w:equalWidth="0" w:num="1">
            <w:col w:w="11420"/>
          </w:cols>
          <w:pgMar w:left="240" w:top="294" w:right="239" w:bottom="1440" w:gutter="0" w:footer="0" w:header="0"/>
          <w:type w:val="continuous"/>
        </w:sectPr>
      </w:pPr>
    </w:p>
    <w:bookmarkStart w:id="140" w:name="page141"/>
    <w:bookmarkEnd w:id="140"/>
    <w:p>
      <w:pPr>
        <w:spacing w:after="0" w:line="8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Indebtedness</w:t>
      </w:r>
      <w:r>
        <w:rPr>
          <w:rFonts w:ascii="Arial" w:cs="Arial" w:eastAsia="Arial" w:hAnsi="Arial"/>
          <w:sz w:val="22"/>
          <w:szCs w:val="22"/>
          <w:color w:val="auto"/>
        </w:rPr>
        <w:t>” shall mean Indebtedness described on Schedule 10.1.</w:t>
      </w:r>
    </w:p>
    <w:p>
      <w:pPr>
        <w:spacing w:after="0" w:line="328" w:lineRule="exact"/>
        <w:rPr>
          <w:sz w:val="20"/>
          <w:szCs w:val="20"/>
          <w:color w:val="auto"/>
        </w:rPr>
      </w:pPr>
    </w:p>
    <w:p>
      <w:pPr>
        <w:ind w:right="380" w:firstLine="137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 from time to time. Section references to the Code are to the Code, as in effect on the Closing Date, and any subsequent provisions of the Code, amendatory thereof, supplemental thereto or substituted therefor.</w:t>
      </w:r>
    </w:p>
    <w:p>
      <w:pPr>
        <w:spacing w:after="0" w:line="294" w:lineRule="exact"/>
        <w:rPr>
          <w:sz w:val="20"/>
          <w:szCs w:val="20"/>
          <w:color w:val="auto"/>
        </w:rPr>
      </w:pPr>
    </w:p>
    <w:p>
      <w:pPr>
        <w:jc w:val="both"/>
        <w:ind w:left="1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shall have the meaning provided for such term or a similar term in each of the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Mortgages, “Collateral” shall mean “Mortgaged Property” as defined therein.</w:t>
      </w:r>
    </w:p>
    <w:p>
      <w:pPr>
        <w:spacing w:after="0" w:line="213" w:lineRule="exact"/>
        <w:rPr>
          <w:sz w:val="20"/>
          <w:szCs w:val="20"/>
          <w:color w:val="auto"/>
        </w:rPr>
      </w:pPr>
    </w:p>
    <w:p>
      <w:pPr>
        <w:ind w:left="120" w:right="56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Agent</w:t>
      </w:r>
      <w:r>
        <w:rPr>
          <w:rFonts w:ascii="Arial" w:cs="Arial" w:eastAsia="Arial" w:hAnsi="Arial"/>
          <w:sz w:val="21"/>
          <w:szCs w:val="21"/>
          <w:color w:val="auto"/>
        </w:rPr>
        <w:t xml:space="preserve">” shall mean </w:t>
      </w:r>
      <w:r>
        <w:rPr>
          <w:rFonts w:ascii="Arial" w:cs="Arial" w:eastAsia="Arial" w:hAnsi="Arial"/>
          <w:sz w:val="21"/>
          <w:szCs w:val="21"/>
          <w:color w:val="FF0000"/>
          <w:strike w:val="1"/>
        </w:rPr>
        <w:t>Bank of America</w:t>
      </w:r>
      <w:r>
        <w:rPr>
          <w:rFonts w:ascii="Arial" w:cs="Arial" w:eastAsia="Arial" w:hAnsi="Arial"/>
          <w:sz w:val="21"/>
          <w:szCs w:val="21"/>
          <w:color w:val="0000FF"/>
        </w:rPr>
        <w:t>JPMorgan</w:t>
      </w:r>
      <w:r>
        <w:rPr>
          <w:rFonts w:ascii="Arial" w:cs="Arial" w:eastAsia="Arial" w:hAnsi="Arial"/>
          <w:sz w:val="21"/>
          <w:szCs w:val="21"/>
          <w:color w:val="auto"/>
        </w:rPr>
        <w:t xml:space="preserve"> or any successor appointed in accordance with the provisions of Section 12.8, together with its Affiliates, as the collateral agent for the Secured Parties.</w:t>
      </w:r>
    </w:p>
    <w:p>
      <w:pPr>
        <w:spacing w:after="0" w:line="260" w:lineRule="exact"/>
        <w:rPr>
          <w:sz w:val="20"/>
          <w:szCs w:val="20"/>
          <w:color w:val="auto"/>
        </w:rPr>
      </w:pPr>
    </w:p>
    <w:p>
      <w:pPr>
        <w:jc w:val="both"/>
        <w:ind w:left="120"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shall mean, with respect to each Lender (to the extent applicable), such Lender's Revolving Credit Commitment, 2017 Initial Tranche A Term Loan Commitment, 2019 Extended Tranche A Term Loan Commitment, Initial Tranche B Term Loan Commitment, Incremental Term Loan Commitment, Extended Revolving Credit Commitment,</w:t>
      </w:r>
    </w:p>
    <w:p>
      <w:pPr>
        <w:spacing w:after="0" w:line="276" w:lineRule="exact"/>
        <w:rPr>
          <w:sz w:val="20"/>
          <w:szCs w:val="20"/>
          <w:color w:val="auto"/>
        </w:rPr>
      </w:pPr>
    </w:p>
    <w:p>
      <w:pPr>
        <w:ind w:left="120" w:right="120"/>
        <w:spacing w:after="0" w:line="312" w:lineRule="auto"/>
        <w:rPr>
          <w:sz w:val="20"/>
          <w:szCs w:val="20"/>
          <w:color w:val="auto"/>
        </w:rPr>
      </w:pPr>
      <w:r>
        <w:rPr>
          <w:rFonts w:ascii="Arial" w:cs="Arial" w:eastAsia="Arial" w:hAnsi="Arial"/>
          <w:sz w:val="19"/>
          <w:szCs w:val="19"/>
          <w:color w:val="auto"/>
        </w:rPr>
        <w:t>Additional/Replacement Revolving Credit Commitment or any combination thereof (as the context requires) and (b) with respect to the Swingline Lender or swingline lender under any Extended Revolving Credit Commitments or Additional/Replacement Revolving Credit Commitment, its Swingline Commitment or swingline commitment, as applicable.</w:t>
      </w:r>
    </w:p>
    <w:p>
      <w:pPr>
        <w:spacing w:after="0" w:line="242"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shall have the meaning provided in Section 4.1(a).</w:t>
      </w:r>
    </w:p>
    <w:p>
      <w:pPr>
        <w:spacing w:after="0" w:line="328" w:lineRule="exact"/>
        <w:rPr>
          <w:sz w:val="20"/>
          <w:szCs w:val="20"/>
          <w:color w:val="auto"/>
        </w:rPr>
      </w:pPr>
    </w:p>
    <w:p>
      <w:pPr>
        <w:ind w:left="120" w:right="2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 Rate</w:t>
      </w:r>
      <w:r>
        <w:rPr>
          <w:rFonts w:ascii="Arial" w:cs="Arial" w:eastAsia="Arial" w:hAnsi="Arial"/>
          <w:sz w:val="22"/>
          <w:szCs w:val="22"/>
          <w:color w:val="auto"/>
        </w:rPr>
        <w:t>” shall mean a rate equal to (a) initially, 0.50% per annum, (b) following the Amendment No. 2 Financial Statement Delivery Date, the rate per annum determined in accordance with the grid set forth below. Any increase or decrease in the Commitment Fee Rate resulting from a change in the Consolidated Total Debt to Consolidated EBITDA Ratio shall become effective as of the first Business Day immediately following the date Section 9.1 Financials are delivered to the Administrative Agent pursuant to Sections 9.1(a) and 9.1(b):</w:t>
      </w:r>
    </w:p>
    <w:p>
      <w:pPr>
        <w:spacing w:after="0" w:line="99" w:lineRule="exact"/>
        <w:rPr>
          <w:sz w:val="20"/>
          <w:szCs w:val="20"/>
          <w:color w:val="auto"/>
        </w:rPr>
      </w:pPr>
    </w:p>
    <w:tbl>
      <w:tblPr>
        <w:tblLayout w:type="fixed"/>
        <w:tblInd w:w="2150" w:type="dxa"/>
        <w:tblCellMar>
          <w:top w:w="0" w:type="dxa"/>
          <w:left w:w="0" w:type="dxa"/>
          <w:bottom w:w="0" w:type="dxa"/>
          <w:right w:w="0" w:type="dxa"/>
        </w:tblCellMar>
      </w:tblPr>
      <w:tr>
        <w:trPr>
          <w:trHeight w:val="337"/>
        </w:trPr>
        <w:tc>
          <w:tcPr>
            <w:tcW w:w="346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88"/>
              </w:rPr>
              <w:t>Consolidated Total Debt</w:t>
            </w:r>
          </w:p>
        </w:tc>
        <w:tc>
          <w:tcPr>
            <w:tcW w:w="372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88"/>
              </w:rPr>
              <w:t>Applicable Revolving</w:t>
            </w:r>
          </w:p>
        </w:tc>
      </w:tr>
      <w:tr>
        <w:trPr>
          <w:trHeight w:val="270"/>
        </w:trPr>
        <w:tc>
          <w:tcPr>
            <w:tcW w:w="3460" w:type="dxa"/>
            <w:vAlign w:val="bottom"/>
            <w:tcBorders>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91"/>
              </w:rPr>
              <w:t>to Consolidated EBITDA</w:t>
            </w:r>
          </w:p>
        </w:tc>
        <w:tc>
          <w:tcPr>
            <w:tcW w:w="372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90"/>
              </w:rPr>
              <w:t>Commitment Fee</w:t>
            </w:r>
          </w:p>
        </w:tc>
      </w:tr>
      <w:tr>
        <w:trPr>
          <w:trHeight w:val="291"/>
        </w:trPr>
        <w:tc>
          <w:tcPr>
            <w:tcW w:w="3460" w:type="dxa"/>
            <w:vAlign w:val="bottom"/>
            <w:tcBorders>
              <w:left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90"/>
              </w:rPr>
              <w:t>Ratio</w:t>
            </w:r>
          </w:p>
        </w:tc>
        <w:tc>
          <w:tcPr>
            <w:tcW w:w="37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85"/>
              </w:rPr>
              <w:t>Percentage</w:t>
            </w:r>
          </w:p>
        </w:tc>
      </w:tr>
      <w:tr>
        <w:trPr>
          <w:trHeight w:val="243"/>
        </w:trPr>
        <w:tc>
          <w:tcPr>
            <w:tcW w:w="3460" w:type="dxa"/>
            <w:vAlign w:val="bottom"/>
            <w:tcBorders>
              <w:left w:val="single" w:sz="8" w:color="auto"/>
              <w:right w:val="single" w:sz="8" w:color="auto"/>
            </w:tcBorders>
          </w:tcPr>
          <w:p>
            <w:pPr>
              <w:jc w:val="right"/>
              <w:ind w:right="1201"/>
              <w:spacing w:after="0"/>
              <w:rPr>
                <w:sz w:val="20"/>
                <w:szCs w:val="20"/>
                <w:color w:val="auto"/>
              </w:rPr>
            </w:pPr>
            <w:r>
              <w:rPr>
                <w:rFonts w:ascii="Arial" w:cs="Arial" w:eastAsia="Arial" w:hAnsi="Arial"/>
                <w:sz w:val="18"/>
                <w:szCs w:val="18"/>
                <w:color w:val="auto"/>
              </w:rPr>
              <w:t>&gt; 2.50:1.00</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&lt; 2.50:1.00 but &gt;1.25:1.00</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0.375%</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jc w:val="right"/>
              <w:ind w:right="1241"/>
              <w:spacing w:after="0"/>
              <w:rPr>
                <w:sz w:val="20"/>
                <w:szCs w:val="20"/>
                <w:color w:val="auto"/>
              </w:rPr>
            </w:pPr>
            <w:r>
              <w:rPr>
                <w:rFonts w:ascii="Arial" w:cs="Arial" w:eastAsia="Arial" w:hAnsi="Arial"/>
                <w:sz w:val="18"/>
                <w:szCs w:val="18"/>
                <w:color w:val="auto"/>
              </w:rPr>
              <w:t>&lt;1.25:1.00</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0"/>
        </w:trPr>
        <w:tc>
          <w:tcPr>
            <w:tcW w:w="3460" w:type="dxa"/>
            <w:vAlign w:val="bottom"/>
            <w:tcBorders>
              <w:left w:val="single" w:sz="8" w:color="auto"/>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800" w:firstLine="141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shall mean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as amended from time to time, and any successor statute.</w:t>
      </w:r>
    </w:p>
    <w:p>
      <w:pPr>
        <w:spacing w:after="0" w:line="8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have the meaning provided in Section 13.16.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tabs>
          <w:tab w:leader="none" w:pos="282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60" w:right="20" w:hanging="655"/>
        <w:spacing w:after="0" w:line="287" w:lineRule="auto"/>
        <w:tabs>
          <w:tab w:leader="none" w:pos="1960" w:val="left"/>
        </w:tabs>
        <w:numPr>
          <w:ilvl w:val="0"/>
          <w:numId w:val="108"/>
        </w:numPr>
        <w:rPr>
          <w:rFonts w:ascii="Arial" w:cs="Arial" w:eastAsia="Arial" w:hAnsi="Arial"/>
          <w:sz w:val="19"/>
          <w:szCs w:val="19"/>
          <w:color w:val="0000FF"/>
        </w:rPr>
      </w:pPr>
      <w:r>
        <w:rPr>
          <w:rFonts w:ascii="Arial" w:cs="Arial" w:eastAsia="Arial" w:hAnsi="Arial"/>
          <w:sz w:val="19"/>
          <w:szCs w:val="19"/>
          <w:color w:val="FF0000"/>
          <w:strike w:val="1"/>
        </w:rPr>
        <w:t>(a)</w:t>
      </w:r>
      <w:r>
        <w:rPr>
          <w:rFonts w:ascii="Arial" w:cs="Arial" w:eastAsia="Arial" w:hAnsi="Arial"/>
          <w:sz w:val="19"/>
          <w:szCs w:val="19"/>
          <w:color w:val="FF0000"/>
        </w:rPr>
        <w:t xml:space="preserve"> </w:t>
      </w:r>
      <w:r>
        <w:rPr>
          <w:rFonts w:ascii="Arial" w:cs="Arial" w:eastAsia="Arial" w:hAnsi="Arial"/>
          <w:sz w:val="19"/>
          <w:szCs w:val="19"/>
          <w:color w:val="000000"/>
        </w:rPr>
        <w:t>for any Interest Period with respect to a Eurodollar Loan, the rate per annum equal to (i) the</w:t>
      </w:r>
      <w:r>
        <w:rPr>
          <w:rFonts w:ascii="Arial" w:cs="Arial" w:eastAsia="Arial" w:hAnsi="Arial"/>
          <w:sz w:val="19"/>
          <w:szCs w:val="19"/>
          <w:color w:val="FF0000"/>
        </w:rPr>
        <w:t xml:space="preserve"> </w:t>
      </w:r>
      <w:r>
        <w:rPr>
          <w:rFonts w:ascii="Arial" w:cs="Arial" w:eastAsia="Arial" w:hAnsi="Arial"/>
          <w:sz w:val="19"/>
          <w:szCs w:val="19"/>
          <w:color w:val="FF0000"/>
          <w:strike w:val="1"/>
        </w:rPr>
        <w:t>British</w:t>
      </w:r>
      <w:r>
        <w:rPr>
          <w:rFonts w:ascii="Arial" w:cs="Arial" w:eastAsia="Arial" w:hAnsi="Arial"/>
          <w:sz w:val="19"/>
          <w:szCs w:val="19"/>
          <w:color w:val="FF0000"/>
        </w:rPr>
        <w:t xml:space="preserve"> </w:t>
      </w:r>
      <w:r>
        <w:rPr>
          <w:rFonts w:ascii="Arial" w:cs="Arial" w:eastAsia="Arial" w:hAnsi="Arial"/>
          <w:sz w:val="19"/>
          <w:szCs w:val="19"/>
          <w:color w:val="FF0000"/>
          <w:strike w:val="1"/>
        </w:rPr>
        <w:t>Bankers Association LIBOR Rate (“</w:t>
      </w:r>
      <w:r>
        <w:rPr>
          <w:rFonts w:ascii="Arial" w:cs="Arial" w:eastAsia="Arial" w:hAnsi="Arial"/>
          <w:sz w:val="19"/>
          <w:szCs w:val="19"/>
          <w:u w:val="single" w:color="auto"/>
          <w:color w:val="FF0000"/>
          <w:strike w:val="1"/>
        </w:rPr>
        <w:t>BBA</w:t>
      </w:r>
      <w:r>
        <w:rPr>
          <w:rFonts w:ascii="Arial" w:cs="Arial" w:eastAsia="Arial" w:hAnsi="Arial"/>
          <w:sz w:val="19"/>
          <w:szCs w:val="19"/>
          <w:color w:val="0000FF"/>
        </w:rPr>
        <w:t>London interbank offered rate as administered by ICE Benchmark</w:t>
      </w:r>
      <w:r>
        <w:rPr>
          <w:rFonts w:ascii="Arial" w:cs="Arial" w:eastAsia="Arial" w:hAnsi="Arial"/>
          <w:sz w:val="19"/>
          <w:szCs w:val="19"/>
          <w:color w:val="FF0000"/>
        </w:rPr>
        <w:t xml:space="preserve"> </w:t>
      </w:r>
      <w:r>
        <w:rPr>
          <w:rFonts w:ascii="Arial" w:cs="Arial" w:eastAsia="Arial" w:hAnsi="Arial"/>
          <w:sz w:val="19"/>
          <w:szCs w:val="19"/>
          <w:color w:val="0000FF"/>
        </w:rPr>
        <w:t>Administration or such other rate per annum as is widely recognized as the successor thereto if the ICE Benchmark Administration is no longer making a London interbank offered rate available (“</w:t>
      </w:r>
      <w:r>
        <w:rPr>
          <w:rFonts w:ascii="Arial" w:cs="Arial" w:eastAsia="Arial" w:hAnsi="Arial"/>
          <w:sz w:val="19"/>
          <w:szCs w:val="19"/>
          <w:u w:val="single" w:color="auto"/>
          <w:color w:val="000000"/>
        </w:rPr>
        <w:t>LIBOR</w:t>
      </w:r>
      <w:r>
        <w:rPr>
          <w:rFonts w:ascii="Arial" w:cs="Arial" w:eastAsia="Arial" w:hAnsi="Arial"/>
          <w:sz w:val="19"/>
          <w:szCs w:val="19"/>
          <w:color w:val="000000"/>
        </w:rPr>
        <w:t>”), as</w:t>
      </w:r>
      <w:r>
        <w:rPr>
          <w:rFonts w:ascii="Arial" w:cs="Arial" w:eastAsia="Arial" w:hAnsi="Arial"/>
          <w:sz w:val="19"/>
          <w:szCs w:val="19"/>
          <w:color w:val="0000FF"/>
        </w:rPr>
        <w:t xml:space="preserve"> </w:t>
      </w:r>
      <w:r>
        <w:rPr>
          <w:rFonts w:ascii="Arial" w:cs="Arial" w:eastAsia="Arial" w:hAnsi="Arial"/>
          <w:sz w:val="19"/>
          <w:szCs w:val="19"/>
          <w:color w:val="000000"/>
        </w:rPr>
        <w:t xml:space="preserve">published by </w:t>
      </w:r>
      <w:r>
        <w:rPr>
          <w:rFonts w:ascii="Arial" w:cs="Arial" w:eastAsia="Arial" w:hAnsi="Arial"/>
          <w:sz w:val="19"/>
          <w:szCs w:val="19"/>
          <w:color w:val="FF0000"/>
          <w:strike w:val="1"/>
        </w:rPr>
        <w:t>Reuters (</w:t>
      </w:r>
      <w:r>
        <w:rPr>
          <w:rFonts w:ascii="Arial" w:cs="Arial" w:eastAsia="Arial" w:hAnsi="Arial"/>
          <w:sz w:val="19"/>
          <w:szCs w:val="19"/>
          <w:color w:val="0000FF"/>
        </w:rPr>
        <w:t>Bloomberg</w:t>
      </w:r>
      <w:r>
        <w:rPr>
          <w:rFonts w:ascii="Arial" w:cs="Arial" w:eastAsia="Arial" w:hAnsi="Arial"/>
          <w:sz w:val="19"/>
          <w:szCs w:val="19"/>
          <w:color w:val="000000"/>
        </w:rPr>
        <w:t xml:space="preserve"> or such other commercially available </w:t>
      </w:r>
      <w:r>
        <w:rPr>
          <w:rFonts w:ascii="Arial" w:cs="Arial" w:eastAsia="Arial" w:hAnsi="Arial"/>
          <w:sz w:val="19"/>
          <w:szCs w:val="19"/>
          <w:color w:val="FF0000"/>
          <w:strike w:val="1"/>
        </w:rPr>
        <w:t>source providing quotations of BBA</w:t>
      </w:r>
      <w:r>
        <w:rPr>
          <w:rFonts w:ascii="Arial" w:cs="Arial" w:eastAsia="Arial" w:hAnsi="Arial"/>
          <w:sz w:val="19"/>
          <w:szCs w:val="19"/>
          <w:color w:val="000000"/>
        </w:rPr>
        <w:t xml:space="preserve"> </w:t>
      </w:r>
      <w:r>
        <w:rPr>
          <w:rFonts w:ascii="Arial" w:cs="Arial" w:eastAsia="Arial" w:hAnsi="Arial"/>
          <w:sz w:val="19"/>
          <w:szCs w:val="19"/>
          <w:color w:val="FF0000"/>
          <w:strike w:val="1"/>
        </w:rPr>
        <w:t>LIBOR as may be designated</w:t>
      </w:r>
      <w:r>
        <w:rPr>
          <w:rFonts w:ascii="Arial" w:cs="Arial" w:eastAsia="Arial" w:hAnsi="Arial"/>
          <w:sz w:val="19"/>
          <w:szCs w:val="19"/>
          <w:color w:val="0000FF"/>
        </w:rPr>
        <w:t>information service that publishes such rate from time to time as selected by the</w:t>
      </w:r>
      <w:r>
        <w:rPr>
          <w:rFonts w:ascii="Arial" w:cs="Arial" w:eastAsia="Arial" w:hAnsi="Arial"/>
          <w:sz w:val="19"/>
          <w:szCs w:val="19"/>
          <w:color w:val="FF0000"/>
        </w:rPr>
        <w:t xml:space="preserve"> </w:t>
      </w:r>
      <w:r>
        <w:rPr>
          <w:rFonts w:ascii="Arial" w:cs="Arial" w:eastAsia="Arial" w:hAnsi="Arial"/>
          <w:sz w:val="19"/>
          <w:szCs w:val="19"/>
          <w:color w:val="0000FF"/>
        </w:rPr>
        <w:t xml:space="preserve">Administrative Agent </w:t>
      </w:r>
      <w:r>
        <w:rPr>
          <w:rFonts w:ascii="Arial" w:cs="Arial" w:eastAsia="Arial" w:hAnsi="Arial"/>
          <w:sz w:val="19"/>
          <w:szCs w:val="19"/>
          <w:color w:val="FF0000"/>
          <w:strike w:val="1"/>
        </w:rPr>
        <w:t>from time to time)</w:t>
      </w:r>
      <w:r>
        <w:rPr>
          <w:rFonts w:ascii="Arial" w:cs="Arial" w:eastAsia="Arial" w:hAnsi="Arial"/>
          <w:sz w:val="19"/>
          <w:szCs w:val="19"/>
          <w:color w:val="0000FF"/>
        </w:rPr>
        <w:t xml:space="preserve">in its reasonable discretion, in each case, </w:t>
      </w:r>
      <w:r>
        <w:rPr>
          <w:rFonts w:ascii="Arial" w:cs="Arial" w:eastAsia="Arial" w:hAnsi="Arial"/>
          <w:sz w:val="19"/>
          <w:szCs w:val="19"/>
          <w:color w:val="000000"/>
        </w:rPr>
        <w:t>at approximately 11:00</w:t>
      </w:r>
      <w:r>
        <w:rPr>
          <w:rFonts w:ascii="Arial" w:cs="Arial" w:eastAsia="Arial" w:hAnsi="Arial"/>
          <w:sz w:val="19"/>
          <w:szCs w:val="19"/>
          <w:color w:val="0000FF"/>
        </w:rPr>
        <w:t xml:space="preserve"> </w:t>
      </w:r>
      <w:r>
        <w:rPr>
          <w:rFonts w:ascii="Arial" w:cs="Arial" w:eastAsia="Arial" w:hAnsi="Arial"/>
          <w:sz w:val="19"/>
          <w:szCs w:val="19"/>
          <w:color w:val="000000"/>
        </w:rPr>
        <w:t xml:space="preserve">a.m., London time, two London Banking Days prior to the commencement of such Interest Period, for Dollar deposits (for delivery on the first day of such Interest Period) with a term equivalent to such Interest Period </w:t>
      </w:r>
      <w:r>
        <w:rPr>
          <w:rFonts w:ascii="Arial" w:cs="Arial" w:eastAsia="Arial" w:hAnsi="Arial"/>
          <w:sz w:val="19"/>
          <w:szCs w:val="19"/>
          <w:color w:val="FF0000"/>
          <w:strike w:val="1"/>
        </w:rPr>
        <w:t>or</w:t>
      </w:r>
      <w:r>
        <w:rPr>
          <w:rFonts w:ascii="Arial" w:cs="Arial" w:eastAsia="Arial" w:hAnsi="Arial"/>
          <w:sz w:val="19"/>
          <w:szCs w:val="19"/>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(ii) if</w:t>
      </w:r>
      <w:r>
        <w:rPr>
          <w:rFonts w:ascii="Arial" w:cs="Arial" w:eastAsia="Arial" w:hAnsi="Arial"/>
          <w:sz w:val="19"/>
          <w:szCs w:val="19"/>
          <w:color w:val="FF0000"/>
        </w:rPr>
        <w:t xml:space="preserve"> </w:t>
      </w:r>
      <w:r>
        <w:rPr>
          <w:rFonts w:ascii="Arial" w:cs="Arial" w:eastAsia="Arial" w:hAnsi="Arial"/>
          <w:sz w:val="19"/>
          <w:szCs w:val="19"/>
          <w:color w:val="FF0000"/>
          <w:strike w:val="1"/>
        </w:rPr>
        <w:t>such rate</w:t>
      </w:r>
      <w:r>
        <w:rPr>
          <w:rFonts w:ascii="Arial" w:cs="Arial" w:eastAsia="Arial" w:hAnsi="Arial"/>
          <w:sz w:val="19"/>
          <w:szCs w:val="19"/>
          <w:color w:val="0000FF"/>
        </w:rPr>
        <w:t>LIBOR</w:t>
      </w:r>
      <w:r>
        <w:rPr>
          <w:rFonts w:ascii="Arial" w:cs="Arial" w:eastAsia="Arial" w:hAnsi="Arial"/>
          <w:sz w:val="19"/>
          <w:szCs w:val="19"/>
          <w:color w:val="FF0000"/>
        </w:rPr>
        <w:t xml:space="preserve"> </w:t>
      </w:r>
      <w:r>
        <w:rPr>
          <w:rFonts w:ascii="Arial" w:cs="Arial" w:eastAsia="Arial" w:hAnsi="Arial"/>
          <w:sz w:val="19"/>
          <w:szCs w:val="19"/>
          <w:color w:val="000000"/>
        </w:rPr>
        <w:t>is not available at such time for any reason, then the “Eurodollar Rate” for such</w:t>
      </w:r>
      <w:r>
        <w:rPr>
          <w:rFonts w:ascii="Arial" w:cs="Arial" w:eastAsia="Arial" w:hAnsi="Arial"/>
          <w:sz w:val="19"/>
          <w:szCs w:val="19"/>
          <w:color w:val="FF0000"/>
        </w:rPr>
        <w:t xml:space="preserve"> </w:t>
      </w:r>
      <w:r>
        <w:rPr>
          <w:rFonts w:ascii="Arial" w:cs="Arial" w:eastAsia="Arial" w:hAnsi="Arial"/>
          <w:sz w:val="19"/>
          <w:szCs w:val="19"/>
          <w:color w:val="000000"/>
        </w:rPr>
        <w:t xml:space="preserve">Interest Period shall be the rate per annum determined by the Administrative Agent to be the rate at which deposits in Dollars for delivery on the first day of such Interest Period in same day funds in the approximate amount of the Eurodollar Loan being made, continued or converted by </w:t>
      </w:r>
      <w:r>
        <w:rPr>
          <w:rFonts w:ascii="Arial" w:cs="Arial" w:eastAsia="Arial" w:hAnsi="Arial"/>
          <w:sz w:val="19"/>
          <w:szCs w:val="19"/>
          <w:color w:val="FF0000"/>
          <w:strike w:val="1"/>
        </w:rPr>
        <w:t>Bank of America</w:t>
      </w:r>
      <w:r>
        <w:rPr>
          <w:rFonts w:ascii="Arial" w:cs="Arial" w:eastAsia="Arial" w:hAnsi="Arial"/>
          <w:sz w:val="19"/>
          <w:szCs w:val="19"/>
          <w:color w:val="0000FF"/>
        </w:rPr>
        <w:t>the Administrative</w:t>
      </w:r>
      <w:r>
        <w:rPr>
          <w:rFonts w:ascii="Arial" w:cs="Arial" w:eastAsia="Arial" w:hAnsi="Arial"/>
          <w:sz w:val="19"/>
          <w:szCs w:val="19"/>
          <w:color w:val="000000"/>
        </w:rPr>
        <w:t xml:space="preserve"> </w:t>
      </w:r>
      <w:r>
        <w:rPr>
          <w:rFonts w:ascii="Arial" w:cs="Arial" w:eastAsia="Arial" w:hAnsi="Arial"/>
          <w:sz w:val="19"/>
          <w:szCs w:val="19"/>
          <w:color w:val="0000FF"/>
        </w:rPr>
        <w:t xml:space="preserve">Agent </w:t>
      </w:r>
      <w:r>
        <w:rPr>
          <w:rFonts w:ascii="Arial" w:cs="Arial" w:eastAsia="Arial" w:hAnsi="Arial"/>
          <w:sz w:val="19"/>
          <w:szCs w:val="19"/>
          <w:color w:val="000000"/>
        </w:rPr>
        <w:t>and with a term equivalent to such Interest Period would be offered by</w:t>
      </w:r>
      <w:r>
        <w:rPr>
          <w:rFonts w:ascii="Arial" w:cs="Arial" w:eastAsia="Arial" w:hAnsi="Arial"/>
          <w:sz w:val="19"/>
          <w:szCs w:val="19"/>
          <w:color w:val="0000FF"/>
        </w:rPr>
        <w:t xml:space="preserve"> </w:t>
      </w:r>
      <w:r>
        <w:rPr>
          <w:rFonts w:ascii="Arial" w:cs="Arial" w:eastAsia="Arial" w:hAnsi="Arial"/>
          <w:sz w:val="19"/>
          <w:szCs w:val="19"/>
          <w:color w:val="FF0000"/>
          <w:strike w:val="1"/>
        </w:rPr>
        <w:t>Bank of America</w:t>
      </w:r>
      <w:r>
        <w:rPr>
          <w:rFonts w:ascii="Arial" w:cs="Arial" w:eastAsia="Arial" w:hAnsi="Arial"/>
          <w:sz w:val="19"/>
          <w:szCs w:val="19"/>
          <w:color w:val="0000FF"/>
        </w:rPr>
        <w:t>the Administrative Agent</w:t>
      </w:r>
      <w:r>
        <w:rPr>
          <w:rFonts w:ascii="Arial" w:cs="Arial" w:eastAsia="Arial" w:hAnsi="Arial"/>
          <w:sz w:val="19"/>
          <w:szCs w:val="19"/>
          <w:color w:val="000000"/>
        </w:rPr>
        <w:t>’s London Branch to major banks in the London interbank eurodollar market at their</w:t>
      </w:r>
    </w:p>
    <w:p>
      <w:pPr>
        <w:sectPr>
          <w:pgSz w:w="11900" w:h="16919" w:orient="portrait"/>
          <w:cols w:equalWidth="0" w:num="1">
            <w:col w:w="11420"/>
          </w:cols>
          <w:pgMar w:left="240" w:top="294" w:right="239" w:bottom="0" w:gutter="0" w:footer="0" w:header="0"/>
        </w:sectPr>
      </w:pPr>
    </w:p>
    <w:bookmarkStart w:id="141" w:name="page142"/>
    <w:bookmarkEnd w:id="141"/>
    <w:p>
      <w:pPr>
        <w:ind w:left="760"/>
        <w:spacing w:after="0" w:line="302" w:lineRule="auto"/>
        <w:rPr>
          <w:sz w:val="20"/>
          <w:szCs w:val="20"/>
          <w:color w:val="auto"/>
        </w:rPr>
      </w:pPr>
      <w:r>
        <w:rPr>
          <w:rFonts w:ascii="Arial" w:cs="Arial" w:eastAsia="Arial" w:hAnsi="Arial"/>
          <w:sz w:val="19"/>
          <w:szCs w:val="19"/>
          <w:color w:val="auto"/>
        </w:rPr>
        <w:t>request at approximately 11:00 a.m. (London time) two London Banking Days prior to the commencement of such Interest Period</w:t>
      </w:r>
      <w:r>
        <w:rPr>
          <w:rFonts w:ascii="Arial" w:cs="Arial" w:eastAsia="Arial" w:hAnsi="Arial"/>
          <w:sz w:val="19"/>
          <w:szCs w:val="19"/>
          <w:color w:val="FF0000"/>
          <w:strike w:val="1"/>
        </w:rPr>
        <w:t>; and</w:t>
      </w:r>
      <w:r>
        <w:rPr>
          <w:rFonts w:ascii="Arial" w:cs="Arial" w:eastAsia="Arial" w:hAnsi="Arial"/>
          <w:sz w:val="19"/>
          <w:szCs w:val="19"/>
          <w:color w:val="0000FF"/>
        </w:rPr>
        <w:t>, or (iii) if for any reason sub-clauses (i) and (ii) of this clause (a) are not available,</w:t>
      </w:r>
      <w:r>
        <w:rPr>
          <w:rFonts w:ascii="Arial" w:cs="Arial" w:eastAsia="Arial" w:hAnsi="Arial"/>
          <w:sz w:val="19"/>
          <w:szCs w:val="19"/>
          <w:color w:val="auto"/>
        </w:rPr>
        <w:t xml:space="preserve"> </w:t>
      </w:r>
      <w:r>
        <w:rPr>
          <w:rFonts w:ascii="Arial" w:cs="Arial" w:eastAsia="Arial" w:hAnsi="Arial"/>
          <w:sz w:val="19"/>
          <w:szCs w:val="19"/>
          <w:color w:val="0000FF"/>
        </w:rPr>
        <w:t>as reasonably determined by the Administrative Agent, then the “Eurodollar Rate” for such Interest Period (an “Impacted Interest Period”) shall be the Interpolated Rate</w:t>
      </w:r>
      <w:r>
        <w:rPr>
          <w:rFonts w:ascii="Arial" w:cs="Arial" w:eastAsia="Arial" w:hAnsi="Arial"/>
          <w:sz w:val="19"/>
          <w:szCs w:val="19"/>
          <w:color w:val="000000"/>
        </w:rPr>
        <w:t>; and</w:t>
      </w:r>
    </w:p>
    <w:p>
      <w:pPr>
        <w:spacing w:after="0" w:line="116" w:lineRule="exact"/>
        <w:rPr>
          <w:sz w:val="20"/>
          <w:szCs w:val="20"/>
          <w:color w:val="auto"/>
        </w:rPr>
      </w:pPr>
    </w:p>
    <w:p>
      <w:pPr>
        <w:ind w:left="760" w:hanging="655"/>
        <w:spacing w:after="0"/>
        <w:tabs>
          <w:tab w:leader="none" w:pos="760" w:val="left"/>
        </w:tabs>
        <w:numPr>
          <w:ilvl w:val="0"/>
          <w:numId w:val="109"/>
        </w:numPr>
        <w:rPr>
          <w:rFonts w:ascii="Arial" w:cs="Arial" w:eastAsia="Arial" w:hAnsi="Arial"/>
          <w:sz w:val="21"/>
          <w:szCs w:val="21"/>
          <w:color w:val="0000FF"/>
        </w:rPr>
      </w:pPr>
      <w:r>
        <w:rPr>
          <w:rFonts w:ascii="Arial" w:cs="Arial" w:eastAsia="Arial" w:hAnsi="Arial"/>
          <w:sz w:val="21"/>
          <w:szCs w:val="21"/>
          <w:color w:val="FF0000"/>
          <w:strike w:val="1"/>
        </w:rPr>
        <w:t>(b)</w:t>
      </w:r>
      <w:r>
        <w:rPr>
          <w:rFonts w:ascii="Arial" w:cs="Arial" w:eastAsia="Arial" w:hAnsi="Arial"/>
          <w:sz w:val="21"/>
          <w:szCs w:val="21"/>
          <w:color w:val="FF0000"/>
        </w:rPr>
        <w:t xml:space="preserve">  </w:t>
      </w:r>
      <w:r>
        <w:rPr>
          <w:rFonts w:ascii="Arial" w:cs="Arial" w:eastAsia="Arial" w:hAnsi="Arial"/>
          <w:sz w:val="21"/>
          <w:szCs w:val="21"/>
          <w:color w:val="000000"/>
        </w:rPr>
        <w:t>for any interest calculation with respect to an ABR Loan on any date, the rate per annum equal to</w:t>
      </w:r>
    </w:p>
    <w:p>
      <w:pPr>
        <w:spacing w:after="0" w:line="33" w:lineRule="exact"/>
        <w:rPr>
          <w:rFonts w:ascii="Arial" w:cs="Arial" w:eastAsia="Arial" w:hAnsi="Arial"/>
          <w:sz w:val="21"/>
          <w:szCs w:val="21"/>
          <w:color w:val="0000FF"/>
        </w:rPr>
      </w:pPr>
    </w:p>
    <w:p>
      <w:pPr>
        <w:ind w:left="760" w:right="100" w:hanging="7"/>
        <w:spacing w:after="0" w:line="285" w:lineRule="auto"/>
        <w:tabs>
          <w:tab w:leader="none" w:pos="1018" w:val="left"/>
        </w:tabs>
        <w:numPr>
          <w:ilvl w:val="1"/>
          <w:numId w:val="109"/>
        </w:numPr>
        <w:rPr>
          <w:rFonts w:ascii="Arial" w:cs="Arial" w:eastAsia="Arial" w:hAnsi="Arial"/>
          <w:sz w:val="19"/>
          <w:szCs w:val="19"/>
          <w:color w:val="auto"/>
        </w:rPr>
      </w:pPr>
      <w:r>
        <w:rPr>
          <w:rFonts w:ascii="Arial" w:cs="Arial" w:eastAsia="Arial" w:hAnsi="Arial"/>
          <w:sz w:val="19"/>
          <w:szCs w:val="19"/>
          <w:color w:val="FF0000"/>
          <w:strike w:val="1"/>
        </w:rPr>
        <w:t>BBA LIBOR, as published by Reuters (or such other commercially available source providing quotations of BBA LIBOR as may be designated by the Administrative Agent from time to time)</w:t>
      </w:r>
      <w:r>
        <w:rPr>
          <w:rFonts w:ascii="Arial" w:cs="Arial" w:eastAsia="Arial" w:hAnsi="Arial"/>
          <w:sz w:val="19"/>
          <w:szCs w:val="19"/>
          <w:color w:val="0000FF"/>
          <w:strike w:val="1"/>
        </w:rPr>
        <w:t>LIBOR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approximately 11:00 a.m., London time, determined two London Banking Days prior to such date for Dollar deposits being delivered in the London interbank market for a term of one month commencing that day or</w:t>
      </w:r>
    </w:p>
    <w:p>
      <w:pPr>
        <w:spacing w:after="0" w:line="2" w:lineRule="exact"/>
        <w:rPr>
          <w:rFonts w:ascii="Arial" w:cs="Arial" w:eastAsia="Arial" w:hAnsi="Arial"/>
          <w:sz w:val="19"/>
          <w:szCs w:val="19"/>
          <w:color w:val="auto"/>
        </w:rPr>
      </w:pPr>
    </w:p>
    <w:p>
      <w:pPr>
        <w:ind w:left="760" w:right="20" w:hanging="7"/>
        <w:spacing w:after="0" w:line="290" w:lineRule="auto"/>
        <w:tabs>
          <w:tab w:leader="none" w:pos="1078" w:val="left"/>
        </w:tabs>
        <w:numPr>
          <w:ilvl w:val="1"/>
          <w:numId w:val="109"/>
        </w:numPr>
        <w:rPr>
          <w:rFonts w:ascii="Arial" w:cs="Arial" w:eastAsia="Arial" w:hAnsi="Arial"/>
          <w:sz w:val="19"/>
          <w:szCs w:val="19"/>
          <w:color w:val="auto"/>
        </w:rPr>
      </w:pPr>
      <w:r>
        <w:rPr>
          <w:rFonts w:ascii="Arial" w:cs="Arial" w:eastAsia="Arial" w:hAnsi="Arial"/>
          <w:sz w:val="19"/>
          <w:szCs w:val="19"/>
          <w:color w:val="auto"/>
        </w:rPr>
        <w:t xml:space="preserve">if such </w:t>
      </w:r>
      <w:r>
        <w:rPr>
          <w:rFonts w:ascii="Arial" w:cs="Arial" w:eastAsia="Arial" w:hAnsi="Arial"/>
          <w:sz w:val="19"/>
          <w:szCs w:val="19"/>
          <w:color w:val="FF0000"/>
          <w:strike w:val="1"/>
        </w:rPr>
        <w:t>published rate is not if such rate</w:t>
      </w:r>
      <w:r>
        <w:rPr>
          <w:rFonts w:ascii="Arial" w:cs="Arial" w:eastAsia="Arial" w:hAnsi="Arial"/>
          <w:sz w:val="19"/>
          <w:szCs w:val="19"/>
          <w:color w:val="0000FF"/>
        </w:rPr>
        <w:t>LIBOR</w:t>
      </w:r>
      <w:r>
        <w:rPr>
          <w:rFonts w:ascii="Arial" w:cs="Arial" w:eastAsia="Arial" w:hAnsi="Arial"/>
          <w:sz w:val="19"/>
          <w:szCs w:val="19"/>
          <w:color w:val="auto"/>
        </w:rPr>
        <w:t xml:space="preserve"> is not available at such time for any reason, the rate per annum determined by the Administrative Agent to be the rate at which deposits in Dollars for delivery on the date of determination in same-day funds in the approximate amount of the ABR Loan being made or maintained and with a term equal to one month would be offered by </w:t>
      </w:r>
      <w:r>
        <w:rPr>
          <w:rFonts w:ascii="Arial" w:cs="Arial" w:eastAsia="Arial" w:hAnsi="Arial"/>
          <w:sz w:val="19"/>
          <w:szCs w:val="19"/>
          <w:color w:val="FF0000"/>
          <w:strike w:val="1"/>
        </w:rPr>
        <w:t>Bank of America</w:t>
      </w:r>
      <w:r>
        <w:rPr>
          <w:rFonts w:ascii="Arial" w:cs="Arial" w:eastAsia="Arial" w:hAnsi="Arial"/>
          <w:sz w:val="19"/>
          <w:szCs w:val="19"/>
          <w:color w:val="0000FF"/>
        </w:rPr>
        <w:t>the Administrative</w:t>
      </w:r>
      <w:r>
        <w:rPr>
          <w:rFonts w:ascii="Arial" w:cs="Arial" w:eastAsia="Arial" w:hAnsi="Arial"/>
          <w:sz w:val="19"/>
          <w:szCs w:val="19"/>
          <w:color w:val="auto"/>
        </w:rPr>
        <w:t xml:space="preserve"> </w:t>
      </w:r>
      <w:r>
        <w:rPr>
          <w:rFonts w:ascii="Arial" w:cs="Arial" w:eastAsia="Arial" w:hAnsi="Arial"/>
          <w:sz w:val="19"/>
          <w:szCs w:val="19"/>
          <w:color w:val="0000FF"/>
        </w:rPr>
        <w:t>Agent</w:t>
      </w:r>
      <w:r>
        <w:rPr>
          <w:rFonts w:ascii="Arial" w:cs="Arial" w:eastAsia="Arial" w:hAnsi="Arial"/>
          <w:sz w:val="19"/>
          <w:szCs w:val="19"/>
          <w:color w:val="000000"/>
        </w:rPr>
        <w:t>’s London Branch to major banks in the London interbank eurodollar loan market at their request at the</w:t>
      </w:r>
      <w:r>
        <w:rPr>
          <w:rFonts w:ascii="Arial" w:cs="Arial" w:eastAsia="Arial" w:hAnsi="Arial"/>
          <w:sz w:val="19"/>
          <w:szCs w:val="19"/>
          <w:color w:val="0000FF"/>
        </w:rPr>
        <w:t xml:space="preserve"> </w:t>
      </w:r>
      <w:r>
        <w:rPr>
          <w:rFonts w:ascii="Arial" w:cs="Arial" w:eastAsia="Arial" w:hAnsi="Arial"/>
          <w:sz w:val="19"/>
          <w:szCs w:val="19"/>
          <w:color w:val="000000"/>
        </w:rPr>
        <w:t>date and time of determination</w:t>
      </w:r>
      <w:r>
        <w:rPr>
          <w:rFonts w:ascii="Arial" w:cs="Arial" w:eastAsia="Arial" w:hAnsi="Arial"/>
          <w:sz w:val="19"/>
          <w:szCs w:val="19"/>
          <w:color w:val="FF0000"/>
          <w:strike w:val="1"/>
        </w:rPr>
        <w:t>;</w:t>
      </w:r>
      <w:r>
        <w:rPr>
          <w:rFonts w:ascii="Arial" w:cs="Arial" w:eastAsia="Arial" w:hAnsi="Arial"/>
          <w:sz w:val="19"/>
          <w:szCs w:val="19"/>
          <w:color w:val="0000FF"/>
        </w:rPr>
        <w:t>, or (iii) if for any reason sub-clauses (i) and (ii) of this</w:t>
      </w:r>
    </w:p>
    <w:p>
      <w:pPr>
        <w:sectPr>
          <w:pgSz w:w="11900" w:h="16838" w:orient="portrait"/>
          <w:cols w:equalWidth="0" w:num="1">
            <w:col w:w="10220"/>
          </w:cols>
          <w:pgMar w:left="1440" w:top="132" w:right="239" w:bottom="1440" w:gutter="0" w:footer="0" w:header="0"/>
        </w:sectPr>
      </w:pPr>
    </w:p>
    <w:bookmarkStart w:id="142" w:name="page143"/>
    <w:bookmarkEnd w:id="142"/>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33</w:t>
      </w:r>
    </w:p>
    <w:p>
      <w:pPr>
        <w:sectPr>
          <w:pgSz w:w="11900" w:h="16838" w:orient="portrait"/>
          <w:cols w:equalWidth="0" w:num="1">
            <w:col w:w="10219"/>
          </w:cols>
          <w:pgMar w:left="240" w:top="577" w:right="1440" w:bottom="1440" w:gutter="0" w:footer="0" w:header="0"/>
        </w:sectPr>
      </w:pPr>
    </w:p>
    <w:bookmarkStart w:id="143" w:name="page144"/>
    <w:bookmarkEnd w:id="143"/>
    <w:p>
      <w:pPr>
        <w:ind w:left="1960" w:right="440"/>
        <w:spacing w:after="0" w:line="343" w:lineRule="auto"/>
        <w:rPr>
          <w:sz w:val="20"/>
          <w:szCs w:val="20"/>
          <w:color w:val="auto"/>
        </w:rPr>
      </w:pPr>
      <w:r>
        <w:rPr>
          <w:rFonts w:ascii="Arial" w:cs="Arial" w:eastAsia="Arial" w:hAnsi="Arial"/>
          <w:sz w:val="19"/>
          <w:szCs w:val="19"/>
          <w:color w:val="0000FF"/>
        </w:rPr>
        <w:t>clause (b) are not available, as reasonably determined by the Administrative Agent, then the “Eurodollar Rate” for such purpose shall be the Interpolated Rate for Dollars, with an Interest Period of one month;</w:t>
      </w:r>
    </w:p>
    <w:p>
      <w:pPr>
        <w:spacing w:after="0" w:line="51" w:lineRule="exact"/>
        <w:rPr>
          <w:sz w:val="20"/>
          <w:szCs w:val="20"/>
          <w:color w:val="auto"/>
        </w:rPr>
      </w:pPr>
    </w:p>
    <w:p>
      <w:pPr>
        <w:ind w:right="480"/>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event the Eurodollar Rate for any Eurodollar Borrowing of Initial Tranche B Term Loans prior to the Incremental Term Loan Effective Date or 2013 Incremental Tranche B Term Loans on and after the Incremental Term Loan Effective Date, determined in accordance with clause (a) above would be less than 0.75%, then the Eurodollar Rate for the applicable Eurodollar Borrowing of Initial Tranche B Term Loans or 2013 Incremental Tranche B Term Loans shall instead be 0.75%.</w:t>
      </w:r>
    </w:p>
    <w:p>
      <w:pPr>
        <w:spacing w:after="0" w:line="3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shall have the meaning provided in Section 11.</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shall mean, for any period, an amount equal to the excess of</w:t>
      </w:r>
    </w:p>
    <w:p>
      <w:pPr>
        <w:spacing w:after="0" w:line="328" w:lineRule="exact"/>
        <w:rPr>
          <w:sz w:val="20"/>
          <w:szCs w:val="20"/>
          <w:color w:val="auto"/>
        </w:rPr>
      </w:pPr>
    </w:p>
    <w:p>
      <w:pPr>
        <w:ind w:left="1960" w:hanging="655"/>
        <w:spacing w:after="0"/>
        <w:tabs>
          <w:tab w:leader="none" w:pos="19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327" w:lineRule="exact"/>
        <w:rPr>
          <w:rFonts w:ascii="Arial" w:cs="Arial" w:eastAsia="Arial" w:hAnsi="Arial"/>
          <w:sz w:val="22"/>
          <w:szCs w:val="22"/>
          <w:color w:val="auto"/>
        </w:rPr>
      </w:pPr>
    </w:p>
    <w:p>
      <w:pPr>
        <w:ind w:left="2380" w:hanging="427"/>
        <w:spacing w:after="0"/>
        <w:tabs>
          <w:tab w:leader="none" w:pos="238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Consolidated Net Income for such period;</w:t>
      </w:r>
    </w:p>
    <w:p>
      <w:pPr>
        <w:spacing w:after="0" w:line="327" w:lineRule="exact"/>
        <w:rPr>
          <w:rFonts w:ascii="Arial" w:cs="Arial" w:eastAsia="Arial" w:hAnsi="Arial"/>
          <w:sz w:val="22"/>
          <w:szCs w:val="22"/>
          <w:color w:val="auto"/>
        </w:rPr>
      </w:pPr>
    </w:p>
    <w:p>
      <w:pPr>
        <w:ind w:left="1300" w:right="540" w:firstLine="653"/>
        <w:spacing w:after="0" w:line="265" w:lineRule="exact"/>
        <w:tabs>
          <w:tab w:leader="none" w:pos="2428"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an amount equal to the amount of all Non</w:t>
      </w:r>
      <w:r>
        <w:rPr>
          <w:rFonts w:ascii="MS PGothic" w:cs="MS PGothic" w:eastAsia="MS PGothic" w:hAnsi="MS PGothic"/>
          <w:sz w:val="22"/>
          <w:szCs w:val="22"/>
          <w:color w:val="auto"/>
        </w:rPr>
        <w:t>‑</w:t>
      </w:r>
      <w:r>
        <w:rPr>
          <w:rFonts w:ascii="Arial" w:cs="Arial" w:eastAsia="Arial" w:hAnsi="Arial"/>
          <w:sz w:val="22"/>
          <w:szCs w:val="22"/>
          <w:color w:val="auto"/>
        </w:rPr>
        <w:t>Cash Charges to the extent deducted in arriving at such Consolidated Net Income;</w:t>
      </w:r>
    </w:p>
    <w:p>
      <w:pPr>
        <w:spacing w:after="0" w:line="308" w:lineRule="exact"/>
        <w:rPr>
          <w:rFonts w:ascii="Arial" w:cs="Arial" w:eastAsia="Arial" w:hAnsi="Arial"/>
          <w:sz w:val="22"/>
          <w:szCs w:val="22"/>
          <w:color w:val="auto"/>
        </w:rPr>
      </w:pPr>
    </w:p>
    <w:p>
      <w:pPr>
        <w:ind w:left="1300" w:right="40" w:firstLine="653"/>
        <w:spacing w:after="0" w:line="260" w:lineRule="exact"/>
        <w:tabs>
          <w:tab w:leader="none" w:pos="2488" w:val="left"/>
        </w:tabs>
        <w:numPr>
          <w:ilvl w:val="1"/>
          <w:numId w:val="110"/>
        </w:numPr>
        <w:rPr>
          <w:rFonts w:ascii="Arial" w:cs="Arial" w:eastAsia="Arial" w:hAnsi="Arial"/>
          <w:sz w:val="19"/>
          <w:szCs w:val="19"/>
          <w:color w:val="auto"/>
        </w:rPr>
      </w:pPr>
      <w:r>
        <w:rPr>
          <w:rFonts w:ascii="Arial" w:cs="Arial" w:eastAsia="Arial" w:hAnsi="Arial"/>
          <w:sz w:val="19"/>
          <w:szCs w:val="19"/>
          <w:color w:val="auto"/>
        </w:rPr>
        <w:t>decreases in Net Working Capital (except as a result of the reclassification of items from short</w:t>
      </w:r>
      <w:r>
        <w:rPr>
          <w:rFonts w:ascii="MS PGothic" w:cs="MS PGothic" w:eastAsia="MS PGothic" w:hAnsi="MS PGothic"/>
          <w:sz w:val="19"/>
          <w:szCs w:val="19"/>
          <w:color w:val="auto"/>
        </w:rPr>
        <w:t>‑</w:t>
      </w:r>
      <w:r>
        <w:rPr>
          <w:rFonts w:ascii="Arial" w:cs="Arial" w:eastAsia="Arial" w:hAnsi="Arial"/>
          <w:sz w:val="19"/>
          <w:szCs w:val="19"/>
          <w:color w:val="auto"/>
        </w:rPr>
        <w:t>term to long</w:t>
      </w:r>
      <w:r>
        <w:rPr>
          <w:rFonts w:ascii="MS PGothic" w:cs="MS PGothic" w:eastAsia="MS PGothic" w:hAnsi="MS PGothic"/>
          <w:sz w:val="19"/>
          <w:szCs w:val="19"/>
          <w:color w:val="auto"/>
        </w:rPr>
        <w:t>‑</w:t>
      </w:r>
      <w:r>
        <w:rPr>
          <w:rFonts w:ascii="Arial" w:cs="Arial" w:eastAsia="Arial" w:hAnsi="Arial"/>
          <w:sz w:val="19"/>
          <w:szCs w:val="19"/>
          <w:color w:val="auto"/>
        </w:rPr>
        <w:t>term or vice versa), decreases in long</w:t>
      </w:r>
      <w:r>
        <w:rPr>
          <w:rFonts w:ascii="MS PGothic" w:cs="MS PGothic" w:eastAsia="MS PGothic" w:hAnsi="MS PGothic"/>
          <w:sz w:val="19"/>
          <w:szCs w:val="19"/>
          <w:color w:val="auto"/>
        </w:rPr>
        <w:t>‑</w:t>
      </w:r>
      <w:r>
        <w:rPr>
          <w:rFonts w:ascii="Arial" w:cs="Arial" w:eastAsia="Arial" w:hAnsi="Arial"/>
          <w:sz w:val="19"/>
          <w:szCs w:val="19"/>
          <w:color w:val="auto"/>
        </w:rPr>
        <w:t>term accounts receivable and increases in the long</w:t>
      </w:r>
      <w:r>
        <w:rPr>
          <w:rFonts w:ascii="MS PGothic" w:cs="MS PGothic" w:eastAsia="MS PGothic" w:hAnsi="MS PGothic"/>
          <w:sz w:val="19"/>
          <w:szCs w:val="19"/>
          <w:color w:val="auto"/>
        </w:rPr>
        <w:t>‑</w:t>
      </w:r>
      <w:r>
        <w:rPr>
          <w:rFonts w:ascii="Arial" w:cs="Arial" w:eastAsia="Arial" w:hAnsi="Arial"/>
          <w:sz w:val="19"/>
          <w:szCs w:val="19"/>
          <w:color w:val="auto"/>
        </w:rPr>
        <w:t>term portion of deferred revenue for such period (other than any such decreases or increases, as applicable, arising from acquisitions or Dispositions outside the ordinary course of property by the Borrower or any of its Restricted Subsidiaries completed during such period or the application of purchase accounting);</w:t>
      </w:r>
    </w:p>
    <w:p>
      <w:pPr>
        <w:spacing w:after="0" w:line="309" w:lineRule="exact"/>
        <w:rPr>
          <w:rFonts w:ascii="Arial" w:cs="Arial" w:eastAsia="Arial" w:hAnsi="Arial"/>
          <w:sz w:val="19"/>
          <w:szCs w:val="19"/>
          <w:color w:val="auto"/>
        </w:rPr>
      </w:pPr>
    </w:p>
    <w:p>
      <w:pPr>
        <w:ind w:left="1300" w:right="60" w:firstLine="653"/>
        <w:spacing w:after="0" w:line="263" w:lineRule="exact"/>
        <w:tabs>
          <w:tab w:leader="none" w:pos="2476" w:val="left"/>
        </w:tabs>
        <w:numPr>
          <w:ilvl w:val="1"/>
          <w:numId w:val="110"/>
        </w:numPr>
        <w:rPr>
          <w:rFonts w:ascii="Arial" w:cs="Arial" w:eastAsia="Arial" w:hAnsi="Arial"/>
          <w:sz w:val="19"/>
          <w:szCs w:val="19"/>
          <w:color w:val="auto"/>
        </w:rPr>
      </w:pPr>
      <w:r>
        <w:rPr>
          <w:rFonts w:ascii="Arial" w:cs="Arial" w:eastAsia="Arial" w:hAnsi="Arial"/>
          <w:sz w:val="19"/>
          <w:szCs w:val="19"/>
          <w:color w:val="auto"/>
        </w:rPr>
        <w:t>an amount equal to the aggregate net non</w:t>
      </w:r>
      <w:r>
        <w:rPr>
          <w:rFonts w:ascii="MS PGothic" w:cs="MS PGothic" w:eastAsia="MS PGothic" w:hAnsi="MS PGothic"/>
          <w:sz w:val="19"/>
          <w:szCs w:val="19"/>
          <w:color w:val="auto"/>
        </w:rPr>
        <w:t>‑</w:t>
      </w:r>
      <w:r>
        <w:rPr>
          <w:rFonts w:ascii="Arial" w:cs="Arial" w:eastAsia="Arial" w:hAnsi="Arial"/>
          <w:sz w:val="19"/>
          <w:szCs w:val="19"/>
          <w:color w:val="auto"/>
        </w:rPr>
        <w:t>cash loss on the Disposition of assets, business units or property by the Borrower and the Restricted Subsidiaries during such period (other than Dispositions in the ordinary course of business) to the extent deducted in arriving at such Consolidated Net Income;</w:t>
      </w:r>
    </w:p>
    <w:p>
      <w:pPr>
        <w:spacing w:after="0" w:line="307" w:lineRule="exact"/>
        <w:rPr>
          <w:rFonts w:ascii="Arial" w:cs="Arial" w:eastAsia="Arial" w:hAnsi="Arial"/>
          <w:sz w:val="19"/>
          <w:szCs w:val="19"/>
          <w:color w:val="auto"/>
        </w:rPr>
      </w:pPr>
    </w:p>
    <w:p>
      <w:pPr>
        <w:ind w:left="1300" w:firstLine="653"/>
        <w:spacing w:after="0" w:line="263" w:lineRule="auto"/>
        <w:tabs>
          <w:tab w:leader="none" w:pos="2416" w:val="left"/>
        </w:tabs>
        <w:numPr>
          <w:ilvl w:val="1"/>
          <w:numId w:val="110"/>
        </w:numPr>
        <w:rPr>
          <w:rFonts w:ascii="Arial" w:cs="Arial" w:eastAsia="Arial" w:hAnsi="Arial"/>
          <w:sz w:val="22"/>
          <w:szCs w:val="22"/>
          <w:color w:val="auto"/>
        </w:rPr>
      </w:pPr>
      <w:r>
        <w:rPr>
          <w:rFonts w:ascii="Arial" w:cs="Arial" w:eastAsia="Arial" w:hAnsi="Arial"/>
          <w:sz w:val="22"/>
          <w:szCs w:val="22"/>
          <w:color w:val="auto"/>
        </w:rPr>
        <w:t>cash payments received in respect of Hedging Agreements during such period to the extent not included in arriving at such Consolidated Net Income; and</w:t>
      </w:r>
    </w:p>
    <w:p>
      <w:pPr>
        <w:spacing w:after="0" w:line="282" w:lineRule="exact"/>
        <w:rPr>
          <w:rFonts w:ascii="Arial" w:cs="Arial" w:eastAsia="Arial" w:hAnsi="Arial"/>
          <w:sz w:val="22"/>
          <w:szCs w:val="22"/>
          <w:color w:val="auto"/>
        </w:rPr>
      </w:pPr>
    </w:p>
    <w:p>
      <w:pPr>
        <w:ind w:left="2480" w:hanging="527"/>
        <w:spacing w:after="0"/>
        <w:tabs>
          <w:tab w:leader="none" w:pos="248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income tax expense to the extent deducted in arriving at such Consolidated Net Income; </w:t>
      </w:r>
      <w:r>
        <w:rPr>
          <w:rFonts w:ascii="Arial" w:cs="Arial" w:eastAsia="Arial" w:hAnsi="Arial"/>
          <w:sz w:val="21"/>
          <w:szCs w:val="21"/>
          <w:u w:val="single" w:color="auto"/>
          <w:color w:val="auto"/>
        </w:rPr>
        <w:t>minus</w:t>
      </w:r>
    </w:p>
    <w:p>
      <w:pPr>
        <w:spacing w:after="0" w:line="339" w:lineRule="exact"/>
        <w:rPr>
          <w:rFonts w:ascii="Arial" w:cs="Arial" w:eastAsia="Arial" w:hAnsi="Arial"/>
          <w:sz w:val="21"/>
          <w:szCs w:val="21"/>
          <w:color w:val="auto"/>
        </w:rPr>
      </w:pPr>
    </w:p>
    <w:p>
      <w:pPr>
        <w:ind w:left="2200" w:hanging="895"/>
        <w:spacing w:after="0"/>
        <w:tabs>
          <w:tab w:leader="none" w:pos="22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327" w:lineRule="exact"/>
        <w:rPr>
          <w:rFonts w:ascii="Arial" w:cs="Arial" w:eastAsia="Arial" w:hAnsi="Arial"/>
          <w:sz w:val="22"/>
          <w:szCs w:val="22"/>
          <w:color w:val="auto"/>
        </w:rPr>
      </w:pPr>
    </w:p>
    <w:p>
      <w:pPr>
        <w:ind w:left="2380" w:hanging="427"/>
        <w:spacing w:after="0" w:line="253" w:lineRule="exact"/>
        <w:tabs>
          <w:tab w:leader="none" w:pos="238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an amount equal to the amount of all non</w:t>
      </w:r>
      <w:r>
        <w:rPr>
          <w:rFonts w:ascii="MS PGothic" w:cs="MS PGothic" w:eastAsia="MS PGothic" w:hAnsi="MS PGothic"/>
          <w:sz w:val="22"/>
          <w:szCs w:val="22"/>
          <w:color w:val="auto"/>
        </w:rPr>
        <w:t>‑</w:t>
      </w:r>
      <w:r>
        <w:rPr>
          <w:rFonts w:ascii="Arial" w:cs="Arial" w:eastAsia="Arial" w:hAnsi="Arial"/>
          <w:sz w:val="22"/>
          <w:szCs w:val="22"/>
          <w:color w:val="auto"/>
        </w:rPr>
        <w:t>cash credits included in</w:t>
      </w:r>
    </w:p>
    <w:p>
      <w:pPr>
        <w:spacing w:after="0" w:line="328" w:lineRule="exact"/>
        <w:rPr>
          <w:sz w:val="20"/>
          <w:szCs w:val="20"/>
          <w:color w:val="auto"/>
        </w:rPr>
      </w:pPr>
    </w:p>
    <w:p>
      <w:pPr>
        <w:ind w:left="1300" w:right="780" w:firstLine="648"/>
        <w:spacing w:after="0" w:line="263" w:lineRule="auto"/>
        <w:rPr>
          <w:sz w:val="20"/>
          <w:szCs w:val="20"/>
          <w:color w:val="auto"/>
        </w:rPr>
      </w:pPr>
      <w:r>
        <w:rPr>
          <w:rFonts w:ascii="Arial" w:cs="Arial" w:eastAsia="Arial" w:hAnsi="Arial"/>
          <w:sz w:val="22"/>
          <w:szCs w:val="22"/>
          <w:color w:val="auto"/>
        </w:rPr>
        <w:t>arriving at such Consolidated Net Income and cash charges included in clauses (a) through (h) of the definition of the term “Consolidated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34</w:t>
      </w:r>
    </w:p>
    <w:p>
      <w:pPr>
        <w:sectPr>
          <w:pgSz w:w="11900" w:h="16838" w:orient="portrait"/>
          <w:cols w:equalWidth="0" w:num="1">
            <w:col w:w="11420"/>
          </w:cols>
          <w:pgMar w:left="240" w:top="132" w:right="239" w:bottom="1440" w:gutter="0" w:footer="0" w:header="0"/>
        </w:sectPr>
      </w:pPr>
    </w:p>
    <w:bookmarkStart w:id="144" w:name="page145"/>
    <w:bookmarkEnd w:id="144"/>
    <w:p>
      <w:pPr>
        <w:ind w:left="11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Request</w:t>
      </w:r>
      <w:r>
        <w:rPr>
          <w:rFonts w:ascii="Arial" w:cs="Arial" w:eastAsia="Arial" w:hAnsi="Arial"/>
          <w:sz w:val="21"/>
          <w:szCs w:val="21"/>
          <w:color w:val="auto"/>
        </w:rPr>
        <w:t>” shall mean Term Loan Extension Requests and Revolving Credit Extension Requests.</w:t>
      </w:r>
    </w:p>
    <w:p>
      <w:pPr>
        <w:spacing w:after="0" w:line="200" w:lineRule="exact"/>
        <w:rPr>
          <w:sz w:val="20"/>
          <w:szCs w:val="20"/>
          <w:color w:val="auto"/>
        </w:rPr>
      </w:pPr>
    </w:p>
    <w:p>
      <w:pPr>
        <w:spacing w:after="0" w:line="247" w:lineRule="exact"/>
        <w:rPr>
          <w:sz w:val="20"/>
          <w:szCs w:val="20"/>
          <w:color w:val="auto"/>
        </w:rPr>
      </w:pPr>
    </w:p>
    <w:p>
      <w:pPr>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Series</w:t>
      </w:r>
      <w:r>
        <w:rPr>
          <w:rFonts w:ascii="Arial" w:cs="Arial" w:eastAsia="Arial" w:hAnsi="Arial"/>
          <w:sz w:val="21"/>
          <w:szCs w:val="21"/>
          <w:color w:val="auto"/>
        </w:rPr>
        <w:t>” shall mean all Extended Term Loans or Extended Revolving Credit Commitments (as applicable) that are established pursuant to the same Extension Agreement (or any subsequent Extension Agreement to the extent such Extension Agreement expressly provides that the Extended Term Loans or Extended Revolving Credit Commitments, as applicable, provided for therein are intended to be a part of any previously established Extension Series) and that provide for the same interest margins, extension fees, if any, and amortization schedule.</w:t>
      </w:r>
    </w:p>
    <w:p>
      <w:pPr>
        <w:spacing w:after="0" w:line="392" w:lineRule="exact"/>
        <w:rPr>
          <w:sz w:val="20"/>
          <w:szCs w:val="20"/>
          <w:color w:val="auto"/>
        </w:rPr>
      </w:pPr>
    </w:p>
    <w:p>
      <w:pPr>
        <w:ind w:right="100"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by the Borrower.</w:t>
      </w:r>
    </w:p>
    <w:p>
      <w:pPr>
        <w:spacing w:after="0" w:line="392" w:lineRule="exact"/>
        <w:rPr>
          <w:sz w:val="20"/>
          <w:szCs w:val="20"/>
          <w:color w:val="auto"/>
        </w:rPr>
      </w:pPr>
    </w:p>
    <w:p>
      <w:pPr>
        <w:ind w:right="6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Value</w:t>
      </w:r>
      <w:r>
        <w:rPr>
          <w:rFonts w:ascii="Arial" w:cs="Arial" w:eastAsia="Arial" w:hAnsi="Arial"/>
          <w:sz w:val="19"/>
          <w:szCs w:val="19"/>
          <w:color w:val="auto"/>
        </w:rPr>
        <w:t>” shall mean the amount at which the assets (both tangible and intangible), in their entirety, of a Person and its Subsidiaries taken as a whole would change hands between a willing buyer and a willing seller, within a commercially reasonable period of time, each having reasonable knowledge of the relevant facts, with neither being under any compulsion to act.</w:t>
      </w:r>
    </w:p>
    <w:p>
      <w:pPr>
        <w:spacing w:after="0" w:line="350" w:lineRule="exact"/>
        <w:rPr>
          <w:sz w:val="20"/>
          <w:szCs w:val="20"/>
          <w:color w:val="auto"/>
        </w:rPr>
      </w:pPr>
    </w:p>
    <w:p>
      <w:pPr>
        <w:ind w:right="4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shall mean Sections 1471 through 1474 of the Code, as of the Closing Date (and any amended or successor version that is substantively comparable and not materially more onerous to comply with), and any current or future regulations or official interpretations thereof.</w:t>
      </w: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shall mean Foreign Corrupt Practices Act of 1977, as amended,</w:t>
      </w:r>
    </w:p>
    <w:p>
      <w:pPr>
        <w:spacing w:after="0" w:line="200" w:lineRule="exact"/>
        <w:rPr>
          <w:sz w:val="20"/>
          <w:szCs w:val="20"/>
          <w:color w:val="auto"/>
        </w:rPr>
      </w:pPr>
    </w:p>
    <w:p>
      <w:pPr>
        <w:spacing w:after="0" w:line="236" w:lineRule="exact"/>
        <w:rPr>
          <w:sz w:val="20"/>
          <w:szCs w:val="20"/>
          <w:color w:val="auto"/>
        </w:rPr>
      </w:pPr>
    </w:p>
    <w:p>
      <w:pPr>
        <w:ind w:right="60"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xml:space="preserve">” shall mean,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w:t>
      </w:r>
      <w:r>
        <w:rPr>
          <w:rFonts w:ascii="Arial" w:cs="Arial" w:eastAsia="Arial" w:hAnsi="Arial"/>
          <w:sz w:val="21"/>
          <w:szCs w:val="21"/>
          <w:color w:val="FF0000"/>
          <w:strike w:val="1"/>
        </w:rPr>
        <w:t>Bank of America</w:t>
      </w:r>
      <w:r>
        <w:rPr>
          <w:rFonts w:ascii="Arial" w:cs="Arial" w:eastAsia="Arial" w:hAnsi="Arial"/>
          <w:sz w:val="21"/>
          <w:szCs w:val="21"/>
          <w:color w:val="0000FF"/>
        </w:rPr>
        <w:t>the Administrative Agent</w:t>
      </w:r>
      <w:r>
        <w:rPr>
          <w:rFonts w:ascii="Arial" w:cs="Arial" w:eastAsia="Arial" w:hAnsi="Arial"/>
          <w:sz w:val="21"/>
          <w:szCs w:val="21"/>
          <w:color w:val="auto"/>
        </w:rPr>
        <w:t xml:space="preserve"> on such day on such transactions as determined by the Administrative Agent.</w:t>
      </w:r>
    </w:p>
    <w:p>
      <w:pPr>
        <w:spacing w:after="0" w:line="4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shall mean all amounts payable pursuant to, or referred to in, Section 4.1.</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Refused Proceeds</w:t>
      </w:r>
      <w:r>
        <w:rPr>
          <w:rFonts w:ascii="Arial" w:cs="Arial" w:eastAsia="Arial" w:hAnsi="Arial"/>
          <w:sz w:val="22"/>
          <w:szCs w:val="22"/>
          <w:color w:val="auto"/>
        </w:rPr>
        <w:t>” shall have the meaning provided in Section 5.2(c)(ii).</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Performance Covenants</w:t>
      </w:r>
      <w:r>
        <w:rPr>
          <w:rFonts w:ascii="Arial" w:cs="Arial" w:eastAsia="Arial" w:hAnsi="Arial"/>
          <w:sz w:val="19"/>
          <w:szCs w:val="19"/>
          <w:color w:val="auto"/>
        </w:rPr>
        <w:t>” shall mean the covenants of the Borrower set forth in Sections 10.9 and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7"/>
          <w:szCs w:val="17"/>
          <w:color w:val="auto"/>
        </w:rPr>
        <w:t>42</w:t>
      </w:r>
    </w:p>
    <w:p>
      <w:pPr>
        <w:sectPr>
          <w:pgSz w:w="11900" w:h="16838" w:orient="portrait"/>
          <w:cols w:equalWidth="0" w:num="1">
            <w:col w:w="11400"/>
          </w:cols>
          <w:pgMar w:left="240" w:top="348" w:right="259" w:bottom="1440" w:gutter="0" w:footer="0" w:header="0"/>
        </w:sectPr>
      </w:pPr>
    </w:p>
    <w:bookmarkStart w:id="145" w:name="page146"/>
    <w:bookmarkEnd w:id="145"/>
    <w:p>
      <w:pPr>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HUD-Regulated Subsidiary Required Cash</w:t>
      </w:r>
      <w:r>
        <w:rPr>
          <w:rFonts w:ascii="Arial" w:cs="Arial" w:eastAsia="Arial" w:hAnsi="Arial"/>
          <w:sz w:val="19"/>
          <w:szCs w:val="19"/>
          <w:color w:val="auto"/>
        </w:rPr>
        <w:t>” shall mean, as of any date of determination, the greater of (a) $100,000 and (b) the difference of (i) all cash and cash equivalents on the balance sheet of the HUD-Regulated Subsidiary as of such date and</w:t>
      </w:r>
    </w:p>
    <w:p>
      <w:pPr>
        <w:spacing w:after="0" w:line="1" w:lineRule="exact"/>
        <w:rPr>
          <w:sz w:val="20"/>
          <w:szCs w:val="20"/>
          <w:color w:val="auto"/>
        </w:rPr>
      </w:pPr>
    </w:p>
    <w:p>
      <w:pPr>
        <w:ind w:right="340" w:firstLine="8"/>
        <w:spacing w:after="0" w:line="246" w:lineRule="auto"/>
        <w:tabs>
          <w:tab w:leader="none" w:pos="31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Adjusted Net Worth (as referenced in 12 CFR Section 202.5(n)) of the HUD-Regulated Subsidiary as of such date above $500,000.</w:t>
      </w:r>
    </w:p>
    <w:p>
      <w:pPr>
        <w:spacing w:after="0" w:line="301" w:lineRule="exact"/>
        <w:rPr>
          <w:sz w:val="20"/>
          <w:szCs w:val="20"/>
          <w:color w:val="auto"/>
        </w:rPr>
      </w:pPr>
    </w:p>
    <w:p>
      <w:pPr>
        <w:ind w:right="60"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Contingent Liabilities</w:t>
      </w:r>
      <w:r>
        <w:rPr>
          <w:rFonts w:ascii="Arial" w:cs="Arial" w:eastAsia="Arial" w:hAnsi="Arial"/>
          <w:sz w:val="19"/>
          <w:szCs w:val="19"/>
          <w:color w:val="auto"/>
        </w:rPr>
        <w:t>” shall mean the maximum estimated amount of liabilities reasonably likely to result from pending litigation, asserted claims and assessments, guaranties, uninsured risks and other contingent liabilities of a Person and its Subsidiaries taken as a whole after giving effect to the Transactions (including the execution and delivery of this Agreement, the making of the Loans and the use of proceeds of such Loans on the Closing Date) (including all fees and expenses related thereto but exclusive of such contingent liabilities to the extent reflected in Stated Liabilities), as identified and explained in terms of their nature and estimated magnitude by an Authorized Officer of such Person.</w:t>
      </w:r>
    </w:p>
    <w:p>
      <w:pPr>
        <w:spacing w:after="0" w:line="258" w:lineRule="exact"/>
        <w:rPr>
          <w:sz w:val="20"/>
          <w:szCs w:val="20"/>
          <w:color w:val="auto"/>
        </w:rPr>
      </w:pPr>
    </w:p>
    <w:p>
      <w:pPr>
        <w:ind w:right="200"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shall mean, at any date of determination, any Restricted Subsidiary of the Borrower (a) whose total assets (when combined with the assets of such Restricted Subsidiary's Subsidiaries, after eliminating intercompany obligations) at the last day of the most recent Test Period ended on or prior to such determination date were less than 5% of the aggregate of total assets of the Borrower and its Domestic Subsidiaries that are Restricted Subsidiaries at such date and (b) whose gross revenues (when combined with the revenues of such Restricted Subsidiary's Subsidiaries, after eliminating intercompany obligations) for such Test Period were less than 5% of the consolidated gross revenues of the Borrower and its Domestic Subsidiaries that are Restricted Subsidiaries for such period, in each case determined in accordance with GAAP.</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0000FF"/>
        </w:rPr>
        <w:t>“Impacted Interest Period” shall have the meaning provided in the definition of “Eurodollar Rate”</w:t>
      </w:r>
    </w:p>
    <w:p>
      <w:pPr>
        <w:spacing w:after="0" w:line="328" w:lineRule="exact"/>
        <w:rPr>
          <w:sz w:val="20"/>
          <w:szCs w:val="20"/>
          <w:color w:val="auto"/>
        </w:rPr>
      </w:pPr>
    </w:p>
    <w:p>
      <w:pPr>
        <w:ind w:right="4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Agreement</w:t>
      </w:r>
      <w:r>
        <w:rPr>
          <w:rFonts w:ascii="Arial" w:cs="Arial" w:eastAsia="Arial" w:hAnsi="Arial"/>
          <w:sz w:val="22"/>
          <w:szCs w:val="22"/>
          <w:color w:val="auto"/>
        </w:rPr>
        <w:t>” shall have the meaning set forth in Section 2.14(e). “</w:t>
      </w:r>
      <w:r>
        <w:rPr>
          <w:rFonts w:ascii="Arial" w:cs="Arial" w:eastAsia="Arial" w:hAnsi="Arial"/>
          <w:sz w:val="22"/>
          <w:szCs w:val="22"/>
          <w:u w:val="single" w:color="auto"/>
          <w:color w:val="auto"/>
        </w:rPr>
        <w:t>Incremental Commitments</w:t>
      </w:r>
      <w:r>
        <w:rPr>
          <w:rFonts w:ascii="Arial" w:cs="Arial" w:eastAsia="Arial" w:hAnsi="Arial"/>
          <w:sz w:val="22"/>
          <w:szCs w:val="22"/>
          <w:color w:val="auto"/>
        </w:rPr>
        <w:t>” shall have the meaning provided in Section 2.14(a).</w:t>
      </w:r>
    </w:p>
    <w:p>
      <w:pPr>
        <w:spacing w:after="0" w:line="28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Dividend Amount</w:t>
      </w:r>
      <w:r>
        <w:rPr>
          <w:rFonts w:ascii="Arial" w:cs="Arial" w:eastAsia="Arial" w:hAnsi="Arial"/>
          <w:sz w:val="21"/>
          <w:szCs w:val="21"/>
          <w:color w:val="auto"/>
        </w:rPr>
        <w:t>” shall mean an amount equal to the aggregate principal amount of the 2013 Incremental Tranche B Term Loans, minus the aggregate amount of the 2013 Tranche A Term Loan Repayment (as defined in Amendment No. 1) and the 2013 Tranche B Term Loan Repayment (as defined in Amendment No. 1).</w:t>
      </w:r>
    </w:p>
    <w:p>
      <w:pPr>
        <w:spacing w:after="0" w:line="2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Facilities</w:t>
      </w:r>
      <w:r>
        <w:rPr>
          <w:rFonts w:ascii="Arial" w:cs="Arial" w:eastAsia="Arial" w:hAnsi="Arial"/>
          <w:sz w:val="22"/>
          <w:szCs w:val="22"/>
          <w:color w:val="auto"/>
        </w:rPr>
        <w:t>” shall have the meaning provided in Section 2.14(a).</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Closing Date</w:t>
      </w:r>
      <w:r>
        <w:rPr>
          <w:rFonts w:ascii="Arial" w:cs="Arial" w:eastAsia="Arial" w:hAnsi="Arial"/>
          <w:sz w:val="22"/>
          <w:szCs w:val="22"/>
          <w:color w:val="auto"/>
        </w:rPr>
        <w:t>” shall have the meaning provided in Section 2.14(e).</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Limit</w:t>
      </w:r>
      <w:r>
        <w:rPr>
          <w:rFonts w:ascii="Arial" w:cs="Arial" w:eastAsia="Arial" w:hAnsi="Arial"/>
          <w:sz w:val="22"/>
          <w:szCs w:val="22"/>
          <w:color w:val="auto"/>
        </w:rPr>
        <w:t>” shall have the meaning provided in Section 2.14(b).</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Credit Commitment Increase</w:t>
      </w:r>
      <w:r>
        <w:rPr>
          <w:rFonts w:ascii="Arial" w:cs="Arial" w:eastAsia="Arial" w:hAnsi="Arial"/>
          <w:sz w:val="21"/>
          <w:szCs w:val="21"/>
          <w:color w:val="auto"/>
        </w:rPr>
        <w:t>” shall have the meaning provided in Section 2.14(a).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46</w:t>
      </w:r>
    </w:p>
    <w:p>
      <w:pPr>
        <w:sectPr>
          <w:pgSz w:w="11900" w:h="16838" w:orient="portrait"/>
          <w:cols w:equalWidth="0" w:num="1">
            <w:col w:w="11420"/>
          </w:cols>
          <w:pgMar w:left="240" w:top="294" w:right="239" w:bottom="1440" w:gutter="0" w:footer="0" w:header="0"/>
        </w:sectPr>
      </w:pPr>
    </w:p>
    <w:bookmarkStart w:id="146" w:name="page147"/>
    <w:bookmarkEnd w:id="146"/>
    <w:p>
      <w:pPr>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Loan Commitment</w:t>
      </w:r>
      <w:r>
        <w:rPr>
          <w:rFonts w:ascii="Arial" w:cs="Arial" w:eastAsia="Arial" w:hAnsi="Arial"/>
          <w:sz w:val="22"/>
          <w:szCs w:val="22"/>
          <w:color w:val="auto"/>
        </w:rPr>
        <w:t>” shall mean, (a) in the case of each Lender that is a Lender on the Closing Date, the amount, if any, set forth opposite such Lender’s name on Schedule 1.1(a) as such Lender’s “Initial Tranche B Term Loan Commitment” and (b) in the case of any Lender that becomes a Lender after the Closing Date, the amount specified as such Lender’s “Initial Tranche B Term Loan Commitment” in the Assignment and Acceptance pursuant to which such Lender assumed a portion of the Total Initial Tranche B Term Loan Commitment, in each case as the same may be changed from time to time pursuant to the terms hereof. The aggregate amount of the Initial Tranche B Term Loan Commitments as of the Closing Date is $615,000,000.</w:t>
      </w:r>
    </w:p>
    <w:p>
      <w:pPr>
        <w:spacing w:after="0" w:line="3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Tranche B Term Loan Facility</w:t>
      </w:r>
      <w:r>
        <w:rPr>
          <w:rFonts w:ascii="Arial" w:cs="Arial" w:eastAsia="Arial" w:hAnsi="Arial"/>
          <w:sz w:val="21"/>
          <w:szCs w:val="21"/>
          <w:color w:val="auto"/>
        </w:rPr>
        <w:t>” shall have the meaning provided in the recitals to this Agreement.</w:t>
      </w:r>
    </w:p>
    <w:p>
      <w:pPr>
        <w:spacing w:after="0" w:line="339" w:lineRule="exact"/>
        <w:rPr>
          <w:sz w:val="20"/>
          <w:szCs w:val="20"/>
          <w:color w:val="auto"/>
        </w:rPr>
      </w:pPr>
    </w:p>
    <w:p>
      <w:pPr>
        <w:jc w:val="both"/>
        <w:ind w:right="58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Tranche B Term Loan Maturity Date</w:t>
      </w:r>
      <w:r>
        <w:rPr>
          <w:rFonts w:ascii="Arial" w:cs="Arial" w:eastAsia="Arial" w:hAnsi="Arial"/>
          <w:sz w:val="19"/>
          <w:szCs w:val="19"/>
          <w:color w:val="auto"/>
        </w:rPr>
        <w:t xml:space="preserve">” shall mean March 29, 2019;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date is not a Business Day, the “Initial Tranche B Term Loan Maturity Date” will be the Business Day immediately following such date.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Loan Repayment Amount</w:t>
      </w:r>
      <w:r>
        <w:rPr>
          <w:rFonts w:ascii="Arial" w:cs="Arial" w:eastAsia="Arial" w:hAnsi="Arial"/>
          <w:sz w:val="22"/>
          <w:szCs w:val="22"/>
          <w:color w:val="auto"/>
        </w:rPr>
        <w:t>” shall have the meaning provided in Section 2.5(d).</w:t>
      </w: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Tranche B Term Loan Repayment Date</w:t>
      </w:r>
      <w:r>
        <w:rPr>
          <w:rFonts w:ascii="Arial" w:cs="Arial" w:eastAsia="Arial" w:hAnsi="Arial"/>
          <w:sz w:val="22"/>
          <w:szCs w:val="22"/>
          <w:color w:val="auto"/>
        </w:rPr>
        <w:t>” shall have the meaning provided in Section 2.5(d).</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shall have the meaning provided for such term or a similar term in the Security Agreement.</w:t>
      </w:r>
    </w:p>
    <w:p>
      <w:pPr>
        <w:spacing w:after="0" w:line="362" w:lineRule="exact"/>
        <w:rPr>
          <w:sz w:val="20"/>
          <w:szCs w:val="20"/>
          <w:color w:val="auto"/>
        </w:rPr>
      </w:pPr>
    </w:p>
    <w:p>
      <w:pPr>
        <w:jc w:val="both"/>
        <w:ind w:right="4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Note</w:t>
      </w:r>
      <w:r>
        <w:rPr>
          <w:rFonts w:ascii="Arial" w:cs="Arial" w:eastAsia="Arial" w:hAnsi="Arial"/>
          <w:sz w:val="22"/>
          <w:szCs w:val="22"/>
          <w:color w:val="auto"/>
        </w:rPr>
        <w:t>” shall mean the Amended and Restated Intercompany Subordinated Note, dated as of the Amendment No. 1 Effective Date, substantially in the form of Exhibit N, executed by Holdings, the Borrower and each other Subsidiary of the Borrower party thereto.</w:t>
      </w:r>
    </w:p>
    <w:p>
      <w:pPr>
        <w:spacing w:after="0" w:line="294" w:lineRule="exact"/>
        <w:rPr>
          <w:sz w:val="20"/>
          <w:szCs w:val="20"/>
          <w:color w:val="auto"/>
        </w:rPr>
      </w:pPr>
    </w:p>
    <w:p>
      <w:pPr>
        <w:ind w:right="6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shall mean, with respect to any Eurodollar Loans, the interest period applicable thereto, as determined pursuant to Section 2.9.</w:t>
      </w:r>
    </w:p>
    <w:p>
      <w:pPr>
        <w:spacing w:after="0" w:line="283"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0000FF"/>
        </w:rPr>
        <w:t>“Interpolated Rate” means, at any time, for any Interest Period, the rate per annum (rounded to the same number of decimal places as the relevant LIBOR) determined by the Administrative Agent (which determination shall be conclusive and binding absent manifest error) to be equal to the rate that results from interpolating on a linear basis between: (a) the applicable LIBOR (for the longest period for which the applicable LIBOR is available for the applicable currency) that is shorter than the Impacted Interest Period and (b) the applicable LIBOR for the shortest period (for which such LIBOR is available for the applicable currency) that exceeds the Impacted Interest Period, in each case, as at such time for such Interest Period. When determining the rate for a period which is less than the shortest period for which the relevant LIBOR is available, the applicable LIBOR for purposes of clause (a) above shall be deemed to be the overnight screen rate where “overnight screen rate” means, in relation to any currency, the overnight rate for such currency determined by the Administrative Agent from such service as the Administrative Agent may select.</w:t>
      </w:r>
    </w:p>
    <w:p>
      <w:pPr>
        <w:spacing w:after="0" w:line="132"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50</w:t>
      </w:r>
    </w:p>
    <w:p>
      <w:pPr>
        <w:sectPr>
          <w:pgSz w:w="11900" w:h="16838" w:orient="portrait"/>
          <w:cols w:equalWidth="0" w:num="1">
            <w:col w:w="11260"/>
          </w:cols>
          <w:pgMar w:left="240" w:top="293" w:right="399" w:bottom="1440" w:gutter="0" w:footer="0" w:header="0"/>
        </w:sectPr>
      </w:pPr>
    </w:p>
    <w:bookmarkStart w:id="147" w:name="page148"/>
    <w:bookmarkEnd w:id="147"/>
    <w:p>
      <w:pPr>
        <w:ind w:right="240"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Introducing Broker-Dealer Minimum Capital</w:t>
      </w:r>
      <w:r>
        <w:rPr>
          <w:rFonts w:ascii="Arial" w:cs="Arial" w:eastAsia="Arial" w:hAnsi="Arial"/>
          <w:sz w:val="21"/>
          <w:szCs w:val="21"/>
          <w:color w:val="auto"/>
        </w:rPr>
        <w:t>” shall mean for those Subsidiaries of the Borrower that are broker-dealers exempt from the provisions of SEC Rule 15c3-3, as of any date of determination, the greater of (a) 120% of such Subsidiaries’ consolidated minimum dollar Net Capital required (as defined in SEC Rule 15c3-1), and (b) the consolidated Aggregate Indebtedness (as defined in SEC Rule 15c3-1) of such Subsidiaries, divided by ten.</w:t>
      </w:r>
    </w:p>
    <w:p>
      <w:pPr>
        <w:spacing w:after="0" w:line="2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shall have the meaning provided in Section 10.5.</w:t>
      </w:r>
    </w:p>
    <w:p>
      <w:pPr>
        <w:spacing w:after="0" w:line="328" w:lineRule="exact"/>
        <w:rPr>
          <w:sz w:val="20"/>
          <w:szCs w:val="20"/>
          <w:color w:val="auto"/>
        </w:rPr>
      </w:pPr>
    </w:p>
    <w:p>
      <w:pPr>
        <w:ind w:right="50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Investors</w:t>
      </w:r>
      <w:r>
        <w:rPr>
          <w:rFonts w:ascii="Arial" w:cs="Arial" w:eastAsia="Arial" w:hAnsi="Arial"/>
          <w:sz w:val="21"/>
          <w:szCs w:val="21"/>
          <w:color w:val="auto"/>
        </w:rPr>
        <w:t>” shall mean the Sponsors, the Management Investors and certain other investors arranged by and/or designated by the Sponsors and identified to the Administrative Agent prior to the Closing Date.</w:t>
      </w:r>
    </w:p>
    <w:p>
      <w:pPr>
        <w:spacing w:after="0" w:line="260" w:lineRule="exact"/>
        <w:rPr>
          <w:sz w:val="20"/>
          <w:szCs w:val="20"/>
          <w:color w:val="auto"/>
        </w:rPr>
      </w:pPr>
    </w:p>
    <w:p>
      <w:pPr>
        <w:ind w:right="14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213"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shall mean with respect to any Letter of Credit, any Letter of Credit Request, and any other document, agreement and instrument entered into by the Letter of Credit Issuer and the Borrower (or any Restricted Subsidiary) or in favor of the Letter of Credit Issuer and relating to such Letter of Credit.</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0000FF"/>
        </w:rPr>
        <w:t>JPMorgan” shall mean JPMorgan Chase Bank, N.A.</w:t>
      </w:r>
    </w:p>
    <w:p>
      <w:pPr>
        <w:spacing w:after="0" w:line="328"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u w:val="single" w:color="auto"/>
          <w:color w:val="0000FF"/>
        </w:rPr>
        <w:t>“</w:t>
      </w:r>
      <w:r>
        <w:rPr>
          <w:rFonts w:ascii="Arial" w:cs="Arial" w:eastAsia="Arial" w:hAnsi="Arial"/>
          <w:sz w:val="22"/>
          <w:szCs w:val="22"/>
          <w:u w:val="single" w:color="auto"/>
          <w:color w:val="000000"/>
        </w:rPr>
        <w:t>Joint Bookrunners</w:t>
      </w:r>
      <w:r>
        <w:rPr>
          <w:rFonts w:ascii="Arial" w:cs="Arial" w:eastAsia="Arial" w:hAnsi="Arial"/>
          <w:sz w:val="22"/>
          <w:szCs w:val="22"/>
          <w:color w:val="000000"/>
        </w:rPr>
        <w:t>” shall mean the Persons listed on the cover page of this Agreement as such in their capacities as</w:t>
      </w:r>
      <w:r>
        <w:rPr>
          <w:rFonts w:ascii="Arial" w:cs="Arial" w:eastAsia="Arial" w:hAnsi="Arial"/>
          <w:sz w:val="22"/>
          <w:szCs w:val="22"/>
          <w:color w:val="0000FF"/>
        </w:rPr>
        <w:t xml:space="preserve"> </w:t>
      </w:r>
      <w:r>
        <w:rPr>
          <w:rFonts w:ascii="Arial" w:cs="Arial" w:eastAsia="Arial" w:hAnsi="Arial"/>
          <w:sz w:val="22"/>
          <w:szCs w:val="22"/>
          <w:color w:val="000000"/>
        </w:rPr>
        <w:t>Joint Bookrunners under this Agreement.</w:t>
      </w:r>
    </w:p>
    <w:p>
      <w:pPr>
        <w:spacing w:after="0" w:line="283"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Lead Arrangers</w:t>
      </w:r>
      <w:r>
        <w:rPr>
          <w:rFonts w:ascii="Arial" w:cs="Arial" w:eastAsia="Arial" w:hAnsi="Arial"/>
          <w:sz w:val="22"/>
          <w:szCs w:val="22"/>
          <w:color w:val="auto"/>
        </w:rPr>
        <w:t>” shall mean the Persons listed on the cover page of this Agreement as such in their capacities as Joint Lead Arrangers under this Agreement.</w:t>
      </w:r>
    </w:p>
    <w:p>
      <w:pPr>
        <w:spacing w:after="0" w:line="283"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Priority Lien Intercreditor Agreement</w:t>
      </w:r>
      <w:r>
        <w:rPr>
          <w:rFonts w:ascii="Arial" w:cs="Arial" w:eastAsia="Arial" w:hAnsi="Arial"/>
          <w:sz w:val="22"/>
          <w:szCs w:val="22"/>
          <w:color w:val="auto"/>
        </w:rPr>
        <w:t>” shall mean an intercreditor agreement substantially in the form of Exhibit I-2 among the Administrative Agent and/or the Collateral Agent and one or more representatives for the holders of one or more classes of Indebtedness permitted by this Agreement and that is intended (and/or required) to be secured on a junior lien basis to the Liens securing the Obligations, with such modifications thereto as the Administrative Agent and Borrower may reasonably agree.</w:t>
      </w:r>
    </w:p>
    <w:p>
      <w:pPr>
        <w:spacing w:after="0" w:line="300" w:lineRule="exact"/>
        <w:rPr>
          <w:sz w:val="20"/>
          <w:szCs w:val="20"/>
          <w:color w:val="auto"/>
        </w:rPr>
      </w:pPr>
    </w:p>
    <w:p>
      <w:pPr>
        <w:ind w:right="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Latest Maturity Date</w:t>
      </w:r>
      <w:r>
        <w:rPr>
          <w:rFonts w:ascii="Arial" w:cs="Arial" w:eastAsia="Arial" w:hAnsi="Arial"/>
          <w:sz w:val="22"/>
          <w:szCs w:val="22"/>
          <w:color w:val="auto"/>
        </w:rPr>
        <w:t>” shall mean, with respect to any Indebtedness or Capital Stock, the latest Maturity Date applicable to any Credit Facility that is outstanding hereunder as determined on the date such Indebtedness is issued or incurred or such Capital Stock is issued.</w:t>
      </w:r>
    </w:p>
    <w:p>
      <w:pPr>
        <w:spacing w:after="0" w:line="294"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shall mean (a) the Persons listed on Schedule 1.1(a), (b) any other Person that shall become a party hereto as a “lender” pursuant to Section 13.6 and (c) each Person that becomes a party hereto as a “lender” pursuant to the terms of Section 2.14, in each case other than a Person who ceases to be a “Lender.”</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shall have the meaning provided in Section 3.1(a).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51</w:t>
      </w:r>
    </w:p>
    <w:p>
      <w:pPr>
        <w:sectPr>
          <w:pgSz w:w="11900" w:h="16838" w:orient="portrait"/>
          <w:cols w:equalWidth="0" w:num="1">
            <w:col w:w="11360"/>
          </w:cols>
          <w:pgMar w:left="240" w:top="293" w:right="299" w:bottom="1440" w:gutter="0" w:footer="0" w:header="0"/>
        </w:sectPr>
      </w:pPr>
    </w:p>
    <w:bookmarkStart w:id="148" w:name="page149"/>
    <w:bookmarkEnd w:id="148"/>
    <w:p>
      <w:pPr>
        <w:ind w:right="1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Borrowing</w:t>
      </w:r>
      <w:r>
        <w:rPr>
          <w:rFonts w:ascii="Arial" w:cs="Arial" w:eastAsia="Arial" w:hAnsi="Arial"/>
          <w:sz w:val="22"/>
          <w:szCs w:val="22"/>
          <w:color w:val="auto"/>
        </w:rPr>
        <w:t>” shall mean an extension of credit resulting from a drawing under any Letter of Credit which has not been reimbursed on the date when made or refinanced as a Borrowing.</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Commitment</w:t>
      </w:r>
      <w:r>
        <w:rPr>
          <w:rFonts w:ascii="Arial" w:cs="Arial" w:eastAsia="Arial" w:hAnsi="Arial"/>
          <w:sz w:val="19"/>
          <w:szCs w:val="19"/>
          <w:color w:val="auto"/>
        </w:rPr>
        <w:t>” shall mean $125,000,000, as the same may be reduced from time to time pursuant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4.2.</w:t>
      </w:r>
    </w:p>
    <w:p>
      <w:pPr>
        <w:spacing w:after="0" w:line="310" w:lineRule="exact"/>
        <w:rPr>
          <w:sz w:val="20"/>
          <w:szCs w:val="20"/>
          <w:color w:val="auto"/>
        </w:rPr>
      </w:pPr>
    </w:p>
    <w:p>
      <w:pPr>
        <w:ind w:right="40"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Exposure</w:t>
      </w:r>
      <w:r>
        <w:rPr>
          <w:rFonts w:ascii="Arial" w:cs="Arial" w:eastAsia="Arial" w:hAnsi="Arial"/>
          <w:sz w:val="21"/>
          <w:szCs w:val="21"/>
          <w:color w:val="auto"/>
        </w:rPr>
        <w:t>” shall mean, with respect to any Lender, at any time, the sum of (a) the amount of any Unpaid Drawings in respect of which such Lender has made (or is required to have made) Revolving Credit Loans pursuant to Section 3.4 at such time and (b) such Lender’s Revolving Credit Commitment Percentage of the Letter of Credit Obligations at such time (excluding the portion thereof consisting of Unpaid Drawings in respect of which the Lenders have made (or are required to have made) Revolving Credit Loans pursuant to Section 3.4).</w:t>
      </w:r>
    </w:p>
    <w:p>
      <w:pPr>
        <w:spacing w:after="0" w:line="2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shall have the meaning provided in Section 4.1(c).</w:t>
      </w:r>
    </w:p>
    <w:p>
      <w:pPr>
        <w:spacing w:after="0" w:line="328"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Issuer</w:t>
      </w:r>
      <w:r>
        <w:rPr>
          <w:rFonts w:ascii="Arial" w:cs="Arial" w:eastAsia="Arial" w:hAnsi="Arial"/>
          <w:sz w:val="22"/>
          <w:szCs w:val="22"/>
          <w:color w:val="auto"/>
        </w:rPr>
        <w:t xml:space="preserve">” shall mean (a) Bank of America, (b) </w:t>
      </w:r>
      <w:r>
        <w:rPr>
          <w:rFonts w:ascii="Arial" w:cs="Arial" w:eastAsia="Arial" w:hAnsi="Arial"/>
          <w:sz w:val="22"/>
          <w:szCs w:val="22"/>
          <w:color w:val="0000FF"/>
        </w:rPr>
        <w:t>JPMorgan, (c)</w:t>
      </w:r>
      <w:r>
        <w:rPr>
          <w:rFonts w:ascii="Arial" w:cs="Arial" w:eastAsia="Arial" w:hAnsi="Arial"/>
          <w:sz w:val="22"/>
          <w:szCs w:val="22"/>
          <w:color w:val="auto"/>
        </w:rPr>
        <w:t xml:space="preserve"> with respect to the Existing Letters of Credit, the applicable issuing bank under the Existing Letter of Credit or an Affiliate thereof, and (</w:t>
      </w:r>
      <w:r>
        <w:rPr>
          <w:rFonts w:ascii="Arial" w:cs="Arial" w:eastAsia="Arial" w:hAnsi="Arial"/>
          <w:sz w:val="22"/>
          <w:szCs w:val="22"/>
          <w:color w:val="FF0000"/>
          <w:strike w:val="1"/>
        </w:rPr>
        <w:t>c</w:t>
      </w:r>
      <w:r>
        <w:rPr>
          <w:rFonts w:ascii="Arial" w:cs="Arial" w:eastAsia="Arial" w:hAnsi="Arial"/>
          <w:sz w:val="22"/>
          <w:szCs w:val="22"/>
          <w:color w:val="0000FF"/>
        </w:rPr>
        <w:t>d</w:t>
      </w:r>
      <w:r>
        <w:rPr>
          <w:rFonts w:ascii="Arial" w:cs="Arial" w:eastAsia="Arial" w:hAnsi="Arial"/>
          <w:sz w:val="22"/>
          <w:szCs w:val="22"/>
          <w:color w:val="auto"/>
        </w:rPr>
        <w:t>) any one or more Persons who shall become a Letter of Credit Issuer pursuant to Section 3.6. Any Letter of Credit Issuer may, in its discretion, arrange for one or more Letters of Credit to be issued by Affiliates of the Letter of Credit Issuer, and in each such case the term “Letter of Credit Issuer” shall include any such Affiliate with respect to Letters of Credit issued by such Affiliate.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30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Maturity Date</w:t>
      </w:r>
      <w:r>
        <w:rPr>
          <w:rFonts w:ascii="Arial" w:cs="Arial" w:eastAsia="Arial" w:hAnsi="Arial"/>
          <w:sz w:val="19"/>
          <w:szCs w:val="19"/>
          <w:color w:val="auto"/>
        </w:rPr>
        <w:t xml:space="preserve">” shall mean the date that is </w:t>
      </w:r>
      <w:r>
        <w:rPr>
          <w:rFonts w:ascii="Arial" w:cs="Arial" w:eastAsia="Arial" w:hAnsi="Arial"/>
          <w:sz w:val="19"/>
          <w:szCs w:val="19"/>
          <w:color w:val="FF0000"/>
          <w:strike w:val="1"/>
        </w:rPr>
        <w:t>three</w:t>
      </w:r>
      <w:r>
        <w:rPr>
          <w:rFonts w:ascii="Arial" w:cs="Arial" w:eastAsia="Arial" w:hAnsi="Arial"/>
          <w:sz w:val="19"/>
          <w:szCs w:val="19"/>
          <w:color w:val="0000FF"/>
        </w:rPr>
        <w:t>five</w:t>
      </w:r>
      <w:r>
        <w:rPr>
          <w:rFonts w:ascii="Arial" w:cs="Arial" w:eastAsia="Arial" w:hAnsi="Arial"/>
          <w:sz w:val="19"/>
          <w:szCs w:val="19"/>
          <w:color w:val="auto"/>
        </w:rPr>
        <w:t xml:space="preserve"> Business Days prior to the Revolving Credit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Maturity Date.</w:t>
      </w:r>
    </w:p>
    <w:p>
      <w:pPr>
        <w:spacing w:after="0" w:line="310" w:lineRule="exact"/>
        <w:rPr>
          <w:sz w:val="20"/>
          <w:szCs w:val="20"/>
          <w:color w:val="auto"/>
        </w:rPr>
      </w:pPr>
    </w:p>
    <w:p>
      <w:pPr>
        <w:ind w:right="20"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Obligations</w:t>
      </w:r>
      <w:r>
        <w:rPr>
          <w:rFonts w:ascii="Arial" w:cs="Arial" w:eastAsia="Arial" w:hAnsi="Arial"/>
          <w:sz w:val="19"/>
          <w:szCs w:val="19"/>
          <w:color w:val="auto"/>
        </w:rPr>
        <w:t xml:space="preserve">” shall mean, as at any date of determination, the aggregate amount available to be drawn under all outstanding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of all Unpaid Drawings, including all Letter of Credit Borrowings. For purposes of computing the amount available to be drawn under any Letter of Credit, the amount of such Letter of Credit shall be determined in accordance with Section 1.8.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Participant</w:t>
      </w:r>
      <w:r>
        <w:rPr>
          <w:rFonts w:ascii="Arial" w:cs="Arial" w:eastAsia="Arial" w:hAnsi="Arial"/>
          <w:sz w:val="22"/>
          <w:szCs w:val="22"/>
          <w:color w:val="auto"/>
        </w:rPr>
        <w:t>” shall have the meaning provided in Section 3.3(a).</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Participation</w:t>
      </w:r>
      <w:r>
        <w:rPr>
          <w:rFonts w:ascii="Arial" w:cs="Arial" w:eastAsia="Arial" w:hAnsi="Arial"/>
          <w:sz w:val="22"/>
          <w:szCs w:val="22"/>
          <w:color w:val="auto"/>
        </w:rPr>
        <w:t>” shall have the meaning provided in Section 3.3(a).</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Request</w:t>
      </w:r>
      <w:r>
        <w:rPr>
          <w:rFonts w:ascii="Arial" w:cs="Arial" w:eastAsia="Arial" w:hAnsi="Arial"/>
          <w:sz w:val="22"/>
          <w:szCs w:val="22"/>
          <w:color w:val="auto"/>
        </w:rPr>
        <w:t>” shall have the meaning provided in Section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20"/>
        <w:spacing w:after="0"/>
        <w:rPr>
          <w:sz w:val="20"/>
          <w:szCs w:val="20"/>
          <w:color w:val="auto"/>
        </w:rPr>
      </w:pPr>
      <w:r>
        <w:rPr>
          <w:rFonts w:ascii="Arial" w:cs="Arial" w:eastAsia="Arial" w:hAnsi="Arial"/>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52</w:t>
      </w:r>
    </w:p>
    <w:p>
      <w:pPr>
        <w:sectPr>
          <w:pgSz w:w="11900" w:h="16838" w:orient="portrait"/>
          <w:cols w:equalWidth="0" w:num="1">
            <w:col w:w="11420"/>
          </w:cols>
          <w:pgMar w:left="240" w:top="294" w:right="239" w:bottom="1440" w:gutter="0" w:footer="0" w:header="0"/>
        </w:sectPr>
      </w:pPr>
    </w:p>
    <w:bookmarkStart w:id="149" w:name="page150"/>
    <w:bookmarkEnd w:id="149"/>
    <w:p>
      <w:pPr>
        <w:ind w:left="1300"/>
        <w:spacing w:after="0"/>
        <w:rPr>
          <w:sz w:val="20"/>
          <w:szCs w:val="20"/>
          <w:color w:val="auto"/>
        </w:rPr>
      </w:pPr>
      <w:r>
        <w:rPr>
          <w:rFonts w:ascii="Arial" w:cs="Arial" w:eastAsia="Arial" w:hAnsi="Arial"/>
          <w:sz w:val="22"/>
          <w:szCs w:val="22"/>
          <w:color w:val="0000FF"/>
        </w:rPr>
        <w:t>“LIBOR” shall have the meaning provided in the definition of “Eurodollar Rate”.</w:t>
      </w:r>
    </w:p>
    <w:p>
      <w:pPr>
        <w:spacing w:after="0" w:line="328"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shall mean any mortgage, pledge, security interest, hypothecation, assignment, lien (statutory or other) or similar encumbrance, and any easement, right-of-way, license, restriction (including zoning restrictions), defect, exception or irregularity in title or similar charge or encumbrance (including any agreement to give any of the foregoing, any conditional sale or other title retention agreement or any lease in the nature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 operating lease be deemed to be a Lien.</w:t>
      </w:r>
    </w:p>
    <w:p>
      <w:pPr>
        <w:spacing w:after="0" w:line="300" w:lineRule="exact"/>
        <w:rPr>
          <w:sz w:val="20"/>
          <w:szCs w:val="20"/>
          <w:color w:val="auto"/>
        </w:rPr>
      </w:pPr>
    </w:p>
    <w:p>
      <w:pPr>
        <w:ind w:right="380"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w:t>
      </w:r>
      <w:r>
        <w:rPr>
          <w:rFonts w:ascii="Arial" w:cs="Arial" w:eastAsia="Arial" w:hAnsi="Arial"/>
          <w:sz w:val="21"/>
          <w:szCs w:val="21"/>
          <w:color w:val="auto"/>
        </w:rPr>
        <w:t>” shall mean any Revolving Credit Loan, Additional/Replacement Revolving Credit Loan, Extended Revolving Credit Loan, Swingline Loan (including any swingline loan pursuant to an Extended Revolving Credit Facility or an Additional/Replacement Revolving Credit Facility) or Term Loan made by any Lender hereunder.</w:t>
      </w:r>
    </w:p>
    <w:p>
      <w:pPr>
        <w:spacing w:after="0" w:line="27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Banking Day</w:t>
      </w:r>
      <w:r>
        <w:rPr>
          <w:rFonts w:ascii="Arial" w:cs="Arial" w:eastAsia="Arial" w:hAnsi="Arial"/>
          <w:sz w:val="22"/>
          <w:szCs w:val="22"/>
          <w:color w:val="auto"/>
        </w:rPr>
        <w:t>” shall mean any day on which dealings in Dollar deposits are conducted by and among banks in the London interbank eurodollar market.</w:t>
      </w:r>
    </w:p>
    <w:p>
      <w:pPr>
        <w:spacing w:after="0" w:line="283" w:lineRule="exact"/>
        <w:rPr>
          <w:sz w:val="20"/>
          <w:szCs w:val="20"/>
          <w:color w:val="auto"/>
        </w:rPr>
      </w:pPr>
    </w:p>
    <w:p>
      <w:pPr>
        <w:ind w:right="70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Management Investors</w:t>
      </w:r>
      <w:r>
        <w:rPr>
          <w:rFonts w:ascii="Arial" w:cs="Arial" w:eastAsia="Arial" w:hAnsi="Arial"/>
          <w:sz w:val="21"/>
          <w:szCs w:val="21"/>
          <w:color w:val="auto"/>
        </w:rPr>
        <w:t>” shall mean the officers, directors and employees of Holdings, the Borrower and the Subsidiaries who become investors in Holdings or any of its Parent Entities or in the Borrower.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Borrowing</w:t>
      </w:r>
      <w:r>
        <w:rPr>
          <w:rFonts w:ascii="Arial" w:cs="Arial" w:eastAsia="Arial" w:hAnsi="Arial"/>
          <w:sz w:val="22"/>
          <w:szCs w:val="22"/>
          <w:color w:val="auto"/>
        </w:rPr>
        <w:t>” shall have the meaning provided in Section 2.1(f).</w:t>
      </w:r>
    </w:p>
    <w:p>
      <w:pPr>
        <w:spacing w:after="0" w:line="328"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Lines of Credit</w:t>
      </w:r>
      <w:r>
        <w:rPr>
          <w:rFonts w:ascii="Arial" w:cs="Arial" w:eastAsia="Arial" w:hAnsi="Arial"/>
          <w:sz w:val="22"/>
          <w:szCs w:val="22"/>
          <w:color w:val="auto"/>
        </w:rPr>
        <w:t>” shall mean any lines of credit established and used by the Borrower and its Subsidiaries consistent with ordinary course practice and to fund or support Margin Loans of customers of the Borrower and its Subsidiaries and any replacement lines established on substantially similar terms and conditions.</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Loans</w:t>
      </w:r>
      <w:r>
        <w:rPr>
          <w:rFonts w:ascii="Arial" w:cs="Arial" w:eastAsia="Arial" w:hAnsi="Arial"/>
          <w:sz w:val="22"/>
          <w:szCs w:val="22"/>
          <w:color w:val="auto"/>
        </w:rPr>
        <w:t>” as defined in Regulation T.</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Agreement</w:t>
      </w:r>
      <w:r>
        <w:rPr>
          <w:rFonts w:ascii="Arial" w:cs="Arial" w:eastAsia="Arial" w:hAnsi="Arial"/>
          <w:sz w:val="22"/>
          <w:szCs w:val="22"/>
          <w:color w:val="auto"/>
        </w:rPr>
        <w:t>” shall have the meaning provided in the definition of the term “Hedging Agreement.”</w:t>
      </w:r>
    </w:p>
    <w:p>
      <w:pPr>
        <w:spacing w:after="0" w:line="328"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 circumstance or condition that materially and adversely affects (a) the business, assets, operations, properties or financial condition of the Borrower and the Restricted Subsidiaries taken as a whole, (b) the ability of the Credit Parties (taken as a whole) to perform their payment obligations under the Credit Documents or (c) the rights and remedies of the Administrative Agent, the Collateral Agent or the Lenders under the Credit Documents.</w:t>
      </w:r>
    </w:p>
    <w:p>
      <w:pPr>
        <w:spacing w:after="0" w:line="251"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shall mean the 2017 Initial Tranche A Term Loan Maturity Date, the 2019 Extended Tranche A Term Loan Maturity Date, the Initial Tranche B Term Loan Maturity Date, any Incremental Term Loan Maturity Date, the Revolving Credit Maturity Date, any maturity date related to any Class of Extended Revolving Credit Commitments, any maturity date related to any Class of Additional/Replacement Revolving Credit Commitments, any maturity date related to any Class of Extended Term Loans, or the Swingline Maturity Date,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53</w:t>
      </w:r>
    </w:p>
    <w:p>
      <w:pPr>
        <w:sectPr>
          <w:pgSz w:w="11900" w:h="16838" w:orient="portrait"/>
          <w:cols w:equalWidth="0" w:num="1">
            <w:col w:w="11400"/>
          </w:cols>
          <w:pgMar w:left="240" w:top="294" w:right="259" w:bottom="1440" w:gutter="0" w:footer="0" w:header="0"/>
        </w:sectPr>
      </w:pPr>
    </w:p>
    <w:bookmarkStart w:id="150" w:name="page151"/>
    <w:bookmarkEnd w:id="15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has the meaning specified in the definition of “Excluded Swap Obligation.”</w:t>
      </w:r>
    </w:p>
    <w:p>
      <w:pPr>
        <w:spacing w:after="0" w:line="328" w:lineRule="exact"/>
        <w:rPr>
          <w:sz w:val="20"/>
          <w:szCs w:val="20"/>
          <w:color w:val="auto"/>
        </w:rPr>
      </w:pPr>
    </w:p>
    <w:p>
      <w:pPr>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shall mean,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Commitment</w:t>
      </w:r>
      <w:r>
        <w:rPr>
          <w:rFonts w:ascii="Arial" w:cs="Arial" w:eastAsia="Arial" w:hAnsi="Arial"/>
          <w:sz w:val="22"/>
          <w:szCs w:val="22"/>
          <w:color w:val="auto"/>
        </w:rPr>
        <w:t>” shall mean $125,000,000.</w:t>
      </w:r>
    </w:p>
    <w:p>
      <w:pPr>
        <w:spacing w:after="0" w:line="328" w:lineRule="exact"/>
        <w:rPr>
          <w:sz w:val="20"/>
          <w:szCs w:val="20"/>
          <w:color w:val="auto"/>
        </w:rPr>
      </w:pPr>
    </w:p>
    <w:p>
      <w:pPr>
        <w:ind w:right="8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shall mean, with respect to any Lender, at any time, such Lender’s Revolving Credit Commitment Percentage of the Swingline Loans outstanding at such time.</w:t>
      </w:r>
    </w:p>
    <w:p>
      <w:pPr>
        <w:spacing w:after="0" w:line="283" w:lineRule="exact"/>
        <w:rPr>
          <w:sz w:val="20"/>
          <w:szCs w:val="20"/>
          <w:color w:val="auto"/>
        </w:rPr>
      </w:pPr>
    </w:p>
    <w:p>
      <w:pPr>
        <w:jc w:val="both"/>
        <w:ind w:right="14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xml:space="preserve">” shall mean </w:t>
      </w:r>
      <w:r>
        <w:rPr>
          <w:rFonts w:ascii="Arial" w:cs="Arial" w:eastAsia="Arial" w:hAnsi="Arial"/>
          <w:sz w:val="19"/>
          <w:szCs w:val="19"/>
          <w:color w:val="0000FF"/>
        </w:rPr>
        <w:t>each of</w:t>
      </w:r>
      <w:r>
        <w:rPr>
          <w:rFonts w:ascii="Arial" w:cs="Arial" w:eastAsia="Arial" w:hAnsi="Arial"/>
          <w:sz w:val="19"/>
          <w:szCs w:val="19"/>
          <w:color w:val="auto"/>
        </w:rPr>
        <w:t xml:space="preserve"> Bank of America </w:t>
      </w:r>
      <w:r>
        <w:rPr>
          <w:rFonts w:ascii="Arial" w:cs="Arial" w:eastAsia="Arial" w:hAnsi="Arial"/>
          <w:sz w:val="19"/>
          <w:szCs w:val="19"/>
          <w:color w:val="FF0000"/>
          <w:strike w:val="1"/>
        </w:rPr>
        <w:t>in its capacity as lender</w:t>
      </w:r>
      <w:r>
        <w:rPr>
          <w:rFonts w:ascii="Arial" w:cs="Arial" w:eastAsia="Arial" w:hAnsi="Arial"/>
          <w:sz w:val="19"/>
          <w:szCs w:val="19"/>
          <w:color w:val="0000FF"/>
        </w:rPr>
        <w:t>and JPMorgan in their respective</w:t>
      </w:r>
      <w:r>
        <w:rPr>
          <w:rFonts w:ascii="Arial" w:cs="Arial" w:eastAsia="Arial" w:hAnsi="Arial"/>
          <w:sz w:val="19"/>
          <w:szCs w:val="19"/>
          <w:color w:val="auto"/>
        </w:rPr>
        <w:t xml:space="preserve"> </w:t>
      </w:r>
      <w:r>
        <w:rPr>
          <w:rFonts w:ascii="Arial" w:cs="Arial" w:eastAsia="Arial" w:hAnsi="Arial"/>
          <w:sz w:val="19"/>
          <w:szCs w:val="19"/>
          <w:color w:val="0000FF"/>
        </w:rPr>
        <w:t xml:space="preserve">capacities as lenders </w:t>
      </w:r>
      <w:r>
        <w:rPr>
          <w:rFonts w:ascii="Arial" w:cs="Arial" w:eastAsia="Arial" w:hAnsi="Arial"/>
          <w:sz w:val="19"/>
          <w:szCs w:val="19"/>
          <w:color w:val="000000"/>
        </w:rPr>
        <w:t>of Swingline Loans hereunder,</w:t>
      </w:r>
      <w:r>
        <w:rPr>
          <w:rFonts w:ascii="Arial" w:cs="Arial" w:eastAsia="Arial" w:hAnsi="Arial"/>
          <w:sz w:val="19"/>
          <w:szCs w:val="19"/>
          <w:color w:val="0000FF"/>
        </w:rPr>
        <w:t xml:space="preserve"> and/</w:t>
      </w:r>
      <w:r>
        <w:rPr>
          <w:rFonts w:ascii="Arial" w:cs="Arial" w:eastAsia="Arial" w:hAnsi="Arial"/>
          <w:sz w:val="19"/>
          <w:szCs w:val="19"/>
          <w:color w:val="000000"/>
        </w:rPr>
        <w:t>or such other financial</w:t>
      </w:r>
      <w:r>
        <w:rPr>
          <w:rFonts w:ascii="Arial" w:cs="Arial" w:eastAsia="Arial" w:hAnsi="Arial"/>
          <w:sz w:val="19"/>
          <w:szCs w:val="19"/>
          <w:color w:val="0000FF"/>
        </w:rPr>
        <w:t xml:space="preserve"> </w:t>
      </w:r>
      <w:r>
        <w:rPr>
          <w:rFonts w:ascii="Arial" w:cs="Arial" w:eastAsia="Arial" w:hAnsi="Arial"/>
          <w:sz w:val="19"/>
          <w:szCs w:val="19"/>
          <w:color w:val="FF0000"/>
          <w:strike w:val="1"/>
        </w:rPr>
        <w:t>institution who, after the Closing Date,</w:t>
      </w:r>
      <w:r>
        <w:rPr>
          <w:rFonts w:ascii="Arial" w:cs="Arial" w:eastAsia="Arial" w:hAnsi="Arial"/>
          <w:sz w:val="19"/>
          <w:szCs w:val="19"/>
          <w:color w:val="0000FF"/>
        </w:rPr>
        <w:t xml:space="preserve">institutions who </w:t>
      </w:r>
      <w:r>
        <w:rPr>
          <w:rFonts w:ascii="Arial" w:cs="Arial" w:eastAsia="Arial" w:hAnsi="Arial"/>
          <w:sz w:val="19"/>
          <w:szCs w:val="19"/>
          <w:color w:val="000000"/>
        </w:rPr>
        <w:t>shall agree to act in the capacity of</w:t>
      </w:r>
      <w:r>
        <w:rPr>
          <w:rFonts w:ascii="Arial" w:cs="Arial" w:eastAsia="Arial" w:hAnsi="Arial"/>
          <w:sz w:val="19"/>
          <w:szCs w:val="19"/>
          <w:color w:val="0000FF"/>
        </w:rPr>
        <w:t xml:space="preserve"> a </w:t>
      </w:r>
      <w:r>
        <w:rPr>
          <w:rFonts w:ascii="Arial" w:cs="Arial" w:eastAsia="Arial" w:hAnsi="Arial"/>
          <w:sz w:val="19"/>
          <w:szCs w:val="19"/>
          <w:color w:val="000000"/>
        </w:rPr>
        <w:t>lender of Swingline Loans hereunder</w:t>
      </w:r>
      <w:r>
        <w:rPr>
          <w:rFonts w:ascii="Arial" w:cs="Arial" w:eastAsia="Arial" w:hAnsi="Arial"/>
          <w:sz w:val="19"/>
          <w:szCs w:val="19"/>
          <w:color w:val="FF0000"/>
          <w:strike w:val="1"/>
        </w:rPr>
        <w:t>.</w:t>
      </w:r>
      <w:r>
        <w:rPr>
          <w:rFonts w:ascii="Arial" w:cs="Arial" w:eastAsia="Arial" w:hAnsi="Arial"/>
          <w:sz w:val="19"/>
          <w:szCs w:val="19"/>
          <w:color w:val="0000FF"/>
        </w:rPr>
        <w:t>, from time to time.</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shall have the meaning provided in Section 2.1(c).</w:t>
      </w:r>
    </w:p>
    <w:p>
      <w:pPr>
        <w:spacing w:after="0" w:line="32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Maturity Date</w:t>
      </w:r>
      <w:r>
        <w:rPr>
          <w:rFonts w:ascii="Arial" w:cs="Arial" w:eastAsia="Arial" w:hAnsi="Arial"/>
          <w:sz w:val="22"/>
          <w:szCs w:val="22"/>
          <w:color w:val="auto"/>
        </w:rPr>
        <w:t>” shall mean, with respect to any Swingline Loan, the date that is five Business Days prior to the Revolving Credit Maturity Date.</w:t>
      </w:r>
    </w:p>
    <w:p>
      <w:pPr>
        <w:spacing w:after="0" w:line="283" w:lineRule="exact"/>
        <w:rPr>
          <w:sz w:val="20"/>
          <w:szCs w:val="20"/>
          <w:color w:val="auto"/>
        </w:rPr>
      </w:pPr>
    </w:p>
    <w:p>
      <w:pPr>
        <w:ind w:right="6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Agents</w:t>
      </w:r>
      <w:r>
        <w:rPr>
          <w:rFonts w:ascii="Arial" w:cs="Arial" w:eastAsia="Arial" w:hAnsi="Arial"/>
          <w:sz w:val="22"/>
          <w:szCs w:val="22"/>
          <w:color w:val="auto"/>
        </w:rPr>
        <w:t>” shall mean the Persons identified on the cover page of this Agreement as such, in their respective capacities as syndication agent under this Agreement.</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shall have the meaning provided in Section 5.4(a).</w:t>
      </w:r>
    </w:p>
    <w:p>
      <w:pPr>
        <w:spacing w:after="0" w:line="328" w:lineRule="exact"/>
        <w:rPr>
          <w:sz w:val="20"/>
          <w:szCs w:val="20"/>
          <w:color w:val="auto"/>
        </w:rPr>
      </w:pPr>
    </w:p>
    <w:p>
      <w:pPr>
        <w:ind w:right="3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shall mean a 2017 Initial Tranche A Term Loan, a 2019 Extended Tranche A Term Loan, an Initial Tranche B Term Loan, an Incremental Term Loan or any Extended Term Loans, as applicable.</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Extension Request</w:t>
      </w:r>
      <w:r>
        <w:rPr>
          <w:rFonts w:ascii="Arial" w:cs="Arial" w:eastAsia="Arial" w:hAnsi="Arial"/>
          <w:sz w:val="22"/>
          <w:szCs w:val="22"/>
          <w:color w:val="auto"/>
        </w:rPr>
        <w:t>” shall have the meaning provided in Section 2.15(a).</w:t>
      </w:r>
    </w:p>
    <w:p>
      <w:pPr>
        <w:spacing w:after="0" w:line="328" w:lineRule="exact"/>
        <w:rPr>
          <w:sz w:val="20"/>
          <w:szCs w:val="20"/>
          <w:color w:val="auto"/>
        </w:rPr>
      </w:pPr>
    </w:p>
    <w:p>
      <w:pPr>
        <w:jc w:val="both"/>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Facility</w:t>
      </w:r>
      <w:r>
        <w:rPr>
          <w:rFonts w:ascii="Arial" w:cs="Arial" w:eastAsia="Arial" w:hAnsi="Arial"/>
          <w:sz w:val="22"/>
          <w:szCs w:val="22"/>
          <w:color w:val="auto"/>
        </w:rPr>
        <w:t>” shall mean any of the 2017 Initial Tranche A Term Loan Facility, the 2019 Extended Tranche A Term Loan Facility, the Initial Tranche B Term Loan Facility, any Incremental Term Loan Facility and any Extended Term Loan Facility.</w:t>
      </w:r>
    </w:p>
    <w:p>
      <w:pPr>
        <w:spacing w:after="0" w:line="294"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 Period</w:t>
      </w:r>
      <w:r>
        <w:rPr>
          <w:rFonts w:ascii="Arial" w:cs="Arial" w:eastAsia="Arial" w:hAnsi="Arial"/>
          <w:sz w:val="22"/>
          <w:szCs w:val="22"/>
          <w:color w:val="auto"/>
        </w:rPr>
        <w:t>” shall mean, for any determination under this Agreement, the most recent period of four consecutive fiscal quarters of the Borrower ended on or prior to such date of determination (taken as one accounting period) in respect of which Section 9.1 Financials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78</w:t>
      </w:r>
    </w:p>
    <w:p>
      <w:pPr>
        <w:sectPr>
          <w:pgSz w:w="11900" w:h="16838" w:orient="portrait"/>
          <w:cols w:equalWidth="0" w:num="1">
            <w:col w:w="11360"/>
          </w:cols>
          <w:pgMar w:left="240" w:top="294" w:right="299" w:bottom="1440" w:gutter="0" w:footer="0" w:header="0"/>
        </w:sectPr>
      </w:pPr>
    </w:p>
    <w:bookmarkStart w:id="151" w:name="page152"/>
    <w:bookmarkEnd w:id="151"/>
    <w:p>
      <w:pPr>
        <w:ind w:right="320" w:firstLine="1305"/>
        <w:spacing w:after="0" w:line="263" w:lineRule="auto"/>
        <w:tabs>
          <w:tab w:leader="none" w:pos="218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Borrowings of Revolving Credit Loans to reimburse Unpaid Drawings under Letters of Credit shall be made upon the terms set forth in Section 3.3 or Section 3.4(a).</w:t>
      </w:r>
    </w:p>
    <w:p>
      <w:pPr>
        <w:spacing w:after="0" w:line="282" w:lineRule="exact"/>
        <w:rPr>
          <w:rFonts w:ascii="Arial" w:cs="Arial" w:eastAsia="Arial" w:hAnsi="Arial"/>
          <w:sz w:val="22"/>
          <w:szCs w:val="22"/>
          <w:color w:val="auto"/>
        </w:rPr>
      </w:pPr>
    </w:p>
    <w:p>
      <w:pPr>
        <w:ind w:right="120" w:firstLine="1305"/>
        <w:spacing w:after="0" w:line="248" w:lineRule="auto"/>
        <w:tabs>
          <w:tab w:leader="none" w:pos="216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 In each such case, the Borrower hereby waives the right to dispute the Administrative Agent's record of the terms of any such telephonic notice.</w:t>
      </w:r>
    </w:p>
    <w:p>
      <w:pPr>
        <w:spacing w:after="0" w:line="138" w:lineRule="exact"/>
        <w:rPr>
          <w:rFonts w:ascii="Arial" w:cs="Arial" w:eastAsia="Arial" w:hAnsi="Arial"/>
          <w:sz w:val="22"/>
          <w:szCs w:val="22"/>
          <w:color w:val="auto"/>
        </w:rPr>
      </w:pPr>
    </w:p>
    <w:p>
      <w:pPr>
        <w:jc w:val="both"/>
        <w:ind w:right="140" w:firstLine="1305"/>
        <w:spacing w:after="0" w:line="250" w:lineRule="auto"/>
        <w:tabs>
          <w:tab w:leader="none" w:pos="219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the Borrower fails to specify a Type of Loan in a Notice of Borrowing then the applicable Term Loans or Revolving Credit Loans shall be made as Eurodollar Loans with an Interest Period of one (1) month. If the Borrower requests a Borrowing of Eurodollar Loans in any such Notice of Borrowing, but fails to specify an Interest Period, it will be deemed to have specified an Interest Period of one (1) month.</w:t>
      </w:r>
    </w:p>
    <w:p>
      <w:pPr>
        <w:spacing w:after="0" w:line="134" w:lineRule="exact"/>
        <w:rPr>
          <w:sz w:val="20"/>
          <w:szCs w:val="20"/>
          <w:color w:val="auto"/>
        </w:rPr>
      </w:pPr>
    </w:p>
    <w:p>
      <w:pPr>
        <w:ind w:right="40" w:firstLine="1945"/>
        <w:spacing w:after="0" w:line="25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Disbursement of Funds.</w:t>
      </w:r>
      <w:r>
        <w:rPr>
          <w:rFonts w:ascii="Arial" w:cs="Arial" w:eastAsia="Arial" w:hAnsi="Arial"/>
          <w:sz w:val="21"/>
          <w:szCs w:val="21"/>
          <w:color w:val="auto"/>
        </w:rPr>
        <w:t xml:space="preserve"> (a) No later than 2:00 p.m. (New York City time) on the date specified in each Notice of Borrowing (including Mandatory Borrowings and Borrowings to reimburse Unpaid Drawings under Letters of Credit), each Lender will make available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portion, if any, of each Borrowing requested to be made on such date in the manner provided below;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on the Closing Date (or with respect to any Incremental Facilities, on the relevant Incremental Facility Closing Date), such funds may be made available at such earlier time as may be agreed among the relevant Lenders, the Borrower and the Administrative Agent for the purpose of consummating the Transactions;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all Swingline Loans shall be made available to the Borrower in the full amount thereof by the Swingline Lender no later than </w:t>
      </w:r>
      <w:r>
        <w:rPr>
          <w:rFonts w:ascii="Arial" w:cs="Arial" w:eastAsia="Arial" w:hAnsi="Arial"/>
          <w:sz w:val="21"/>
          <w:szCs w:val="21"/>
          <w:color w:val="FF0000"/>
          <w:strike w:val="1"/>
        </w:rPr>
        <w:t>3</w:t>
      </w:r>
      <w:r>
        <w:rPr>
          <w:rFonts w:ascii="Arial" w:cs="Arial" w:eastAsia="Arial" w:hAnsi="Arial"/>
          <w:sz w:val="21"/>
          <w:szCs w:val="21"/>
          <w:color w:val="0000FF"/>
        </w:rPr>
        <w:t>4</w:t>
      </w:r>
      <w:r>
        <w:rPr>
          <w:rFonts w:ascii="Arial" w:cs="Arial" w:eastAsia="Arial" w:hAnsi="Arial"/>
          <w:sz w:val="21"/>
          <w:szCs w:val="21"/>
          <w:color w:val="auto"/>
        </w:rPr>
        <w:t>:</w:t>
      </w:r>
      <w:r>
        <w:rPr>
          <w:rFonts w:ascii="Arial" w:cs="Arial" w:eastAsia="Arial" w:hAnsi="Arial"/>
          <w:sz w:val="21"/>
          <w:szCs w:val="21"/>
          <w:color w:val="FF0000"/>
          <w:strike w:val="1"/>
        </w:rPr>
        <w:t>30</w:t>
      </w:r>
      <w:r>
        <w:rPr>
          <w:rFonts w:ascii="Arial" w:cs="Arial" w:eastAsia="Arial" w:hAnsi="Arial"/>
          <w:sz w:val="21"/>
          <w:szCs w:val="21"/>
          <w:color w:val="0000FF"/>
        </w:rPr>
        <w:t>00</w:t>
      </w:r>
      <w:r>
        <w:rPr>
          <w:rFonts w:ascii="Arial" w:cs="Arial" w:eastAsia="Arial" w:hAnsi="Arial"/>
          <w:sz w:val="21"/>
          <w:szCs w:val="21"/>
          <w:color w:val="auto"/>
        </w:rPr>
        <w:t xml:space="preserve"> p.m. (New York City time) on the date requested.</w:t>
      </w:r>
    </w:p>
    <w:p>
      <w:pPr>
        <w:spacing w:after="0" w:line="130" w:lineRule="exact"/>
        <w:rPr>
          <w:sz w:val="20"/>
          <w:szCs w:val="20"/>
          <w:color w:val="auto"/>
        </w:rPr>
      </w:pPr>
    </w:p>
    <w:p>
      <w:pPr>
        <w:ind w:firstLine="1305"/>
        <w:spacing w:after="0" w:line="286" w:lineRule="auto"/>
        <w:tabs>
          <w:tab w:leader="none" w:pos="176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Each Lender shall make available all amounts it is to fund to the Borrower under any Borrowing for its applicable Commitments in immediately available funds to the Administrative Agent at the Administrative Agent's Office and the Administrative Agent will (except in the case of Mandatory Borrowings and Borrowings to repay Unpaid Drawings under Letters of Credit) make available to the Borrower, by depositing to an account designated by the Borrower to the Administrative Agent in writing,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same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The Administrative Agent shall also be entitled to recover from such Lender or the Borrower, as the case may be, interest on such corresponding amount in</w:t>
      </w:r>
    </w:p>
    <w:p>
      <w:pPr>
        <w:spacing w:after="0" w:line="106"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0000FF"/>
        </w:rPr>
        <w:t>9</w:t>
      </w:r>
      <w:r>
        <w:rPr>
          <w:rFonts w:ascii="Arial" w:cs="Arial" w:eastAsia="Arial" w:hAnsi="Arial"/>
          <w:sz w:val="19"/>
          <w:szCs w:val="19"/>
          <w:color w:val="000000"/>
        </w:rPr>
        <w:t>0</w:t>
      </w:r>
    </w:p>
    <w:p>
      <w:pPr>
        <w:sectPr>
          <w:pgSz w:w="11900" w:h="16838" w:orient="portrait"/>
          <w:cols w:equalWidth="0" w:num="1">
            <w:col w:w="11380"/>
          </w:cols>
          <w:pgMar w:left="240" w:top="293" w:right="279" w:bottom="1440" w:gutter="0" w:footer="0" w:header="0"/>
        </w:sectPr>
      </w:pPr>
    </w:p>
    <w:bookmarkStart w:id="152" w:name="page153"/>
    <w:bookmarkEnd w:id="152"/>
    <w:p>
      <w:pPr>
        <w:ind w:right="120"/>
        <w:spacing w:after="0" w:line="297" w:lineRule="auto"/>
        <w:rPr>
          <w:sz w:val="20"/>
          <w:szCs w:val="20"/>
          <w:color w:val="auto"/>
        </w:rPr>
      </w:pPr>
      <w:r>
        <w:rPr>
          <w:rFonts w:ascii="Arial" w:cs="Arial" w:eastAsia="Arial" w:hAnsi="Arial"/>
          <w:sz w:val="19"/>
          <w:szCs w:val="19"/>
          <w:color w:val="auto"/>
        </w:rPr>
        <w:t>such difference may be used for the purposes of determining any baskets (other than any previously contributed Cure Amounts), with respect to the covenants contained in the Credit Documents, the Available Amount or the Available Equity Amount and (ii) less than the Necessary Cure Amount, then not later than the applicable Cure Deadline, the Borrower must receive the cash proceeds from the issuance of Capital Stock or a cash capital contribution to Holdings, which cash proceeds received by Borrower shall be equal to the shortfall between such Expected Cure Amount and such Necessary Cure Amount.</w:t>
      </w:r>
    </w:p>
    <w:p>
      <w:pPr>
        <w:spacing w:after="0" w:line="53"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The Administrative Agent and the Collateral Agent</w:t>
      </w:r>
    </w:p>
    <w:p>
      <w:pPr>
        <w:spacing w:after="0" w:line="179" w:lineRule="exact"/>
        <w:rPr>
          <w:sz w:val="20"/>
          <w:szCs w:val="20"/>
          <w:color w:val="auto"/>
        </w:rPr>
      </w:pPr>
    </w:p>
    <w:p>
      <w:pPr>
        <w:ind w:left="1960"/>
        <w:spacing w:after="0"/>
        <w:tabs>
          <w:tab w:leader="none" w:pos="25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 xml:space="preserve">Appointment. </w:t>
      </w:r>
      <w:r>
        <w:rPr>
          <w:rFonts w:ascii="Arial" w:cs="Arial" w:eastAsia="Arial" w:hAnsi="Arial"/>
          <w:sz w:val="19"/>
          <w:szCs w:val="19"/>
          <w:color w:val="auto"/>
        </w:rPr>
        <w:t>(a) Each of the Lenders and the Letter of Credit</w:t>
      </w:r>
    </w:p>
    <w:p>
      <w:pPr>
        <w:spacing w:after="0" w:line="22" w:lineRule="exact"/>
        <w:rPr>
          <w:sz w:val="20"/>
          <w:szCs w:val="20"/>
          <w:color w:val="auto"/>
        </w:rPr>
      </w:pPr>
    </w:p>
    <w:p>
      <w:pPr>
        <w:jc w:val="both"/>
        <w:ind w:right="300"/>
        <w:spacing w:after="0" w:line="281" w:lineRule="auto"/>
        <w:rPr>
          <w:sz w:val="20"/>
          <w:szCs w:val="20"/>
          <w:color w:val="auto"/>
        </w:rPr>
      </w:pPr>
      <w:r>
        <w:rPr>
          <w:rFonts w:ascii="Arial" w:cs="Arial" w:eastAsia="Arial" w:hAnsi="Arial"/>
          <w:sz w:val="19"/>
          <w:szCs w:val="19"/>
          <w:color w:val="auto"/>
        </w:rPr>
        <w:t xml:space="preserve">Issuers hereby irrevocably appoints </w:t>
      </w:r>
      <w:r>
        <w:rPr>
          <w:rFonts w:ascii="Arial" w:cs="Arial" w:eastAsia="Arial" w:hAnsi="Arial"/>
          <w:sz w:val="19"/>
          <w:szCs w:val="19"/>
          <w:color w:val="FF0000"/>
          <w:strike w:val="1"/>
        </w:rPr>
        <w:t>Bank of America, N.A.</w:t>
      </w:r>
      <w:r>
        <w:rPr>
          <w:rFonts w:ascii="Arial" w:cs="Arial" w:eastAsia="Arial" w:hAnsi="Arial"/>
          <w:sz w:val="19"/>
          <w:szCs w:val="19"/>
          <w:color w:val="0000FF"/>
        </w:rPr>
        <w:t>JPMorgan</w:t>
      </w:r>
      <w:r>
        <w:rPr>
          <w:rFonts w:ascii="Arial" w:cs="Arial" w:eastAsia="Arial" w:hAnsi="Arial"/>
          <w:sz w:val="19"/>
          <w:szCs w:val="19"/>
          <w:color w:val="auto"/>
        </w:rPr>
        <w:t xml:space="preserve">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w:t>
      </w:r>
    </w:p>
    <w:p>
      <w:pPr>
        <w:spacing w:after="0" w:line="2" w:lineRule="exact"/>
        <w:rPr>
          <w:sz w:val="20"/>
          <w:szCs w:val="20"/>
          <w:color w:val="auto"/>
        </w:rPr>
      </w:pPr>
    </w:p>
    <w:p>
      <w:pPr>
        <w:ind w:right="3100"/>
        <w:spacing w:after="0" w:line="281" w:lineRule="auto"/>
        <w:rPr>
          <w:sz w:val="20"/>
          <w:szCs w:val="20"/>
          <w:color w:val="auto"/>
        </w:rPr>
      </w:pPr>
      <w:r>
        <w:rPr>
          <w:rFonts w:ascii="Arial" w:cs="Arial" w:eastAsia="Arial" w:hAnsi="Arial"/>
          <w:sz w:val="19"/>
          <w:szCs w:val="19"/>
          <w:color w:val="auto"/>
        </w:rPr>
        <w:t>and powers as are reasonably incidental thereto. It is understood and agreed that the use of the term “agent” herein or in any other Credit Documents (or any other similar term) with reference</w:t>
      </w:r>
    </w:p>
    <w:p>
      <w:pPr>
        <w:spacing w:after="0" w:line="2" w:lineRule="exact"/>
        <w:rPr>
          <w:sz w:val="20"/>
          <w:szCs w:val="20"/>
          <w:color w:val="auto"/>
        </w:rPr>
      </w:pPr>
    </w:p>
    <w:p>
      <w:pPr>
        <w:jc w:val="both"/>
        <w:ind w:right="100"/>
        <w:spacing w:after="0" w:line="245" w:lineRule="auto"/>
        <w:rPr>
          <w:sz w:val="20"/>
          <w:szCs w:val="20"/>
          <w:color w:val="auto"/>
        </w:rPr>
      </w:pPr>
      <w:r>
        <w:rPr>
          <w:rFonts w:ascii="Arial" w:cs="Arial" w:eastAsia="Arial" w:hAnsi="Arial"/>
          <w:sz w:val="22"/>
          <w:szCs w:val="22"/>
          <w:color w:val="auto"/>
        </w:rPr>
        <w:t>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3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Administrative Agent shall also act as the “Collateral Agent”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under the Credit Documents, and each of the Lenders (including in its capacities as a potential</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Hedge Bank and a potential Cash Management Bank) and the Letter of Credit Issuer hereby irrevocably appoints and authorizes the Administrative Agent to act as the agent of such Lender</w:t>
      </w:r>
    </w:p>
    <w:p>
      <w:pPr>
        <w:spacing w:after="0" w:line="1" w:lineRule="exact"/>
        <w:rPr>
          <w:sz w:val="20"/>
          <w:szCs w:val="20"/>
          <w:color w:val="auto"/>
        </w:rPr>
      </w:pPr>
    </w:p>
    <w:p>
      <w:pPr>
        <w:ind w:right="3000"/>
        <w:spacing w:after="0" w:line="281" w:lineRule="auto"/>
        <w:rPr>
          <w:sz w:val="20"/>
          <w:szCs w:val="20"/>
          <w:color w:val="auto"/>
        </w:rPr>
      </w:pPr>
      <w:r>
        <w:rPr>
          <w:rFonts w:ascii="Arial" w:cs="Arial" w:eastAsia="Arial" w:hAnsi="Arial"/>
          <w:sz w:val="19"/>
          <w:szCs w:val="19"/>
          <w:color w:val="auto"/>
        </w:rPr>
        <w:t>and the Letter of Credit Issuer for purposes of acquiring, holding and enforcing any and all Liens on Collateral granted under the Security Documents to secure any of the Obligations, together</w:t>
      </w:r>
    </w:p>
    <w:p>
      <w:pPr>
        <w:spacing w:after="0" w:line="2" w:lineRule="exact"/>
        <w:rPr>
          <w:sz w:val="20"/>
          <w:szCs w:val="20"/>
          <w:color w:val="auto"/>
        </w:rPr>
      </w:pPr>
    </w:p>
    <w:p>
      <w:pPr>
        <w:jc w:val="both"/>
        <w:ind w:right="260"/>
        <w:spacing w:after="0" w:line="243" w:lineRule="auto"/>
        <w:rPr>
          <w:sz w:val="20"/>
          <w:szCs w:val="20"/>
          <w:color w:val="auto"/>
        </w:rPr>
      </w:pPr>
      <w:r>
        <w:rPr>
          <w:rFonts w:ascii="Arial" w:cs="Arial" w:eastAsia="Arial" w:hAnsi="Arial"/>
          <w:sz w:val="22"/>
          <w:szCs w:val="22"/>
          <w:color w:val="auto"/>
        </w:rPr>
        <w:t>with such powers and discretion as are reasonably incidental thereto. In this connection, the Administrative Agent, as “Collateral Agent”, and any co-agents, sub-agents and attorneys-in-fact appointed by the Administrative Agent pursuant to Section 12.2 for purposes of holding 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enforcing any Lien on the Collateral (or any portion thereof) granted under the Security</w:t>
      </w:r>
    </w:p>
    <w:p>
      <w:pPr>
        <w:spacing w:after="0" w:line="4"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Documents, or for exercising any rights and remedies thereunder at the direction of the Administrative Agent), shall be entitled to the benefits of all provisions of this Section 12 and Section 13 (including Section 13.5(a), as though such co-agents, sub-agents and attorneys-in-fact were the “Collateral Agent” under the Credit Documents) as if set forth in full herein with respect thereto.</w:t>
      </w:r>
    </w:p>
    <w:p>
      <w:pPr>
        <w:spacing w:after="0" w:line="142" w:lineRule="exact"/>
        <w:rPr>
          <w:sz w:val="20"/>
          <w:szCs w:val="20"/>
          <w:color w:val="auto"/>
        </w:rPr>
      </w:pPr>
    </w:p>
    <w:p>
      <w:pPr>
        <w:ind w:right="40" w:firstLine="1945"/>
        <w:spacing w:after="0" w:line="251"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 xml:space="preserve"> The Administrative Agent and the Collateral Agent may perform any and all of its duties and exercise its rights and powers hereunder or</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under any other Credit Document by or through any one or more sub-agents appointed by the Administrative Agent or the Collateral Agent, as applicable. The Administrative Agent, the Collateral Agent and any such sub-agent may perform any and all of its duties and exercise their respective rights and powers by or through their respective Related Parties. The exculpatory provisions of this Section 12 shall apply to any such sub-agent and to the Related Parties of the Administrative Agent, the Collateral Agent and any such sub-agent, and shall apply to their respective activities in connection with the syndication of the credit facilities provided for herein</w:t>
      </w:r>
    </w:p>
    <w:p>
      <w:pPr>
        <w:spacing w:after="0" w:line="235"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194</w:t>
      </w:r>
    </w:p>
    <w:p>
      <w:pPr>
        <w:sectPr>
          <w:pgSz w:w="11900" w:h="16838" w:orient="portrait"/>
          <w:cols w:equalWidth="0" w:num="1">
            <w:col w:w="11400"/>
          </w:cols>
          <w:pgMar w:left="240" w:top="131" w:right="259" w:bottom="1440" w:gutter="0" w:footer="0" w:header="0"/>
        </w:sectPr>
      </w:pPr>
    </w:p>
    <w:bookmarkStart w:id="153" w:name="page154"/>
    <w:bookmarkEnd w:id="153"/>
    <w:p>
      <w:pPr>
        <w:ind w:right="220"/>
        <w:spacing w:after="0" w:line="263" w:lineRule="auto"/>
        <w:rPr>
          <w:sz w:val="20"/>
          <w:szCs w:val="20"/>
          <w:color w:val="auto"/>
        </w:rPr>
      </w:pPr>
      <w:r>
        <w:rPr>
          <w:rFonts w:ascii="Arial" w:cs="Arial" w:eastAsia="Arial" w:hAnsi="Arial"/>
          <w:sz w:val="22"/>
          <w:szCs w:val="22"/>
          <w:color w:val="auto"/>
        </w:rPr>
        <w:t>them while the retiring Administrative Agent or Collateral Agent, as applicable, was acting as Administrative Agent or Collateral Agent, as applicable.</w:t>
      </w:r>
    </w:p>
    <w:p>
      <w:pPr>
        <w:spacing w:after="0" w:line="148" w:lineRule="exact"/>
        <w:rPr>
          <w:sz w:val="20"/>
          <w:szCs w:val="20"/>
          <w:color w:val="auto"/>
        </w:rPr>
      </w:pPr>
    </w:p>
    <w:p>
      <w:pPr>
        <w:ind w:left="120" w:right="20" w:firstLine="1296"/>
        <w:spacing w:after="0" w:line="287" w:lineRule="auto"/>
        <w:rPr>
          <w:sz w:val="20"/>
          <w:szCs w:val="20"/>
          <w:color w:val="auto"/>
        </w:rPr>
      </w:pPr>
      <w:r>
        <w:rPr>
          <w:rFonts w:ascii="Arial" w:cs="Arial" w:eastAsia="Arial" w:hAnsi="Arial"/>
          <w:sz w:val="19"/>
          <w:szCs w:val="19"/>
          <w:color w:val="auto"/>
        </w:rPr>
        <w:t xml:space="preserve">Any resignation or replacement by </w:t>
      </w:r>
      <w:r>
        <w:rPr>
          <w:rFonts w:ascii="Arial" w:cs="Arial" w:eastAsia="Arial" w:hAnsi="Arial"/>
          <w:sz w:val="19"/>
          <w:szCs w:val="19"/>
          <w:color w:val="FF0000"/>
          <w:strike w:val="1"/>
        </w:rPr>
        <w:t>Bank of America</w:t>
      </w:r>
      <w:r>
        <w:rPr>
          <w:rFonts w:ascii="Arial" w:cs="Arial" w:eastAsia="Arial" w:hAnsi="Arial"/>
          <w:sz w:val="19"/>
          <w:szCs w:val="19"/>
          <w:color w:val="0000FF"/>
        </w:rPr>
        <w:t>JPMorgan</w:t>
      </w:r>
      <w:r>
        <w:rPr>
          <w:rFonts w:ascii="Arial" w:cs="Arial" w:eastAsia="Arial" w:hAnsi="Arial"/>
          <w:sz w:val="19"/>
          <w:szCs w:val="19"/>
          <w:color w:val="auto"/>
        </w:rPr>
        <w:t xml:space="preserve"> as Administrative Agent pursuant to this Section shall also constitute its resignation or replacement as Letter of Credit Issuer and Swingline Lender. If </w:t>
      </w:r>
      <w:r>
        <w:rPr>
          <w:rFonts w:ascii="Arial" w:cs="Arial" w:eastAsia="Arial" w:hAnsi="Arial"/>
          <w:sz w:val="19"/>
          <w:szCs w:val="19"/>
          <w:color w:val="FF0000"/>
          <w:strike w:val="1"/>
        </w:rPr>
        <w:t>Bank of America</w:t>
      </w:r>
      <w:r>
        <w:rPr>
          <w:rFonts w:ascii="Arial" w:cs="Arial" w:eastAsia="Arial" w:hAnsi="Arial"/>
          <w:sz w:val="19"/>
          <w:szCs w:val="19"/>
          <w:color w:val="0000FF"/>
        </w:rPr>
        <w:t>JPMorgan</w:t>
      </w:r>
      <w:r>
        <w:rPr>
          <w:rFonts w:ascii="Arial" w:cs="Arial" w:eastAsia="Arial" w:hAnsi="Arial"/>
          <w:sz w:val="19"/>
          <w:szCs w:val="19"/>
          <w:color w:val="auto"/>
        </w:rPr>
        <w:t xml:space="preserve"> resigns or is replaced as a Letter of Credit Issuer, it shall retain all the rights, powers, privileges and duties of the Letter of Credit Issuer hereunder with respect to all Letters of Credit outstanding as of the effective date of its resignation or replacement as Letter of Credit Issuer and all Letter of Credit Obligations with respect thereto, including the right to require the Lenders to make Revolving Credit Loans or fund risk participations in Unpaid Drawings pursuant to Section 3.3. If </w:t>
      </w:r>
      <w:r>
        <w:rPr>
          <w:rFonts w:ascii="Arial" w:cs="Arial" w:eastAsia="Arial" w:hAnsi="Arial"/>
          <w:sz w:val="19"/>
          <w:szCs w:val="19"/>
          <w:color w:val="FF0000"/>
          <w:strike w:val="1"/>
        </w:rPr>
        <w:t>Bank of America</w:t>
      </w:r>
      <w:r>
        <w:rPr>
          <w:rFonts w:ascii="Arial" w:cs="Arial" w:eastAsia="Arial" w:hAnsi="Arial"/>
          <w:sz w:val="19"/>
          <w:szCs w:val="19"/>
          <w:color w:val="0000FF"/>
        </w:rPr>
        <w:t>JPMorgan</w:t>
      </w:r>
      <w:r>
        <w:rPr>
          <w:rFonts w:ascii="Arial" w:cs="Arial" w:eastAsia="Arial" w:hAnsi="Arial"/>
          <w:sz w:val="19"/>
          <w:szCs w:val="19"/>
          <w:color w:val="auto"/>
        </w:rPr>
        <w:t xml:space="preserve"> resigns as Swingline Lender, it shall retain all the rights of the Swingline Lender provided for hereunder with respect to Swingline Loans made by it and outstanding as of the effective date of such resignation, including the right to require the Lenders to make Revolving Credit Loans or fund risk participations in outstanding Swingline Loans pursuant to Section 2.1(f). Upon the appointment by the Borrower of a successor Letter of Credit Issuer or Swingline Lender hereunder (which successor shall in all cases be a Lender other than a Defaulting Lender), (a) such successor shall succeed to and become vested with all of the rights, powers, privileges and duties of the retiring Letter of Credit Issuer or Swingline Lender, as applicable, (b) the retiring Letter of Credit Issuer and Swingline Lender shall be discharged from all of their respective duties and obligations hereunder or under the other Credit Documents, and (c) the successor Letter of Credit Issuer shall issue letters of credit in substitution for the Letters of Credit, if any, outstanding at the time of such succession or make other arrangements satisfactory to </w:t>
      </w:r>
      <w:r>
        <w:rPr>
          <w:rFonts w:ascii="Arial" w:cs="Arial" w:eastAsia="Arial" w:hAnsi="Arial"/>
          <w:sz w:val="19"/>
          <w:szCs w:val="19"/>
          <w:color w:val="FF0000"/>
          <w:strike w:val="1"/>
        </w:rPr>
        <w:t>Bank of America</w:t>
      </w:r>
      <w:r>
        <w:rPr>
          <w:rFonts w:ascii="Arial" w:cs="Arial" w:eastAsia="Arial" w:hAnsi="Arial"/>
          <w:sz w:val="19"/>
          <w:szCs w:val="19"/>
          <w:color w:val="0000FF"/>
        </w:rPr>
        <w:t>JPMorgan</w:t>
      </w:r>
      <w:r>
        <w:rPr>
          <w:rFonts w:ascii="Arial" w:cs="Arial" w:eastAsia="Arial" w:hAnsi="Arial"/>
          <w:sz w:val="19"/>
          <w:szCs w:val="19"/>
          <w:color w:val="auto"/>
        </w:rPr>
        <w:t xml:space="preserve"> to effectively assume the obligations of </w:t>
      </w:r>
      <w:r>
        <w:rPr>
          <w:rFonts w:ascii="Arial" w:cs="Arial" w:eastAsia="Arial" w:hAnsi="Arial"/>
          <w:sz w:val="19"/>
          <w:szCs w:val="19"/>
          <w:color w:val="FF0000"/>
          <w:strike w:val="1"/>
        </w:rPr>
        <w:t>Bank of America</w:t>
      </w:r>
      <w:r>
        <w:rPr>
          <w:rFonts w:ascii="Arial" w:cs="Arial" w:eastAsia="Arial" w:hAnsi="Arial"/>
          <w:sz w:val="19"/>
          <w:szCs w:val="19"/>
          <w:color w:val="0000FF"/>
        </w:rPr>
        <w:t>JPMorgan</w:t>
      </w:r>
      <w:r>
        <w:rPr>
          <w:rFonts w:ascii="Arial" w:cs="Arial" w:eastAsia="Arial" w:hAnsi="Arial"/>
          <w:sz w:val="19"/>
          <w:szCs w:val="19"/>
          <w:color w:val="auto"/>
        </w:rPr>
        <w:t xml:space="preserve"> with respect to such Letters of Credit.</w:t>
      </w:r>
    </w:p>
    <w:p>
      <w:pPr>
        <w:spacing w:after="0" w:line="141" w:lineRule="exact"/>
        <w:rPr>
          <w:sz w:val="20"/>
          <w:szCs w:val="20"/>
          <w:color w:val="auto"/>
        </w:rPr>
      </w:pPr>
    </w:p>
    <w:p>
      <w:pPr>
        <w:ind w:firstLine="1945"/>
        <w:spacing w:after="0" w:line="288"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u w:val="single" w:color="auto"/>
          <w:color w:val="auto"/>
        </w:rPr>
        <w:t>Withholding Tax.</w:t>
      </w:r>
      <w:r>
        <w:rPr>
          <w:rFonts w:ascii="Arial" w:cs="Arial" w:eastAsia="Arial" w:hAnsi="Arial"/>
          <w:sz w:val="19"/>
          <w:szCs w:val="19"/>
          <w:color w:val="auto"/>
        </w:rPr>
        <w:t xml:space="preserve"> To the extent required by any applicable law, the Administrative Agent may withhold from any interest payment to any Lender an amount equivalent to any applicable withholding tax, except taxes imposed as a result of a current or former connection unrelated to this Agreement between the Administrative Agent and any jurisdiction outside of the United States imposing such tax. 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60" w:lineRule="exact"/>
        <w:rPr>
          <w:sz w:val="20"/>
          <w:szCs w:val="20"/>
          <w:color w:val="auto"/>
        </w:rPr>
      </w:pPr>
    </w:p>
    <w:p>
      <w:pPr>
        <w:ind w:right="40" w:firstLine="1945"/>
        <w:spacing w:after="0" w:line="248"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Rights as a Lender.</w:t>
      </w:r>
      <w:r>
        <w:rPr>
          <w:rFonts w:ascii="Arial" w:cs="Arial" w:eastAsia="Arial" w:hAnsi="Arial"/>
          <w:sz w:val="22"/>
          <w:szCs w:val="22"/>
          <w:color w:val="auto"/>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w:t>
      </w:r>
    </w:p>
    <w:p>
      <w:pPr>
        <w:spacing w:after="0" w:line="138"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NYDOCS</w:t>
      </w:r>
      <w:r>
        <w:rPr>
          <w:rFonts w:ascii="Arial" w:cs="Arial" w:eastAsia="Arial" w:hAnsi="Arial"/>
          <w:sz w:val="14"/>
          <w:szCs w:val="14"/>
          <w:color w:val="FF0000"/>
          <w:strike w:val="1"/>
        </w:rPr>
        <w:t>02/996722.8</w:t>
      </w:r>
      <w:r>
        <w:rPr>
          <w:rFonts w:ascii="Arial" w:cs="Arial" w:eastAsia="Arial" w:hAnsi="Arial"/>
          <w:sz w:val="14"/>
          <w:szCs w:val="14"/>
          <w:color w:val="0000FF"/>
        </w:rPr>
        <w:t>01/1378372.11</w:t>
      </w:r>
      <w:r>
        <w:rPr>
          <w:sz w:val="20"/>
          <w:szCs w:val="20"/>
          <w:color w:val="auto"/>
        </w:rPr>
        <w:tab/>
      </w:r>
      <w:r>
        <w:rPr>
          <w:rFonts w:ascii="Arial" w:cs="Arial" w:eastAsia="Arial" w:hAnsi="Arial"/>
          <w:sz w:val="19"/>
          <w:szCs w:val="19"/>
          <w:color w:val="auto"/>
        </w:rPr>
        <w:t>199</w:t>
      </w:r>
    </w:p>
    <w:p>
      <w:pPr>
        <w:sectPr>
          <w:pgSz w:w="11900" w:h="16838" w:orient="portrait"/>
          <w:cols w:equalWidth="0" w:num="1">
            <w:col w:w="11420"/>
          </w:cols>
          <w:pgMar w:left="240" w:top="13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color w:val="0000FF"/>
        </w:rPr>
        <w:t>Schedule 13.2</w:t>
      </w:r>
    </w:p>
    <w:p>
      <w:pPr>
        <w:spacing w:after="0" w:line="31" w:lineRule="exact"/>
        <w:rPr>
          <w:sz w:val="20"/>
          <w:szCs w:val="20"/>
          <w:color w:val="auto"/>
        </w:rPr>
      </w:pPr>
    </w:p>
    <w:p>
      <w:pPr>
        <w:ind w:left="3240"/>
        <w:spacing w:after="0"/>
        <w:rPr>
          <w:sz w:val="20"/>
          <w:szCs w:val="20"/>
          <w:color w:val="auto"/>
        </w:rPr>
      </w:pPr>
      <w:r>
        <w:rPr>
          <w:rFonts w:ascii="Arial" w:cs="Arial" w:eastAsia="Arial" w:hAnsi="Arial"/>
          <w:sz w:val="22"/>
          <w:szCs w:val="22"/>
          <w:color w:val="0000FF"/>
        </w:rPr>
        <w:t>Addresses for Notices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000FF"/>
        </w:rPr>
        <w:t>To the Administrative Agent:</w:t>
      </w:r>
    </w:p>
    <w:p>
      <w:pPr>
        <w:spacing w:after="0" w:line="200" w:lineRule="exact"/>
        <w:rPr>
          <w:sz w:val="20"/>
          <w:szCs w:val="20"/>
          <w:color w:val="auto"/>
        </w:rPr>
      </w:pPr>
    </w:p>
    <w:p>
      <w:pPr>
        <w:spacing w:after="0" w:line="249"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JPMorgan Chase Bank, N A</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Loan and Agency Services Group</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500 Stanton Christiana Road, Ops 2, Floor 3 Newark, DE 19713-2107</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Attention: Pranay Tyagi</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Tel: (302) 634-8799</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Fax: (302) 634-8459</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Email: pranay.tyagi@jpmorgan.com</w:t>
      </w:r>
    </w:p>
    <w:p>
      <w:pPr>
        <w:spacing w:after="0" w:line="202"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With a copy to:</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Evelyn Crisci</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Tel: (212) 270-9854</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Email: evelyn.x.crisci@jpmorgan.com 383 Madison Avenue, Floor 23</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0000FF"/>
        </w:rPr>
        <w:t>New York, NY 10179</w:t>
      </w:r>
    </w:p>
    <w:p>
      <w:pPr>
        <w:sectPr>
          <w:pgSz w:w="11900" w:h="16838" w:orient="portrait"/>
          <w:cols w:equalWidth="0" w:num="1">
            <w:col w:w="11420"/>
          </w:cols>
          <w:pgMar w:left="240" w:top="186"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 AGREEMENT</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FIRST AMENDMENT TO STOCKHOLDERS’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and entered into as of September 24, 2014, by and between LPL Financial Holdings Inc., a Delaware corporation (f/k/a LPL Investment Holdings Inc., “</w:t>
      </w:r>
      <w:r>
        <w:rPr>
          <w:rFonts w:ascii="Arial" w:cs="Arial" w:eastAsia="Arial" w:hAnsi="Arial"/>
          <w:sz w:val="19"/>
          <w:szCs w:val="19"/>
          <w:u w:val="single" w:color="auto"/>
          <w:color w:val="auto"/>
        </w:rPr>
        <w:t>LPL</w:t>
      </w:r>
      <w:r>
        <w:rPr>
          <w:rFonts w:ascii="Arial" w:cs="Arial" w:eastAsia="Arial" w:hAnsi="Arial"/>
          <w:sz w:val="19"/>
          <w:szCs w:val="19"/>
          <w:color w:val="auto"/>
        </w:rPr>
        <w:t>”), and TPG Partners IV, L.P., a Delaware limited partnership (“</w:t>
      </w:r>
      <w:r>
        <w:rPr>
          <w:rFonts w:ascii="Arial" w:cs="Arial" w:eastAsia="Arial" w:hAnsi="Arial"/>
          <w:sz w:val="19"/>
          <w:szCs w:val="19"/>
          <w:u w:val="single" w:color="auto"/>
          <w:color w:val="auto"/>
        </w:rPr>
        <w:t>TPG</w:t>
      </w:r>
      <w:r>
        <w:rPr>
          <w:rFonts w:ascii="Arial" w:cs="Arial" w:eastAsia="Arial" w:hAnsi="Arial"/>
          <w:sz w:val="19"/>
          <w:szCs w:val="19"/>
          <w:color w:val="auto"/>
        </w:rPr>
        <w:t>”). Capitalized terms used in this Amendment and not otherwise defined herein shall have the respective meanings assigned to such terms in that certain Stockholders’ Agreement, dated as of November 23, 2010, by and among the Company, TPG and the other parties thereto (the “</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TPG and the other parties thereto entered into the Stockholders Agreement in order to provide for certain governance rights and to set forth the respective rights and obligations of the stockholders following LPL’s initial public offering;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hereto desire to amend the Stockholders Agreement on the terms set forth herein.</w:t>
      </w:r>
    </w:p>
    <w:p>
      <w:pPr>
        <w:spacing w:after="0" w:line="2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NOW, THEREFORE, in consideration of the premises and of the respective covenants and agreements contained herein and in the Stockholders Agreement, the parties hereto, intending to be legally bound, hereby agree as follows:</w:t>
      </w:r>
    </w:p>
    <w:p>
      <w:pPr>
        <w:spacing w:after="0" w:line="152" w:lineRule="exact"/>
        <w:rPr>
          <w:sz w:val="20"/>
          <w:szCs w:val="20"/>
          <w:color w:val="auto"/>
        </w:rPr>
      </w:pPr>
    </w:p>
    <w:p>
      <w:pPr>
        <w:ind w:left="1000" w:hanging="344"/>
        <w:spacing w:after="0"/>
        <w:tabs>
          <w:tab w:leader="none" w:pos="10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Section 2.2(b) of the Stockholders Agreement shall be deleted in its entirety and be of no further force and effect.</w:t>
      </w:r>
    </w:p>
    <w:p>
      <w:pPr>
        <w:spacing w:after="0" w:line="267" w:lineRule="exact"/>
        <w:rPr>
          <w:rFonts w:ascii="Arial" w:cs="Arial" w:eastAsia="Arial" w:hAnsi="Arial"/>
          <w:sz w:val="19"/>
          <w:szCs w:val="19"/>
          <w:color w:val="auto"/>
        </w:rPr>
      </w:pPr>
    </w:p>
    <w:p>
      <w:pPr>
        <w:ind w:left="1000" w:hanging="344"/>
        <w:spacing w:after="0"/>
        <w:tabs>
          <w:tab w:leader="none" w:pos="10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Section 2.2(c) of the Stockholders Agreement shall be deleted in its entirety and be of no further force and effect.</w:t>
      </w:r>
    </w:p>
    <w:p>
      <w:pPr>
        <w:spacing w:after="0" w:line="267" w:lineRule="exact"/>
        <w:rPr>
          <w:rFonts w:ascii="Arial" w:cs="Arial" w:eastAsia="Arial" w:hAnsi="Arial"/>
          <w:sz w:val="19"/>
          <w:szCs w:val="19"/>
          <w:color w:val="auto"/>
        </w:rPr>
      </w:pPr>
    </w:p>
    <w:p>
      <w:pPr>
        <w:ind w:left="1000" w:hanging="344"/>
        <w:spacing w:after="0"/>
        <w:tabs>
          <w:tab w:leader="none" w:pos="10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Section 2.4 of the Stockholders Agreement shall be deleted in its entirety and replaced with the following:</w:t>
      </w:r>
    </w:p>
    <w:p>
      <w:pPr>
        <w:spacing w:after="0" w:line="28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i w:val="1"/>
          <w:iCs w:val="1"/>
          <w:color w:val="auto"/>
        </w:rPr>
        <w:t>Amendment of Bylaws and Certificate of Incorporation.</w:t>
      </w:r>
    </w:p>
    <w:p>
      <w:pPr>
        <w:spacing w:after="0" w:line="179" w:lineRule="exact"/>
        <w:rPr>
          <w:sz w:val="20"/>
          <w:szCs w:val="20"/>
          <w:color w:val="auto"/>
        </w:rPr>
      </w:pPr>
    </w:p>
    <w:p>
      <w:pPr>
        <w:jc w:val="both"/>
        <w:ind w:firstLine="1953"/>
        <w:spacing w:after="0" w:line="260" w:lineRule="auto"/>
        <w:tabs>
          <w:tab w:leader="none" w:pos="2436" w:val="left"/>
        </w:tabs>
        <w:numPr>
          <w:ilvl w:val="0"/>
          <w:numId w:val="115"/>
        </w:numPr>
        <w:rPr>
          <w:rFonts w:ascii="Arial" w:cs="Arial" w:eastAsia="Arial" w:hAnsi="Arial"/>
          <w:sz w:val="21"/>
          <w:szCs w:val="21"/>
          <w:color w:val="010000"/>
        </w:rPr>
      </w:pPr>
      <w:r>
        <w:rPr>
          <w:rFonts w:ascii="Arial" w:cs="Arial" w:eastAsia="Arial" w:hAnsi="Arial"/>
          <w:sz w:val="21"/>
          <w:szCs w:val="21"/>
          <w:color w:val="auto"/>
        </w:rPr>
        <w:t>The Company agrees that, without the written consent of the Sponsors, it will not directly or indirectly (including through any merger or consolidation) (i) for so long as any Sponsor has the right to nominate a Director in accordance with Section 2.2, or in the case of the TPG Sponsor, owns more than 10% of the Shares Beneficially Owned by it as of November 23, 2010, amend Article X of its Amended and Restated Certificate of Incorporation; (ii) for so long as any Sponsor has the right to nominate a Director in accordance with Section 2.2, or in the case of the TPG Sponsor, owns more than 10% of the Shares Beneficially Owned by it as of November 23, 2010, amend the provisions of the bylaws of LPL (the “</w:t>
      </w:r>
      <w:r>
        <w:rPr>
          <w:rFonts w:ascii="Arial" w:cs="Arial" w:eastAsia="Arial" w:hAnsi="Arial"/>
          <w:sz w:val="21"/>
          <w:szCs w:val="21"/>
          <w:b w:val="1"/>
          <w:bCs w:val="1"/>
          <w:u w:val="single" w:color="auto"/>
          <w:color w:val="auto"/>
        </w:rPr>
        <w:t>Bylaws</w:t>
      </w:r>
      <w:r>
        <w:rPr>
          <w:rFonts w:ascii="Arial" w:cs="Arial" w:eastAsia="Arial" w:hAnsi="Arial"/>
          <w:sz w:val="21"/>
          <w:szCs w:val="21"/>
          <w:color w:val="auto"/>
        </w:rPr>
        <w:t>”) relating to advance nomination of directors in any manner directly or indirectly adverse to the H&amp;F Sponsors or the TPG Sponsor or that would require advance notice to their Director nominees; (iii) for so long as the Sponsors Beneficially Own a majority of the outstanding Shares, amend Section 2.3, Section 2.4, Section 2.5 or Section 2.7 of the Bylaws and (iv) adopt any provision of the Bylaws or the Amended</w:t>
      </w:r>
    </w:p>
    <w:p>
      <w:pPr>
        <w:sectPr>
          <w:pgSz w:w="11900" w:h="16838" w:orient="portrait"/>
          <w:cols w:equalWidth="0" w:num="1">
            <w:col w:w="11420"/>
          </w:cols>
          <w:pgMar w:left="240" w:top="580" w:right="239" w:bottom="1440" w:gutter="0" w:footer="0" w:header="0"/>
        </w:sectPr>
      </w:pPr>
    </w:p>
    <w:bookmarkStart w:id="156" w:name="page157"/>
    <w:bookmarkEnd w:id="156"/>
    <w:p>
      <w:pPr>
        <w:spacing w:after="0" w:line="263" w:lineRule="auto"/>
        <w:rPr>
          <w:sz w:val="20"/>
          <w:szCs w:val="20"/>
          <w:color w:val="auto"/>
        </w:rPr>
      </w:pPr>
      <w:r>
        <w:rPr>
          <w:rFonts w:ascii="Arial" w:cs="Arial" w:eastAsia="Arial" w:hAnsi="Arial"/>
          <w:sz w:val="22"/>
          <w:szCs w:val="22"/>
          <w:color w:val="auto"/>
        </w:rPr>
        <w:t>and Restated Certificate of Incorporation of LPL that is inconsistent with this Agreement or any of the foregoing provisions of the Bylaws or the Amended and Restated Certificate of Incorporation of LPL.</w:t>
      </w:r>
    </w:p>
    <w:p>
      <w:pPr>
        <w:spacing w:after="0" w:line="17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Section 2.5(a) of the Stockholders Agreement shall be deleted in its entirety and replaced with the following:</w:t>
      </w:r>
    </w:p>
    <w:p>
      <w:pPr>
        <w:spacing w:after="0" w:line="233" w:lineRule="exact"/>
        <w:rPr>
          <w:sz w:val="20"/>
          <w:szCs w:val="20"/>
          <w:color w:val="auto"/>
        </w:rPr>
      </w:pPr>
    </w:p>
    <w:p>
      <w:pPr>
        <w:jc w:val="both"/>
        <w:ind w:firstLine="656"/>
        <w:spacing w:after="0" w:line="307" w:lineRule="auto"/>
        <w:tabs>
          <w:tab w:leader="none" w:pos="1095"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Information Rights</w:t>
      </w:r>
      <w:r>
        <w:rPr>
          <w:rFonts w:ascii="Arial" w:cs="Arial" w:eastAsia="Arial" w:hAnsi="Arial"/>
          <w:sz w:val="19"/>
          <w:szCs w:val="19"/>
          <w:color w:val="auto"/>
        </w:rPr>
        <w:t>. For so long as any Sponsor has the right to nominate at least one director pursuant to Section 2.2, or in the case of the TPG Sponsor, owns more than 10% of the Shares Beneficially Owned by it as of November 23, 2010, such Sponsor will, subject to Section 5.4 hereof, have the right to obtain any reports, documents, information or other materials distributed of LPL and its Subsidiaries which a member of the LPL Board has received or has the right to receive from LPL.</w:t>
      </w:r>
    </w:p>
    <w:p>
      <w:pPr>
        <w:spacing w:after="0" w:line="13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Section 6.12(b) of the Stockholders Agreement shall be deleted in its entirety and replaced with the following:</w:t>
      </w:r>
    </w:p>
    <w:p>
      <w:pPr>
        <w:spacing w:after="0" w:line="233" w:lineRule="exact"/>
        <w:rPr>
          <w:sz w:val="20"/>
          <w:szCs w:val="20"/>
          <w:color w:val="auto"/>
        </w:rPr>
      </w:pPr>
    </w:p>
    <w:p>
      <w:pPr>
        <w:jc w:val="both"/>
        <w:ind w:firstLine="656"/>
        <w:spacing w:after="0" w:line="266" w:lineRule="auto"/>
        <w:tabs>
          <w:tab w:leader="none" w:pos="108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This Agreement shall terminate upon the later of the time that no Sponsor has the right to nominate at least one director pursuant to Section 2.2, or in the case of the TPG Sponsor, owns more than 10% of the Shares Beneficially Owned by it as of November 23, 2010, the termination with respect to all Stockholders of Article IV pursuant to Section 4.14(a) and the expiration of the Shelf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Section 4.10, Section 4.11 and Section 4.13 shall survive as specified in Section 4.14(b) and Section 6.7 shall survive termination of this Agreement.</w:t>
      </w:r>
    </w:p>
    <w:p>
      <w:pPr>
        <w:spacing w:after="0" w:line="174" w:lineRule="exact"/>
        <w:rPr>
          <w:sz w:val="20"/>
          <w:szCs w:val="20"/>
          <w:color w:val="auto"/>
        </w:rPr>
      </w:pPr>
    </w:p>
    <w:p>
      <w:pPr>
        <w:ind w:firstLine="656"/>
        <w:spacing w:after="0" w:line="276" w:lineRule="auto"/>
        <w:tabs>
          <w:tab w:leader="none" w:pos="105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Except as otherwise provided herein, all terms, provisions, covenants, representations, warranties and conditions in the Stockholders Agreement shall remain unchanged and in full force and effect.</w:t>
      </w:r>
    </w:p>
    <w:p>
      <w:pPr>
        <w:spacing w:after="0" w:line="160" w:lineRule="exact"/>
        <w:rPr>
          <w:rFonts w:ascii="Arial" w:cs="Arial" w:eastAsia="Arial" w:hAnsi="Arial"/>
          <w:sz w:val="22"/>
          <w:szCs w:val="22"/>
          <w:color w:val="auto"/>
        </w:rPr>
      </w:pPr>
    </w:p>
    <w:p>
      <w:pPr>
        <w:ind w:firstLine="656"/>
        <w:spacing w:after="0" w:line="276" w:lineRule="auto"/>
        <w:tabs>
          <w:tab w:leader="none" w:pos="109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corporate laws of the State of Delaware will govern all questions concerning the relative rights of the parties hereunder to the extent such laws are applicable.</w:t>
      </w:r>
    </w:p>
    <w:p>
      <w:pPr>
        <w:spacing w:after="0" w:line="160" w:lineRule="exact"/>
        <w:rPr>
          <w:rFonts w:ascii="Arial" w:cs="Arial" w:eastAsia="Arial" w:hAnsi="Arial"/>
          <w:sz w:val="22"/>
          <w:szCs w:val="22"/>
          <w:color w:val="auto"/>
        </w:rPr>
      </w:pPr>
    </w:p>
    <w:p>
      <w:pPr>
        <w:ind w:firstLine="656"/>
        <w:spacing w:after="0" w:line="276" w:lineRule="auto"/>
        <w:tabs>
          <w:tab w:leader="none" w:pos="103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From and after the date hereof, any reference to the Stockholders Agreement shall be deemed to be a reference to the Stockholders Agreement as amended hereby.</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5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This Amendment may be executed in any number of separate counterparts each of which when so executed shall be deemed to be an original and all of which together shall constitute one and the same instrument. Counterpart signature pages to this Amendment may be delivered by facsimile or electronic delivery (</w:t>
      </w:r>
      <w:r>
        <w:rPr>
          <w:rFonts w:ascii="Arial" w:cs="Arial" w:eastAsia="Arial" w:hAnsi="Arial"/>
          <w:sz w:val="22"/>
          <w:szCs w:val="22"/>
          <w:i w:val="1"/>
          <w:iCs w:val="1"/>
          <w:color w:val="auto"/>
        </w:rPr>
        <w:t>i.e.</w:t>
      </w:r>
      <w:r>
        <w:rPr>
          <w:rFonts w:ascii="Arial" w:cs="Arial" w:eastAsia="Arial" w:hAnsi="Arial"/>
          <w:sz w:val="22"/>
          <w:szCs w:val="22"/>
          <w:color w:val="auto"/>
        </w:rPr>
        <w:t>, by email of a PDF signature page) and each such counterpart signature page will constitute an original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420"/>
          </w:cols>
          <w:pgMar w:left="240" w:top="591" w:right="2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duly executed this Amendment as of the day and year first above written.</w:t>
      </w:r>
    </w:p>
    <w:p>
      <w:pPr>
        <w:sectPr>
          <w:pgSz w:w="11900" w:h="16838" w:orient="portrait"/>
          <w:cols w:equalWidth="0" w:num="1">
            <w:col w:w="10300"/>
          </w:cols>
          <w:pgMar w:left="900" w:top="585" w:right="6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LPL FINANCIAL HOLDINGS</w:t>
      </w:r>
    </w:p>
    <w:p>
      <w:pPr>
        <w:spacing w:after="0" w:line="14"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INC.</w:t>
      </w:r>
    </w:p>
    <w:p>
      <w:pPr>
        <w:spacing w:after="0" w:line="2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P. Bergers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24765</wp:posOffset>
            </wp:positionV>
            <wp:extent cx="18522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David P. Bergers</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Arial" w:cs="Arial" w:eastAsia="Arial" w:hAnsi="Arial"/>
          <w:sz w:val="16"/>
          <w:szCs w:val="16"/>
          <w:i w:val="1"/>
          <w:iCs w:val="1"/>
          <w:color w:val="auto"/>
        </w:rPr>
        <w:t>[Signature Page to First Amendment to Stockholders Agreement]</w:t>
      </w:r>
    </w:p>
    <w:p>
      <w:pPr>
        <w:sectPr>
          <w:pgSz w:w="11900" w:h="16838" w:orient="portrait"/>
          <w:cols w:equalWidth="0" w:num="1">
            <w:col w:w="10300"/>
          </w:cols>
          <w:pgMar w:left="900" w:top="585" w:right="699" w:bottom="1440" w:gutter="0" w:footer="0" w:header="0"/>
          <w:type w:val="continuous"/>
        </w:sectPr>
      </w:pPr>
    </w:p>
    <w:bookmarkStart w:id="158" w:name="page159"/>
    <w:bookmarkEnd w:id="158"/>
    <w:p>
      <w:pPr>
        <w:ind w:left="4840"/>
        <w:spacing w:after="0"/>
        <w:rPr>
          <w:sz w:val="20"/>
          <w:szCs w:val="20"/>
          <w:color w:val="auto"/>
        </w:rPr>
      </w:pPr>
      <w:r>
        <w:rPr>
          <w:rFonts w:ascii="Arial" w:cs="Arial" w:eastAsia="Arial" w:hAnsi="Arial"/>
          <w:sz w:val="22"/>
          <w:szCs w:val="22"/>
          <w:b w:val="1"/>
          <w:bCs w:val="1"/>
          <w:color w:val="auto"/>
        </w:rPr>
        <w:t>TPG PARTNERS IV, L.P.</w:t>
      </w:r>
    </w:p>
    <w:p>
      <w:pPr>
        <w:spacing w:after="0" w:line="50"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By: TPG GenPar IV, L.P.,</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its general partner</w:t>
      </w:r>
    </w:p>
    <w:p>
      <w:pPr>
        <w:spacing w:after="0" w:line="274"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By: TPG GenPar IV Advisors, LLC,</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its general partner</w:t>
      </w:r>
    </w:p>
    <w:p>
      <w:pPr>
        <w:spacing w:after="0" w:line="27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24765</wp:posOffset>
            </wp:positionV>
            <wp:extent cx="1852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Ronald Cami</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Stockholders Agreement]</w:t>
      </w:r>
    </w:p>
    <w:p>
      <w:pPr>
        <w:sectPr>
          <w:pgSz w:w="11900" w:h="16838" w:orient="portrait"/>
          <w:cols w:equalWidth="0" w:num="1">
            <w:col w:w="9019"/>
          </w:cols>
          <w:pgMar w:left="1440" w:top="950"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2014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10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2014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x"/>
      <w:numFmt w:val="bullet"/>
      <w:start w:val="1"/>
    </w:lvl>
  </w:abstractNum>
  <w:abstractNum w:abstractNumId="1">
    <w:nsid w:val="61574095"/>
    <w:multiLevelType w:val="hybridMultilevel"/>
    <w:lvl w:ilvl="0">
      <w:lvlJc w:val="left"/>
      <w:lvlText w:val="o"/>
      <w:numFmt w:val="bullet"/>
      <w:start w:val="1"/>
    </w:lvl>
  </w:abstractNum>
  <w:abstractNum w:abstractNumId="2">
    <w:nsid w:val="7E0C57B1"/>
    <w:multiLevelType w:val="hybridMultilevel"/>
    <w:lvl w:ilvl="0">
      <w:lvlJc w:val="left"/>
      <w:lvlText w:val="%1."/>
      <w:numFmt w:val="decimal"/>
      <w:start w:val="1"/>
    </w:lvl>
  </w:abstractNum>
  <w:abstractNum w:abstractNumId="3">
    <w:nsid w:val="77AE35EB"/>
    <w:multiLevelType w:val="hybridMultilevel"/>
    <w:lvl w:ilvl="0">
      <w:lvlJc w:val="left"/>
      <w:lvlText w:val="%1."/>
      <w:numFmt w:val="decimal"/>
      <w:start w:val="2"/>
    </w:lvl>
  </w:abstractNum>
  <w:abstractNum w:abstractNumId="4">
    <w:nsid w:val="579BE4F1"/>
    <w:multiLevelType w:val="hybridMultilevel"/>
    <w:lvl w:ilvl="0">
      <w:lvlJc w:val="left"/>
      <w:lvlText w:val="%1."/>
      <w:numFmt w:val="decimal"/>
      <w:start w:val="3"/>
    </w:lvl>
  </w:abstractNum>
  <w:abstractNum w:abstractNumId="5">
    <w:nsid w:val="310C50B3"/>
    <w:multiLevelType w:val="hybridMultilevel"/>
    <w:lvl w:ilvl="0">
      <w:lvlJc w:val="left"/>
      <w:lvlText w:val="%1."/>
      <w:numFmt w:val="decimal"/>
      <w:start w:val="4"/>
    </w:lvl>
  </w:abstractNum>
  <w:abstractNum w:abstractNumId="6">
    <w:nsid w:val="5FF87E05"/>
    <w:multiLevelType w:val="hybridMultilevel"/>
    <w:lvl w:ilvl="0">
      <w:lvlJc w:val="left"/>
      <w:lvlText w:val="%1."/>
      <w:numFmt w:val="decimal"/>
      <w:start w:val="5"/>
    </w:lvl>
  </w:abstractNum>
  <w:abstractNum w:abstractNumId="7">
    <w:nsid w:val="2F305DEF"/>
    <w:multiLevelType w:val="hybridMultilevel"/>
    <w:lvl w:ilvl="0">
      <w:lvlJc w:val="left"/>
      <w:lvlText w:val="%1."/>
      <w:numFmt w:val="decimal"/>
      <w:start w:val="6"/>
    </w:lvl>
  </w:abstractNum>
  <w:abstractNum w:abstractNumId="8">
    <w:nsid w:val="25A70BF7"/>
    <w:multiLevelType w:val="hybridMultilevel"/>
    <w:lvl w:ilvl="0">
      <w:lvlJc w:val="left"/>
      <w:lvlText w:val="%1."/>
      <w:numFmt w:val="decimal"/>
      <w:start w:val="7"/>
    </w:lvl>
  </w:abstractNum>
  <w:abstractNum w:abstractNumId="9">
    <w:nsid w:val="1DBABF00"/>
    <w:multiLevelType w:val="hybridMultilevel"/>
    <w:lvl w:ilvl="0">
      <w:lvlJc w:val="left"/>
      <w:lvlText w:val="%1."/>
      <w:numFmt w:val="decimal"/>
      <w:start w:val="8"/>
    </w:lvl>
  </w:abstractNum>
  <w:abstractNum w:abstractNumId="10">
    <w:nsid w:val="4AD084E9"/>
    <w:multiLevelType w:val="hybridMultilevel"/>
    <w:lvl w:ilvl="0">
      <w:lvlJc w:val="left"/>
      <w:lvlText w:val="(%1)"/>
      <w:numFmt w:val="decimal"/>
      <w:start w:val="1"/>
    </w:lvl>
  </w:abstractNum>
  <w:abstractNum w:abstractNumId="11">
    <w:nsid w:val="1F48EAA1"/>
    <w:multiLevelType w:val="hybridMultilevel"/>
    <w:lvl w:ilvl="0">
      <w:lvlJc w:val="left"/>
      <w:lvlText w:val="%1."/>
      <w:numFmt w:val="decimal"/>
      <w:start w:val="9"/>
    </w:lvl>
  </w:abstractNum>
  <w:abstractNum w:abstractNumId="12">
    <w:nsid w:val="1381823A"/>
    <w:multiLevelType w:val="hybridMultilevel"/>
    <w:lvl w:ilvl="0">
      <w:lvlJc w:val="left"/>
      <w:lvlText w:val="%1."/>
      <w:numFmt w:val="decimal"/>
      <w:start w:val="10"/>
    </w:lvl>
  </w:abstractNum>
  <w:abstractNum w:abstractNumId="13">
    <w:nsid w:val="5DB70AE5"/>
    <w:multiLevelType w:val="hybridMultilevel"/>
    <w:lvl w:ilvl="0">
      <w:lvlJc w:val="left"/>
      <w:lvlText w:val="%1."/>
      <w:numFmt w:val="decimal"/>
      <w:start w:val="11"/>
    </w:lvl>
  </w:abstractNum>
  <w:abstractNum w:abstractNumId="14">
    <w:nsid w:val="100F8FCA"/>
    <w:multiLevelType w:val="hybridMultilevel"/>
    <w:lvl w:ilvl="0">
      <w:lvlJc w:val="left"/>
      <w:lvlText w:val="%1."/>
      <w:numFmt w:val="decimal"/>
      <w:start w:val="12"/>
    </w:lvl>
  </w:abstractNum>
  <w:abstractNum w:abstractNumId="15">
    <w:nsid w:val="6590700B"/>
    <w:multiLevelType w:val="hybridMultilevel"/>
    <w:lvl w:ilvl="0">
      <w:lvlJc w:val="left"/>
      <w:lvlText w:val="%1."/>
      <w:numFmt w:val="decimal"/>
      <w:start w:val="13"/>
    </w:lvl>
  </w:abstractNum>
  <w:abstractNum w:abstractNumId="16">
    <w:nsid w:val="15014ACB"/>
    <w:multiLevelType w:val="hybridMultilevel"/>
    <w:lvl w:ilvl="0">
      <w:lvlJc w:val="left"/>
      <w:lvlText w:val="%1."/>
      <w:numFmt w:val="decimal"/>
      <w:start w:val="14"/>
    </w:lvl>
  </w:abstractNum>
  <w:abstractNum w:abstractNumId="17">
    <w:nsid w:val="5F5E7FD0"/>
    <w:multiLevelType w:val="hybridMultilevel"/>
    <w:lvl w:ilvl="0">
      <w:lvlJc w:val="left"/>
      <w:lvlText w:val="%1."/>
      <w:numFmt w:val="decimal"/>
      <w:start w:val="15"/>
    </w:lvl>
  </w:abstractNum>
  <w:abstractNum w:abstractNumId="18">
    <w:nsid w:val="98A3148"/>
    <w:multiLevelType w:val="hybridMultilevel"/>
    <w:lvl w:ilvl="0">
      <w:lvlJc w:val="left"/>
      <w:lvlText w:val="%1."/>
      <w:numFmt w:val="decimal"/>
      <w:start w:val="16"/>
    </w:lvl>
  </w:abstractNum>
  <w:abstractNum w:abstractNumId="19">
    <w:nsid w:val="799D0247"/>
    <w:multiLevelType w:val="hybridMultilevel"/>
    <w:lvl w:ilvl="0">
      <w:lvlJc w:val="left"/>
      <w:lvlText w:val="%1."/>
      <w:numFmt w:val="decimal"/>
      <w:start w:val="17"/>
    </w:lvl>
  </w:abstractNum>
  <w:abstractNum w:abstractNumId="20">
    <w:nsid w:val="6B94764"/>
    <w:multiLevelType w:val="hybridMultilevel"/>
    <w:lvl w:ilvl="0">
      <w:lvlJc w:val="left"/>
      <w:lvlText w:val="(%1)"/>
      <w:numFmt w:val="decimal"/>
      <w:start w:val="1"/>
    </w:lvl>
  </w:abstractNum>
  <w:abstractNum w:abstractNumId="21">
    <w:nsid w:val="42C296BD"/>
    <w:multiLevelType w:val="hybridMultilevel"/>
    <w:lvl w:ilvl="0">
      <w:lvlJc w:val="left"/>
      <w:lvlText w:val="(%1)"/>
      <w:numFmt w:val="lowerLetter"/>
      <w:start w:val="1"/>
    </w:lvl>
  </w:abstractNum>
  <w:abstractNum w:abstractNumId="22">
    <w:nsid w:val="168E121F"/>
    <w:multiLevelType w:val="hybridMultilevel"/>
    <w:lvl w:ilvl="0">
      <w:lvlJc w:val="left"/>
      <w:lvlText w:val="(%1)"/>
      <w:numFmt w:val="lowerLetter"/>
      <w:start w:val="2"/>
    </w:lvl>
  </w:abstractNum>
  <w:abstractNum w:abstractNumId="23">
    <w:nsid w:val="1EBA5D23"/>
    <w:multiLevelType w:val="hybridMultilevel"/>
    <w:lvl w:ilvl="0">
      <w:lvlJc w:val="left"/>
      <w:lvlText w:val="(%1)"/>
      <w:numFmt w:val="decimal"/>
      <w:start w:val="2"/>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1)"/>
      <w:numFmt w:val="decimal"/>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1)"/>
      <w:numFmt w:val="lowerLetter"/>
      <w:start w:val="4"/>
    </w:lvl>
  </w:abstractNum>
  <w:abstractNum w:abstractNumId="34">
    <w:nsid w:val="8F2B15E"/>
    <w:multiLevelType w:val="hybridMultilevel"/>
    <w:lvl w:ilvl="0">
      <w:lvlJc w:val="left"/>
      <w:lvlText w:val="%1."/>
      <w:numFmt w:val="decimal"/>
      <w:start w:val="4"/>
    </w:lvl>
  </w:abstractNum>
  <w:abstractNum w:abstractNumId="35">
    <w:nsid w:val="1A32234B"/>
    <w:multiLevelType w:val="hybridMultilevel"/>
    <w:lvl w:ilvl="0">
      <w:lvlJc w:val="left"/>
      <w:lvlText w:val="(%1)"/>
      <w:numFmt w:val="decimal"/>
      <w:start w:val="1"/>
    </w:lvl>
  </w:abstractNum>
  <w:abstractNum w:abstractNumId="36">
    <w:nsid w:val="3B0FD379"/>
    <w:multiLevelType w:val="hybridMultilevel"/>
    <w:lvl w:ilvl="0">
      <w:lvlJc w:val="left"/>
      <w:lvlText w:val="(%1)"/>
      <w:numFmt w:val="decimal"/>
      <w:start w:val="1"/>
    </w:lvl>
  </w:abstractNum>
  <w:abstractNum w:abstractNumId="37">
    <w:nsid w:val="68EB2F63"/>
    <w:multiLevelType w:val="hybridMultilevel"/>
    <w:lvl w:ilvl="0">
      <w:lvlJc w:val="left"/>
      <w:lvlText w:val="(%1)"/>
      <w:numFmt w:val="decimal"/>
      <w:start w:val="3"/>
    </w:lvl>
  </w:abstractNum>
  <w:abstractNum w:abstractNumId="38">
    <w:nsid w:val="4962813B"/>
    <w:multiLevelType w:val="hybridMultilevel"/>
    <w:lvl w:ilvl="0">
      <w:lvlJc w:val="left"/>
      <w:lvlText w:val="(%1)"/>
      <w:numFmt w:val="lowerLetter"/>
      <w:start w:val="1"/>
    </w:lvl>
    <w:lvl w:ilvl="1">
      <w:lvlJc w:val="left"/>
      <w:lvlText w:val="(%2)"/>
      <w:numFmt w:val="lowerRoman"/>
      <w:start w:val="2"/>
    </w:lvl>
  </w:abstractNum>
  <w:abstractNum w:abstractNumId="39">
    <w:nsid w:val="60B6DF70"/>
    <w:multiLevelType w:val="hybridMultilevel"/>
    <w:lvl w:ilvl="0">
      <w:lvlJc w:val="left"/>
      <w:lvlText w:val="%1"/>
      <w:numFmt w:val="lowerLetter"/>
      <w:start w:val="1"/>
    </w:lvl>
    <w:lvl w:ilvl="1">
      <w:lvlJc w:val="left"/>
      <w:lvlText w:val="(%2)"/>
      <w:numFmt w:val="lowerRoman"/>
      <w:start w:val="4"/>
    </w:lvl>
  </w:abstractNum>
  <w:abstractNum w:abstractNumId="40">
    <w:nsid w:val="6A5EE64"/>
    <w:multiLevelType w:val="hybridMultilevel"/>
    <w:lvl w:ilvl="0">
      <w:lvlJc w:val="left"/>
      <w:lvlText w:val="(%1)"/>
      <w:numFmt w:val="lowerLetter"/>
      <w:start w:val="2"/>
    </w:lvl>
    <w:lvl w:ilvl="1">
      <w:lvlJc w:val="left"/>
      <w:lvlText w:val="%2"/>
      <w:numFmt w:val="lowerRoman"/>
      <w:start w:val="1"/>
    </w:lvl>
  </w:abstractNum>
  <w:abstractNum w:abstractNumId="41">
    <w:nsid w:val="14330624"/>
    <w:multiLevelType w:val="hybridMultilevel"/>
    <w:lvl w:ilvl="0">
      <w:lvlJc w:val="left"/>
      <w:lvlText w:val="(%1)"/>
      <w:numFmt w:val="lowerRoman"/>
      <w:start w:val="2"/>
    </w:lvl>
  </w:abstractNum>
  <w:abstractNum w:abstractNumId="42">
    <w:nsid w:val="7FFFCA11"/>
    <w:multiLevelType w:val="hybridMultilevel"/>
    <w:lvl w:ilvl="0">
      <w:lvlJc w:val="left"/>
      <w:lvlText w:val="(%1)"/>
      <w:numFmt w:val="lowerLetter"/>
      <w:start w:val="1"/>
    </w:lvl>
    <w:lvl w:ilvl="1">
      <w:lvlJc w:val="left"/>
      <w:lvlText w:val="(%2)"/>
      <w:numFmt w:val="lowerLetter"/>
      <w:start w:val="9"/>
    </w:lvl>
  </w:abstractNum>
  <w:abstractNum w:abstractNumId="43">
    <w:nsid w:val="1A27709E"/>
    <w:multiLevelType w:val="hybridMultilevel"/>
    <w:lvl w:ilvl="0">
      <w:lvlJc w:val="left"/>
      <w:lvlText w:val="%1"/>
      <w:numFmt w:val="upperLetter"/>
      <w:start w:val="1"/>
    </w:lvl>
    <w:lvl w:ilvl="1">
      <w:lvlJc w:val="left"/>
      <w:lvlText w:val="(%2)"/>
      <w:numFmt w:val="lowerRoman"/>
      <w:start w:val="2"/>
    </w:lvl>
  </w:abstractNum>
  <w:abstractNum w:abstractNumId="44">
    <w:nsid w:val="71EA1109"/>
    <w:multiLevelType w:val="hybridMultilevel"/>
    <w:lvl w:ilvl="0">
      <w:lvlJc w:val="left"/>
      <w:lvlText w:val="(%1)"/>
      <w:numFmt w:val="upperLetter"/>
      <w:start w:val="2"/>
    </w:lvl>
    <w:lvl w:ilvl="1">
      <w:lvlJc w:val="left"/>
      <w:lvlText w:val="(%2)"/>
      <w:numFmt w:val="lowerRoman"/>
      <w:start w:val="4"/>
    </w:lvl>
  </w:abstractNum>
  <w:abstractNum w:abstractNumId="45">
    <w:nsid w:val="100F59DC"/>
    <w:multiLevelType w:val="hybridMultilevel"/>
    <w:lvl w:ilvl="0">
      <w:lvlJc w:val="left"/>
      <w:lvlText w:val="(%1)"/>
      <w:numFmt w:val="lowerLetter"/>
      <w:start w:val="2"/>
    </w:lvl>
    <w:lvl w:ilvl="1">
      <w:lvlJc w:val="left"/>
      <w:lvlText w:val="(%2)"/>
      <w:numFmt w:val="lowerLetter"/>
      <w:start w:val="9"/>
    </w:lvl>
  </w:abstractNum>
  <w:abstractNum w:abstractNumId="46">
    <w:nsid w:val="7FB7E0AA"/>
    <w:multiLevelType w:val="hybridMultilevel"/>
    <w:lvl w:ilvl="0">
      <w:lvlJc w:val="left"/>
      <w:lvlText w:val="(%1)"/>
      <w:numFmt w:val="lowerRoman"/>
      <w:start w:val="2"/>
    </w:lvl>
  </w:abstractNum>
  <w:abstractNum w:abstractNumId="47">
    <w:nsid w:val="6EB5BD4"/>
    <w:multiLevelType w:val="hybridMultilevel"/>
    <w:lvl w:ilvl="0">
      <w:lvlJc w:val="left"/>
      <w:lvlText w:val="(%1)"/>
      <w:numFmt w:val="lowerLetter"/>
      <w:start w:val="1"/>
    </w:lvl>
  </w:abstractNum>
  <w:abstractNum w:abstractNumId="48">
    <w:nsid w:val="6F6DD9AC"/>
    <w:multiLevelType w:val="hybridMultilevel"/>
    <w:lvl w:ilvl="0">
      <w:lvlJc w:val="left"/>
      <w:lvlText w:val="(%1)"/>
      <w:numFmt w:val="lowerLetter"/>
      <w:start w:val="1"/>
    </w:lvl>
  </w:abstractNum>
  <w:abstractNum w:abstractNumId="49">
    <w:nsid w:val="94211F2"/>
    <w:multiLevelType w:val="hybridMultilevel"/>
    <w:lvl w:ilvl="0">
      <w:lvlJc w:val="left"/>
      <w:lvlText w:val="(%1)"/>
      <w:numFmt w:val="lowerLetter"/>
      <w:start w:val="1"/>
    </w:lvl>
  </w:abstractNum>
  <w:abstractNum w:abstractNumId="50">
    <w:nsid w:val="885E1B"/>
    <w:multiLevelType w:val="hybridMultilevel"/>
    <w:lvl w:ilvl="0">
      <w:lvlJc w:val="left"/>
      <w:lvlText w:val="(%1)"/>
      <w:numFmt w:val="lowerLetter"/>
      <w:start w:val="6"/>
    </w:lvl>
  </w:abstractNum>
  <w:abstractNum w:abstractNumId="51">
    <w:nsid w:val="76272110"/>
    <w:multiLevelType w:val="hybridMultilevel"/>
    <w:lvl w:ilvl="0">
      <w:lvlJc w:val="left"/>
      <w:lvlText w:val="(%1)"/>
      <w:numFmt w:val="lowerRoman"/>
      <w:start w:val="2"/>
    </w:lvl>
    <w:lvl w:ilvl="1">
      <w:lvlJc w:val="left"/>
      <w:lvlText w:val="(%2)"/>
      <w:numFmt w:val="lowerRoman"/>
      <w:start w:val="1"/>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Letter"/>
      <w:start w:val="1"/>
    </w:lvl>
  </w:abstractNum>
  <w:abstractNum w:abstractNumId="55">
    <w:nsid w:val="3222E7CD"/>
    <w:multiLevelType w:val="hybridMultilevel"/>
    <w:lvl w:ilvl="0">
      <w:lvlJc w:val="left"/>
      <w:lvlText w:val="(%1)"/>
      <w:numFmt w:val="lowerLetter"/>
      <w:start w:val="4"/>
    </w:lvl>
  </w:abstractNum>
  <w:abstractNum w:abstractNumId="56">
    <w:nsid w:val="74DE0EE3"/>
    <w:multiLevelType w:val="hybridMultilevel"/>
    <w:lvl w:ilvl="0">
      <w:lvlJc w:val="left"/>
      <w:lvlText w:val="(%1)"/>
      <w:numFmt w:val="lowerLetter"/>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1)"/>
      <w:numFmt w:val="lowerLetter"/>
      <w:start w:val="1"/>
    </w:lvl>
  </w:abstractNum>
  <w:abstractNum w:abstractNumId="60">
    <w:nsid w:val="4A2AC315"/>
    <w:multiLevelType w:val="hybridMultilevel"/>
    <w:lvl w:ilvl="0">
      <w:lvlJc w:val="left"/>
      <w:lvlText w:val="(%1)"/>
      <w:numFmt w:val="lowerLetter"/>
      <w:start w:val="3"/>
    </w:lvl>
  </w:abstractNum>
  <w:abstractNum w:abstractNumId="61">
    <w:nsid w:val="39EE015C"/>
    <w:multiLevelType w:val="hybridMultilevel"/>
    <w:lvl w:ilvl="0">
      <w:lvlJc w:val="left"/>
      <w:lvlText w:val="(%1)"/>
      <w:numFmt w:val="lowerLetter"/>
      <w:start w:val="2"/>
    </w:lvl>
  </w:abstractNum>
  <w:abstractNum w:abstractNumId="62">
    <w:nsid w:val="57FC4FBB"/>
    <w:multiLevelType w:val="hybridMultilevel"/>
    <w:lvl w:ilvl="0">
      <w:lvlJc w:val="left"/>
      <w:lvlText w:val="(%1)"/>
      <w:numFmt w:val="lowerLetter"/>
      <w:start w:val="1"/>
    </w:lvl>
  </w:abstractNum>
  <w:abstractNum w:abstractNumId="63">
    <w:nsid w:val="CC1016F"/>
    <w:multiLevelType w:val="hybridMultilevel"/>
    <w:lvl w:ilvl="0">
      <w:lvlJc w:val="left"/>
      <w:lvlText w:val="(%1)"/>
      <w:numFmt w:val="lowerLetter"/>
      <w:start w:val="4"/>
    </w:lvl>
  </w:abstractNum>
  <w:abstractNum w:abstractNumId="64">
    <w:nsid w:val="43F18422"/>
    <w:multiLevelType w:val="hybridMultilevel"/>
    <w:lvl w:ilvl="0">
      <w:lvlJc w:val="left"/>
      <w:lvlText w:val="(%1)"/>
      <w:numFmt w:val="lowerRoman"/>
      <w:start w:val="3"/>
    </w:lvl>
    <w:lvl w:ilvl="1">
      <w:lvlJc w:val="left"/>
      <w:lvlText w:val="(%2)"/>
      <w:numFmt w:val="lowerRoman"/>
      <w:start w:val="2"/>
    </w:lvl>
  </w:abstractNum>
  <w:abstractNum w:abstractNumId="65">
    <w:nsid w:val="60EF0119"/>
    <w:multiLevelType w:val="hybridMultilevel"/>
    <w:lvl w:ilvl="0">
      <w:lvlJc w:val="left"/>
      <w:lvlText w:val="(%1)"/>
      <w:numFmt w:val="lowerLetter"/>
      <w:start w:val="2"/>
    </w:lvl>
  </w:abstractNum>
  <w:abstractNum w:abstractNumId="66">
    <w:nsid w:val="26F324BA"/>
    <w:multiLevelType w:val="hybridMultilevel"/>
    <w:lvl w:ilvl="0">
      <w:lvlJc w:val="left"/>
      <w:lvlText w:val="(%1)"/>
      <w:numFmt w:val="lowerRoman"/>
      <w:start w:val="2"/>
    </w:lvl>
  </w:abstractNum>
  <w:abstractNum w:abstractNumId="67">
    <w:nsid w:val="7F01579B"/>
    <w:multiLevelType w:val="hybridMultilevel"/>
    <w:lvl w:ilvl="0">
      <w:lvlJc w:val="left"/>
      <w:lvlText w:val="(%1)"/>
      <w:numFmt w:val="lowerLetter"/>
      <w:start w:val="3"/>
    </w:lvl>
  </w:abstractNum>
  <w:abstractNum w:abstractNumId="68">
    <w:nsid w:val="49DA307D"/>
    <w:multiLevelType w:val="hybridMultilevel"/>
    <w:lvl w:ilvl="0">
      <w:lvlJc w:val="left"/>
      <w:lvlText w:val="(%1)"/>
      <w:numFmt w:val="lowerLetter"/>
      <w:start w:val="2"/>
    </w:lvl>
  </w:abstractNum>
  <w:abstractNum w:abstractNumId="69">
    <w:nsid w:val="7055A5F5"/>
    <w:multiLevelType w:val="hybridMultilevel"/>
    <w:lvl w:ilvl="0">
      <w:lvlJc w:val="left"/>
      <w:lvlText w:val="%1"/>
      <w:numFmt w:val="lowerLetter"/>
      <w:start w:val="1"/>
    </w:lvl>
    <w:lvl w:ilvl="1">
      <w:lvlJc w:val="left"/>
      <w:lvlText w:val="(%2)"/>
      <w:numFmt w:val="lowerLetter"/>
      <w:start w:val="1"/>
    </w:lvl>
  </w:abstractNum>
  <w:abstractNum w:abstractNumId="70">
    <w:nsid w:val="5FB8370B"/>
    <w:multiLevelType w:val="hybridMultilevel"/>
    <w:lvl w:ilvl="0">
      <w:lvlJc w:val="left"/>
      <w:lvlText w:val="(%1)"/>
      <w:numFmt w:val="lowerLetter"/>
      <w:start w:val="9"/>
    </w:lvl>
    <w:lvl w:ilvl="1">
      <w:lvlJc w:val="left"/>
      <w:lvlText w:val="(%2)"/>
      <w:numFmt w:val="lowerLetter"/>
      <w:start w:val="2"/>
    </w:lvl>
  </w:abstractNum>
  <w:abstractNum w:abstractNumId="71">
    <w:nsid w:val="50801EE1"/>
    <w:multiLevelType w:val="hybridMultilevel"/>
    <w:lvl w:ilvl="0">
      <w:lvlJc w:val="left"/>
      <w:lvlText w:val="%1"/>
      <w:numFmt w:val="decimal"/>
      <w:start w:val="13"/>
    </w:lvl>
  </w:abstractNum>
  <w:abstractNum w:abstractNumId="72">
    <w:nsid w:val="488AC1A"/>
    <w:multiLevelType w:val="hybridMultilevel"/>
    <w:lvl w:ilvl="0">
      <w:lvlJc w:val="left"/>
      <w:lvlText w:val="(%1)"/>
      <w:numFmt w:val="lowerLetter"/>
      <w:start w:val="3"/>
    </w:lvl>
  </w:abstractNum>
  <w:abstractNum w:abstractNumId="73">
    <w:nsid w:val="5FB8011C"/>
    <w:multiLevelType w:val="hybridMultilevel"/>
    <w:lvl w:ilvl="0">
      <w:lvlJc w:val="left"/>
      <w:lvlText w:val="(%1)"/>
      <w:numFmt w:val="lowerLetter"/>
      <w:start w:val="4"/>
    </w:lvl>
  </w:abstractNum>
  <w:abstractNum w:abstractNumId="74">
    <w:nsid w:val="6AA78F7F"/>
    <w:multiLevelType w:val="hybridMultilevel"/>
    <w:lvl w:ilvl="0">
      <w:lvlJc w:val="left"/>
      <w:lvlText w:val="(%1)"/>
      <w:numFmt w:val="lowerLetter"/>
      <w:start w:val="5"/>
    </w:lvl>
  </w:abstractNum>
  <w:abstractNum w:abstractNumId="75">
    <w:nsid w:val="7672BD23"/>
    <w:multiLevelType w:val="hybridMultilevel"/>
    <w:lvl w:ilvl="0">
      <w:lvlJc w:val="left"/>
      <w:lvlText w:val="(%1)"/>
      <w:numFmt w:val="lowerRoman"/>
      <w:start w:val="1"/>
    </w:lvl>
  </w:abstractNum>
  <w:abstractNum w:abstractNumId="76">
    <w:nsid w:val="6FC75AF8"/>
    <w:multiLevelType w:val="hybridMultilevel"/>
    <w:lvl w:ilvl="0">
      <w:lvlJc w:val="left"/>
      <w:lvlText w:val="(%1)"/>
      <w:numFmt w:val="lowerLetter"/>
      <w:start w:val="8"/>
    </w:lvl>
  </w:abstractNum>
  <w:abstractNum w:abstractNumId="77">
    <w:nsid w:val="6A5F7029"/>
    <w:multiLevelType w:val="hybridMultilevel"/>
    <w:lvl w:ilvl="0">
      <w:lvlJc w:val="left"/>
      <w:lvlText w:val="(%1)"/>
      <w:numFmt w:val="lowerLetter"/>
      <w:start w:val="2"/>
    </w:lvl>
  </w:abstractNum>
  <w:abstractNum w:abstractNumId="78">
    <w:nsid w:val="7D5E18F8"/>
    <w:multiLevelType w:val="hybridMultilevel"/>
    <w:lvl w:ilvl="0">
      <w:lvlJc w:val="left"/>
      <w:lvlText w:val="(%1)"/>
      <w:numFmt w:val="lowerLetter"/>
      <w:start w:val="2"/>
    </w:lvl>
  </w:abstractNum>
  <w:abstractNum w:abstractNumId="79">
    <w:nsid w:val="5F3534A4"/>
    <w:multiLevelType w:val="hybridMultilevel"/>
    <w:lvl w:ilvl="0">
      <w:lvlJc w:val="left"/>
      <w:lvlText w:val="(%1)"/>
      <w:numFmt w:val="lowerLetter"/>
      <w:start w:val="3"/>
    </w:lvl>
    <w:lvl w:ilvl="1">
      <w:lvlJc w:val="left"/>
      <w:lvlText w:val="(%2)"/>
      <w:numFmt w:val="lowerRoman"/>
      <w:start w:val="2"/>
    </w:lvl>
  </w:abstractNum>
  <w:abstractNum w:abstractNumId="80">
    <w:nsid w:val="73A1821B"/>
    <w:multiLevelType w:val="hybridMultilevel"/>
    <w:lvl w:ilvl="0">
      <w:lvlJc w:val="left"/>
      <w:lvlText w:val="(%1)"/>
      <w:numFmt w:val="lowerLetter"/>
      <w:start w:val="2"/>
    </w:lvl>
  </w:abstractNum>
  <w:abstractNum w:abstractNumId="81">
    <w:nsid w:val="7DE67713"/>
    <w:multiLevelType w:val="hybridMultilevel"/>
    <w:lvl w:ilvl="0">
      <w:lvlJc w:val="left"/>
      <w:lvlText w:val="(%1)"/>
      <w:numFmt w:val="lowerLetter"/>
      <w:start w:val="25"/>
    </w:lvl>
    <w:lvl w:ilvl="1">
      <w:lvlJc w:val="left"/>
      <w:lvlText w:val="(%2)"/>
      <w:numFmt w:val="lowerLetter"/>
      <w:start w:val="2"/>
    </w:lvl>
  </w:abstractNum>
  <w:abstractNum w:abstractNumId="82">
    <w:nsid w:val="555C55B5"/>
    <w:multiLevelType w:val="hybridMultilevel"/>
    <w:lvl w:ilvl="0">
      <w:lvlJc w:val="left"/>
      <w:lvlText w:val="(%1)"/>
      <w:numFmt w:val="lowerLetter"/>
      <w:start w:val="2"/>
    </w:lvl>
  </w:abstractNum>
  <w:abstractNum w:abstractNumId="83">
    <w:nsid w:val="3FA62ACA"/>
    <w:multiLevelType w:val="hybridMultilevel"/>
    <w:lvl w:ilvl="0">
      <w:lvlJc w:val="left"/>
      <w:lvlText w:val="(%1)"/>
      <w:numFmt w:val="lowerLetter"/>
      <w:start w:val="1"/>
    </w:lvl>
  </w:abstractNum>
  <w:abstractNum w:abstractNumId="84">
    <w:nsid w:val="14FCE74E"/>
    <w:multiLevelType w:val="hybridMultilevel"/>
    <w:lvl w:ilvl="0">
      <w:lvlJc w:val="left"/>
      <w:lvlText w:val="(%1)"/>
      <w:numFmt w:val="lowerLetter"/>
      <w:start w:val="3"/>
    </w:lvl>
  </w:abstractNum>
  <w:abstractNum w:abstractNumId="85">
    <w:nsid w:val="6A3DD3E8"/>
    <w:multiLevelType w:val="hybridMultilevel"/>
    <w:lvl w:ilvl="0">
      <w:lvlJc w:val="left"/>
      <w:lvlText w:val="(%1)"/>
      <w:numFmt w:val="upperLetter"/>
      <w:start w:val="2"/>
    </w:lvl>
  </w:abstractNum>
  <w:abstractNum w:abstractNumId="86">
    <w:nsid w:val="71C91298"/>
    <w:multiLevelType w:val="hybridMultilevel"/>
    <w:lvl w:ilvl="0">
      <w:lvlJc w:val="left"/>
      <w:lvlText w:val="(%1)"/>
      <w:numFmt w:val="lowerRoman"/>
      <w:start w:val="2"/>
    </w:lvl>
  </w:abstractNum>
  <w:abstractNum w:abstractNumId="87">
    <w:nsid w:val="9DAF632"/>
    <w:multiLevelType w:val="hybridMultilevel"/>
    <w:lvl w:ilvl="0">
      <w:lvlJc w:val="left"/>
      <w:lvlText w:val="(%1)"/>
      <w:numFmt w:val="upperLetter"/>
      <w:start w:val="1"/>
    </w:lvl>
  </w:abstractNum>
  <w:abstractNum w:abstractNumId="88">
    <w:nsid w:val="53299938"/>
    <w:multiLevelType w:val="hybridMultilevel"/>
    <w:lvl w:ilvl="0">
      <w:lvlJc w:val="left"/>
      <w:lvlText w:val="(%1)"/>
      <w:numFmt w:val="upperLetter"/>
      <w:start w:val="4"/>
    </w:lvl>
  </w:abstractNum>
  <w:abstractNum w:abstractNumId="89">
    <w:nsid w:val="1FBFE8E0"/>
    <w:multiLevelType w:val="hybridMultilevel"/>
    <w:lvl w:ilvl="0">
      <w:lvlJc w:val="left"/>
      <w:lvlText w:val="(%1)"/>
      <w:numFmt w:val="lowerRoman"/>
      <w:start w:val="3"/>
    </w:lvl>
  </w:abstractNum>
  <w:abstractNum w:abstractNumId="90">
    <w:nsid w:val="5092CA79"/>
    <w:multiLevelType w:val="hybridMultilevel"/>
    <w:lvl w:ilvl="0">
      <w:lvlJc w:val="left"/>
      <w:lvlText w:val="(%1)"/>
      <w:numFmt w:val="lowerLetter"/>
      <w:start w:val="1"/>
    </w:lvl>
  </w:abstractNum>
  <w:abstractNum w:abstractNumId="91">
    <w:nsid w:val="1D545C4D"/>
    <w:multiLevelType w:val="hybridMultilevel"/>
    <w:lvl w:ilvl="0">
      <w:lvlJc w:val="left"/>
      <w:lvlText w:val="(%1)"/>
      <w:numFmt w:val="lowerLetter"/>
      <w:start w:val="9"/>
    </w:lvl>
  </w:abstractNum>
  <w:abstractNum w:abstractNumId="92">
    <w:nsid w:val="59ADEA3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93">
    <w:nsid w:val="288F1A3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94">
    <w:nsid w:val="2A155D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95">
    <w:nsid w:val="1D9F6E5F"/>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1"/>
    </w:lvl>
  </w:abstractNum>
  <w:abstractNum w:abstractNumId="96">
    <w:nsid w:val="97E1B4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97">
    <w:nsid w:val="51088277"/>
    <w:multiLevelType w:val="hybridMultilevel"/>
    <w:lvl w:ilvl="0">
      <w:lvlJc w:val="left"/>
      <w:lvlText w:val="(%1)"/>
      <w:numFmt w:val="lowerLetter"/>
      <w:start w:val="5"/>
    </w:lvl>
    <w:lvl w:ilvl="1">
      <w:lvlJc w:val="left"/>
      <w:lvlText w:val="(%2)"/>
      <w:numFmt w:val="lowerRoman"/>
      <w:start w:val="1"/>
    </w:lvl>
  </w:abstractNum>
  <w:abstractNum w:abstractNumId="98">
    <w:nsid w:val="1CA0C5F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99">
    <w:nsid w:val="53584BCB"/>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100">
    <w:nsid w:val="415E286C"/>
    <w:multiLevelType w:val="hybridMultilevel"/>
    <w:lvl w:ilvl="0">
      <w:lvlJc w:val="left"/>
      <w:lvlText w:val="(%1)"/>
      <w:numFmt w:val="lowerRoman"/>
      <w:start w:val="10"/>
    </w:lvl>
    <w:lvl w:ilvl="1">
      <w:lvlJc w:val="left"/>
      <w:lvlText w:val="(%2)"/>
      <w:numFmt w:val="lowerLetter"/>
      <w:start w:val="9"/>
    </w:lvl>
    <w:lvl w:ilvl="2">
      <w:lvlJc w:val="left"/>
      <w:lvlText w:val="%3"/>
      <w:numFmt w:val="lowerRoman"/>
      <w:start w:val="1"/>
    </w:lvl>
  </w:abstractNum>
  <w:abstractNum w:abstractNumId="101">
    <w:nsid w:val="7C58FD05"/>
    <w:multiLevelType w:val="hybridMultilevel"/>
    <w:lvl w:ilvl="0">
      <w:lvlJc w:val="left"/>
      <w:lvlText w:val="(%1)"/>
      <w:numFmt w:val="lowerRoman"/>
      <w:start w:val="2"/>
    </w:lvl>
  </w:abstractNum>
  <w:abstractNum w:abstractNumId="102">
    <w:nsid w:val="23D86AAC"/>
    <w:multiLevelType w:val="hybridMultilevel"/>
    <w:lvl w:ilvl="0">
      <w:lvlJc w:val="left"/>
      <w:lvlText w:val="(%1)"/>
      <w:numFmt w:val="lowerLetter"/>
      <w:start w:val="1"/>
    </w:lvl>
    <w:lvl w:ilvl="1">
      <w:lvlJc w:val="left"/>
      <w:lvlText w:val="(%2)"/>
      <w:numFmt w:val="lowerRoman"/>
      <w:start w:val="1"/>
    </w:lvl>
  </w:abstractNum>
  <w:abstractNum w:abstractNumId="103">
    <w:nsid w:val="45E6D486"/>
    <w:multiLevelType w:val="hybridMultilevel"/>
    <w:lvl w:ilvl="0">
      <w:lvlJc w:val="left"/>
      <w:lvlText w:val="(%1)"/>
      <w:numFmt w:val="lowerRoman"/>
      <w:start w:val="2"/>
    </w:lvl>
  </w:abstractNum>
  <w:abstractNum w:abstractNumId="104">
    <w:nsid w:val="5C10FE21"/>
    <w:multiLevelType w:val="hybridMultilevel"/>
    <w:lvl w:ilvl="0">
      <w:lvlJc w:val="left"/>
      <w:lvlText w:val="(%1)"/>
      <w:numFmt w:val="upperLetter"/>
      <w:start w:val="1"/>
    </w:lvl>
  </w:abstractNum>
  <w:abstractNum w:abstractNumId="105">
    <w:nsid w:val="E7FFA2B"/>
    <w:multiLevelType w:val="hybridMultilevel"/>
    <w:lvl w:ilvl="0">
      <w:lvlJc w:val="left"/>
      <w:lvlText w:val="(%1)"/>
      <w:numFmt w:val="upperLetter"/>
      <w:start w:val="5"/>
    </w:lvl>
  </w:abstractNum>
  <w:abstractNum w:abstractNumId="106">
    <w:nsid w:val="3C5991AA"/>
    <w:multiLevelType w:val="hybridMultilevel"/>
    <w:lvl w:ilvl="0">
      <w:lvlJc w:val="left"/>
      <w:lvlText w:val="(%1)"/>
      <w:numFmt w:val="lowerRoman"/>
      <w:start w:val="3"/>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lowerLetter"/>
      <w:start w:val="2"/>
    </w:lvl>
    <w:lvl w:ilvl="1">
      <w:lvlJc w:val="left"/>
      <w:lvlText w:val="(%2)"/>
      <w:numFmt w:val="lowerRoman"/>
      <w:start w:val="1"/>
    </w:lvl>
  </w:abstractNum>
  <w:abstractNum w:abstractNumId="109">
    <w:nsid w:val="39B7AAA2"/>
    <w:multiLevelType w:val="hybridMultilevel"/>
    <w:lvl w:ilvl="0">
      <w:lvlJc w:val="left"/>
      <w:lvlText w:val="(%1)"/>
      <w:numFmt w:val="lowerLetter"/>
      <w:start w:val="1"/>
    </w:lvl>
    <w:lvl w:ilvl="1">
      <w:lvlJc w:val="left"/>
      <w:lvlText w:val="(%2)"/>
      <w:numFmt w:val="lowerRoman"/>
      <w:start w:val="1"/>
    </w:lvl>
  </w:abstractNum>
  <w:abstractNum w:abstractNumId="110">
    <w:nsid w:val="2B0D8DBE"/>
    <w:multiLevelType w:val="hybridMultilevel"/>
    <w:lvl w:ilvl="0">
      <w:lvlJc w:val="left"/>
      <w:lvlText w:val="(%1)"/>
      <w:numFmt w:val="lowerRoman"/>
      <w:start w:val="2"/>
    </w:lvl>
  </w:abstractNum>
  <w:abstractNum w:abstractNumId="111">
    <w:nsid w:val="6C80EC70"/>
    <w:multiLevelType w:val="hybridMultilevel"/>
    <w:lvl w:ilvl="0">
      <w:lvlJc w:val="left"/>
      <w:lvlText w:val="(%1)"/>
      <w:numFmt w:val="lowerLetter"/>
      <w:start w:val="5"/>
    </w:lvl>
  </w:abstractNum>
  <w:abstractNum w:abstractNumId="112">
    <w:nsid w:val="379E21B5"/>
    <w:multiLevelType w:val="hybridMultilevel"/>
    <w:lvl w:ilvl="0">
      <w:lvlJc w:val="left"/>
      <w:lvlText w:val="(%1)"/>
      <w:numFmt w:val="lowerLetter"/>
      <w:start w:val="2"/>
    </w:lvl>
  </w:abstractNum>
  <w:abstractNum w:abstractNumId="113">
    <w:nsid w:val="69E373"/>
    <w:multiLevelType w:val="hybridMultilevel"/>
    <w:lvl w:ilvl="0">
      <w:lvlJc w:val="left"/>
      <w:lvlText w:val="%1."/>
      <w:numFmt w:val="decimal"/>
      <w:start w:val="1"/>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lowerLetter"/>
      <w:start w:val="1"/>
    </w:lvl>
  </w:abstractNum>
  <w:abstractNum w:abstractNumId="116">
    <w:nsid w:val="6AA7B75C"/>
    <w:multiLevelType w:val="hybridMultilevel"/>
    <w:lvl w:ilvl="0">
      <w:lvlJc w:val="left"/>
      <w:lvlText w:val="(%1)"/>
      <w:numFmt w:val="lowerLetter"/>
      <w:start w:val="2"/>
    </w:lvl>
  </w:abstractNum>
  <w:abstractNum w:abstractNumId="117">
    <w:nsid w:val="1DF029D3"/>
    <w:multiLevelType w:val="hybridMultilevel"/>
    <w:lvl w:ilvl="0">
      <w:lvlJc w:val="left"/>
      <w:lvlText w:val="%1."/>
      <w:numFmt w:val="decimal"/>
      <w:start w:val="6"/>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2019-12-07T16:03:41Z</dcterms:created>
  <dcterms:modified xsi:type="dcterms:W3CDTF">2019-12-07T16:03:41Z</dcterms:modified>
</cp:coreProperties>
</file>