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March 3, 2025</w:t>
      </w:r>
    </w:p>
    <w:p>
      <w:pPr>
        <w:spacing w:after="0" w:line="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Registration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5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6"/>
          <w:szCs w:val="36"/>
          <w:b w:val="1"/>
          <w:bCs w:val="1"/>
          <w:color w:val="auto"/>
        </w:rPr>
        <w:t>LPL Financial Holdings Inc.</w:t>
      </w:r>
    </w:p>
    <w:p>
      <w:pPr>
        <w:spacing w:after="0" w:line="4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8" w:lineRule="exact"/>
        <w:rPr>
          <w:sz w:val="24"/>
          <w:szCs w:val="24"/>
          <w:color w:val="auto"/>
        </w:rPr>
      </w:pPr>
    </w:p>
    <w:tbl>
      <w:tblPr>
        <w:tblLayout w:type="fixed"/>
        <w:tblInd w:w="2020" w:type="dxa"/>
        <w:tblCellMar>
          <w:top w:w="0" w:type="dxa"/>
          <w:left w:w="0" w:type="dxa"/>
          <w:bottom w:w="0" w:type="dxa"/>
          <w:right w:w="0" w:type="dxa"/>
        </w:tblCellMar>
      </w:tblPr>
      <w:tr>
        <w:trPr>
          <w:trHeight w:val="172"/>
        </w:trPr>
        <w:tc>
          <w:tcPr>
            <w:tcW w:w="3760" w:type="dxa"/>
            <w:vAlign w:val="bottom"/>
          </w:tcPr>
          <w:p>
            <w:pPr>
              <w:jc w:val="center"/>
              <w:ind w:right="195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340" w:type="dxa"/>
            <w:vAlign w:val="bottom"/>
          </w:tcPr>
          <w:p>
            <w:pPr>
              <w:jc w:val="center"/>
              <w:ind w:left="1930"/>
              <w:spacing w:after="0"/>
              <w:rPr>
                <w:sz w:val="20"/>
                <w:szCs w:val="20"/>
                <w:color w:val="auto"/>
              </w:rPr>
            </w:pPr>
            <w:r>
              <w:rPr>
                <w:rFonts w:ascii="Times New Roman" w:cs="Times New Roman" w:eastAsia="Times New Roman" w:hAnsi="Times New Roman"/>
                <w:sz w:val="15"/>
                <w:szCs w:val="15"/>
                <w:b w:val="1"/>
                <w:bCs w:val="1"/>
                <w:color w:val="auto"/>
              </w:rPr>
              <w:t>20-3717839</w:t>
            </w:r>
          </w:p>
        </w:tc>
      </w:tr>
      <w:tr>
        <w:trPr>
          <w:trHeight w:val="148"/>
        </w:trPr>
        <w:tc>
          <w:tcPr>
            <w:tcW w:w="3760" w:type="dxa"/>
            <w:vAlign w:val="bottom"/>
          </w:tcPr>
          <w:p>
            <w:pPr>
              <w:jc w:val="center"/>
              <w:ind w:right="193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340" w:type="dxa"/>
            <w:vAlign w:val="bottom"/>
          </w:tcPr>
          <w:p>
            <w:pPr>
              <w:jc w:val="center"/>
              <w:ind w:left="1950"/>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760" w:type="dxa"/>
            <w:vAlign w:val="bottom"/>
          </w:tcPr>
          <w:p>
            <w:pPr>
              <w:jc w:val="center"/>
              <w:ind w:right="193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340" w:type="dxa"/>
            <w:vAlign w:val="bottom"/>
          </w:tcPr>
          <w:p>
            <w:pPr>
              <w:jc w:val="center"/>
              <w:ind w:left="1930"/>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tbl>
      <w:tblPr>
        <w:tblLayout w:type="fixed"/>
        <w:tblInd w:w="2020" w:type="dxa"/>
        <w:tblCellMar>
          <w:top w:w="0" w:type="dxa"/>
          <w:left w:w="0" w:type="dxa"/>
          <w:bottom w:w="0" w:type="dxa"/>
          <w:right w:w="0" w:type="dxa"/>
        </w:tblCellMar>
      </w:tblPr>
      <w:tr>
        <w:trPr>
          <w:trHeight w:val="442"/>
        </w:trPr>
        <w:tc>
          <w:tcPr>
            <w:tcW w:w="1840" w:type="dxa"/>
            <w:vAlign w:val="bottom"/>
          </w:tcPr>
          <w:p>
            <w:pPr>
              <w:spacing w:after="0"/>
              <w:rPr>
                <w:sz w:val="24"/>
                <w:szCs w:val="24"/>
                <w:color w:val="auto"/>
              </w:rPr>
            </w:pPr>
          </w:p>
        </w:tc>
        <w:tc>
          <w:tcPr>
            <w:tcW w:w="5260" w:type="dxa"/>
            <w:vAlign w:val="bottom"/>
            <w:gridSpan w:val="3"/>
          </w:tcPr>
          <w:p>
            <w:pPr>
              <w:jc w:val="center"/>
              <w:ind w:right="1653"/>
              <w:spacing w:after="0"/>
              <w:rPr>
                <w:sz w:val="20"/>
                <w:szCs w:val="20"/>
                <w:color w:val="auto"/>
              </w:rPr>
            </w:pPr>
            <w:r>
              <w:rPr>
                <w:rFonts w:ascii="Times New Roman" w:cs="Times New Roman" w:eastAsia="Times New Roman" w:hAnsi="Times New Roman"/>
                <w:sz w:val="36"/>
                <w:szCs w:val="36"/>
                <w:b w:val="1"/>
                <w:bCs w:val="1"/>
                <w:color w:val="auto"/>
                <w:w w:val="99"/>
              </w:rPr>
              <w:t>LPL Holdings, Inc.</w:t>
            </w:r>
          </w:p>
        </w:tc>
      </w:tr>
      <w:tr>
        <w:trPr>
          <w:trHeight w:val="202"/>
        </w:trPr>
        <w:tc>
          <w:tcPr>
            <w:tcW w:w="1840" w:type="dxa"/>
            <w:vAlign w:val="bottom"/>
          </w:tcPr>
          <w:p>
            <w:pPr>
              <w:spacing w:after="0"/>
              <w:rPr>
                <w:sz w:val="17"/>
                <w:szCs w:val="17"/>
                <w:color w:val="auto"/>
              </w:rPr>
            </w:pPr>
          </w:p>
        </w:tc>
        <w:tc>
          <w:tcPr>
            <w:tcW w:w="5260" w:type="dxa"/>
            <w:vAlign w:val="bottom"/>
            <w:gridSpan w:val="3"/>
          </w:tcPr>
          <w:p>
            <w:pPr>
              <w:jc w:val="center"/>
              <w:ind w:right="1653"/>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r>
      <w:tr>
        <w:trPr>
          <w:trHeight w:val="170"/>
        </w:trPr>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r>
      <w:tr>
        <w:trPr>
          <w:trHeight w:val="260"/>
        </w:trPr>
        <w:tc>
          <w:tcPr>
            <w:tcW w:w="1840" w:type="dxa"/>
            <w:vAlign w:val="bottom"/>
          </w:tcPr>
          <w:p>
            <w:pPr>
              <w:jc w:val="center"/>
              <w:ind w:right="30"/>
              <w:spacing w:after="0"/>
              <w:rPr>
                <w:sz w:val="20"/>
                <w:szCs w:val="20"/>
                <w:color w:val="auto"/>
              </w:rPr>
            </w:pPr>
            <w:r>
              <w:rPr>
                <w:rFonts w:ascii="Times New Roman" w:cs="Times New Roman" w:eastAsia="Times New Roman" w:hAnsi="Times New Roman"/>
                <w:sz w:val="15"/>
                <w:szCs w:val="15"/>
                <w:b w:val="1"/>
                <w:bCs w:val="1"/>
                <w:color w:val="auto"/>
              </w:rPr>
              <w:t>Massachusetts</w:t>
            </w:r>
          </w:p>
        </w:tc>
        <w:tc>
          <w:tcPr>
            <w:tcW w:w="5260" w:type="dxa"/>
            <w:vAlign w:val="bottom"/>
            <w:gridSpan w:val="3"/>
          </w:tcPr>
          <w:p>
            <w:pPr>
              <w:jc w:val="center"/>
              <w:ind w:left="3838"/>
              <w:spacing w:after="0"/>
              <w:rPr>
                <w:sz w:val="20"/>
                <w:szCs w:val="20"/>
                <w:color w:val="auto"/>
              </w:rPr>
            </w:pPr>
            <w:r>
              <w:rPr>
                <w:rFonts w:ascii="Times New Roman" w:cs="Times New Roman" w:eastAsia="Times New Roman" w:hAnsi="Times New Roman"/>
                <w:sz w:val="15"/>
                <w:szCs w:val="15"/>
                <w:b w:val="1"/>
                <w:bCs w:val="1"/>
                <w:color w:val="auto"/>
                <w:w w:val="99"/>
              </w:rPr>
              <w:t>04-3046611</w:t>
            </w:r>
          </w:p>
        </w:tc>
      </w:tr>
      <w:tr>
        <w:trPr>
          <w:trHeight w:val="148"/>
        </w:trPr>
        <w:tc>
          <w:tcPr>
            <w:tcW w:w="18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6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340" w:type="dxa"/>
            <w:vAlign w:val="bottom"/>
          </w:tcPr>
          <w:p>
            <w:pPr>
              <w:jc w:val="center"/>
              <w:ind w:left="95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18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6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40" w:type="dxa"/>
            <w:vAlign w:val="bottom"/>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195"/>
        </w:trPr>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60" w:type="dxa"/>
            <w:vAlign w:val="bottom"/>
            <w:gridSpan w:val="2"/>
          </w:tcPr>
          <w:p>
            <w:pPr>
              <w:jc w:val="center"/>
              <w:ind w:right="2253"/>
              <w:spacing w:after="0"/>
              <w:rPr>
                <w:sz w:val="20"/>
                <w:szCs w:val="20"/>
                <w:color w:val="auto"/>
              </w:rPr>
            </w:pPr>
            <w:r>
              <w:rPr>
                <w:rFonts w:ascii="Times New Roman" w:cs="Times New Roman" w:eastAsia="Times New Roman" w:hAnsi="Times New Roman"/>
                <w:sz w:val="15"/>
                <w:szCs w:val="15"/>
                <w:b w:val="1"/>
                <w:bCs w:val="1"/>
                <w:color w:val="auto"/>
              </w:rPr>
              <w:t>4707 Executive Drive</w:t>
            </w:r>
          </w:p>
        </w:tc>
      </w:tr>
      <w:tr>
        <w:trPr>
          <w:trHeight w:val="162"/>
        </w:trPr>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60" w:type="dxa"/>
            <w:vAlign w:val="bottom"/>
            <w:gridSpan w:val="2"/>
          </w:tcPr>
          <w:p>
            <w:pPr>
              <w:jc w:val="center"/>
              <w:ind w:right="2253"/>
              <w:spacing w:after="0" w:line="162" w:lineRule="exact"/>
              <w:rPr>
                <w:sz w:val="20"/>
                <w:szCs w:val="20"/>
                <w:color w:val="auto"/>
              </w:rPr>
            </w:pPr>
            <w:r>
              <w:rPr>
                <w:rFonts w:ascii="Times New Roman" w:cs="Times New Roman" w:eastAsia="Times New Roman" w:hAnsi="Times New Roman"/>
                <w:sz w:val="15"/>
                <w:szCs w:val="15"/>
                <w:b w:val="1"/>
                <w:bCs w:val="1"/>
                <w:color w:val="auto"/>
              </w:rPr>
              <w:t>San Diego, CA 92121</w:t>
            </w:r>
          </w:p>
        </w:tc>
      </w:tr>
      <w:tr>
        <w:trPr>
          <w:trHeight w:val="184"/>
        </w:trPr>
        <w:tc>
          <w:tcPr>
            <w:tcW w:w="1840" w:type="dxa"/>
            <w:vAlign w:val="bottom"/>
          </w:tcPr>
          <w:p>
            <w:pPr>
              <w:spacing w:after="0"/>
              <w:rPr>
                <w:sz w:val="16"/>
                <w:szCs w:val="16"/>
                <w:color w:val="auto"/>
              </w:rPr>
            </w:pPr>
          </w:p>
        </w:tc>
        <w:tc>
          <w:tcPr>
            <w:tcW w:w="2920" w:type="dxa"/>
            <w:vAlign w:val="bottom"/>
            <w:gridSpan w:val="2"/>
          </w:tcPr>
          <w:p>
            <w:pPr>
              <w:jc w:val="center"/>
              <w:ind w:left="498"/>
              <w:spacing w:after="0"/>
              <w:rPr>
                <w:sz w:val="20"/>
                <w:szCs w:val="20"/>
                <w:color w:val="auto"/>
              </w:rPr>
            </w:pPr>
            <w:r>
              <w:rPr>
                <w:rFonts w:ascii="Times New Roman" w:cs="Times New Roman" w:eastAsia="Times New Roman" w:hAnsi="Times New Roman"/>
                <w:sz w:val="15"/>
                <w:szCs w:val="15"/>
                <w:b w:val="1"/>
                <w:bCs w:val="1"/>
                <w:color w:val="auto"/>
              </w:rPr>
              <w:t>(800) 877-7210</w:t>
            </w:r>
          </w:p>
        </w:tc>
        <w:tc>
          <w:tcPr>
            <w:tcW w:w="2340" w:type="dxa"/>
            <w:vAlign w:val="bottom"/>
          </w:tcPr>
          <w:p>
            <w:pPr>
              <w:spacing w:after="0"/>
              <w:rPr>
                <w:sz w:val="16"/>
                <w:szCs w:val="16"/>
                <w:color w:val="auto"/>
              </w:rPr>
            </w:pPr>
          </w:p>
        </w:tc>
      </w:tr>
    </w:tbl>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Althea Brown</w:t>
      </w: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LPL Financial Holdings Inc.</w:t>
      </w:r>
    </w:p>
    <w:p>
      <w:pPr>
        <w:jc w:val="center"/>
        <w:ind w:right="-159"/>
        <w:spacing w:after="0" w:line="225" w:lineRule="auto"/>
        <w:rPr>
          <w:sz w:val="20"/>
          <w:szCs w:val="20"/>
          <w:color w:val="auto"/>
        </w:rPr>
      </w:pPr>
      <w:r>
        <w:rPr>
          <w:rFonts w:ascii="Times New Roman" w:cs="Times New Roman" w:eastAsia="Times New Roman" w:hAnsi="Times New Roman"/>
          <w:sz w:val="15"/>
          <w:szCs w:val="15"/>
          <w:b w:val="1"/>
          <w:bCs w:val="1"/>
          <w:color w:val="auto"/>
        </w:rPr>
        <w:t>4707 Executive Drive, San Diego, CA 92121</w:t>
      </w:r>
    </w:p>
    <w:p>
      <w:pPr>
        <w:jc w:val="center"/>
        <w:ind w:right="-159"/>
        <w:spacing w:after="0" w:line="229" w:lineRule="auto"/>
        <w:rPr>
          <w:sz w:val="20"/>
          <w:szCs w:val="20"/>
          <w:color w:val="auto"/>
        </w:rPr>
      </w:pPr>
      <w:r>
        <w:rPr>
          <w:rFonts w:ascii="Times New Roman" w:cs="Times New Roman" w:eastAsia="Times New Roman" w:hAnsi="Times New Roman"/>
          <w:sz w:val="15"/>
          <w:szCs w:val="15"/>
          <w:b w:val="1"/>
          <w:bCs w:val="1"/>
          <w:color w:val="auto"/>
        </w:rPr>
        <w:t>(800) 877-7210</w:t>
      </w: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i w:val="1"/>
          <w:iCs w:val="1"/>
          <w:color w:val="auto"/>
        </w:rPr>
        <w:t>Please send copies of all communications to:</w:t>
      </w: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Marko S. Zatylny</w:t>
      </w:r>
    </w:p>
    <w:p>
      <w:pPr>
        <w:jc w:val="center"/>
        <w:ind w:right="-159"/>
        <w:spacing w:after="0" w:line="225" w:lineRule="auto"/>
        <w:rPr>
          <w:sz w:val="20"/>
          <w:szCs w:val="20"/>
          <w:color w:val="auto"/>
        </w:rPr>
      </w:pPr>
      <w:r>
        <w:rPr>
          <w:rFonts w:ascii="Times New Roman" w:cs="Times New Roman" w:eastAsia="Times New Roman" w:hAnsi="Times New Roman"/>
          <w:sz w:val="15"/>
          <w:szCs w:val="15"/>
          <w:b w:val="1"/>
          <w:bCs w:val="1"/>
          <w:color w:val="auto"/>
        </w:rPr>
        <w:t>Thomas Fraser</w:t>
      </w:r>
    </w:p>
    <w:p>
      <w:pPr>
        <w:jc w:val="center"/>
        <w:ind w:right="-159"/>
        <w:spacing w:after="0" w:line="225" w:lineRule="auto"/>
        <w:rPr>
          <w:sz w:val="20"/>
          <w:szCs w:val="20"/>
          <w:color w:val="auto"/>
        </w:rPr>
      </w:pPr>
      <w:r>
        <w:rPr>
          <w:rFonts w:ascii="Times New Roman" w:cs="Times New Roman" w:eastAsia="Times New Roman" w:hAnsi="Times New Roman"/>
          <w:sz w:val="15"/>
          <w:szCs w:val="15"/>
          <w:b w:val="1"/>
          <w:bCs w:val="1"/>
          <w:color w:val="auto"/>
        </w:rPr>
        <w:t>Ropes &amp; Gray LLP</w:t>
      </w:r>
    </w:p>
    <w:p>
      <w:pPr>
        <w:jc w:val="center"/>
        <w:ind w:right="-159"/>
        <w:spacing w:after="0" w:line="226" w:lineRule="auto"/>
        <w:rPr>
          <w:sz w:val="20"/>
          <w:szCs w:val="20"/>
          <w:color w:val="auto"/>
        </w:rPr>
      </w:pPr>
      <w:r>
        <w:rPr>
          <w:rFonts w:ascii="Times New Roman" w:cs="Times New Roman" w:eastAsia="Times New Roman" w:hAnsi="Times New Roman"/>
          <w:sz w:val="15"/>
          <w:szCs w:val="15"/>
          <w:b w:val="1"/>
          <w:bCs w:val="1"/>
          <w:color w:val="auto"/>
        </w:rPr>
        <w:t>Prudential Tower</w:t>
      </w:r>
    </w:p>
    <w:p>
      <w:pPr>
        <w:jc w:val="center"/>
        <w:ind w:right="-159"/>
        <w:spacing w:after="0" w:line="225" w:lineRule="auto"/>
        <w:rPr>
          <w:sz w:val="20"/>
          <w:szCs w:val="20"/>
          <w:color w:val="auto"/>
        </w:rPr>
      </w:pPr>
      <w:r>
        <w:rPr>
          <w:rFonts w:ascii="Times New Roman" w:cs="Times New Roman" w:eastAsia="Times New Roman" w:hAnsi="Times New Roman"/>
          <w:sz w:val="15"/>
          <w:szCs w:val="15"/>
          <w:b w:val="1"/>
          <w:bCs w:val="1"/>
          <w:color w:val="auto"/>
        </w:rPr>
        <w:t>800 Boylston Street</w:t>
      </w:r>
    </w:p>
    <w:p>
      <w:pPr>
        <w:jc w:val="center"/>
        <w:ind w:right="-159"/>
        <w:spacing w:after="0" w:line="226" w:lineRule="auto"/>
        <w:rPr>
          <w:sz w:val="20"/>
          <w:szCs w:val="20"/>
          <w:color w:val="auto"/>
        </w:rPr>
      </w:pPr>
      <w:r>
        <w:rPr>
          <w:rFonts w:ascii="Times New Roman" w:cs="Times New Roman" w:eastAsia="Times New Roman" w:hAnsi="Times New Roman"/>
          <w:sz w:val="15"/>
          <w:szCs w:val="15"/>
          <w:b w:val="1"/>
          <w:bCs w:val="1"/>
          <w:color w:val="auto"/>
        </w:rPr>
        <w:t>Boston, MA 02199</w:t>
      </w:r>
    </w:p>
    <w:p>
      <w:pPr>
        <w:jc w:val="center"/>
        <w:ind w:right="-159"/>
        <w:spacing w:after="0" w:line="225" w:lineRule="auto"/>
        <w:rPr>
          <w:sz w:val="20"/>
          <w:szCs w:val="20"/>
          <w:color w:val="auto"/>
        </w:rPr>
      </w:pPr>
      <w:r>
        <w:rPr>
          <w:rFonts w:ascii="Times New Roman" w:cs="Times New Roman" w:eastAsia="Times New Roman" w:hAnsi="Times New Roman"/>
          <w:sz w:val="15"/>
          <w:szCs w:val="15"/>
          <w:b w:val="1"/>
          <w:bCs w:val="1"/>
          <w:color w:val="auto"/>
        </w:rPr>
        <w:t>Telephone (617) 951-7000</w:t>
      </w: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Fax (617) 951-7050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From time to time after the effectiveness of the Registration Statement.</w:t>
      </w:r>
    </w:p>
    <w:p>
      <w:pPr>
        <w:spacing w:after="0" w:line="39" w:lineRule="exact"/>
        <w:rPr>
          <w:sz w:val="24"/>
          <w:szCs w:val="24"/>
          <w:color w:val="auto"/>
        </w:rPr>
      </w:pPr>
    </w:p>
    <w:p>
      <w:pPr>
        <w:ind w:left="56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06" w:lineRule="exact"/>
        <w:rPr>
          <w:sz w:val="24"/>
          <w:szCs w:val="24"/>
          <w:color w:val="auto"/>
        </w:rPr>
      </w:pPr>
    </w:p>
    <w:p>
      <w:pPr>
        <w:ind w:left="120" w:right="24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35" w:lineRule="exact"/>
        <w:rPr>
          <w:sz w:val="24"/>
          <w:szCs w:val="24"/>
          <w:color w:val="auto"/>
        </w:rPr>
      </w:pPr>
    </w:p>
    <w:p>
      <w:pPr>
        <w:ind w:left="120" w:right="18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2" w:lineRule="exact"/>
        <w:rPr>
          <w:sz w:val="24"/>
          <w:szCs w:val="24"/>
          <w:color w:val="auto"/>
        </w:rPr>
      </w:pPr>
    </w:p>
    <w:p>
      <w:pPr>
        <w:ind w:left="120" w:right="10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2" w:lineRule="exact"/>
        <w:rPr>
          <w:sz w:val="24"/>
          <w:szCs w:val="24"/>
          <w:color w:val="auto"/>
        </w:rPr>
      </w:pPr>
    </w:p>
    <w:p>
      <w:pPr>
        <w:ind w:left="120" w:right="70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35" w:lineRule="exact"/>
        <w:rPr>
          <w:sz w:val="24"/>
          <w:szCs w:val="24"/>
          <w:color w:val="auto"/>
        </w:rPr>
      </w:pPr>
    </w:p>
    <w:p>
      <w:pPr>
        <w:ind w:left="120" w:right="10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22" w:lineRule="exact"/>
        <w:rPr>
          <w:sz w:val="24"/>
          <w:szCs w:val="24"/>
          <w:color w:val="auto"/>
        </w:rPr>
      </w:pPr>
    </w:p>
    <w:p>
      <w:pPr>
        <w:jc w:val="both"/>
        <w:ind w:left="120" w:right="200" w:firstLine="440"/>
        <w:spacing w:after="0" w:line="24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1" w:lineRule="exact"/>
        <w:rPr>
          <w:sz w:val="24"/>
          <w:szCs w:val="24"/>
          <w:color w:val="auto"/>
        </w:rPr>
      </w:pPr>
    </w:p>
    <w:tbl>
      <w:tblPr>
        <w:tblLayout w:type="fixed"/>
        <w:tblInd w:w="120" w:type="dxa"/>
        <w:tblCellMar>
          <w:top w:w="0" w:type="dxa"/>
          <w:left w:w="0" w:type="dxa"/>
          <w:bottom w:w="0" w:type="dxa"/>
          <w:right w:w="0" w:type="dxa"/>
        </w:tblCellMar>
      </w:tblPr>
      <w:tr>
        <w:trPr>
          <w:trHeight w:val="24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Times New Roman" w:cs="Times New Roman" w:eastAsia="Times New Roman" w:hAnsi="Times New Roman"/>
                <w:sz w:val="15"/>
                <w:szCs w:val="15"/>
                <w:color w:val="auto"/>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5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5320" w:type="dxa"/>
            <w:vAlign w:val="bottom"/>
          </w:tcPr>
          <w:p>
            <w:pPr>
              <w:ind w:left="3500"/>
              <w:spacing w:after="0"/>
              <w:rPr>
                <w:sz w:val="20"/>
                <w:szCs w:val="20"/>
                <w:color w:val="auto"/>
              </w:rPr>
            </w:pPr>
            <w:r>
              <w:rPr>
                <w:rFonts w:ascii="Times New Roman" w:cs="Times New Roman" w:eastAsia="Times New Roman" w:hAnsi="Times New Roman"/>
                <w:sz w:val="15"/>
                <w:szCs w:val="15"/>
                <w:color w:val="auto"/>
              </w:rPr>
              <w:t>Emerging growth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1" w:lineRule="exact"/>
        <w:rPr>
          <w:sz w:val="24"/>
          <w:szCs w:val="24"/>
          <w:color w:val="auto"/>
        </w:rPr>
      </w:pPr>
    </w:p>
    <w:p>
      <w:pPr>
        <w:ind w:left="120" w:right="50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4" w:lineRule="exact"/>
        <w:rPr>
          <w:sz w:val="24"/>
          <w:szCs w:val="24"/>
          <w:color w:val="auto"/>
        </w:rPr>
      </w:pPr>
    </w:p>
    <w:p>
      <w:pPr>
        <w:jc w:val="both"/>
        <w:ind w:left="120" w:right="280"/>
        <w:spacing w:after="0" w:line="246" w:lineRule="auto"/>
        <w:rPr>
          <w:sz w:val="20"/>
          <w:szCs w:val="20"/>
          <w:color w:val="auto"/>
        </w:rPr>
      </w:pPr>
      <w:r>
        <w:rPr>
          <w:rFonts w:ascii="Times New Roman" w:cs="Times New Roman" w:eastAsia="Times New Roman" w:hAnsi="Times New Roman"/>
          <w:sz w:val="15"/>
          <w:szCs w:val="15"/>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225" w:right="479" w:bottom="68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240"/>
          </w:cols>
          <w:pgMar w:left="320" w:top="45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821"/>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statement filed with the</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rPr>
              <w:t>offer to buy these</w:t>
            </w:r>
          </w:p>
        </w:tc>
      </w:tr>
      <w:tr>
        <w:trPr>
          <w:trHeight w:val="4103"/>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We may not sell these securities until the registration</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an offer to sell these securities and is not soliciting an</w:t>
            </w:r>
          </w:p>
        </w:tc>
      </w:tr>
      <w:tr>
        <w:trPr>
          <w:trHeight w:val="5530"/>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 information in this prospectus is not complete and may be changed.</w:t>
            </w:r>
          </w:p>
        </w:tc>
        <w:tc>
          <w:tcPr>
            <w:tcW w:w="420" w:type="dxa"/>
            <w:vAlign w:val="bottom"/>
            <w:textDirection w:val="btLr"/>
          </w:tcPr>
          <w:p>
            <w:pPr>
              <w:ind w:left="271"/>
              <w:spacing w:after="0"/>
              <w:rPr>
                <w:sz w:val="20"/>
                <w:szCs w:val="20"/>
                <w:color w:val="auto"/>
              </w:rPr>
            </w:pPr>
            <w:r>
              <w:rPr>
                <w:rFonts w:ascii="Times New Roman" w:cs="Times New Roman" w:eastAsia="Times New Roman" w:hAnsi="Times New Roman"/>
                <w:sz w:val="13"/>
                <w:szCs w:val="13"/>
                <w:b w:val="1"/>
                <w:bCs w:val="1"/>
                <w:color w:val="FF4338"/>
                <w:w w:val="78"/>
              </w:rPr>
              <w:t>Securities and Exchange Commission is effective. This prospectus is notsecuritiesinanystatewheretheofferorsaleisnotpermitted.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4338"/>
        </w:rPr>
        <w:t>Subject to completion, dated March 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$4,000,000,000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182245</wp:posOffset>
            </wp:positionV>
            <wp:extent cx="327469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225425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0" w:firstLine="371"/>
        <w:spacing w:after="0" w:line="282" w:lineRule="auto"/>
        <w:rPr>
          <w:sz w:val="20"/>
          <w:szCs w:val="20"/>
          <w:color w:val="auto"/>
        </w:rPr>
      </w:pPr>
      <w:r>
        <w:rPr>
          <w:rFonts w:ascii="Times New Roman" w:cs="Times New Roman" w:eastAsia="Times New Roman" w:hAnsi="Times New Roman"/>
          <w:sz w:val="18"/>
          <w:szCs w:val="18"/>
          <w:color w:val="auto"/>
        </w:rPr>
        <w:t>LPL Financial Holdings Inc. may offer and sell shares of our common stock from time to time in amounts, at prices and on terms that will be determined at the time of any such offering.</w:t>
      </w:r>
    </w:p>
    <w:p>
      <w:pPr>
        <w:spacing w:after="0" w:line="162" w:lineRule="exact"/>
        <w:rPr>
          <w:sz w:val="20"/>
          <w:szCs w:val="20"/>
          <w:color w:val="auto"/>
        </w:rPr>
      </w:pPr>
    </w:p>
    <w:p>
      <w:pPr>
        <w:ind w:firstLine="371"/>
        <w:spacing w:after="0" w:line="266" w:lineRule="auto"/>
        <w:rPr>
          <w:sz w:val="20"/>
          <w:szCs w:val="20"/>
          <w:color w:val="auto"/>
        </w:rPr>
      </w:pPr>
      <w:r>
        <w:rPr>
          <w:rFonts w:ascii="Times New Roman" w:cs="Times New Roman" w:eastAsia="Times New Roman" w:hAnsi="Times New Roman"/>
          <w:sz w:val="18"/>
          <w:szCs w:val="18"/>
          <w:color w:val="auto"/>
        </w:rPr>
        <w:t>LPL Holdings, Inc. may, from time to time, offer to sell non-convertible debt securities consisting of senior or subordinated notes and debentures and/or other evidences of indebtedness in one or more series, and which will be fully and unconditionally guaranteed by LPL Financial Holdings Inc.</w:t>
      </w:r>
    </w:p>
    <w:p>
      <w:pPr>
        <w:spacing w:after="0" w:line="176" w:lineRule="exact"/>
        <w:rPr>
          <w:sz w:val="20"/>
          <w:szCs w:val="20"/>
          <w:color w:val="auto"/>
        </w:rPr>
      </w:pPr>
    </w:p>
    <w:p>
      <w:pPr>
        <w:jc w:val="both"/>
        <w:ind w:firstLine="371"/>
        <w:spacing w:after="0" w:line="256" w:lineRule="auto"/>
        <w:rPr>
          <w:sz w:val="20"/>
          <w:szCs w:val="20"/>
          <w:color w:val="auto"/>
        </w:rPr>
      </w:pPr>
      <w:r>
        <w:rPr>
          <w:rFonts w:ascii="Times New Roman" w:cs="Times New Roman" w:eastAsia="Times New Roman" w:hAnsi="Times New Roman"/>
          <w:sz w:val="18"/>
          <w:szCs w:val="18"/>
          <w:color w:val="auto"/>
        </w:rPr>
        <w:t>This prospectus describes the general manner in which these securities may be offered using this prospectus. Each time we sell these securities, the specific terms will be determined at the time of the offering and will be included in a supplement to this prospectus. We may sell these securities directly to our stockholders or to purchasers or through agents on our behalf or through underwriters or dealers as designated from time to time. If any agents or underwriters are involved in the sale of these securities, the applicable prospectus supplement will provide the names of the agents or underwriters and any applicable fees, commissions or discounts.</w:t>
      </w:r>
    </w:p>
    <w:p>
      <w:pPr>
        <w:spacing w:after="0" w:line="187" w:lineRule="exact"/>
        <w:rPr>
          <w:sz w:val="20"/>
          <w:szCs w:val="20"/>
          <w:color w:val="auto"/>
        </w:rPr>
      </w:pPr>
    </w:p>
    <w:p>
      <w:pPr>
        <w:ind w:firstLine="371"/>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accompanied by the applicable prospectus supplement. You should read both this prospectus and any prospectus supplement together with additional information described under the heading “Where You Can Find More Information” before you make your investment decision.</w:t>
      </w:r>
    </w:p>
    <w:p>
      <w:pPr>
        <w:spacing w:after="0" w:line="176" w:lineRule="exact"/>
        <w:rPr>
          <w:sz w:val="20"/>
          <w:szCs w:val="20"/>
          <w:color w:val="auto"/>
        </w:rPr>
      </w:pPr>
    </w:p>
    <w:p>
      <w:pPr>
        <w:jc w:val="both"/>
        <w:ind w:right="220" w:firstLine="371"/>
        <w:spacing w:after="0" w:line="266" w:lineRule="auto"/>
        <w:rPr>
          <w:sz w:val="20"/>
          <w:szCs w:val="20"/>
          <w:color w:val="auto"/>
        </w:rPr>
      </w:pPr>
      <w:r>
        <w:rPr>
          <w:rFonts w:ascii="Times New Roman" w:cs="Times New Roman" w:eastAsia="Times New Roman" w:hAnsi="Times New Roman"/>
          <w:sz w:val="18"/>
          <w:szCs w:val="18"/>
          <w:color w:val="auto"/>
        </w:rPr>
        <w:t>LPL Financial Holdings Inc. common stock is listed on the Nasdaq Global Select Market under the symbol “LPLA.” On February 28, 2025, the last sale price of our common stock as reported on the Nasdaq Global Select Market was $371.74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208915</wp:posOffset>
            </wp:positionV>
            <wp:extent cx="1234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1.</w:t>
      </w:r>
    </w:p>
    <w:p>
      <w:pPr>
        <w:spacing w:after="0" w:line="215" w:lineRule="exact"/>
        <w:rPr>
          <w:sz w:val="20"/>
          <w:szCs w:val="20"/>
          <w:color w:val="auto"/>
        </w:rPr>
      </w:pPr>
    </w:p>
    <w:p>
      <w:pPr>
        <w:ind w:right="26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216535</wp:posOffset>
            </wp:positionV>
            <wp:extent cx="123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dated March 3, 2025</w:t>
      </w:r>
    </w:p>
    <w:p>
      <w:pPr>
        <w:sectPr>
          <w:pgSz w:w="11900" w:h="16838" w:orient="portrait"/>
          <w:cols w:equalWidth="0" w:num="2">
            <w:col w:w="720" w:space="260"/>
            <w:col w:w="9260"/>
          </w:cols>
          <w:pgMar w:left="320" w:top="455" w:right="1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5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500" w:type="dxa"/>
            <w:vAlign w:val="bottom"/>
            <w:gridSpan w:val="6"/>
            <w:vMerge w:val="restart"/>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6"/>
            <w:vMerge w:val="continue"/>
          </w:tcPr>
          <w:p>
            <w:pPr>
              <w:spacing w:after="0"/>
              <w:rPr>
                <w:sz w:val="14"/>
                <w:szCs w:val="14"/>
                <w:color w:val="auto"/>
              </w:rPr>
            </w:pPr>
          </w:p>
        </w:tc>
        <w:tc>
          <w:tcPr>
            <w:tcW w:w="2500" w:type="dxa"/>
            <w:vAlign w:val="bottom"/>
            <w:gridSpan w:val="6"/>
            <w:vMerge w:val="continue"/>
          </w:tcPr>
          <w:p>
            <w:pPr>
              <w:spacing w:after="0"/>
              <w:rPr>
                <w:sz w:val="14"/>
                <w:szCs w:val="14"/>
                <w:color w:val="auto"/>
              </w:rPr>
            </w:pPr>
          </w:p>
        </w:tc>
        <w:tc>
          <w:tcPr>
            <w:tcW w:w="658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Supplemental Guarantor Financial Information</w:t>
            </w:r>
          </w:p>
        </w:tc>
        <w:tc>
          <w:tcPr>
            <w:tcW w:w="700" w:type="dxa"/>
            <w:vAlign w:val="bottom"/>
            <w:gridSpan w:val="2"/>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980" w:type="dxa"/>
            <w:vAlign w:val="bottom"/>
            <w:gridSpan w:val="5"/>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Debt Securities and Guarantees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Common Stock</w:t>
            </w:r>
          </w:p>
        </w:tc>
        <w:tc>
          <w:tcPr>
            <w:tcW w:w="1400" w:type="dxa"/>
            <w:vAlign w:val="bottom"/>
            <w:tcBorders>
              <w:top w:val="single" w:sz="8" w:color="0000EE"/>
            </w:tcBorders>
            <w:gridSpan w:val="3"/>
          </w:tcPr>
          <w:p>
            <w:pPr>
              <w:spacing w:after="0"/>
              <w:rPr>
                <w:sz w:val="17"/>
                <w:szCs w:val="17"/>
                <w:color w:val="auto"/>
              </w:rPr>
            </w:pPr>
          </w:p>
        </w:tc>
        <w:tc>
          <w:tcPr>
            <w:tcW w:w="48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8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9"/>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provide any information or to make any representations other than those contained in or incorporated by reference into this prospectus, any accompanying prospectus supplement or in any free writing prospectuses we have prepared. We take no responsibility for, and can provide no assurance as to the reliability of, any other information that others may give you. This prospectus and any accompanying prospectus supplement are an offer to sell only the shares offered hereby, but only under circumstances and in jurisdictions where it is lawful to do so. The information contained in this prospectus and any accompanying prospectus supplement is current only as of the date of the applicable document.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When we use the terms “we”, “us”, “our”, and the “Company,” we mean LPL Financial Holdings Inc., a Delaware corporation, and its consolidated subsidiaries, taken as a whole, unless the context otherwise indicates. When we use the term “LPL Holdings, Inc.” we mean LPL Holdings, Inc., a Massachusetts corporation, unless the context indicates otherwise.</w:t>
      </w:r>
    </w:p>
    <w:p>
      <w:pPr>
        <w:spacing w:after="0" w:line="17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Securities and Exchange Commission (“SEC”) using a “shelf” registration process. Under this shelf registration process, we may from time to time sell different types of securities described in this prospectus in one or more offerings up to a total dollar amount of $4,000,000,000.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If the information in this prospectus is inconsistent with a prospectus supplement, you should rely on the prospectus supplement. You should read both this prospectus and any prospectus supplement, including all documents incorporated herein or therein by reference, together with additional information described under “Where You Can Find More Information.”</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See “Item 1A—Risk Factors” in our most recent Annual Report on Form 10-K incorporated by reference in this prospectus and in any subsequent Quarterly Report on Form 10-Q or subsequent filings with the SEC and the “Risk Factors” section in the applicable prospectus supplement for a discussion of the factors you should carefully consider before deciding to purchase our securities.</w:t>
      </w: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LPL Holdings, Inc. may issue debt securities using this prospectus. LPL Holdings, Inc. is a direct subsidiary of the Company and an intermediate holding company of the Company’s business. The debt securities issued by LPL Holdings, Inc. will rank equally in right of payment with all of LPL Holdings, Inc.’s (i) other unsecured and unsubordinated indebtedness, in the case of senior debt securities, and (ii) unsecured and subordinated indebtedness, in the case of LPL Holdings, Inc.’s subordinated debt securities. Such obligations will be effectively subordinated to LPL Holdings, Inc.’s future secured obligations to the extent of the value of the collateral securing such obligations. Such obligations will be structurally subordinated to all of the existing and future liabilities of the existing and future subsidiaries of LPL Holdings, Inc.</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debt securities of LPL Holdings, Inc. issued hereunder will be fully and unconditionally guaranteed by LPL Financial Holdings Inc. The obligations of LPL Financial Holdings Inc. as guarantor of such debt securities will be senior unsecured obligations of the Company and will rank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in right of payment with all of existing and future senior unsecured obligations that are not expressly subordinated to LPL Financial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Inc.’s guarantee of the debt securities of LPL Holdings, Inc. and will be effectively subordinated to the Company’s future secured obligations to the extent of the value of the collateral securing such obligations. Such obligations will be structurally subordinated to all of the existing and future liabilities of the Company’s existing and future subsidiaries.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13-01 of Regulation S-X under the Securities Act of 1933, as amended, the following tables present unaudited summary financial information of LPL Financial Holdings Inc., as guarantor, excluding its consolidated subsidiaries, and LPL Holdings, Inc., as the issuer, excluding its consolidated subsidiaries on a combined basis. Balances and transactions between LPL Holdings, Inc. and the Company have been eliminated. Financial information for non-guarantor subsidiaries has been excluded. Intercompany balances and transactions between the Company, LPL Holdings, Inc. and the non-guarantor subsidiaries are presented on separate lines.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Summarized Guarantor Financial Information</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LPL Holdings, Inc. &amp; LPL Financial</w:t>
            </w:r>
          </w:p>
        </w:tc>
        <w:tc>
          <w:tcPr>
            <w:tcW w:w="0" w:type="dxa"/>
            <w:vAlign w:val="bottom"/>
          </w:tcPr>
          <w:p>
            <w:pPr>
              <w:spacing w:after="0"/>
              <w:rPr>
                <w:sz w:val="1"/>
                <w:szCs w:val="1"/>
                <w:color w:val="auto"/>
              </w:rPr>
            </w:pPr>
          </w:p>
        </w:tc>
      </w:tr>
      <w:tr>
        <w:trPr>
          <w:trHeight w:val="173"/>
        </w:trPr>
        <w:tc>
          <w:tcPr>
            <w:tcW w:w="47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Combined Summarized Statements of Income</w:t>
            </w: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Holdings Inc.</w:t>
            </w:r>
          </w:p>
        </w:tc>
        <w:tc>
          <w:tcPr>
            <w:tcW w:w="0" w:type="dxa"/>
            <w:vAlign w:val="bottom"/>
          </w:tcPr>
          <w:p>
            <w:pPr>
              <w:spacing w:after="0"/>
              <w:rPr>
                <w:sz w:val="1"/>
                <w:szCs w:val="1"/>
                <w:color w:val="auto"/>
              </w:rPr>
            </w:pPr>
          </w:p>
        </w:tc>
      </w:tr>
      <w:tr>
        <w:trPr>
          <w:trHeight w:val="117"/>
        </w:trPr>
        <w:tc>
          <w:tcPr>
            <w:tcW w:w="47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4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Revenues(1)</w:t>
            </w:r>
          </w:p>
        </w:tc>
        <w:tc>
          <w:tcPr>
            <w:tcW w:w="1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and commission expense(1)</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103,333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borrowings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270,278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from non-guarantor subsidiaries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22,800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(354,528)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(269,956)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60" w:hanging="424"/>
        <w:spacing w:after="0" w:line="266"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primarily include unrealized gains and losses on assets held in the non-qualified deferred compensation plan offered to advisors and employees, while advisory and commission expense includes the deferred advisory and commission fee expense associated with mark-to-market gains or losses on the non-qualified deferred compensation plan offered to advisors.</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Combined Summarized Statements of Financial</w:t>
      </w:r>
    </w:p>
    <w:p>
      <w:pPr>
        <w:spacing w:after="0" w:line="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Condition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-635</wp:posOffset>
            </wp:positionV>
            <wp:extent cx="531495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Cash and equivalents</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Other intangibles, net</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Receivables from non-guarantor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Corporate debt and other borrowings,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Accounts payable and accrued liabilities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Payables to non-guarantor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LPL Holdings, Inc. &amp; LPL Financial</w:t>
      </w:r>
    </w:p>
    <w:p>
      <w:pPr>
        <w:spacing w:after="0" w:line="6"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4312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1"/>
        </w:trPr>
        <w:tc>
          <w:tcPr>
            <w:tcW w:w="20" w:type="dxa"/>
            <w:vAlign w:val="bottom"/>
          </w:tcPr>
          <w:p>
            <w:pPr>
              <w:spacing w:after="0"/>
              <w:rPr>
                <w:sz w:val="16"/>
                <w:szCs w:val="16"/>
                <w:color w:val="auto"/>
              </w:rPr>
            </w:pPr>
          </w:p>
        </w:tc>
        <w:tc>
          <w:tcPr>
            <w:tcW w:w="300" w:type="dxa"/>
            <w:vAlign w:val="bottom"/>
            <w:tcBorders>
              <w:top w:val="single" w:sz="8" w:color="auto"/>
            </w:tcBorders>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39,782</w:t>
            </w: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15,032</w:t>
            </w:r>
          </w:p>
        </w:tc>
      </w:tr>
    </w:tbl>
    <w:p>
      <w:pPr>
        <w:jc w:val="right"/>
        <w:ind w:right="1360"/>
        <w:spacing w:after="0"/>
        <w:rPr>
          <w:sz w:val="20"/>
          <w:szCs w:val="20"/>
          <w:color w:val="auto"/>
        </w:rPr>
      </w:pPr>
      <w:r>
        <w:rPr>
          <w:rFonts w:ascii="Times New Roman" w:cs="Times New Roman" w:eastAsia="Times New Roman" w:hAnsi="Times New Roman"/>
          <w:sz w:val="18"/>
          <w:szCs w:val="18"/>
          <w:color w:val="auto"/>
        </w:rPr>
        <w:t>161,845</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1,251,908</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67,486</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148,855</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1,333,061</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5,494,724</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66,818</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101,400</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1,247,792</w:t>
      </w:r>
    </w:p>
    <w:p>
      <w:pPr>
        <w:spacing w:after="0" w:line="825" w:lineRule="exact"/>
        <w:rPr>
          <w:sz w:val="20"/>
          <w:szCs w:val="20"/>
          <w:color w:val="auto"/>
        </w:rPr>
      </w:pPr>
    </w:p>
    <w:p>
      <w:pPr>
        <w:sectPr>
          <w:pgSz w:w="11900" w:h="16838" w:orient="portrait"/>
          <w:cols w:equalWidth="0" w:num="2">
            <w:col w:w="7180" w:space="320"/>
            <w:col w:w="3620"/>
          </w:cols>
          <w:pgMar w:left="320" w:top="455" w:right="459" w:bottom="1440" w:gutter="0" w:footer="0" w:header="0"/>
          <w:type w:val="continuous"/>
        </w:sectPr>
      </w:pPr>
    </w:p>
    <w:p>
      <w:pPr>
        <w:spacing w:after="0" w:line="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Statements in this prospectus, any prospectus supplement and the documents incorporated by reference herein and therein regarding the Company’s future financial and operating results, outlook, growth, plans, business strategies, liquidity, future indebtedness, future share repurchases and dividends, including statements regarding future resolution of regulatory matters, legal proceedings and related costs; future revenue and expense; future affiliation models and capabilities; the expected conversion, transition and onboarding of advisors, institutions and assets in connection with our acquisition and recruitment activity; market and macroeconomic trends, including the effects of inflation and the interest rate environment; and projected savings and anticipated improvements to the Company’s operating model, services and technologies as a result of its investments, initiatives, programs and acquisitions,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The words “anticipates,” “believes,” “expects,” “may,” “plans,” “predicts,” “will” and similar expressions are intended to identify forward-looking statements, although not all forward-looking statements contain these identifying words. Forward-looking statements are not guarantees that expectations or objectives expressed or implied by the Company will be achieved. The achievement of such expectations and objectives involves risks and uncertainties that may cause actual results, levels of activity or the timing of events to differ materially from</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those expressed or implied by forward-looking statements. Important factors that could cause or contribute to such differences include:</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market conditions, including retail investor sentiment;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fees payable by banks participating in the Company’s client cash programs, including the Company’s success in negotiating agreements with current or additional counterparties;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strategy and success in managing client cash program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levels of advisory and brokerage assets, including net new assets, and the related impact on revenue;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in the financial services industry and the success of the Company in attracting and retaining financial advisors and institutions, and their ability to provide financial products and services effectively;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retail investors served by newly-recruited advisors choose to move their respective assets to new accounts at the Company;</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delays in onboarding the assets of acquired, recruited or transitioned advisors, including the receipt and timing of regulatory approvals that may be required;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businesses of the Company that could make it more difficult to maintain relationships with advisors and their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by clients of acquired, recruited or transitioned advisors not to open brokerage and/or advisory accounts at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and profitability of the Company’s fee-based offerings and asset-based revenues;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pending and future legislation, regulation and regulatory actions, including disciplinary actions imposed by federal and state regulators and self-regulatory organizations;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settling and remediating issues related to regulatory matters or legal proceedings, including civil monetary penalties or actual costs of reimbursing customers for losses in excess of our reserves or insurance;</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312"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made to the Company’s services and pricing, including in response to competitive developments and current, pending and future legislation, regulation and regulatory actions, and the effect that such changes may have on the Company’s gross profit streams and costs;</w:t>
      </w:r>
    </w:p>
    <w:p>
      <w:pPr>
        <w:spacing w:after="0" w:line="45" w:lineRule="exact"/>
        <w:rPr>
          <w:rFonts w:ascii="Times New Roman" w:cs="Times New Roman" w:eastAsia="Times New Roman" w:hAnsi="Times New Roman"/>
          <w:sz w:val="17"/>
          <w:szCs w:val="17"/>
          <w:color w:val="auto"/>
        </w:rPr>
      </w:pPr>
    </w:p>
    <w:p>
      <w:pPr>
        <w:jc w:val="both"/>
        <w:ind w:left="1080" w:right="10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the Company’s capital management plans, including its compliance with the terms of the Company’s amended and restated credit agreement, the committed revolving credit facility at our primary broker-dealer subsidiary, LPL Financial LLC, and the indentures governing the Company’s senior unsecured notes;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acquisitions and investments, including pursuant to the Company’s Liquidity &amp; Succession solution, and the effect that such acquisitions and investments may have on the Company’s capital management plans and liquidity;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availability and trading volumes of shares of the Company’s common stock, which will affect the timing and size of future share repurchases by the Company, if any;</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the Company’s plans and its success in realizing the synergies, expense savings, service improvements or efficiencies expected to result from its investments, initiatives and acquisitions, expense plans and technology initiatives;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advisors affiliated with businesses that we acquire or enter into strategic relationships with will transition registration to the Company and whether assets reported as serviced by such financial advisors will translate into assets of the Company;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40"/>
          </w:cols>
          <w:pgMar w:left="320" w:top="455"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 to which business processes have been transitioned;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control operating risks, information technology systems risks, cybersecurity risks and sourcing risks;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set forth in the Company’s most recent Annual Report on Form 10-K, as may be amended or updated in the Company’s Quarterly Reports on Form 10-Q.</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Except as required by law, the Company specifically disclaims any obligation to update any forward-looking statements as a result of developments occurring after the date such statements were made, even if its estimates change, and you should not rely on statements contained herein as representing the Company’s views as of any date subsequent to the date such statements were made.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applicable prospectus supplement, we intend to use the net proceeds we receive from our sale of the securities covered by this prospectus for general corporate purposes, which may include working capital, capital expenditures, possible acquisitions and repayment of debt. Additional information on the use of net proceeds we receive from the sale of securities covered by this prospectus may be set forth in the prospectus supplement relating to the specific offering.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DEBT SECURITIES AND GUARANTEES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LPL Holdings, Inc. may offer non-convertible debt securities, which may be senior debt securities or subordinated debt securities. The debt securities will be wholly and unconditionally guaranteed by LPL Financial Holdings Inc., its direct parent. The debt securities issued by LPL Holdings, Inc. will be issued under one or more indentures, each to be entered into by LPL Holdings, Inc., LPL Financial Holdings Inc., as guarantor, a trustee, registrar, paying agent and transfer agent and/or a collateral agent, as applicable. The trustee, registrar, paying agent, transfer agent, collateral agent, calculation agent and/or foreign currency agent (collectively, the “agents”), as applicable, shall be named in the applicable prospectus supplement. The terms of the debt securities will include those described in the applicable prospectus supplement and those stated in the indenture and those made part of the indenture by reference to the Trust Indenture Act of 1939, as amended (the “Trust Indenture Act”). We have included a copy of the form of indenture as an exhibit to this Registration Statement. The indenture will be subject to and governed by the terms of the Trust Indenture Act.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the “Company,” “us,” “we” or “our” in this section mean LPL Financial Holdings Inc. and do not include the subsidiaries of LPL Financial Holdings Inc.</w:t>
      </w:r>
    </w:p>
    <w:p>
      <w:pPr>
        <w:spacing w:after="0" w:line="16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of the terms of our common stock does not purport to be complete. You should refer to our Amended and Restated Certificate of Incorporation (our “Certificate”) and our Seventh Amended and Restated Bylaws (our “Bylaws”), both of which are on file with the SEC as exhibits to previous filings. The summary below is also qualified by provisions of applicable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our Certificate, we have authority to issue up to 600,000,000 shares of common stock, par value $0.001 per share. Our common stock is registered under Section 12 of the Securities Exchange Act of 1934, as amended (the “Exchange Act”), and is listed on the Nasdaq Global Select Market under the symbol “LPLA”. As of February 26, 2025, we had 74,679,757 shares of common stock outstanding, held by 789 record 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Our Bylaws provide that a nominee for director will be elected if the number of votes properly cast “for” such nominee’s election exceeds the number of votes properly cast “against” such nominee’s election; however, if the number of persons properly nominated for election to our board of directors (the “Board of Directors”) exceeds the number of directors to be elected, the directors will be elected by the plurality of the votes properly cast. Holders of common stock are entitled to receive proportionately any dividends as may be declared by our Board of Directors, subject to any preferential dividend rights of any series of preferred stock that is outstanding at the time of the dividend.</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payment of all debts and other liabilities and subject to the prior rights of any outstanding preferred stock.</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shares of common stock will, when issued, be duly authorized, fully paid and nonassessable. The rights, preferences and privileges of holders of common stock are subject to the rights of the holders of shares of any series of preferred stock that the Company may designate and issue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the Delaware General Corporation Law and Our Certificate of Incorporation and Bylaws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Certificate and our Bylaws contain certain provisions that may discourage, delay or prevent a change in our management or control over us. We expect that these provisions, which are summarized below,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 by Written Consent</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(“DGCL”) provides that, unless otherwise stated in a corporation’s certificate of incorporation, the stockholders may act by written consent without a meeting. Our Certificate provides that any action required or permitted to be taken by our stockholders may only be taken at a duly called annual or special meeting of stockholders, and not by written consent without a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Certificate and Bylaws provide that, subject to any special rights of the holders of any series of preferred stock and to the requirements of applicable law, special meetings of our stockholders can only be called by (a) our chair or vice chair of the Board of Directors, (b) our chief executive officer or (c) a majority of the Board of Directors through a special resolution.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Bylaws set forth advance notice procedures for stockholder proposals to be brought before an annual meeting of the stockholders, including the nomination of directors. Stockholders at an annual meeting may only consider the proposals specified in the notice of meeting, brought before the meeting by or at the direction of the Board of Directors or brought by a stockholder of record who is entitled to vote at the meeting and who has delivered a timely written notice in proper form (in accordance with both our Bylaws and applicable law) to our secretary of the stockholder’s intention to bring such business before the meeting. These provisions could have the effect of precluding the conduct of certain business at a meeting if the proper procedures are not followed or delaying until the next stockholder meeting stockholder actions that are favored by the holders of a majority of our outstanding voting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that a stockholder (or a group of up to 20 stockholders) who has held at least 3% of our common stock for three years or more may nominate a specified number of directors and have those nominees included in our proxy materials, provided that the stockholder and nominees satisfy the requirements specified in our Bylaws. The maximum number of stockholder nominees permitted under these provisions is the greater of two or 20% of the number of directors in office. Any stockholder who intends to use these procedures to nominate a candidate for election to the Board of Directors for inclusion in our proxy statement must satisfy the requirements specified in our Bylaws.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Removal and Interim Election of Directors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Subject to the special rights of the holders of any series of preferred stock to elect directors, holders of at least two-thirds of the shares entitled to vote at an election of the directors must approve the removal of directors. Vacancies and newly-created directorships will be filled only by a vote of a majority of the directors then in office, even though less than a quorum, and not by the stockholders. In addition, the Certificate provides that any vacancy created by the removal of a director by the stockholders shall only be filled by, in addition to any other vote otherwise required by law, the affirmative vote of a majority of the outstanding shares of common stock. Our Bylaws allow the presiding officer at a meeting of the stockholders to adopt rules and regulations for the conduct of meetings which may have the effect of precluding the conduct of certain business at a meeting if the rules and regulations are not followed.</w:t>
      </w:r>
    </w:p>
    <w:p>
      <w:pPr>
        <w:spacing w:after="0" w:line="18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These provisions may have the effect of deferring, delaying or discouraging hostile takeovers, or changes in control or management of our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and Bylaws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our Board of Directors or, in addition to any other vote otherwise required by law, the affirmative vote of at least two-thirds of the voting power of our outstanding shares of common stock. Additionally, the affirmative vote of at least two-thirds of the voting power of the outstanding shares of common stock is required to alter, amend or repeal, or to adopt any provision inconsistent with, the “Board of Directors,” “No Action by Written Consent,” “Special Meetings of Stockholders,” “Amendments to the Amended and Restated Certificate of Incorporation and Bylaws” and “Business Combinations” provisions described in our Certificate. These provisions may have the effect of deferring, delaying or discouraging the removal of any anti-takeover defenses provided for in our Certificate and our Bylaws.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Jurisdiction of Certain Actions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Certificate requires, to the fullest extent permitted by law, that derivative actions brought in the name of the Company, actions against directors, officers and employees for breach of fiduciary duty and other similar actions may be brought only in the Court of Chancery of the State of Delaware. Although we believe this provision benefits the Company by providing increased consistency in the application of Delaware law in the types of lawsuits to which it applies, the provision may have the effect of discouraging lawsuits against our directors and officers.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the Nasdaq Global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Select Market. These additional shares may be used for a variety of corporate finance transactions, acquisitions and employee benefit plans. The existence of authorized but unissued common stock and preferred stock could make more difficult, or discourage an attempt to obtain control of us by means of a proxy contest, tender offer, merger or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elected to not be subject to Section 203 of the DGCL, which regulates business combinations with “interested stockholders.”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Inc.</w:t>
      </w: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 in any of the ways described below or in any combination:</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agents;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 to a single purchaser.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by us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will describe the terms of the offering of the securities, including the following:</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of the securities and the proceeds to us and any discounts, commissions or concessions allowed or reallowed or paid to dealers.</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Only the agents or underwriters named in each prospectus supplement are agents or underwriters in connection with the securities being offered thereby.</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our approval. Delayed delivery contracts will be subject only to those conditions set forth in each applicable prospectus supplement, and each prospectus supplement will set forth any commissions we pay for solicitation of these contracts.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Agents, underwriters and other third parties described above may be entitled to indemnification by us against certain civil liabilities, including liabilities under the Securities Act, or to contribution from us with respect to payments which the agents, underwriters or third parties may be required to make in respect thereof. Agents, underwriters and such other third parties may be customers of, engage in transactions with or perform services for us in the ordinary course of business. We may also use underwriters or such other third parties with whom we have a material relationship. We will describe the nature of any such relationship in the applicable prospectus supplement.</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Underwriters may make a market in our common stock, but will not be obligated to do so and may discontinue any market making at any time without notice. We can make no assurance as to the development, maintenance or liquidity of any trading market for the securities.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with the SEC for the securities offered by this prospectus. This prospectus does not include all of the information contained in the registration statement. You should refer to the registration statement and its exhibits for additional information.</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required to file annual and quarterly reports, special reports, proxy statements and other information with the SEC. We make these documents publicly available, free of charge, on our website at lpl.com as soon as reasonably practicable after filing such documents with the SEC. The information contained on our website is not a part of this prospectus. You can read our SEC filings, including the registration statement, on the SEC’s website at sec.gov.</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made by us with the SEC under Section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w:t>
      </w:r>
    </w:p>
    <w:p>
      <w:pPr>
        <w:spacing w:after="0" w:line="9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as filed with the SEC on February 20,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as filed with the SEC on </w:t>
      </w:r>
      <w:hyperlink r:id="rId43">
        <w:r>
          <w:rPr>
            <w:rFonts w:ascii="Times New Roman" w:cs="Times New Roman" w:eastAsia="Times New Roman" w:hAnsi="Times New Roman"/>
            <w:sz w:val="18"/>
            <w:szCs w:val="18"/>
            <w:u w:val="single" w:color="auto"/>
            <w:color w:val="0000EE"/>
          </w:rPr>
          <w:t>February 25,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4">
        <w:r>
          <w:rPr>
            <w:rFonts w:ascii="Times New Roman" w:cs="Times New Roman" w:eastAsia="Times New Roman" w:hAnsi="Times New Roman"/>
            <w:sz w:val="18"/>
            <w:szCs w:val="18"/>
            <w:u w:val="single" w:color="auto"/>
            <w:color w:val="0000EE"/>
          </w:rPr>
          <w:t>February 26,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auto"/>
          </w:rPr>
          <w:t xml:space="preserve">Description of our Common Stock, which is contained in the Registration Statement on Form 8-A, as filed with the SEC on </w:t>
        </w:r>
        <w:r>
          <w:rPr>
            <w:rFonts w:ascii="Times New Roman" w:cs="Times New Roman" w:eastAsia="Times New Roman" w:hAnsi="Times New Roman"/>
            <w:sz w:val="18"/>
            <w:szCs w:val="18"/>
            <w:u w:val="single" w:color="auto"/>
            <w:color w:val="0000EE"/>
          </w:rPr>
          <w:t>November 12,</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2010</w:t>
        </w:r>
        <w:r>
          <w:rPr>
            <w:rFonts w:ascii="Times New Roman" w:cs="Times New Roman" w:eastAsia="Times New Roman" w:hAnsi="Times New Roman"/>
            <w:sz w:val="18"/>
            <w:szCs w:val="18"/>
            <w:color w:val="000000"/>
          </w:rPr>
          <w:t>, as supplemented by</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 xml:space="preserve">Exhibit 4.8 </w:t>
        </w:r>
      </w:hyperlink>
      <w:hyperlink r:id="rId45">
        <w:r>
          <w:rPr>
            <w:rFonts w:ascii="Times New Roman" w:cs="Times New Roman" w:eastAsia="Times New Roman" w:hAnsi="Times New Roman"/>
            <w:sz w:val="18"/>
            <w:szCs w:val="18"/>
            <w:color w:val="000000"/>
          </w:rPr>
          <w:t>to our Annual Report on Form 10-K for the year ended December 31, 2024, filed with the SEC 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February 20, 2025, and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Secretary</w:t>
      </w:r>
    </w:p>
    <w:p>
      <w:pPr>
        <w:spacing w:after="0" w:line="2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LPL Financial Holdings Inc.</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4707 Executive Drive</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(800) 877-7210</w:t>
      </w:r>
    </w:p>
    <w:p>
      <w:pPr>
        <w:spacing w:after="0" w:line="207" w:lineRule="exact"/>
        <w:rPr>
          <w:rFonts w:ascii="Times New Roman" w:cs="Times New Roman" w:eastAsia="Times New Roman" w:hAnsi="Times New Roman"/>
          <w:sz w:val="18"/>
          <w:szCs w:val="18"/>
          <w:color w:val="0000EE"/>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Copies of these filings are also available, without charge, on the SEC’s website at sec.gov and on our website at lpl.com as soon as reasonably practicable after they are filed electronically with the SEC. The information contained on our website is not a part of this prospectus.</w:t>
      </w:r>
    </w:p>
    <w:p>
      <w:pPr>
        <w:spacing w:after="0" w:line="374"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rFonts w:ascii="Times New Roman" w:cs="Times New Roman" w:eastAsia="Times New Roman" w:hAnsi="Times New Roman"/>
          <w:sz w:val="18"/>
          <w:szCs w:val="18"/>
          <w:color w:val="0000EE"/>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securities offered pursuant to this prospectus will be passed upon for us by Ropes &amp; Gray LLP, Boston, Massachusetts.</w:t>
      </w:r>
    </w:p>
    <w:p>
      <w:pPr>
        <w:spacing w:after="0" w:line="94"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consolidated financial statements incorporated in this prospectus by reference from the Company’s Annual Report on Form 10-K for the year ended December 31, 2024, and the effectiveness of the Company’s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payable by the Registrants, other than underwriting discounts and commissions, in connection with the sale and distribution of the securities being registered.</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$ 612,400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Rating Agency fees and expenses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$ 612,400</w:t>
            </w:r>
          </w:p>
        </w:tc>
      </w:tr>
    </w:tbl>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An estimate of the aggregate amount of these expenses will be reflected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Indemnification of Directors and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Registrant</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Section 102(b)(7) of the DGCL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for liability of directors for unlawful payment of dividends or unlawful stock purchase or redemptions pursuant to Section 174 of the DGCL or (iv) for any transaction from which a director derived an improper personal benefit. The Amended and Restated Certificate of Incorporation of LPL Financial Holdings Inc. (the “Company”) includes a provision that eliminates the personal liability of directors for monetary damages for breach of fiduciary duty as a director to the fullest extent authorized by the DGCL.</w:t>
      </w:r>
    </w:p>
    <w:p>
      <w:pPr>
        <w:spacing w:after="0" w:line="18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145(a) of the DGCL provides in relevant part that a corporation may indemnify any person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or officer of another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w:t>
      </w:r>
      <w:r>
        <w:rPr>
          <w:rFonts w:ascii="Times New Roman" w:cs="Times New Roman" w:eastAsia="Times New Roman" w:hAnsi="Times New Roman"/>
          <w:sz w:val="18"/>
          <w:szCs w:val="18"/>
          <w:i w:val="1"/>
          <w:iCs w:val="1"/>
          <w:color w:val="auto"/>
        </w:rPr>
        <w:t>nolo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contendere </w:t>
      </w:r>
      <w:r>
        <w:rPr>
          <w:rFonts w:ascii="Times New Roman" w:cs="Times New Roman" w:eastAsia="Times New Roman" w:hAnsi="Times New Roman"/>
          <w:sz w:val="18"/>
          <w:szCs w:val="18"/>
          <w:color w:val="auto"/>
        </w:rPr>
        <w:t>or its equivalent, shall not, of itself, create a presumption that such person did not act in good faith and in a manner which such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believed to be in or not opposed to the best interests of the corporation, and, with respect to any criminal action or proceeding, had reasonable cause to believe that such person’s conduct was lawful.</w:t>
      </w:r>
    </w:p>
    <w:p>
      <w:pPr>
        <w:spacing w:after="0" w:line="194"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Section 145(b) of the DGCL provides in relevant part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or officer of the corporation, or is or was serving at the request of the corporation as a director or officer of</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another entity,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Company’s Bylaws generally provide that directors and officers of the applicable entity will be indemnified to the fullest extent permitted by law. Section 145(f) of the DGCL, the Bylaws also provide that the indemnification and advancement of expenses provided by, or granted pursuant to Section 145 of the DGCL or such bylaws are not exclusive of any other rights to which those seeking indemnification or advancement of expenses may be entitled under any bylaw, agreement, vote of stockholders or otherwise. The Bylaws further provide that a right to indemnification or to advancement of expenses arising under a provision of such bylaws shall not be eliminated or impaired by an amendment to such provision after the occurrence of the act or omission which is the subject of the civil, criminal, administrative or investigative action, suit or proceeding for which indemnification or advancement of expenses is sought.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also maintains officers’ and directors’ liability insurance which insures against liabilities that officers and directors of the registrant may, in such capacities, incur. Section 145(g) of the DGCL provides that a corporation shall have power to purchase and maintain insurance on behalf of any person who is or was a director or officer of the corporation, or is or was serving at the request of the corporation as a director or officer of another entity, against any liability asserted against such person and incurred by such person in any such capacity, or arising out of such person’s status as such, whether or not the corporation would have the power to indemnify such person against such liability under that section. The Company maintains directors’ and officers’ liability insurance that covers its subsidiaries.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Massachusetts Registrant</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Section 8.51 of Chapter 156D of the Massachusetts General Laws provides that a corporation may indemnify a director against liability if (1) (i) he conducted himself in good faith; and (ii) he reasonably believed that his conduct was in the best interest of the corporation or that his conduct was at least not opposed to the best interests of the corporation; and (iii) in the case of any criminal proceeding, he had no reasonable cause to believe his conduct was unlawful; or (2) he engaged in conduct for which he shall not be liable under a provision of the corporation’s articles of organization authorized by Section 2.02(b)(4) of Chapter 156D of the Massachusetts General Laws. Section 8.52 of Chapter 156D of the Massachusetts General Laws provides that a corporation shall indemnify a director who was wholly successful, on the merits or otherwise, in the defense of any proceeding to which he was a party because he was a director of the corporation against reasonable expenses incurred by him in connection with the proceeding.</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Section 8.56 of Chapter 156D of the Massachusetts General Laws provides that a corporation may indemnify and advance expenses to an officer of the corporation who is a party to a proceeding because he is an officer of the corporation (1) to the same extent as a director; and (2) if he is an officer but not a director, to such further extent as may be provided by the articles of organization, the bylaws, a resolution of the board of directors, or contract except for liability arising out of acts or omissions not in good faith or which involve intentional misconduct or a knowing violation of law. Section 8.56 also provides that an officer of a corporation who is not a director is entitled to mandatory indemnification under Section 8.52, and that the officer may apply to a court for indemnification or an advance for expenses, in each case to the same extent to which a director may be entitled to indemnification or advance under those provisions. Section 8.57 of the Massachusetts General Laws also affords a Massachusetts corporation the power to obtain insurance on behalf of its directors and officers against liabilities incurred by them in these capacities.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LPL Holdings, Inc.’s bylaws, as amended and restated, provide that LPL Holdings, Inc. shall indemnify its directors and the officers that have been appointed by the board of directors to the fullest extent permitted by law.</w:t>
      </w:r>
    </w:p>
    <w:p>
      <w:pPr>
        <w:spacing w:after="0" w:line="162"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LPL Holdings, Inc.’s bylaws do not limit the power of the board of directors to authorize the purchase and maintenance of insurance on behalf of any director or officer against any expense whether or not LPL Holdings, Inc. would have the power to indemnify such director or officer against such expense under the bylaws. The Company maintains directors’ and officers’ liability insurance that covers its subsidiaries, including LPL Holdings, Inc.</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see “Item 17. Undertakings.”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135" w:lineRule="exact"/>
        <w:rPr>
          <w:sz w:val="20"/>
          <w:szCs w:val="20"/>
          <w:color w:val="auto"/>
        </w:rPr>
      </w:pPr>
    </w:p>
    <w:p>
      <w:pPr>
        <w:ind w:left="200" w:hanging="84"/>
        <w:spacing w:after="0"/>
        <w:tabs>
          <w:tab w:leader="none" w:pos="2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1.1*</w:t>
      </w:r>
      <w:r>
        <w:rPr>
          <w:rFonts w:ascii="Times New Roman" w:cs="Times New Roman" w:eastAsia="Times New Roman" w:hAnsi="Times New Roman"/>
          <w:sz w:val="18"/>
          <w:szCs w:val="18"/>
          <w:color w:val="auto"/>
        </w:rPr>
        <w:t>Form of underwriting agreement</w:t>
      </w:r>
    </w:p>
    <w:p>
      <w:pPr>
        <w:spacing w:after="0" w:line="117" w:lineRule="exact"/>
        <w:rPr>
          <w:rFonts w:ascii="Times New Roman" w:cs="Times New Roman" w:eastAsia="Times New Roman" w:hAnsi="Times New Roman"/>
          <w:sz w:val="16"/>
          <w:szCs w:val="16"/>
          <w:color w:val="auto"/>
        </w:rPr>
      </w:pPr>
    </w:p>
    <w:p>
      <w:pPr>
        <w:jc w:val="center"/>
        <w:ind w:left="1120" w:right="620" w:hanging="1004"/>
        <w:spacing w:after="0" w:line="282" w:lineRule="auto"/>
        <w:tabs>
          <w:tab w:leader="none" w:pos="198" w:val="left"/>
        </w:tabs>
        <w:numPr>
          <w:ilvl w:val="0"/>
          <w:numId w:val="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3.1</w:t>
      </w:r>
      <w:hyperlink r:id="rId51">
        <w:r>
          <w:rPr>
            <w:rFonts w:ascii="Times New Roman" w:cs="Times New Roman" w:eastAsia="Times New Roman" w:hAnsi="Times New Roman"/>
            <w:sz w:val="18"/>
            <w:szCs w:val="18"/>
            <w:u w:val="single" w:color="auto"/>
            <w:color w:val="0000EE"/>
          </w:rPr>
          <w:t>Amended and Restated Certificate of Incorporation of LPL Investment Holdings Inc., dated November 23, 2010 (incorporated by</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reference to Amendment No. 2 to the Registration Statement on Form S-1 filed on July 9, 2010, File No. 333-167325)</w:t>
        </w:r>
      </w:hyperlink>
    </w:p>
    <w:p>
      <w:pPr>
        <w:spacing w:after="0" w:line="53" w:lineRule="exact"/>
        <w:rPr>
          <w:rFonts w:ascii="Times New Roman" w:cs="Times New Roman" w:eastAsia="Times New Roman" w:hAnsi="Times New Roman"/>
          <w:sz w:val="18"/>
          <w:szCs w:val="18"/>
          <w:u w:val="single" w:color="auto"/>
          <w:color w:val="0000EE"/>
        </w:rPr>
      </w:pPr>
    </w:p>
    <w:p>
      <w:pPr>
        <w:ind w:left="1120" w:right="160" w:hanging="1004"/>
        <w:spacing w:after="0" w:line="282" w:lineRule="auto"/>
        <w:tabs>
          <w:tab w:leader="none" w:pos="198" w:val="left"/>
        </w:tabs>
        <w:numPr>
          <w:ilvl w:val="0"/>
          <w:numId w:val="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3.2</w:t>
      </w:r>
      <w:hyperlink r:id="rId52">
        <w:r>
          <w:rPr>
            <w:rFonts w:ascii="Times New Roman" w:cs="Times New Roman" w:eastAsia="Times New Roman" w:hAnsi="Times New Roman"/>
            <w:sz w:val="18"/>
            <w:szCs w:val="18"/>
            <w:u w:val="single" w:color="auto"/>
            <w:color w:val="0000EE"/>
          </w:rPr>
          <w:t>Certificate of Ownership and Merger Merging LPL Financial Holdings Inc. with and into LPL Investment Holdings Inc., dated June 14,</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2012 (incorporated by reference to the Form 8-K filed on June 19, 2012, File No. 001-34963)</w:t>
        </w:r>
      </w:hyperlink>
    </w:p>
    <w:p>
      <w:pPr>
        <w:spacing w:after="0" w:line="53" w:lineRule="exact"/>
        <w:rPr>
          <w:rFonts w:ascii="Times New Roman" w:cs="Times New Roman" w:eastAsia="Times New Roman" w:hAnsi="Times New Roman"/>
          <w:sz w:val="18"/>
          <w:szCs w:val="18"/>
          <w:u w:val="single" w:color="auto"/>
          <w:color w:val="0000EE"/>
        </w:rPr>
      </w:pPr>
    </w:p>
    <w:p>
      <w:pPr>
        <w:ind w:left="1120" w:right="140" w:hanging="1004"/>
        <w:spacing w:after="0" w:line="282" w:lineRule="auto"/>
        <w:tabs>
          <w:tab w:leader="none" w:pos="198" w:val="left"/>
        </w:tabs>
        <w:numPr>
          <w:ilvl w:val="0"/>
          <w:numId w:val="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3.3</w:t>
      </w:r>
      <w:hyperlink r:id="rId53">
        <w:r>
          <w:rPr>
            <w:rFonts w:ascii="Times New Roman" w:cs="Times New Roman" w:eastAsia="Times New Roman" w:hAnsi="Times New Roman"/>
            <w:sz w:val="18"/>
            <w:szCs w:val="18"/>
            <w:u w:val="single" w:color="auto"/>
            <w:color w:val="0000EE"/>
          </w:rPr>
          <w:t>Certificate of Amendment to the Amended and Restated Certificate of Incorporation of LPL Financial Holdings Inc., dated May 8, 2014</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(incorporated by reference to the Form 8-K filed on May 9, 2014, File No. 001-34963)</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99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Seventh Amended and Restated Bylaws of LPL Financial Holdings Inc. (incorporated by reference to the Form 8-K filed on February 20,</w:t>
              </w:r>
            </w:hyperlink>
          </w:p>
        </w:tc>
      </w:tr>
      <w:tr>
        <w:trPr>
          <w:trHeight w:val="196"/>
        </w:trPr>
        <w:tc>
          <w:tcPr>
            <w:tcW w:w="1000" w:type="dxa"/>
            <w:vAlign w:val="bottom"/>
          </w:tcPr>
          <w:p>
            <w:pPr>
              <w:spacing w:after="0"/>
              <w:rPr>
                <w:sz w:val="17"/>
                <w:szCs w:val="17"/>
                <w:color w:val="auto"/>
              </w:rPr>
            </w:pPr>
          </w:p>
        </w:tc>
        <w:tc>
          <w:tcPr>
            <w:tcW w:w="19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2024, File No. 001-34963)</w:t>
              </w:r>
            </w:hyperlink>
          </w:p>
        </w:tc>
        <w:tc>
          <w:tcPr>
            <w:tcW w:w="7980" w:type="dxa"/>
            <w:vAlign w:val="bottom"/>
          </w:tcPr>
          <w:p>
            <w:pPr>
              <w:spacing w:after="0"/>
              <w:rPr>
                <w:sz w:val="17"/>
                <w:szCs w:val="17"/>
                <w:color w:val="auto"/>
              </w:rPr>
            </w:pPr>
          </w:p>
        </w:tc>
      </w:tr>
    </w:tbl>
    <w:p>
      <w:pPr>
        <w:spacing w:after="0" w:line="117" w:lineRule="exact"/>
        <w:rPr>
          <w:sz w:val="20"/>
          <w:szCs w:val="20"/>
          <w:color w:val="auto"/>
        </w:rPr>
      </w:pPr>
    </w:p>
    <w:p>
      <w:pPr>
        <w:ind w:left="1120" w:right="520" w:hanging="1004"/>
        <w:spacing w:after="0" w:line="282" w:lineRule="auto"/>
        <w:tabs>
          <w:tab w:leader="none" w:pos="198" w:val="left"/>
        </w:tabs>
        <w:numPr>
          <w:ilvl w:val="0"/>
          <w:numId w:val="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3.5</w:t>
      </w:r>
      <w:hyperlink r:id="rId54">
        <w:r>
          <w:rPr>
            <w:rFonts w:ascii="Times New Roman" w:cs="Times New Roman" w:eastAsia="Times New Roman" w:hAnsi="Times New Roman"/>
            <w:sz w:val="18"/>
            <w:szCs w:val="18"/>
            <w:u w:val="single" w:color="auto"/>
            <w:color w:val="0000EE"/>
          </w:rPr>
          <w:t>Amended and Restated Articles of Organization of LPL Holdings, Inc., dated December 28, 2005 (incorporated by reference to the</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Registration Statement on Form S-3 filed on February 9, 2017, File No. 333-215989)</w:t>
        </w:r>
      </w:hyperlink>
    </w:p>
    <w:p>
      <w:pPr>
        <w:spacing w:after="0" w:line="53" w:lineRule="exact"/>
        <w:rPr>
          <w:rFonts w:ascii="Times New Roman" w:cs="Times New Roman" w:eastAsia="Times New Roman" w:hAnsi="Times New Roman"/>
          <w:sz w:val="18"/>
          <w:szCs w:val="18"/>
          <w:u w:val="single" w:color="auto"/>
          <w:color w:val="0000EE"/>
        </w:rPr>
      </w:pPr>
    </w:p>
    <w:p>
      <w:pPr>
        <w:ind w:left="1120" w:right="260" w:hanging="1004"/>
        <w:spacing w:after="0" w:line="282" w:lineRule="auto"/>
        <w:tabs>
          <w:tab w:leader="none" w:pos="198" w:val="left"/>
        </w:tabs>
        <w:numPr>
          <w:ilvl w:val="0"/>
          <w:numId w:val="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3.6</w:t>
      </w:r>
      <w:hyperlink r:id="rId55">
        <w:r>
          <w:rPr>
            <w:rFonts w:ascii="Times New Roman" w:cs="Times New Roman" w:eastAsia="Times New Roman" w:hAnsi="Times New Roman"/>
            <w:sz w:val="18"/>
            <w:szCs w:val="18"/>
            <w:u w:val="single" w:color="auto"/>
            <w:color w:val="0000EE"/>
          </w:rPr>
          <w:t>Articles of Merger Merging LPL Holdings, Inc. with BD Acquisition, Inc., dated December 28, 2005 (incorporated by reference to the</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Registration Statement on Form S-3 filed on February 9, 2017, File No. 333-215989)</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3.7</w:t>
            </w:r>
          </w:p>
        </w:tc>
        <w:tc>
          <w:tcPr>
            <w:tcW w:w="95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Amended and Restated Bylaws of LPL Holdings, Inc. (incorporated by reference to the Registration Statement on Form S-3 filed on</w:t>
              </w:r>
            </w:hyperlink>
          </w:p>
        </w:tc>
        <w:tc>
          <w:tcPr>
            <w:tcW w:w="460" w:type="dxa"/>
            <w:vAlign w:val="bottom"/>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29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February 9, 2017, File No. 333-215989)</w:t>
              </w:r>
            </w:hyperlink>
          </w:p>
        </w:tc>
        <w:tc>
          <w:tcPr>
            <w:tcW w:w="7060" w:type="dxa"/>
            <w:vAlign w:val="bottom"/>
            <w:gridSpan w:val="7"/>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100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Specimen common stock certificate (incorporated by reference to Exhibit 4.1 to the Form 8-K filed on July 23, 2010, File No. 001-34963)</w:t>
              </w:r>
            </w:hyperlink>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2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Indenture (filed herewith)</w:t>
            </w:r>
          </w:p>
        </w:tc>
        <w:tc>
          <w:tcPr>
            <w:tcW w:w="7500" w:type="dxa"/>
            <w:vAlign w:val="bottom"/>
            <w:gridSpan w:val="8"/>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34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Opinion of Ropes &amp; Gray LLP (filed herewith)</w:t>
            </w:r>
          </w:p>
        </w:tc>
        <w:tc>
          <w:tcPr>
            <w:tcW w:w="6580" w:type="dxa"/>
            <w:vAlign w:val="bottom"/>
            <w:gridSpan w:val="6"/>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22.1</w:t>
            </w: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List of Subsidiary Guarantors and Issuers of Guaranteed Securities (filed herewith)</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59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Consent of Deloitte &amp; Touche LLP (filed herewith)</w:t>
            </w:r>
          </w:p>
        </w:tc>
        <w:tc>
          <w:tcPr>
            <w:tcW w:w="4020" w:type="dxa"/>
            <w:vAlign w:val="bottom"/>
            <w:gridSpan w:val="2"/>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40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Ropes &amp; Gray LLP (included in Exhibit 5.1)</w:t>
            </w:r>
          </w:p>
        </w:tc>
        <w:tc>
          <w:tcPr>
            <w:tcW w:w="5940" w:type="dxa"/>
            <w:vAlign w:val="bottom"/>
            <w:gridSpan w:val="3"/>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38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Powers of Attorney (included in the signature pages)</w:t>
            </w:r>
          </w:p>
        </w:tc>
        <w:tc>
          <w:tcPr>
            <w:tcW w:w="6180" w:type="dxa"/>
            <w:vAlign w:val="bottom"/>
            <w:gridSpan w:val="4"/>
          </w:tcPr>
          <w:p>
            <w:pPr>
              <w:spacing w:after="0"/>
              <w:rPr>
                <w:sz w:val="24"/>
                <w:szCs w:val="24"/>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25.1**</w:t>
            </w: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Statement of Eligibility of Trustee</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2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Filing Fee Table (filed herewith)</w:t>
            </w:r>
          </w:p>
        </w:tc>
        <w:tc>
          <w:tcPr>
            <w:tcW w:w="7640" w:type="dxa"/>
            <w:vAlign w:val="bottom"/>
            <w:gridSpan w:val="9"/>
          </w:tcPr>
          <w:p>
            <w:pPr>
              <w:spacing w:after="0"/>
              <w:rPr>
                <w:sz w:val="24"/>
                <w:szCs w:val="24"/>
                <w:color w:val="auto"/>
              </w:rPr>
            </w:pPr>
          </w:p>
        </w:tc>
      </w:tr>
      <w:tr>
        <w:trPr>
          <w:trHeight w:val="385"/>
        </w:trPr>
        <w:tc>
          <w:tcPr>
            <w:tcW w:w="1000" w:type="dxa"/>
            <w:vAlign w:val="bottom"/>
          </w:tcPr>
          <w:p>
            <w:pPr>
              <w:spacing w:after="0"/>
              <w:rPr>
                <w:sz w:val="24"/>
                <w:szCs w:val="24"/>
                <w:color w:val="auto"/>
              </w:rPr>
            </w:pPr>
          </w:p>
        </w:tc>
        <w:tc>
          <w:tcPr>
            <w:tcW w:w="5980" w:type="dxa"/>
            <w:vAlign w:val="bottom"/>
            <w:gridSpan w:val="8"/>
          </w:tcPr>
          <w:p>
            <w:pPr>
              <w:ind w:left="4420"/>
              <w:spacing w:after="0"/>
              <w:rPr>
                <w:sz w:val="20"/>
                <w:szCs w:val="20"/>
                <w:color w:val="auto"/>
              </w:rPr>
            </w:pPr>
            <w:r>
              <w:rPr>
                <w:rFonts w:ascii="Times New Roman" w:cs="Times New Roman" w:eastAsia="Times New Roman" w:hAnsi="Times New Roman"/>
                <w:sz w:val="18"/>
                <w:szCs w:val="18"/>
                <w:color w:val="auto"/>
              </w:rPr>
              <w:t>13</w:t>
            </w:r>
          </w:p>
        </w:tc>
        <w:tc>
          <w:tcPr>
            <w:tcW w:w="35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780" w:hanging="424"/>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subsequent to the effectiveness of this registration statement by an amendment to this registration statement or incorporated by reference pursuant to a Current Report on Form 8-K in connection with an offering of securities.</w:t>
      </w: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separately pursuant to Section 305(b)(2) of the Trust Indenture Act of 1939, as amended.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Each of the undersigned registrants hereby undertakes:</w:t>
      </w:r>
    </w:p>
    <w:p>
      <w:pPr>
        <w:spacing w:after="0" w:line="225" w:lineRule="exact"/>
        <w:rPr>
          <w:sz w:val="20"/>
          <w:szCs w:val="20"/>
          <w:color w:val="auto"/>
        </w:rPr>
      </w:pPr>
    </w:p>
    <w:p>
      <w:pPr>
        <w:ind w:left="820" w:hanging="264"/>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 (the “Securities Act”);</w:t>
      </w:r>
    </w:p>
    <w:p>
      <w:pPr>
        <w:spacing w:after="0" w:line="225" w:lineRule="exact"/>
        <w:rPr>
          <w:sz w:val="20"/>
          <w:szCs w:val="20"/>
          <w:color w:val="auto"/>
        </w:rPr>
      </w:pPr>
    </w:p>
    <w:p>
      <w:pPr>
        <w:ind w:left="120" w:right="100" w:firstLine="436"/>
        <w:spacing w:after="0" w:line="255" w:lineRule="auto"/>
        <w:tabs>
          <w:tab w:leader="none" w:pos="8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188" w:lineRule="exact"/>
        <w:rPr>
          <w:rFonts w:ascii="Times New Roman" w:cs="Times New Roman" w:eastAsia="Times New Roman" w:hAnsi="Times New Roman"/>
          <w:sz w:val="18"/>
          <w:szCs w:val="18"/>
          <w:color w:val="auto"/>
        </w:rPr>
      </w:pPr>
    </w:p>
    <w:p>
      <w:pPr>
        <w:ind w:left="120" w:right="460" w:firstLine="436"/>
        <w:spacing w:after="0" w:line="282" w:lineRule="auto"/>
        <w:tabs>
          <w:tab w:leader="none" w:pos="8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undertakings set forth in paragraphs (a)(1)(i), (a)(1)(ii) and (a)(1)(iii) of this section do not apply if the information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included in a post-effective amendment by those paragraphs is contained in reports filed with or furnished to the Commission by the applicable registrants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2" w:lineRule="exact"/>
        <w:rPr>
          <w:sz w:val="20"/>
          <w:szCs w:val="20"/>
          <w:color w:val="auto"/>
        </w:rPr>
      </w:pPr>
    </w:p>
    <w:p>
      <w:pPr>
        <w:ind w:left="120" w:right="80" w:firstLine="436"/>
        <w:spacing w:after="0" w:line="266"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120" w:right="580" w:firstLine="436"/>
        <w:spacing w:after="0" w:line="28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sz w:val="20"/>
          <w:szCs w:val="20"/>
          <w:color w:val="auto"/>
        </w:rPr>
      </w:pPr>
    </w:p>
    <w:p>
      <w:pPr>
        <w:ind w:left="120" w:right="100" w:firstLine="436"/>
        <w:spacing w:after="0" w:line="282" w:lineRule="auto"/>
        <w:tabs>
          <w:tab w:leader="none" w:pos="7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applicable registrants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61" w:lineRule="auto"/>
        <w:tabs>
          <w:tab w:leader="none" w:pos="8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2" w:lineRule="exact"/>
        <w:rPr>
          <w:sz w:val="20"/>
          <w:szCs w:val="20"/>
          <w:color w:val="auto"/>
        </w:rPr>
      </w:pPr>
    </w:p>
    <w:p>
      <w:pPr>
        <w:ind w:left="120" w:right="20" w:firstLine="436"/>
        <w:spacing w:after="0" w:line="254"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applicable registrant under the Securities Act to any purchaser in the initial distribution of the securities, each of the undersigned registrants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 (i) Any preliminary prospectus or prospectus of the such undersigned registrant relating to the offering required to be filed pursuant to Rule 424; (ii) any free writing prospectus relating to the offering prepared by or on behalf of such undersigned registrant or used or referred to by such undersigned registrant; (iii) the portion of any other free writing prospectus relating to the offering containing material information about such undersigned registrant or its securities provided by or on behalf of such undersigned registrant; and (iv) any other communication that is an offer in the offering made by such undersigned registrant to the purchaser.</w:t>
      </w:r>
    </w:p>
    <w:p>
      <w:pPr>
        <w:spacing w:after="0" w:line="188" w:lineRule="exact"/>
        <w:rPr>
          <w:sz w:val="20"/>
          <w:szCs w:val="20"/>
          <w:color w:val="auto"/>
        </w:rPr>
      </w:pPr>
    </w:p>
    <w:p>
      <w:pPr>
        <w:ind w:left="120" w:right="100" w:firstLine="436"/>
        <w:spacing w:after="0" w:line="258"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registrants hereby undertake that, for purposes of determining any liability under the Securities Act of 1933, each filing of LPL Financial Holdings Inc.’s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left="120" w:right="80" w:firstLine="436"/>
        <w:spacing w:after="0" w:line="254" w:lineRule="auto"/>
        <w:tabs>
          <w:tab w:leader="none" w:pos="8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each of the registrants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 to file an application for the purpose of determining the eligibility of the trustee to act under subsection (a) of Section 310 of the Trust Indenture Act of 1939, as amended, in accordance with the rules and regulations prescribed by the Securities and Exchange Commission under Section 305(b)(2) of the Trust Indenture Act of 1939, as amended.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each of the registrants certifies that it has reasonable grounds to believe that it meets all of the requirements for filing on Form S-3 and has duly caused this registration statement to be signed on its behalf by the undersigned, thereunto duly authorized, in the City of Fort Mill, State of South Carolina, on the 3rd day of March, 2025.</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LPL Financial Holdings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LPL Holdings, Inc.</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Richard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Richard Steinmeier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Matthew J. Audette and Althea Brown, and each of them acting individually,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w:t>
      </w:r>
    </w:p>
    <w:p>
      <w:pPr>
        <w:spacing w:after="0" w:line="2"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Form S-3 and any related Rule 462(b) registration statement or amendment thereto, to be filed by LPL Financial Holdings Inc. or LPL Holdings, Inc.,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 * *</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7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9"/>
        </w:trPr>
        <w:tc>
          <w:tcPr>
            <w:tcW w:w="2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Steinmeier</w:t>
            </w:r>
          </w:p>
        </w:tc>
        <w:tc>
          <w:tcPr>
            <w:tcW w:w="120" w:type="dxa"/>
            <w:vAlign w:val="bottom"/>
          </w:tcPr>
          <w:p>
            <w:pPr>
              <w:spacing w:after="0"/>
              <w:rPr>
                <w:sz w:val="18"/>
                <w:szCs w:val="18"/>
                <w:color w:val="auto"/>
              </w:rPr>
            </w:pPr>
          </w:p>
        </w:tc>
        <w:tc>
          <w:tcPr>
            <w:tcW w:w="6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 of LPL Financial Holdings Inc. and LPL Holdings, Inc.</w:t>
            </w:r>
          </w:p>
        </w:tc>
        <w:tc>
          <w:tcPr>
            <w:tcW w:w="22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Richard Steinmeier</w:t>
            </w:r>
          </w:p>
        </w:tc>
        <w:tc>
          <w:tcPr>
            <w:tcW w:w="120" w:type="dxa"/>
            <w:vAlign w:val="bottom"/>
          </w:tcPr>
          <w:p>
            <w:pPr>
              <w:spacing w:after="0"/>
              <w:rPr>
                <w:sz w:val="19"/>
                <w:szCs w:val="19"/>
                <w:color w:val="auto"/>
              </w:rPr>
            </w:pPr>
          </w:p>
        </w:tc>
        <w:tc>
          <w:tcPr>
            <w:tcW w:w="7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440" w:type="dxa"/>
            <w:vAlign w:val="bottom"/>
          </w:tcPr>
          <w:p>
            <w:pPr>
              <w:spacing w:after="0"/>
              <w:rPr>
                <w:sz w:val="19"/>
                <w:szCs w:val="19"/>
                <w:color w:val="auto"/>
              </w:rPr>
            </w:pPr>
          </w:p>
        </w:tc>
      </w:tr>
      <w:tr>
        <w:trPr>
          <w:trHeight w:val="427"/>
        </w:trPr>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J. Audette</w:t>
            </w:r>
          </w:p>
        </w:tc>
        <w:tc>
          <w:tcPr>
            <w:tcW w:w="120" w:type="dxa"/>
            <w:vAlign w:val="bottom"/>
          </w:tcPr>
          <w:p>
            <w:pPr>
              <w:spacing w:after="0"/>
              <w:rPr>
                <w:sz w:val="24"/>
                <w:szCs w:val="24"/>
                <w:color w:val="auto"/>
              </w:rPr>
            </w:pPr>
          </w:p>
        </w:tc>
        <w:tc>
          <w:tcPr>
            <w:tcW w:w="7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President and Chief Financial Officer of LPL Financial Holdings Inc. and LPL Holdings, Inc.</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J. Audette</w:t>
            </w:r>
          </w:p>
        </w:tc>
        <w:tc>
          <w:tcPr>
            <w:tcW w:w="120" w:type="dxa"/>
            <w:vAlign w:val="bottom"/>
          </w:tcPr>
          <w:p>
            <w:pPr>
              <w:spacing w:after="0"/>
              <w:rPr>
                <w:sz w:val="19"/>
                <w:szCs w:val="19"/>
                <w:color w:val="auto"/>
              </w:rPr>
            </w:pPr>
          </w:p>
        </w:tc>
        <w:tc>
          <w:tcPr>
            <w:tcW w:w="7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1440" w:type="dxa"/>
            <w:vAlign w:val="bottom"/>
          </w:tcPr>
          <w:p>
            <w:pPr>
              <w:spacing w:after="0"/>
              <w:rPr>
                <w:sz w:val="19"/>
                <w:szCs w:val="19"/>
                <w:color w:val="auto"/>
              </w:rPr>
            </w:pPr>
          </w:p>
        </w:tc>
      </w:tr>
      <w:tr>
        <w:trPr>
          <w:trHeight w:val="427"/>
        </w:trPr>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Katharine Reeping</w:t>
            </w:r>
          </w:p>
        </w:tc>
        <w:tc>
          <w:tcPr>
            <w:tcW w:w="120" w:type="dxa"/>
            <w:vAlign w:val="bottom"/>
          </w:tcPr>
          <w:p>
            <w:pPr>
              <w:spacing w:after="0"/>
              <w:rPr>
                <w:sz w:val="24"/>
                <w:szCs w:val="24"/>
                <w:color w:val="auto"/>
              </w:rPr>
            </w:pPr>
          </w:p>
        </w:tc>
        <w:tc>
          <w:tcPr>
            <w:tcW w:w="7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Chief Accounting Officer of LPL Financial Holdings Inc. and LPL Holdings, Inc. (</w:t>
            </w:r>
            <w:r>
              <w:rPr>
                <w:rFonts w:ascii="Times New Roman" w:cs="Times New Roman" w:eastAsia="Times New Roman" w:hAnsi="Times New Roman"/>
                <w:sz w:val="18"/>
                <w:szCs w:val="18"/>
                <w:i w:val="1"/>
                <w:iCs w:val="1"/>
                <w:color w:val="auto"/>
              </w:rPr>
              <w:t>Principal</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Katharine Reeping</w:t>
            </w:r>
          </w:p>
        </w:tc>
        <w:tc>
          <w:tcPr>
            <w:tcW w:w="120" w:type="dxa"/>
            <w:vAlign w:val="bottom"/>
          </w:tcPr>
          <w:p>
            <w:pPr>
              <w:spacing w:after="0"/>
              <w:rPr>
                <w:sz w:val="19"/>
                <w:szCs w:val="19"/>
                <w:color w:val="auto"/>
              </w:rPr>
            </w:pPr>
          </w:p>
        </w:tc>
        <w:tc>
          <w:tcPr>
            <w:tcW w:w="7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r>
      <w:tr>
        <w:trPr>
          <w:trHeight w:val="427"/>
        </w:trPr>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C. Bernard</w:t>
            </w:r>
          </w:p>
        </w:tc>
        <w:tc>
          <w:tcPr>
            <w:tcW w:w="120" w:type="dxa"/>
            <w:vAlign w:val="bottom"/>
          </w:tcPr>
          <w:p>
            <w:pPr>
              <w:spacing w:after="0"/>
              <w:rPr>
                <w:sz w:val="24"/>
                <w:szCs w:val="24"/>
                <w:color w:val="auto"/>
              </w:rPr>
            </w:pPr>
          </w:p>
        </w:tc>
        <w:tc>
          <w:tcPr>
            <w:tcW w:w="7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 of LPL Financial Holdings Inc. and LPL Holdings, Inc.</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Edward C. Bernard</w:t>
            </w:r>
          </w:p>
        </w:tc>
        <w:tc>
          <w:tcPr>
            <w:tcW w:w="1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27"/>
        </w:trPr>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Paulett Eberhart</w:t>
            </w:r>
          </w:p>
        </w:tc>
        <w:tc>
          <w:tcPr>
            <w:tcW w:w="120" w:type="dxa"/>
            <w:vAlign w:val="bottom"/>
          </w:tcPr>
          <w:p>
            <w:pPr>
              <w:spacing w:after="0"/>
              <w:rPr>
                <w:sz w:val="24"/>
                <w:szCs w:val="24"/>
                <w:color w:val="auto"/>
              </w:rPr>
            </w:pPr>
          </w:p>
        </w:tc>
        <w:tc>
          <w:tcPr>
            <w:tcW w:w="7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 of LPL Financial Holdings Inc. and LPL Holdings, Inc.</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Paulett Eberhart</w:t>
            </w:r>
          </w:p>
        </w:tc>
        <w:tc>
          <w:tcPr>
            <w:tcW w:w="1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60"/>
        </w:trPr>
        <w:tc>
          <w:tcPr>
            <w:tcW w:w="2420" w:type="dxa"/>
            <w:vAlign w:val="bottom"/>
          </w:tcPr>
          <w:p>
            <w:pPr>
              <w:spacing w:after="0"/>
              <w:rPr>
                <w:sz w:val="24"/>
                <w:szCs w:val="24"/>
                <w:color w:val="auto"/>
              </w:rPr>
            </w:pPr>
          </w:p>
        </w:tc>
        <w:tc>
          <w:tcPr>
            <w:tcW w:w="6940" w:type="dxa"/>
            <w:vAlign w:val="bottom"/>
            <w:gridSpan w:val="2"/>
          </w:tcPr>
          <w:p>
            <w:pPr>
              <w:jc w:val="right"/>
              <w:ind w:right="3672"/>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6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47"/>
        </w:trPr>
        <w:tc>
          <w:tcPr>
            <w:tcW w:w="120" w:type="dxa"/>
            <w:vAlign w:val="bottom"/>
          </w:tcPr>
          <w:p>
            <w:pPr>
              <w:spacing w:after="0"/>
              <w:rPr>
                <w:sz w:val="24"/>
                <w:szCs w:val="24"/>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/s/ William F. Glavin Jr.</w:t>
            </w:r>
          </w:p>
        </w:tc>
        <w:tc>
          <w:tcPr>
            <w:tcW w:w="6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Director of LPL Financial Holdings Inc. and LPL Holdings, Inc.</w:t>
            </w:r>
          </w:p>
        </w:tc>
        <w:tc>
          <w:tcPr>
            <w:tcW w:w="18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March 3, 2025</w:t>
            </w:r>
          </w:p>
        </w:tc>
      </w:tr>
      <w:tr>
        <w:trPr>
          <w:trHeight w:val="228"/>
        </w:trPr>
        <w:tc>
          <w:tcPr>
            <w:tcW w:w="120" w:type="dxa"/>
            <w:vAlign w:val="bottom"/>
          </w:tcPr>
          <w:p>
            <w:pPr>
              <w:spacing w:after="0"/>
              <w:rPr>
                <w:sz w:val="19"/>
                <w:szCs w:val="19"/>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William F. Glavin, Jr.</w:t>
            </w:r>
          </w:p>
        </w:tc>
        <w:tc>
          <w:tcPr>
            <w:tcW w:w="66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Albert J. Ko</w:t>
            </w:r>
          </w:p>
        </w:tc>
        <w:tc>
          <w:tcPr>
            <w:tcW w:w="6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Director of LPL Financial Holdings Inc. and LPL Holdings, Inc.</w:t>
            </w:r>
          </w:p>
        </w:tc>
        <w:tc>
          <w:tcPr>
            <w:tcW w:w="18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March 3, 2025</w:t>
            </w:r>
          </w:p>
        </w:tc>
      </w:tr>
      <w:tr>
        <w:trPr>
          <w:trHeight w:val="228"/>
        </w:trPr>
        <w:tc>
          <w:tcPr>
            <w:tcW w:w="120" w:type="dxa"/>
            <w:vAlign w:val="bottom"/>
          </w:tcPr>
          <w:p>
            <w:pPr>
              <w:spacing w:after="0"/>
              <w:rPr>
                <w:sz w:val="19"/>
                <w:szCs w:val="19"/>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Albert J. Ko</w:t>
            </w:r>
          </w:p>
        </w:tc>
        <w:tc>
          <w:tcPr>
            <w:tcW w:w="66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Allison H. Mnookin</w:t>
            </w:r>
          </w:p>
        </w:tc>
        <w:tc>
          <w:tcPr>
            <w:tcW w:w="6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Director of LPL Financial Holdings Inc. and LPL Holdings, Inc.</w:t>
            </w:r>
          </w:p>
        </w:tc>
        <w:tc>
          <w:tcPr>
            <w:tcW w:w="18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March 3, 2025</w:t>
            </w:r>
          </w:p>
        </w:tc>
      </w:tr>
      <w:tr>
        <w:trPr>
          <w:trHeight w:val="228"/>
        </w:trPr>
        <w:tc>
          <w:tcPr>
            <w:tcW w:w="120" w:type="dxa"/>
            <w:vAlign w:val="bottom"/>
          </w:tcPr>
          <w:p>
            <w:pPr>
              <w:spacing w:after="0"/>
              <w:rPr>
                <w:sz w:val="19"/>
                <w:szCs w:val="19"/>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Allison H. Mnookin</w:t>
            </w:r>
          </w:p>
        </w:tc>
        <w:tc>
          <w:tcPr>
            <w:tcW w:w="66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Anne M. Mulcahy</w:t>
            </w:r>
          </w:p>
        </w:tc>
        <w:tc>
          <w:tcPr>
            <w:tcW w:w="6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Director of LPL Financial Holdings Inc. and LPL Holdings, Inc.</w:t>
            </w:r>
          </w:p>
        </w:tc>
        <w:tc>
          <w:tcPr>
            <w:tcW w:w="18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March 3, 2025</w:t>
            </w:r>
          </w:p>
        </w:tc>
      </w:tr>
      <w:tr>
        <w:trPr>
          <w:trHeight w:val="228"/>
        </w:trPr>
        <w:tc>
          <w:tcPr>
            <w:tcW w:w="120" w:type="dxa"/>
            <w:vAlign w:val="bottom"/>
          </w:tcPr>
          <w:p>
            <w:pPr>
              <w:spacing w:after="0"/>
              <w:rPr>
                <w:sz w:val="19"/>
                <w:szCs w:val="19"/>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Anne M. Mulcahy</w:t>
            </w:r>
          </w:p>
        </w:tc>
        <w:tc>
          <w:tcPr>
            <w:tcW w:w="66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James S. Putnam</w:t>
            </w:r>
          </w:p>
        </w:tc>
        <w:tc>
          <w:tcPr>
            <w:tcW w:w="6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Director of LPL Financial Holdings Inc. and LPL Holdings, Inc.</w:t>
            </w:r>
          </w:p>
        </w:tc>
        <w:tc>
          <w:tcPr>
            <w:tcW w:w="18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March 3, 2025</w:t>
            </w:r>
          </w:p>
        </w:tc>
      </w:tr>
      <w:tr>
        <w:trPr>
          <w:trHeight w:val="228"/>
        </w:trPr>
        <w:tc>
          <w:tcPr>
            <w:tcW w:w="120" w:type="dxa"/>
            <w:vAlign w:val="bottom"/>
          </w:tcPr>
          <w:p>
            <w:pPr>
              <w:spacing w:after="0"/>
              <w:rPr>
                <w:sz w:val="19"/>
                <w:szCs w:val="19"/>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James S. Putnam</w:t>
            </w:r>
          </w:p>
        </w:tc>
        <w:tc>
          <w:tcPr>
            <w:tcW w:w="66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Richard P. Schifter</w:t>
            </w:r>
          </w:p>
        </w:tc>
        <w:tc>
          <w:tcPr>
            <w:tcW w:w="6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Director of LPL Financial Holdings Inc. and LPL Holdings, Inc.</w:t>
            </w:r>
          </w:p>
        </w:tc>
        <w:tc>
          <w:tcPr>
            <w:tcW w:w="18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March 3, 2025</w:t>
            </w:r>
          </w:p>
        </w:tc>
      </w:tr>
      <w:tr>
        <w:trPr>
          <w:trHeight w:val="228"/>
        </w:trPr>
        <w:tc>
          <w:tcPr>
            <w:tcW w:w="120" w:type="dxa"/>
            <w:vAlign w:val="bottom"/>
          </w:tcPr>
          <w:p>
            <w:pPr>
              <w:spacing w:after="0"/>
              <w:rPr>
                <w:sz w:val="19"/>
                <w:szCs w:val="19"/>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Richard P. Schifter</w:t>
            </w:r>
          </w:p>
        </w:tc>
        <w:tc>
          <w:tcPr>
            <w:tcW w:w="66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Corey E. Thomas</w:t>
            </w:r>
          </w:p>
        </w:tc>
        <w:tc>
          <w:tcPr>
            <w:tcW w:w="6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Director of LPL Financial Holdings Inc. and LPL Holdings, Inc.</w:t>
            </w:r>
          </w:p>
        </w:tc>
        <w:tc>
          <w:tcPr>
            <w:tcW w:w="18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March 3, 2025</w:t>
            </w:r>
          </w:p>
        </w:tc>
      </w:tr>
      <w:tr>
        <w:trPr>
          <w:trHeight w:val="228"/>
        </w:trPr>
        <w:tc>
          <w:tcPr>
            <w:tcW w:w="120" w:type="dxa"/>
            <w:vAlign w:val="bottom"/>
          </w:tcPr>
          <w:p>
            <w:pPr>
              <w:spacing w:after="0"/>
              <w:rPr>
                <w:sz w:val="19"/>
                <w:szCs w:val="19"/>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Corey E. Thomas</w:t>
            </w:r>
          </w:p>
        </w:tc>
        <w:tc>
          <w:tcPr>
            <w:tcW w:w="66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6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17</w:t>
            </w:r>
          </w:p>
        </w:tc>
        <w:tc>
          <w:tcPr>
            <w:tcW w:w="1800" w:type="dxa"/>
            <w:vAlign w:val="bottom"/>
          </w:tcPr>
          <w:p>
            <w:pPr>
              <w:spacing w:after="0"/>
              <w:rPr>
                <w:sz w:val="24"/>
                <w:szCs w:val="24"/>
                <w:color w:val="auto"/>
              </w:rPr>
            </w:pPr>
          </w:p>
        </w:tc>
      </w:tr>
    </w:tbl>
    <w:p>
      <w:pPr>
        <w:sectPr>
          <w:pgSz w:w="11900" w:h="16838" w:orient="portrait"/>
          <w:cols w:equalWidth="0" w:num="1">
            <w:col w:w="10940"/>
          </w:cols>
          <w:pgMar w:left="320" w:top="446" w:right="6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LPL HOLDINGS,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Company,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LPL FINANCIAL HOLDINGS INC.,</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Parent Guarantor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020"/>
          </w:cols>
          <w:pgMar w:left="1440" w:top="117" w:right="4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80" w:type="dxa"/>
            <w:vAlign w:val="bottom"/>
            <w:gridSpan w:val="7"/>
          </w:tcPr>
          <w:p>
            <w:pPr>
              <w:ind w:left="1340"/>
              <w:spacing w:after="0"/>
              <w:rPr>
                <w:sz w:val="20"/>
                <w:szCs w:val="20"/>
                <w:color w:val="auto"/>
              </w:rPr>
            </w:pPr>
            <w:r>
              <w:rPr>
                <w:rFonts w:ascii="Times New Roman" w:cs="Times New Roman" w:eastAsia="Times New Roman" w:hAnsi="Times New Roman"/>
                <w:sz w:val="18"/>
                <w:szCs w:val="18"/>
                <w:b w:val="1"/>
                <w:bCs w:val="1"/>
                <w:color w:val="auto"/>
              </w:rPr>
              <w:t>CROSS-REFERENCE TABLE</w:t>
            </w:r>
          </w:p>
        </w:tc>
      </w:tr>
      <w:tr>
        <w:trPr>
          <w:trHeight w:val="432"/>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TIA Section</w:t>
            </w:r>
          </w:p>
        </w:tc>
        <w:tc>
          <w:tcPr>
            <w:tcW w:w="134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Indenture Section</w:t>
            </w:r>
          </w:p>
        </w:tc>
      </w:tr>
      <w:tr>
        <w:trPr>
          <w:trHeight w:val="185"/>
        </w:trPr>
        <w:tc>
          <w:tcPr>
            <w:tcW w:w="3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310</w:t>
            </w:r>
          </w:p>
        </w:tc>
        <w:tc>
          <w:tcPr>
            <w:tcW w:w="400" w:type="dxa"/>
            <w:vAlign w:val="bottom"/>
            <w:tcBorders>
              <w:top w:val="single" w:sz="8" w:color="auto"/>
            </w:tcBorders>
          </w:tcPr>
          <w:p>
            <w:pPr>
              <w:ind w:left="40"/>
              <w:spacing w:after="0" w:line="185" w:lineRule="exact"/>
              <w:rPr>
                <w:sz w:val="20"/>
                <w:szCs w:val="20"/>
                <w:color w:val="auto"/>
              </w:rPr>
            </w:pPr>
            <w:r>
              <w:rPr>
                <w:rFonts w:ascii="Times New Roman" w:cs="Times New Roman" w:eastAsia="Times New Roman" w:hAnsi="Times New Roman"/>
                <w:sz w:val="18"/>
                <w:szCs w:val="18"/>
                <w:color w:val="auto"/>
                <w:w w:val="82"/>
              </w:rPr>
              <w:t>(a)(1)</w:t>
            </w:r>
          </w:p>
        </w:tc>
        <w:tc>
          <w:tcPr>
            <w:tcW w:w="2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540" w:type="dxa"/>
            <w:vAlign w:val="bottom"/>
            <w:tcBorders>
              <w:top w:val="single" w:sz="8" w:color="auto"/>
            </w:tcBorders>
            <w:gridSpan w:val="3"/>
          </w:tcPr>
          <w:p>
            <w:pPr>
              <w:jc w:val="right"/>
              <w:spacing w:after="0" w:line="185" w:lineRule="exact"/>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(a)(2)</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(a)(3)</w:t>
            </w:r>
          </w:p>
        </w:tc>
        <w:tc>
          <w:tcPr>
            <w:tcW w:w="1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(a)(4)</w:t>
            </w:r>
          </w:p>
        </w:tc>
        <w:tc>
          <w:tcPr>
            <w:tcW w:w="1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(a)(5)</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8.8; 8.9</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1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1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(b)(1)</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(b)(2)</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1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(c)(1)</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(c)(2)</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(c)(3)</w:t>
            </w:r>
          </w:p>
        </w:tc>
        <w:tc>
          <w:tcPr>
            <w:tcW w:w="1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1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8.1; 8.3</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7.14</w:t>
            </w:r>
          </w:p>
        </w:tc>
      </w:tr>
      <w:tr>
        <w:trPr>
          <w:trHeight w:val="194"/>
        </w:trPr>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316</w:t>
            </w:r>
          </w:p>
        </w:tc>
        <w:tc>
          <w:tcPr>
            <w:tcW w:w="26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(a) (last sentence)</w:t>
            </w:r>
          </w:p>
        </w:tc>
        <w:tc>
          <w:tcPr>
            <w:tcW w:w="1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56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1.1(“Outstanding”)</w:t>
            </w:r>
          </w:p>
        </w:tc>
      </w:tr>
      <w:tr>
        <w:trPr>
          <w:trHeight w:val="20"/>
        </w:trPr>
        <w:tc>
          <w:tcPr>
            <w:tcW w:w="3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8"/>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(a)(1)(A)</w:t>
            </w:r>
          </w:p>
        </w:tc>
        <w:tc>
          <w:tcPr>
            <w:tcW w:w="7040" w:type="dxa"/>
            <w:vAlign w:val="bottom"/>
            <w:gridSpan w:val="4"/>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(a)(1)(B)</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(a)(2)</w:t>
            </w:r>
          </w:p>
        </w:tc>
        <w:tc>
          <w:tcPr>
            <w:tcW w:w="1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(a)(1)</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(a)(2)</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57"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 means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 This Cross-Reference Table shall not, for any purpose, be deemed to be part of this Indenture.</w:t>
      </w:r>
    </w:p>
    <w:p>
      <w:pPr>
        <w:spacing w:after="0" w:line="16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019"/>
          </w:cols>
          <w:pgMar w:left="440" w:top="270" w:right="1440"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OTHER PROVISIONS OF GENERAL APPLICATION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Acts of Holders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Etc., to Trustee, the Company or any Guarantor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to Holders; Waiver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1.8.</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Headings and Table of Contents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1.9.</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 Separability Clause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1.11. Benefits of Indenture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1.12. Governing Law</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1.13. Legal Holidays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1.14. Waiver of Jury Trial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1.15. Immunity of General Partners, Limited Partners, Shareholders, Trustees, Officers, Employees, Incorporators and Agents of the</w:t>
            </w:r>
          </w:p>
        </w:tc>
        <w:tc>
          <w:tcPr>
            <w:tcW w:w="36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and Guarantors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Unlimited; Issuable in Series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Denominations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Authentication, Delivery and Dating</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Temporary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Registration; Transfer and Exchange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Interest; Interest Rights Preserved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Persons Deemed Owners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2.10. Computation of Interest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2.11. CUSIP Numbers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 OF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  Applicability of Article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3.2.  Election to Redeem; Notice to Trustee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3.3.  Selection by Trustee of Securities to Be Redeemed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3.4.  Notice of Redemption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3.5.  Deposit of Redemption Price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3.6.  Securities Payable on Redemption Date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3.7.  Securities Redeemed in Part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SINKING FUNDS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4.1.  Applicability of Article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4.2.  Satisfaction of Sinking Fund Payments with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for Securities Payments to Be Held in Trust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Existence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Statement by Officer as to Default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CONSOLIDATION, MERGER, CONVEYANCE, TRANSFER OR LEASE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May Consolidate, Etc., Only on Certain Terms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Guarantor May Consolidate, Etc., Only on Certain Terms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Substituted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REMEDIES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Events of Default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on Suits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Unconditional Right of Holders to Receive Principal, Premium and Interest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7.10. Rights and Remedies Cumulative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7.11. Delay or Omission Not Waiver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7.12. Control by Holders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7.13. Waiver of Past Defaults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7.14. Undertaking for Costs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8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7.15. Waiver of Usury, Stay or Extension Laws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TRUSTEE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Duties and Responsibilities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Defaults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 Responsible for Recitals or Issuance of Securities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Hold Securities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Held in Trust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8.7.</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8.8.</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8.9.</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8.12.</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8.13.</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Preferential Collection of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8.14.</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8.15.</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Consequential Damages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HOLDERS’ LISTS AND REPORTS BY TRUSTEE AND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to Furnish Trustee Names and Addresses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Preservation of Information; Communications to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by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by Company and the Parent Guarantor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 Supplemental Indentures Without Consent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 Supplemental Indentures with Consent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10.3. Execution of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10.4. Effect of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10.5. Conformity with Trust Indenture Act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10.6. Reference in Securities to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SATISFACTION AND DISCHARGE;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11.1. Satisfaction and Discharge of Indenture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11.2. Company’s Option to Effect Defeasance or Covenant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11.3. Defeasance and Discharge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11.4. Covenant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11.5. Conditions to Defeasance or Covenant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11.6. Deposited Money and U.S. Government Obligations to Be Held in Trust; Other Miscellaneous Provisions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GUARANTEES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12.1. Guarantee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12.2. Future Guarantors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12.3. Delivery of Guarantee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270" w:right="499" w:bottom="1440" w:gutter="0" w:footer="0" w:header="0"/>
        </w:sectPr>
      </w:pPr>
    </w:p>
    <w:bookmarkStart w:id="26" w:name="page27"/>
    <w:bookmarkEnd w:id="26"/>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[          ], among LPL Holdings, Inc.,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LPL Financial Holdings Inc., a Delaware corporation (the “Parent Guarantor”), and [          ], a [          ],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Parent Guarantor have duly authorized the execution and delivery of this Indenture to provide for the issuance from time to time of the Company’s debentures, notes or other evidences of indebtedness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each being a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to be issued in one or more series as in this Indenture provided, and for the guarantee of the Securities by the Guarantors to the extent described herein.</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the purchase of the Securities by the Holders thereof, the Company, the Parent Guarantor and the Trustee mutually covenant and agree, for the equal and proportionate benefit of all Holders of the Securities or of any series thereof,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OTHER PROVISIONS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GENERAL APPLICATION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left="440" w:right="220" w:firstLine="423"/>
        <w:spacing w:after="0" w:line="282" w:lineRule="auto"/>
        <w:rPr>
          <w:sz w:val="20"/>
          <w:szCs w:val="20"/>
          <w:color w:val="auto"/>
        </w:rPr>
      </w:pPr>
      <w:r>
        <w:rPr>
          <w:rFonts w:ascii="Times New Roman" w:cs="Times New Roman" w:eastAsia="Times New Roman" w:hAnsi="Times New Roman"/>
          <w:sz w:val="18"/>
          <w:szCs w:val="18"/>
          <w:color w:val="auto"/>
        </w:rPr>
        <w:t xml:space="preserve">(1)  the terms defined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have the respective meanings assigned to them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include the plural as well as the singular;</w:t>
      </w:r>
    </w:p>
    <w:p>
      <w:pPr>
        <w:spacing w:after="0" w:line="54" w:lineRule="exact"/>
        <w:rPr>
          <w:sz w:val="20"/>
          <w:szCs w:val="20"/>
          <w:color w:val="auto"/>
        </w:rPr>
      </w:pPr>
    </w:p>
    <w:p>
      <w:pPr>
        <w:ind w:left="440" w:right="380" w:firstLine="423"/>
        <w:spacing w:after="0" w:line="282" w:lineRule="auto"/>
        <w:rPr>
          <w:sz w:val="20"/>
          <w:szCs w:val="20"/>
          <w:color w:val="auto"/>
        </w:rPr>
      </w:pPr>
      <w:r>
        <w:rPr>
          <w:rFonts w:ascii="Times New Roman" w:cs="Times New Roman" w:eastAsia="Times New Roman" w:hAnsi="Times New Roman"/>
          <w:sz w:val="18"/>
          <w:szCs w:val="18"/>
          <w:color w:val="auto"/>
        </w:rPr>
        <w:t>(2)  all other terms used herein which are defined in the Trust Indenture Act, either directly or by reference therein, have the respective meanings assigned to them therein;</w:t>
      </w:r>
    </w:p>
    <w:p>
      <w:pPr>
        <w:spacing w:after="0" w:line="54"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(3)  all accounting terms not otherwise defined herein have the respective meanings assigned to them in accordance with generally accepted accounting principles, and, except as otherwise herein expressly provided, the term “</w:t>
      </w:r>
      <w:r>
        <w:rPr>
          <w:rFonts w:ascii="Times New Roman" w:cs="Times New Roman" w:eastAsia="Times New Roman" w:hAnsi="Times New Roman"/>
          <w:sz w:val="18"/>
          <w:szCs w:val="18"/>
          <w:u w:val="single" w:color="auto"/>
          <w:color w:val="auto"/>
        </w:rPr>
        <w:t>generally accepted accounting principles</w:t>
      </w:r>
      <w:r>
        <w:rPr>
          <w:rFonts w:ascii="Times New Roman" w:cs="Times New Roman" w:eastAsia="Times New Roman" w:hAnsi="Times New Roman"/>
          <w:sz w:val="18"/>
          <w:szCs w:val="18"/>
          <w:color w:val="auto"/>
        </w:rPr>
        <w:t>” with respect to any computation required or permitted hereunder shall mean such accounting principles as are generally accepted in the United States of America at the date of such computation;</w:t>
      </w:r>
    </w:p>
    <w:p>
      <w:pPr>
        <w:spacing w:after="0" w:line="72" w:lineRule="exact"/>
        <w:rPr>
          <w:sz w:val="20"/>
          <w:szCs w:val="20"/>
          <w:color w:val="auto"/>
        </w:rPr>
      </w:pPr>
    </w:p>
    <w:p>
      <w:pPr>
        <w:ind w:left="440" w:right="520" w:firstLine="423"/>
        <w:spacing w:after="0" w:line="282" w:lineRule="auto"/>
        <w:rPr>
          <w:sz w:val="20"/>
          <w:szCs w:val="20"/>
          <w:color w:val="auto"/>
        </w:rPr>
      </w:pPr>
      <w:r>
        <w:rPr>
          <w:rFonts w:ascii="Times New Roman" w:cs="Times New Roman" w:eastAsia="Times New Roman" w:hAnsi="Times New Roman"/>
          <w:sz w:val="18"/>
          <w:szCs w:val="18"/>
          <w:color w:val="auto"/>
        </w:rPr>
        <w:t>(4)  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 and</w:t>
      </w:r>
    </w:p>
    <w:p>
      <w:pPr>
        <w:spacing w:after="0" w:line="54" w:lineRule="exact"/>
        <w:rPr>
          <w:sz w:val="20"/>
          <w:szCs w:val="20"/>
          <w:color w:val="auto"/>
        </w:rPr>
      </w:pPr>
    </w:p>
    <w:p>
      <w:pPr>
        <w:ind w:left="440" w:right="380" w:firstLine="423"/>
        <w:spacing w:after="0" w:line="282" w:lineRule="auto"/>
        <w:rPr>
          <w:sz w:val="20"/>
          <w:szCs w:val="20"/>
          <w:color w:val="auto"/>
        </w:rPr>
      </w:pPr>
      <w:r>
        <w:rPr>
          <w:rFonts w:ascii="Times New Roman" w:cs="Times New Roman" w:eastAsia="Times New Roman" w:hAnsi="Times New Roman"/>
          <w:sz w:val="18"/>
          <w:szCs w:val="18"/>
          <w:color w:val="auto"/>
        </w:rPr>
        <w:t>(5)  any reference to an “Article” or a “Section” refers to an Article or a Section, as the case may be, of this Indenture unless otherwise expressly indicated.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27" w:name="page28"/>
    <w:bookmarkEnd w:id="27"/>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to the foregoing.</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means any Person authorized by the Trustee to act on behalf of the Trustee to authenticate Securities of one or more series.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 or any duly authorized committee of such board.</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means a copy of a resolution certified by an Officer of the Company to have been duly adopted by the Board of Directors and to be in full force and effect on the date of such certification, and delivered to the Trustee.</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each Monday, Tuesday, Wednesday, Thursday and Friday which is not a day on which banking institutions in The City of New York or the city in which the Place of Payment is located are authorized or obligated by law or executive order to close or be closed.</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Person named as the “Company” in the first paragraph of this instrument until a successor Person shall have become permitted as the Company’s successor pursuant to the applicable provisions of this Indenture, and thereafter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such successor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Company Order</w:t>
      </w:r>
      <w:r>
        <w:rPr>
          <w:rFonts w:ascii="Times New Roman" w:cs="Times New Roman" w:eastAsia="Times New Roman" w:hAnsi="Times New Roman"/>
          <w:sz w:val="18"/>
          <w:szCs w:val="18"/>
          <w:color w:val="auto"/>
        </w:rPr>
        <w:t>” means a written request or order signed in the name of the Company by any Officer.</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administered, which office at the date hereof for purposes of payment only is located at [          ], or such other address as the Trustee may designate from time to time by notice to the Company, or the principal corporate trust office of any successor Trustee (or such other address as such successor Trustee may designate from time to time by notice to the Company).</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xml:space="preserve">”, when used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includes corporations, associations, companies (including limited liability companies), limited and general partnerships and business trusts.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when used in </w:t>
      </w:r>
      <w:r>
        <w:rPr>
          <w:rFonts w:ascii="Times New Roman" w:cs="Times New Roman" w:eastAsia="Times New Roman" w:hAnsi="Times New Roman"/>
          <w:sz w:val="18"/>
          <w:szCs w:val="18"/>
          <w:u w:val="single" w:color="auto"/>
          <w:color w:val="auto"/>
        </w:rPr>
        <w:t>Section 5.5, 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means any event which is, or after notice or lapse of time or both would become, an Event of Default with respect to Securities of such series.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Depository</w:t>
      </w:r>
      <w:r>
        <w:rPr>
          <w:rFonts w:ascii="Times New Roman" w:cs="Times New Roman" w:eastAsia="Times New Roman" w:hAnsi="Times New Roman"/>
          <w:sz w:val="18"/>
          <w:szCs w:val="18"/>
          <w:color w:val="auto"/>
        </w:rPr>
        <w:t xml:space="preserve">” means, with respect to the Securities of any series issuable or issued in whole or in part in the form of one or more Global Securities, the Person designated as Depository for such series by the Company pursuant to </w:t>
      </w:r>
      <w:r>
        <w:rPr>
          <w:rFonts w:ascii="Times New Roman" w:cs="Times New Roman" w:eastAsia="Times New Roman" w:hAnsi="Times New Roman"/>
          <w:sz w:val="18"/>
          <w:szCs w:val="18"/>
          <w:u w:val="single" w:color="auto"/>
          <w:color w:val="auto"/>
        </w:rPr>
        <w:t>Section 2.1(b)(17)</w:t>
      </w:r>
      <w:r>
        <w:rPr>
          <w:rFonts w:ascii="Times New Roman" w:cs="Times New Roman" w:eastAsia="Times New Roman" w:hAnsi="Times New Roman"/>
          <w:sz w:val="18"/>
          <w:szCs w:val="18"/>
          <w:color w:val="auto"/>
        </w:rPr>
        <w:t>, which Person shall be a clearing agency registered under the Exchange Act; and if at any time there is more than one such Person, “Depository” as used with respect to the Securities of any series shall mean the Depository with respect to the Securities of such series.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 means a Security or Securities, as the case may be, evidencing all or part of a series of Securities, issued to the Depository for such series or its nominee, and registered in the name of such Depository or nominee.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the Parent Guarantor and any other Person that is liable under a Guarantee under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 of Securities</w:t>
      </w:r>
      <w:r>
        <w:rPr>
          <w:rFonts w:ascii="Times New Roman" w:cs="Times New Roman" w:eastAsia="Times New Roman" w:hAnsi="Times New Roman"/>
          <w:sz w:val="18"/>
          <w:szCs w:val="18"/>
          <w:color w:val="auto"/>
        </w:rPr>
        <w:t>” means a Person in whose name a Security is registered in the Security Register.</w:t>
      </w:r>
    </w:p>
    <w:p>
      <w:pPr>
        <w:spacing w:after="0" w:line="225"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xml:space="preserve">” means this indenture agreement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when used with respect to an Original Issue Discount Security which by its terms bears interest only after Maturity, means interest payable after Maturity.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Exchange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Maturity</w:t>
      </w:r>
      <w:r>
        <w:rPr>
          <w:rFonts w:ascii="Times New Roman" w:cs="Times New Roman" w:eastAsia="Times New Roman" w:hAnsi="Times New Roman"/>
          <w:sz w:val="17"/>
          <w:szCs w:val="17"/>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shall mean any of the Chairman of the Board of Directors, the President, the Chief Executive Officer, the Chief Financial Officer, the Chief Operating Officer, the Treasurer, any Vice President, the Assistant Treasurer, the Secretary or the General Counsel of the Company.</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means a certificate signed by any Officer. An Officer’s Certificate provided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signed by a principal executive, financial, legal or accounting Officer of the Company.</w:t>
      </w:r>
    </w:p>
    <w:p>
      <w:pPr>
        <w:spacing w:after="0" w:line="16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counsel for the Company (including an employee or officer of the Company or any of its Affiliates) and who shall be reasonably acceptable to the Trustee.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Discount Security</w:t>
      </w:r>
      <w:r>
        <w:rPr>
          <w:rFonts w:ascii="Times New Roman" w:cs="Times New Roman" w:eastAsia="Times New Roman" w:hAnsi="Times New Roman"/>
          <w:sz w:val="18"/>
          <w:szCs w:val="18"/>
          <w:color w:val="auto"/>
        </w:rPr>
        <w:t xml:space="preserve">” means any Security which provides for an amount less than the principal amount thereof to be due and payable upon a declaration of acceleration of the Maturity thereof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when used with respect to Securities, means, as of the date of determination, all Securities theretofore authenticated and delivered under this Indenture, except: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Securities theretofore canceled by the Trustee or delivered to the Trustee for cancellation;</w:t>
      </w:r>
    </w:p>
    <w:p>
      <w:pPr>
        <w:spacing w:after="0" w:line="117" w:lineRule="exact"/>
        <w:rPr>
          <w:sz w:val="20"/>
          <w:szCs w:val="20"/>
          <w:color w:val="auto"/>
        </w:rPr>
      </w:pPr>
    </w:p>
    <w:p>
      <w:pPr>
        <w:ind w:left="440" w:right="120" w:firstLine="423"/>
        <w:spacing w:after="0" w:line="256" w:lineRule="auto"/>
        <w:rPr>
          <w:sz w:val="20"/>
          <w:szCs w:val="20"/>
          <w:color w:val="auto"/>
        </w:rPr>
      </w:pPr>
      <w:r>
        <w:rPr>
          <w:rFonts w:ascii="Times New Roman" w:cs="Times New Roman" w:eastAsia="Times New Roman" w:hAnsi="Times New Roman"/>
          <w:sz w:val="18"/>
          <w:szCs w:val="18"/>
          <w:color w:val="auto"/>
        </w:rPr>
        <w:t xml:space="preserve">(ii)  Securities for whose payment or redemption money (or in the case of payment by Defeasance under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money, U.S. Government Obligations or both)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Securities are to be redeemed, notice of such redemption has been duly given pursuant to this Indenture or provision therefor satisfactory to the Trustee has been made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in the case of payment by Defeasance under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that all conditions precedent to the application of such Section shall have been satisfied; and</w:t>
      </w:r>
    </w:p>
    <w:p>
      <w:pPr>
        <w:spacing w:after="0" w:line="79" w:lineRule="exact"/>
        <w:rPr>
          <w:sz w:val="20"/>
          <w:szCs w:val="20"/>
          <w:color w:val="auto"/>
        </w:rPr>
      </w:pPr>
    </w:p>
    <w:p>
      <w:pPr>
        <w:ind w:left="440" w:right="2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(iii)  Securities which have been paid pursuant to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determining whether the Holders of the requisite principal amount of the Outstanding Securities have given any request, demand, authorization, direction, notice, consent or waiver hereunder, (i) the principal amount of an Original Issue Discount Security that shall be deemed to be Outstanding shall be the amount of the principal thereof that would be due and payable as of the date of such determination upon acceleration of the Maturity thereof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and (ii) Securities owned by the Company, any Guarantor or any other obligor upon the Securities or any Affiliate of the Company, any Guarantor or of such other obligor shall be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30" w:name="page31"/>
    <w:bookmarkEnd w:id="30"/>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disregarded and deemed not to be Outstanding, except that, in determining whether the Trustee shall be protected in relying upon any such request, demand, authorization, direction, notice, consent or waiver, only Securities which the Trustee knows to be so owned shall be so disregarded. Securities which have been pledged in good faith may be regarded as Outstanding if the pledgee establishes to the satisfaction of the Trustee the pledgee’s independent right so to act with respect to such Securities and that the pledgee is not the Company, any Guarantor or any other obligor upon the Securities or any Affiliate of the Company, any Guarantor or of such other obligor.</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Company to pay the principal of (and premium, if any) or interest on any Securities on behalf of the Company. The Company or any of its subsidiaries or any of their respective Affiliates may act as Paying Agent with respect to any Securities issued hereunder.</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business trust, association, joint-stock company, joint venture, trust, incorporated or unincorporated organization or government or any agency or political subdivision thereof.</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xml:space="preserve">”, when used with respect to the Securities of any series, means the place or places where the principal of (and premium, if any) and interest on the Securities of that series are payable as specified as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if not so specified, the City of New York, New York.</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Securities</w:t>
      </w:r>
      <w:r>
        <w:rPr>
          <w:rFonts w:ascii="Times New Roman" w:cs="Times New Roman" w:eastAsia="Times New Roman" w:hAnsi="Times New Roman"/>
          <w:sz w:val="18"/>
          <w:szCs w:val="18"/>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exchange for or in lieu of a mutilated, destroyed, lost or stolen Security shall be deemed to evidence the same debt as the mutilated, destroyed, lost or stolen Security.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a Regular Record Date or a Special Record Date, as applicable.</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Security to be redeemed, means the date fixed for such redemption by or pursuant to this Indenture.</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when used with respect to any Security to be redeemed, means the price at which it is to be redeemed pursuant to this Indenture.</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xml:space="preserve">” for the interest payable on any Interest Payment Date on the Securities of any series means the date specified for that purpose as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when used with respect to the Trustee, means any officer in the Corporate Trust Office of the Trustee with direct responsibility for the administration of this Indenture and also means, with respect to a particular corporate trust matter, any other officer to whom such matter is referred because of such other officer’s knowledge of and familiarity with the particular subject and who shall have direct responsibility for the administration of this Indenture.</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have the respective meanings stated in the recital of this Indenture and more particularly mean any Securities and/or Security of any series authenticated and delivered under this Indenture.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xml:space="preserve">” have the respective meanings specified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with respect to any Person, any subsidiary of such Person that satisfies the criteria for a “Significant Subsidiary” set forth in Rule 1-02(w) of Regulation S-X under the Exchange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xml:space="preserve">” for the payment of any Defaulted Interest means a date fixed by the Trustee pursuant to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at any time shall mean (a)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limited liability company, partnership, association, joint venture or other entity in which such Person directly or indirectly through Subsidiaries has more than a 50% equity interest at the time.</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xml:space="preserve">” means the Trust Indenture Act of 1939 as in force at the date as of which this Indenture was executed, except as provided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to the extent required by any amendment thereto, the Trust Indenture Act of 1939, as amended from time to time.</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assumed such role pursuant to the applicable provisions of this Indenture, and thereafter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shall mean or include each Person who is then a Trustee hereunder and, if at any time there is more than one such Person,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used with respect to the Securities of any series shall mean the Trustee with respect to Securities of that series.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11.5(a)</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Except as otherwise provided herein, upon any application or request by the Company or any Guarantor, as applicable, to the Trustee (other than with respect to routine operations of the Trustee) to take any action under any provision of this Indenture, upon request of the Trustee, the Company or such Guarantor, as the case may be, shall furnish to the Trustee (i) an Officer’s Certificate stating that all conditions precedent, if any, provided for in this Indenture relating to the proposed action have been complied with and (ii)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provided, however, that such Opinion of Counsel shall not be required in the case of the initial issuance of Securities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2" w:name="page33"/>
    <w:bookmarkEnd w:id="32"/>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Every certificate or opinion with respect to compliance with a condition or covenant provided for in this Indenture (other than certificates provided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shall include:</w:t>
      </w:r>
    </w:p>
    <w:p>
      <w:pPr>
        <w:spacing w:after="0" w:line="54" w:lineRule="exact"/>
        <w:rPr>
          <w:sz w:val="20"/>
          <w:szCs w:val="20"/>
          <w:color w:val="auto"/>
        </w:rPr>
      </w:pPr>
    </w:p>
    <w:p>
      <w:pPr>
        <w:ind w:left="440" w:right="560" w:firstLine="423"/>
        <w:spacing w:after="0" w:line="282" w:lineRule="auto"/>
        <w:rPr>
          <w:sz w:val="20"/>
          <w:szCs w:val="20"/>
          <w:color w:val="auto"/>
        </w:rPr>
      </w:pPr>
      <w:r>
        <w:rPr>
          <w:rFonts w:ascii="Times New Roman" w:cs="Times New Roman" w:eastAsia="Times New Roman" w:hAnsi="Times New Roman"/>
          <w:sz w:val="18"/>
          <w:szCs w:val="18"/>
          <w:color w:val="auto"/>
        </w:rPr>
        <w:t>(1)  a statement that the individual signing such certificate or opinion has read such covenant or condition and the definitions herein relating thereto;</w:t>
      </w:r>
    </w:p>
    <w:p>
      <w:pPr>
        <w:spacing w:after="0" w:line="54" w:lineRule="exact"/>
        <w:rPr>
          <w:sz w:val="20"/>
          <w:szCs w:val="20"/>
          <w:color w:val="auto"/>
        </w:rPr>
      </w:pPr>
    </w:p>
    <w:p>
      <w:pPr>
        <w:ind w:left="440" w:right="320" w:firstLine="423"/>
        <w:spacing w:after="0" w:line="282" w:lineRule="auto"/>
        <w:rPr>
          <w:sz w:val="20"/>
          <w:szCs w:val="20"/>
          <w:color w:val="auto"/>
        </w:rPr>
      </w:pPr>
      <w:r>
        <w:rPr>
          <w:rFonts w:ascii="Times New Roman" w:cs="Times New Roman" w:eastAsia="Times New Roman" w:hAnsi="Times New Roman"/>
          <w:sz w:val="18"/>
          <w:szCs w:val="18"/>
          <w:color w:val="auto"/>
        </w:rPr>
        <w:t>(2)  a brief statement as to the nature and scope of the examination or investigation upon which the statements or opinions contained in such certificate or opinion are based;</w:t>
      </w:r>
    </w:p>
    <w:p>
      <w:pPr>
        <w:spacing w:after="0" w:line="54" w:lineRule="exact"/>
        <w:rPr>
          <w:sz w:val="20"/>
          <w:szCs w:val="20"/>
          <w:color w:val="auto"/>
        </w:rPr>
      </w:pPr>
    </w:p>
    <w:p>
      <w:pPr>
        <w:ind w:left="440" w:right="200" w:firstLine="423"/>
        <w:spacing w:after="0" w:line="266" w:lineRule="auto"/>
        <w:rPr>
          <w:sz w:val="20"/>
          <w:szCs w:val="20"/>
          <w:color w:val="auto"/>
        </w:rPr>
      </w:pPr>
      <w:r>
        <w:rPr>
          <w:rFonts w:ascii="Times New Roman" w:cs="Times New Roman" w:eastAsia="Times New Roman" w:hAnsi="Times New Roman"/>
          <w:sz w:val="18"/>
          <w:szCs w:val="18"/>
          <w:color w:val="auto"/>
        </w:rPr>
        <w:t>(3)  a statement that, in the opinion of such individual, such individual has made such examination or investigation as such individual deemed reasonably necessary to enable such individual to express an opinion as to whether such covenant or condition has been complied with; and</w:t>
      </w:r>
    </w:p>
    <w:p>
      <w:pPr>
        <w:spacing w:after="0" w:line="68" w:lineRule="exact"/>
        <w:rPr>
          <w:sz w:val="20"/>
          <w:szCs w:val="20"/>
          <w:color w:val="auto"/>
        </w:rPr>
      </w:pPr>
    </w:p>
    <w:p>
      <w:pPr>
        <w:ind w:left="440" w:right="120" w:firstLine="423"/>
        <w:spacing w:after="0" w:line="282" w:lineRule="auto"/>
        <w:rPr>
          <w:sz w:val="20"/>
          <w:szCs w:val="20"/>
          <w:color w:val="auto"/>
        </w:rPr>
      </w:pPr>
      <w:r>
        <w:rPr>
          <w:rFonts w:ascii="Times New Roman" w:cs="Times New Roman" w:eastAsia="Times New Roman" w:hAnsi="Times New Roman"/>
          <w:sz w:val="18"/>
          <w:szCs w:val="18"/>
          <w:color w:val="auto"/>
        </w:rPr>
        <w:t xml:space="preserve">(4)  a statement as to whether, in the opinion of such individual (based on the examination or investigation described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above), such condition or covenant has been complied with.</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more documents.</w:t>
      </w:r>
    </w:p>
    <w:p>
      <w:pPr>
        <w:spacing w:after="0" w:line="180"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(b)  Any certificate or opinion of any officer of the Company or any Guarantor may be based, insofar as it relates to legal matters, upon a certificate or opinion of, or representations by, counsel, unless such officer knows that the certificate or opinion or representations with respect to the matters upon which his or her certificate or opinion is based are erroneous. Any such certificate or opinion or any Opinion of Counsel may be based, insofar as it relates to factual matters, upon a certificate or opinion of, or representations by, an officer or officers of the Company or Guarantor, a governmental official or officers or any other Person or Persons, stating that the information with respect to such factual matters is in the possession of the Company or any Guarantor, as applicable, unless such counsel knows that the certificate or opinion or representations with respect to such matters are erroneous.</w:t>
      </w:r>
    </w:p>
    <w:p>
      <w:pPr>
        <w:spacing w:after="0" w:line="18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(c)  Where any Person is required to make, give or execute two or more applications, requests, consents, certificates, statements, opinions or other instruments under this Indenture, they may, but need not, be consolidated and form one instrument.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are delivered to the Trustee and, where it is hereby expressly required, to the Company or any Guarantor, as applicable. The Trustee shall promptly deliver to the Company or any Guarantor, as applicable, copies of any such instrument or instruments delivered to the Trustee. Such instrument or instruments (and the action embodied therein and evidenced thereby) are herein sometimes referred to as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of the Holders signing such instrument or instruments. Proof of execution of any such instrument or of a writing appointing any such agent shall be sufficient for any purpose of this Indenture and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conclusive in favor of the Trustee and the Company, or any Guarantor, as applicable, if made in the manner provided in this Section.</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which the Trustee deems sufficient.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ownership of Securities shall be proved by the Security Register.</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(d)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the Company in reliance thereon, whether or not notation of such action is made upon such Security or such other Security.</w:t>
      </w:r>
    </w:p>
    <w:p>
      <w:pPr>
        <w:spacing w:after="0" w:line="18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  The Depository selected pursuant to </w:t>
      </w:r>
      <w:r>
        <w:rPr>
          <w:rFonts w:ascii="Times New Roman" w:cs="Times New Roman" w:eastAsia="Times New Roman" w:hAnsi="Times New Roman"/>
          <w:sz w:val="18"/>
          <w:szCs w:val="18"/>
          <w:u w:val="single" w:color="auto"/>
          <w:color w:val="auto"/>
        </w:rPr>
        <w:t>subsection (b)(17)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as a Holder, may appoint agents and/or otherwise authorize participants to give or take any request, demand, authorization, direction, notice, consent, waiver or other action which a Holder is entitled to give or take hereunder.</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  Unless otherwise specified in a Board Resolution, a supplemental indenture hereto or an Officer’s Certificate delivered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currency other than U.S. dollars, then the principal amount of Securities of such series which shall be deemed to be outstanding for the purpose of taking such action shall be that amount of U.S. dollars that could be obtained for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4" w:name="page35"/>
    <w:bookmarkEnd w:id="3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amount at the Market Exchange Rate at such time. For purposes of this </w:t>
      </w:r>
      <w:r>
        <w:rPr>
          <w:rFonts w:ascii="Times New Roman" w:cs="Times New Roman" w:eastAsia="Times New Roman" w:hAnsi="Times New Roman"/>
          <w:sz w:val="18"/>
          <w:szCs w:val="18"/>
          <w:u w:val="single" w:color="auto"/>
          <w:color w:val="auto"/>
        </w:rPr>
        <w:t>Section 1.4(f)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Market Exchange Rate</w:t>
      </w:r>
      <w:r>
        <w:rPr>
          <w:rFonts w:ascii="Times New Roman" w:cs="Times New Roman" w:eastAsia="Times New Roman" w:hAnsi="Times New Roman"/>
          <w:sz w:val="18"/>
          <w:szCs w:val="18"/>
          <w:color w:val="auto"/>
        </w:rPr>
        <w:t xml:space="preserve">” shall mean the noon U.S. dollar buying rate in the City of New York for cable transfers of that currency as published by the Federal Reserve Bank of New York. If such Market Exchange Rate is not available for any reason with respect to such currency, the Trustee shall use, without liability on its part, such quotation of the Federal Reserve Bank of New York or quotations from one or more major banks in the City of New York or in the country of issue of the currency in question or such other quotations as the Company shall deem appropriate and direct the Trustee to use pursuant to a Company Order. The provisions of this </w:t>
      </w:r>
      <w:r>
        <w:rPr>
          <w:rFonts w:ascii="Times New Roman" w:cs="Times New Roman" w:eastAsia="Times New Roman" w:hAnsi="Times New Roman"/>
          <w:sz w:val="18"/>
          <w:szCs w:val="18"/>
          <w:u w:val="single" w:color="auto"/>
          <w:color w:val="auto"/>
        </w:rPr>
        <w:t>Section 1.4(f)</w:t>
      </w:r>
      <w:r>
        <w:rPr>
          <w:rFonts w:ascii="Times New Roman" w:cs="Times New Roman" w:eastAsia="Times New Roman" w:hAnsi="Times New Roman"/>
          <w:sz w:val="18"/>
          <w:szCs w:val="18"/>
          <w:color w:val="auto"/>
        </w:rPr>
        <w:t xml:space="preserve"> shall apply in determining the equivalent principal amount in respect of Securities of a series denominated in currency other than U.S. dollars in connection with any action taken by Holders of Securities pursuant to the terms of this Indenture. All decisions and determinations of the Trustee regarding the Market Exchange Rate or any alternative determination provided for in this </w:t>
      </w:r>
      <w:r>
        <w:rPr>
          <w:rFonts w:ascii="Times New Roman" w:cs="Times New Roman" w:eastAsia="Times New Roman" w:hAnsi="Times New Roman"/>
          <w:sz w:val="18"/>
          <w:szCs w:val="18"/>
          <w:u w:val="single" w:color="auto"/>
          <w:color w:val="auto"/>
        </w:rPr>
        <w:t>Section 1.4(f)</w:t>
      </w:r>
      <w:r>
        <w:rPr>
          <w:rFonts w:ascii="Times New Roman" w:cs="Times New Roman" w:eastAsia="Times New Roman" w:hAnsi="Times New Roman"/>
          <w:sz w:val="18"/>
          <w:szCs w:val="18"/>
          <w:color w:val="auto"/>
        </w:rPr>
        <w:t xml:space="preserve"> shall, in the absence of manifest error, be conclusive to the extent permitted by law for all purposes and irrevocably binding upon the Company and all Holders.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Notices, Etc., to Trustee, the Company or any Guarantor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Act of Holders or other document provided or permitted by this Indenture to be made, given or furnished to, or filed with,</w:t>
      </w:r>
    </w:p>
    <w:p>
      <w:pPr>
        <w:spacing w:after="0" w:line="54" w:lineRule="exact"/>
        <w:rPr>
          <w:sz w:val="20"/>
          <w:szCs w:val="20"/>
          <w:color w:val="auto"/>
        </w:rPr>
      </w:pPr>
    </w:p>
    <w:p>
      <w:pPr>
        <w:ind w:left="440" w:right="240" w:firstLine="423"/>
        <w:spacing w:after="0" w:line="266" w:lineRule="auto"/>
        <w:rPr>
          <w:sz w:val="20"/>
          <w:szCs w:val="20"/>
          <w:color w:val="auto"/>
        </w:rPr>
      </w:pPr>
      <w:r>
        <w:rPr>
          <w:rFonts w:ascii="Times New Roman" w:cs="Times New Roman" w:eastAsia="Times New Roman" w:hAnsi="Times New Roman"/>
          <w:sz w:val="18"/>
          <w:szCs w:val="18"/>
          <w:color w:val="auto"/>
        </w:rPr>
        <w:t>(1)  the Trustee by any Holder or by the Company or any Guarantor shall be sufficient for every purpose hereunder if made, given, furnished or filed in writing (including by facsimile and electronic mail actually received) to or with the Trustee at its Corporate Trust Office or sent by facsimile, electronic transmission or first-class mail, postage prepaid at the address set forth below:</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(2)  the Company or any Guarantor by the Trustee or by any Holder shall be sufficient for every purpose hereunder (unless otherwise herein expressly provided) if made, given, furnished or filed in writing (including by facsimile and electronic mail actually received) to or with the Company by facsimile, electronic transmission or first-class mail, postage prepaid at the address set forth below:</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any Guarantor and the Trustee may designate additional or different addresses for subsequent notices or communication. Notices given by first-class, postage prepaid, will be deemed given five calendar days after mailing.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Notice to Holders;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 this Indenture provides for notice to Holders (including any notice of redemption), such notice shall be sufficiently given (unless otherwise herein expressly provided) if in writing (including facsimile or other electronic transmission) and mailed, first-class postage prepaid, to each Holder entitled thereto, at his or her last address as it appears in the Security Register or if given to the applicable Depository (or its designee) according to the applicable procedures of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5" w:name="page36"/>
    <w:bookmarkEnd w:id="3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Depository. If such notice or communication is mailed (or delivered by electronic transmission in accordance with the applicable procedures of the Depository) in the manner provided above within the time prescribed herein, it is duly given, whether or not the addressee receives it. In any case where notice to Holders is given, neither the failure to send such notice, nor any defect in any notice so sent, to any particular Holder shall affect the sufficiency of such notice with respect to other Holders.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Notices given by first-class mail, postage prepaid, will be deemed given five calendar days after mailing.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If any provision hereof limits, qualifies or conflicts with another provision hereof which is required to be included in this Indenture by any of the provisions of the Trust Indenture Act, such required provision shall control. If any provision hereof limits, qualifies or conflicts with the duties imposed by Section 318(c) of the Trust Indenture Act, such imposed duties shall control. If any provision of this Indenture limits, qualifies or conflicts with a provision of the Trust Indenture Act that is required under the Trust Indenture Act to be a part of and govern this Indenture, such provision of the Trust Indenture Act shall control. If any provision of this Indenture modifies or excludes any provision of the Trust Indenture Act that may be so modified or excluded, the latter provision shall be deemed to apply to this Indenture as such provision of the Trust Indenture Act is so modified or excluded, as the case may be.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Effect of Headings and Table of Contents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Article and Section headings herein and the Table of Contents are for convenience only and shall not affect the construction hereof.</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covenants and agreements in this Indenture by the Company or any Guarantor shall bind its successors and assigns, whether so expressed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Separability Clause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Indenture, the Securities and any Guarantees shall be governed by, and construed in accordance with, the laws of the State of New York.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any case where any Interest Payment Date, Redemption Date or Stated Maturity of any Security shall not be a Business Day at any Place of Payment, then (notwithstanding any other provision of this Indenture or of the Securities)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interest shall accrue on the amount then payable for the period from and after such Interest Payment Date, Redemption Date or Stated Maturity, as the case may be.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EACH OF THE COMPANY, EACH GUARANTOR AND THE TRUSTEE HEREBY, AND EACH HOLDER OF A SECURITY BY ITS ACCEPTANCE THEREOF, IRREVOCABLY WAIVES, TO THE FULLEST EXTENT PERMITTED BY APPLICABLE LAW, ANY AND ALL RIGHT TO TRIAL BY JURY IN ANY LEGAL PROCEEDING ARISING OUT OF OR RELATING TO THIS INDENTURE, THE SECURITIES, ANY GUARANTEES OR THE TRANSACTIONS CONTEMPLATED HEREBY OR THEREBY.</w:t>
      </w:r>
    </w:p>
    <w:p>
      <w:pPr>
        <w:spacing w:after="0" w:line="2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Immunity of General Partners, Limited Partners, Shareholders, Trustees, Officers, Employees, Incorporators and Agents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Guarantors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No recourse for the payment of the principal of or any premium or interest on the Securities, or for any claim based hereon or otherwise in respect hereof, and no recourse under or upon any obligation, covenant or agreement contained in this Indenture, any supplemental indenture or in any Security, or because of any indebtedness evidenced thereby, shall be had against any past, present or future general partner, limited partner, member, employee, incorporator, controlling person, shareholder, officer, trustee, director or agent, as such, of the Company, any Guarantor or of any of the Company’s or any Guarantor’s predecessors or successors, either directly or through the Company or any Guarantor,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aggregate principal amount of Securities which may be authenticated and delivered under this Indenture is unlimited.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7" w:name="page38"/>
    <w:bookmarkEnd w:id="3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The Securities may be issued in one or more series. There shall be established in or pursuant to a Board Resolution and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set forth or determined as provided in an Officer’s Certificate, or established in one or more indentures supplemental hereto (with such appropriate insertions, omissions, substitutions and other variations as are required or permitted by this Indenture, and with such letters, numbers or other marks of identification and such legends or endorsements placed thereon as may be required to comply with the rules of any securities exchange or as may, consistently herewith, be determined by the Officer executing such Securities, as evidenced by his or her execution of such Securities), prior to the issuance of Securities of any series:</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the title of the Securities of the series (which shall distinguish the Securities of the series from all other Securities);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   the ranking of the Securities of the series relative to other indebtedness of the Company and the terms of any subordination provisions;</w:t>
      </w:r>
    </w:p>
    <w:p>
      <w:pPr>
        <w:spacing w:after="0" w:line="117" w:lineRule="exact"/>
        <w:rPr>
          <w:sz w:val="20"/>
          <w:szCs w:val="20"/>
          <w:color w:val="auto"/>
        </w:rPr>
      </w:pPr>
    </w:p>
    <w:p>
      <w:pPr>
        <w:ind w:left="440" w:right="100" w:firstLine="423"/>
        <w:spacing w:after="0" w:line="266" w:lineRule="auto"/>
        <w:rPr>
          <w:sz w:val="20"/>
          <w:szCs w:val="20"/>
          <w:color w:val="auto"/>
        </w:rPr>
      </w:pPr>
      <w:r>
        <w:rPr>
          <w:rFonts w:ascii="Times New Roman" w:cs="Times New Roman" w:eastAsia="Times New Roman" w:hAnsi="Times New Roman"/>
          <w:sz w:val="18"/>
          <w:szCs w:val="18"/>
          <w:color w:val="auto"/>
        </w:rPr>
        <w:t>(3)  if the Securities are to be convertible into or exchangeable for any securities or property of any Person (including the Company), the terms and conditions upon which such Securities will be so convertible or exchangeable, and any additions or changes to this Indenture, if any, to permit or facilitate such conversion or exchange;</w:t>
      </w:r>
    </w:p>
    <w:p>
      <w:pPr>
        <w:spacing w:after="0" w:line="68"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(4)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10.6</w:t>
      </w:r>
      <w:r>
        <w:rPr>
          <w:rFonts w:ascii="Times New Roman" w:cs="Times New Roman" w:eastAsia="Times New Roman" w:hAnsi="Times New Roman"/>
          <w:sz w:val="18"/>
          <w:szCs w:val="18"/>
          <w:color w:val="auto"/>
        </w:rPr>
        <w:t xml:space="preserve"> and except for any Securities which,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are deemed never to have been authenticated and delivered hereunder);</w:t>
      </w:r>
    </w:p>
    <w:p>
      <w:pPr>
        <w:spacing w:after="0" w:line="72" w:lineRule="exact"/>
        <w:rPr>
          <w:sz w:val="20"/>
          <w:szCs w:val="20"/>
          <w:color w:val="auto"/>
        </w:rPr>
      </w:pPr>
    </w:p>
    <w:p>
      <w:pPr>
        <w:jc w:val="both"/>
        <w:ind w:left="440" w:firstLine="423"/>
        <w:spacing w:after="0" w:line="261" w:lineRule="auto"/>
        <w:rPr>
          <w:sz w:val="20"/>
          <w:szCs w:val="20"/>
          <w:color w:val="auto"/>
        </w:rPr>
      </w:pPr>
      <w:r>
        <w:rPr>
          <w:rFonts w:ascii="Times New Roman" w:cs="Times New Roman" w:eastAsia="Times New Roman" w:hAnsi="Times New Roman"/>
          <w:sz w:val="18"/>
          <w:szCs w:val="18"/>
          <w:color w:val="auto"/>
        </w:rPr>
        <w:t>(5)  the Person to whom any interest on a Security of the series shall be payable, if other than (i) the Person in whose name that Security (or one or more Predecessor Securities) is registered at the close of business on the Regular Record Date for such interest or (ii) in the case of interest payable on the Stated Maturity of such Security or on any Redemption Date (in each case, whether or not an Interest Payment Date), the Person to whom principal of such Security is payable;</w:t>
      </w:r>
    </w:p>
    <w:p>
      <w:pPr>
        <w:spacing w:after="0" w:line="72" w:lineRule="exact"/>
        <w:rPr>
          <w:sz w:val="20"/>
          <w:szCs w:val="20"/>
          <w:color w:val="auto"/>
        </w:rPr>
      </w:pPr>
    </w:p>
    <w:p>
      <w:pPr>
        <w:ind w:left="440" w:right="20" w:firstLine="423"/>
        <w:spacing w:after="0" w:line="282" w:lineRule="auto"/>
        <w:rPr>
          <w:sz w:val="20"/>
          <w:szCs w:val="20"/>
          <w:color w:val="auto"/>
        </w:rPr>
      </w:pPr>
      <w:r>
        <w:rPr>
          <w:rFonts w:ascii="Times New Roman" w:cs="Times New Roman" w:eastAsia="Times New Roman" w:hAnsi="Times New Roman"/>
          <w:sz w:val="18"/>
          <w:szCs w:val="18"/>
          <w:color w:val="auto"/>
        </w:rPr>
        <w:t>(6)  the date or dates on which the principal of the Securities of the series is payable and/or the method by which such date or dates shall be determined;</w:t>
      </w:r>
    </w:p>
    <w:p>
      <w:pPr>
        <w:spacing w:after="0" w:line="54" w:lineRule="exact"/>
        <w:rPr>
          <w:sz w:val="20"/>
          <w:szCs w:val="20"/>
          <w:color w:val="auto"/>
        </w:rPr>
      </w:pPr>
    </w:p>
    <w:p>
      <w:pPr>
        <w:jc w:val="both"/>
        <w:ind w:left="440" w:right="160" w:firstLine="423"/>
        <w:spacing w:after="0" w:line="266" w:lineRule="auto"/>
        <w:rPr>
          <w:sz w:val="20"/>
          <w:szCs w:val="20"/>
          <w:color w:val="auto"/>
        </w:rPr>
      </w:pPr>
      <w:r>
        <w:rPr>
          <w:rFonts w:ascii="Times New Roman" w:cs="Times New Roman" w:eastAsia="Times New Roman" w:hAnsi="Times New Roman"/>
          <w:sz w:val="18"/>
          <w:szCs w:val="18"/>
          <w:color w:val="auto"/>
        </w:rPr>
        <w:t>(7)  the rate or rates (or method for establishing the rate or rates) at which the Securities of the series shall bear interest, if any, the date or dates from which such interest shall accrue, the Interest Payment Dates on which such interest shall be payable and the Regular Record Date for the interest payable on any Interest Payment Date (or method for establishing such date or dates);</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(8)   the place or places where the principal of (and premium, if any) and interest on Securities of the series shall be payable;</w:t>
      </w:r>
    </w:p>
    <w:p>
      <w:pPr>
        <w:spacing w:after="0" w:line="117" w:lineRule="exact"/>
        <w:rPr>
          <w:sz w:val="20"/>
          <w:szCs w:val="20"/>
          <w:color w:val="auto"/>
        </w:rPr>
      </w:pPr>
    </w:p>
    <w:p>
      <w:pPr>
        <w:ind w:left="440" w:right="200" w:firstLine="423"/>
        <w:spacing w:after="0" w:line="282" w:lineRule="auto"/>
        <w:rPr>
          <w:sz w:val="20"/>
          <w:szCs w:val="20"/>
          <w:color w:val="auto"/>
        </w:rPr>
      </w:pPr>
      <w:r>
        <w:rPr>
          <w:rFonts w:ascii="Times New Roman" w:cs="Times New Roman" w:eastAsia="Times New Roman" w:hAnsi="Times New Roman"/>
          <w:sz w:val="18"/>
          <w:szCs w:val="18"/>
          <w:color w:val="auto"/>
        </w:rPr>
        <w:t>(9)  the period or periods within which, the price or prices at which and the terms and conditions upon which Securities of the series may be redeemed, in whole or in part, at the option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8" w:name="page39"/>
    <w:bookmarkEnd w:id="38"/>
    <w:p>
      <w:pPr>
        <w:ind w:right="24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  the obligation, if any, of the Company to redeem or purchase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68" w:lineRule="exact"/>
        <w:rPr>
          <w:sz w:val="20"/>
          <w:szCs w:val="20"/>
          <w:color w:val="auto"/>
        </w:rPr>
      </w:pPr>
    </w:p>
    <w:p>
      <w:pPr>
        <w:ind w:right="40" w:firstLine="423"/>
        <w:spacing w:after="0" w:line="282" w:lineRule="auto"/>
        <w:rPr>
          <w:sz w:val="20"/>
          <w:szCs w:val="20"/>
          <w:color w:val="auto"/>
        </w:rPr>
      </w:pPr>
      <w:r>
        <w:rPr>
          <w:rFonts w:ascii="Times New Roman" w:cs="Times New Roman" w:eastAsia="Times New Roman" w:hAnsi="Times New Roman"/>
          <w:sz w:val="18"/>
          <w:szCs w:val="18"/>
          <w:color w:val="auto"/>
        </w:rPr>
        <w:t>(11)  if other than denominations of $2,000 and any integral multiple of $1,000 thereof, the denominations in which Securities of the series shall be issuable;</w:t>
      </w:r>
    </w:p>
    <w:p>
      <w:pPr>
        <w:spacing w:after="0" w:line="54"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 xml:space="preserve">(12)  if other than the full principal amount thereof, the portion of the principal amount of Securities of the series which shall be payable upon declaration of acceleration of the Maturity thereof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the method by which such portion shall be determined;</w:t>
      </w:r>
    </w:p>
    <w:p>
      <w:pPr>
        <w:spacing w:after="0" w:line="54" w:lineRule="exact"/>
        <w:rPr>
          <w:sz w:val="20"/>
          <w:szCs w:val="20"/>
          <w:color w:val="auto"/>
        </w:rPr>
      </w:pPr>
    </w:p>
    <w:p>
      <w:pPr>
        <w:ind w:right="440" w:firstLine="423"/>
        <w:spacing w:after="0" w:line="282" w:lineRule="auto"/>
        <w:rPr>
          <w:sz w:val="20"/>
          <w:szCs w:val="20"/>
          <w:color w:val="auto"/>
        </w:rPr>
      </w:pPr>
      <w:r>
        <w:rPr>
          <w:rFonts w:ascii="Times New Roman" w:cs="Times New Roman" w:eastAsia="Times New Roman" w:hAnsi="Times New Roman"/>
          <w:sz w:val="18"/>
          <w:szCs w:val="18"/>
          <w:color w:val="auto"/>
        </w:rPr>
        <w:t>(13)  if other than the currency of the United States of America, the currency or currencies (including composite currencies) in which payment of the principal of (and premium, if any) and/or interest on the Securities of the series shall be payable;</w:t>
      </w:r>
    </w:p>
    <w:p>
      <w:pPr>
        <w:spacing w:after="0" w:line="54" w:lineRule="exact"/>
        <w:rPr>
          <w:sz w:val="20"/>
          <w:szCs w:val="20"/>
          <w:color w:val="auto"/>
        </w:rPr>
      </w:pPr>
    </w:p>
    <w:p>
      <w:pPr>
        <w:ind w:right="480" w:firstLine="423"/>
        <w:spacing w:after="0" w:line="266" w:lineRule="auto"/>
        <w:rPr>
          <w:sz w:val="20"/>
          <w:szCs w:val="20"/>
          <w:color w:val="auto"/>
        </w:rPr>
      </w:pPr>
      <w:r>
        <w:rPr>
          <w:rFonts w:ascii="Times New Roman" w:cs="Times New Roman" w:eastAsia="Times New Roman" w:hAnsi="Times New Roman"/>
          <w:sz w:val="18"/>
          <w:szCs w:val="18"/>
          <w:color w:val="auto"/>
        </w:rPr>
        <w:t>(14)  if the principal of (and premium, if any) and/or interest on the Securities of the series are to be payable, at the election of the Company or any Holder, in a currency or currencies (including composite currencies) other than that in which the Securities are stated to be payable, the period or periods within which, and the terms and conditions upon which, such election may be made;</w:t>
      </w:r>
    </w:p>
    <w:p>
      <w:pPr>
        <w:spacing w:after="0" w:line="68" w:lineRule="exact"/>
        <w:rPr>
          <w:sz w:val="20"/>
          <w:szCs w:val="20"/>
          <w:color w:val="auto"/>
        </w:rPr>
      </w:pPr>
    </w:p>
    <w:p>
      <w:pPr>
        <w:ind w:right="320" w:firstLine="423"/>
        <w:spacing w:after="0" w:line="282" w:lineRule="auto"/>
        <w:rPr>
          <w:sz w:val="20"/>
          <w:szCs w:val="20"/>
          <w:color w:val="auto"/>
        </w:rPr>
      </w:pPr>
      <w:r>
        <w:rPr>
          <w:rFonts w:ascii="Times New Roman" w:cs="Times New Roman" w:eastAsia="Times New Roman" w:hAnsi="Times New Roman"/>
          <w:sz w:val="18"/>
          <w:szCs w:val="18"/>
          <w:color w:val="auto"/>
        </w:rPr>
        <w:t>(15)  if the amounts of payments of principal of (and premium, if any) and/or interest on the Securities of the series may be determined with reference to an index, the manner in which such amounts shall be determined;</w:t>
      </w:r>
    </w:p>
    <w:p>
      <w:pPr>
        <w:spacing w:after="0" w:line="54"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 xml:space="preserve">(16)  in the case of Securities of a series the terms of which are not established pursuant to </w:t>
      </w:r>
      <w:r>
        <w:rPr>
          <w:rFonts w:ascii="Times New Roman" w:cs="Times New Roman" w:eastAsia="Times New Roman" w:hAnsi="Times New Roman"/>
          <w:sz w:val="18"/>
          <w:szCs w:val="18"/>
          <w:u w:val="single" w:color="auto"/>
          <w:color w:val="auto"/>
        </w:rPr>
        <w:t>subsection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above, whether either or both of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shall not be applicable to the Securities of such series; or, in the case of Securities the terms of which are established pursuant to </w:t>
      </w:r>
      <w:r>
        <w:rPr>
          <w:rFonts w:ascii="Times New Roman" w:cs="Times New Roman" w:eastAsia="Times New Roman" w:hAnsi="Times New Roman"/>
          <w:sz w:val="18"/>
          <w:szCs w:val="18"/>
          <w:u w:val="single" w:color="auto"/>
          <w:color w:val="auto"/>
        </w:rPr>
        <w:t>subsection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above, the adoption and applicability, if any, to such Securities of any terms and conditions similar to those contained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100" w:firstLine="423"/>
        <w:spacing w:after="0" w:line="282" w:lineRule="auto"/>
        <w:rPr>
          <w:sz w:val="20"/>
          <w:szCs w:val="20"/>
          <w:color w:val="auto"/>
        </w:rPr>
      </w:pPr>
      <w:r>
        <w:rPr>
          <w:rFonts w:ascii="Times New Roman" w:cs="Times New Roman" w:eastAsia="Times New Roman" w:hAnsi="Times New Roman"/>
          <w:sz w:val="18"/>
          <w:szCs w:val="18"/>
          <w:color w:val="auto"/>
        </w:rPr>
        <w:t>(17)  whether the Securities of the series shall be issued in whole or in part in the form of one or more Global Securities and, in such case, the Depository for such Global Security or Global Securities;</w:t>
      </w:r>
    </w:p>
    <w:p>
      <w:pPr>
        <w:spacing w:after="0" w:line="54" w:lineRule="exact"/>
        <w:rPr>
          <w:sz w:val="20"/>
          <w:szCs w:val="20"/>
          <w:color w:val="auto"/>
        </w:rPr>
      </w:pPr>
    </w:p>
    <w:p>
      <w:pPr>
        <w:ind w:right="360" w:firstLine="423"/>
        <w:spacing w:after="0" w:line="282" w:lineRule="auto"/>
        <w:rPr>
          <w:sz w:val="20"/>
          <w:szCs w:val="20"/>
          <w:color w:val="auto"/>
        </w:rPr>
      </w:pPr>
      <w:r>
        <w:rPr>
          <w:rFonts w:ascii="Times New Roman" w:cs="Times New Roman" w:eastAsia="Times New Roman" w:hAnsi="Times New Roman"/>
          <w:sz w:val="18"/>
          <w:szCs w:val="18"/>
          <w:color w:val="auto"/>
        </w:rPr>
        <w:t>(18)  any additional or different events of default that apply to Securities of the series, and any change in the right of the Trustee or the Holders of such Securities to declare the principal thereof due and payable;</w:t>
      </w:r>
    </w:p>
    <w:p>
      <w:pPr>
        <w:spacing w:after="0" w:line="54"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(19)  any deletions from, modifications of or additions to the Events of Default or covenants of the Company or any Guarantor with respect to any of such Securities or</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39" w:name="page40"/>
    <w:bookmarkEnd w:id="39"/>
    <w:p>
      <w:pPr>
        <w:jc w:val="both"/>
        <w:ind w:left="440"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Guarantee (whether or not such Events of Default or covenants are consistent with the Events of Default or covenants set forth herein), any additional covenants subject to waiver by the Act of Holders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and any change in the right of the Trustee or the requisite Holders of such Securities to declare the principal amount thereof due and payable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(20)   the form of the Securities of the series;</w:t>
      </w:r>
    </w:p>
    <w:p>
      <w:pPr>
        <w:spacing w:after="0" w:line="117"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(21)  whether the Securities of the series will be guaranteed by any Guarantor and, if so, the identity of such Guarantor, the extent to which, and the terms and conditions upon which such Securities shall be guaranteed and, if applicable, the terms and conditions upon which such Guarantees shall be released or may be subordinated to other indebtedness of the respective Guarantors; and</w:t>
      </w:r>
    </w:p>
    <w:p>
      <w:pPr>
        <w:spacing w:after="0" w:line="68" w:lineRule="exact"/>
        <w:rPr>
          <w:sz w:val="20"/>
          <w:szCs w:val="20"/>
          <w:color w:val="auto"/>
        </w:rPr>
      </w:pPr>
    </w:p>
    <w:p>
      <w:pPr>
        <w:ind w:left="440" w:right="240" w:firstLine="423"/>
        <w:spacing w:after="0" w:line="282" w:lineRule="auto"/>
        <w:rPr>
          <w:sz w:val="20"/>
          <w:szCs w:val="20"/>
          <w:color w:val="auto"/>
        </w:rPr>
      </w:pPr>
      <w:r>
        <w:rPr>
          <w:rFonts w:ascii="Times New Roman" w:cs="Times New Roman" w:eastAsia="Times New Roman" w:hAnsi="Times New Roman"/>
          <w:sz w:val="18"/>
          <w:szCs w:val="18"/>
          <w:color w:val="auto"/>
        </w:rPr>
        <w:t>(22)  any other terms of the Securities of such series (which terms shall not contradict the provisions of the Trust Indenture Act, but may modify, amend, supplement or delete any of the terms of this Indenture with respect to such series).</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(c)  The definitive Securities shall be printed, lithographed or engraved on steel engraved borders or may be produced in any other manner, all as determined by the Officer executing such Securities, as evidenced by his or her execution of such Securities.</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(d)  All Securities of any one series need not be issued at the same time and may be issued from time to time and, unless otherwise provided, a series may be reopened, without the consent of the Holders, for issuances of additional Securities of such series; provided, however, that if such additional Securities are not fungible with the Securities of such series for U.S. federal income tax purposes, the additional Securities will have a separate CUSIP number.</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(e)  If any of the terms of the series are established by action taken pursuant to a Board Resolution, a copy of an appropriate record of such action shall be certified by an Officer of the Company and delivered to the Trustee at or prior to the delivery of the Officer’s Certificate setting forth the terms of the series. With respect to Securities of a series constituting a medium term note program, such Board Resolution may provide general terms or parameters for Securities of such series and may provide that the specific terms of particular Securities of such series, and the Persons authorized to determine such terms or parameters, may be determined in accordance with or pursuant to the Company Order referred to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(f)  Any Securities held by a Depository or its nominee or cleared through a Depository shall be subject to such Depository’s rules and procedures.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Securities of each series shall be issuable in registered form without coupons in such denominations as shall be specified as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 the absence of any such provisions with respect to the Securities of any series, the Securities of such series shall be issuable in denominations of $2,000 and any integral multiple of $1,000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  The Securities and any Guarantee shall be executed on behalf of the Company or the related Guarantor, as applicable, by any Officer. The signature of any Officer on the Securities may be manual or facsimile.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(b)  Securities and any related Guarantees bearing the manual or facsimile signatures of any individual who was at any time an Officer of the Company or any Guarantor, as applicable, shall bind the Company or such Guarantor, as applicable, notwithstanding that any such individual has ceased to hold such office prior to the authentication and delivery of such Securities or the Securities upon which any such Guarantee is endorsed or did not hold such office at the date of such Securities or any such related Guarantee.</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(c)  At any time and from time to time after the execution and delivery of this Indenture, the Company may deliver Securities of any series executed on behalf of the Company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to the Trustee for authentication, together with a Company Order for the authentication and delivery of such Securities, and the Trustee in accordance with such Company Order shall authenticate and deliver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Securities of a series constituting a medium term note program, the Trustee shall authenticate and deliver Securities of such series for original issue from time to time in the aggregate principal amount established for such series as may be specified from time to time by a Company Order and pursuant to such procedures acceptable to the Trustee. The maturity dates, original issue dates, interest rates and any other terms of the Securities of such series shall be determined by or pursuant to such Company Order and procedures.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The Trustee’s certificates of authentication shall be in substantially the following form: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-7620</wp:posOffset>
            </wp:positionV>
            <wp:extent cx="571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  If the form or terms of the Securities of the series have been established in or pursuant to one or more Board Resolutions as permitted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shall be fully protected in relying upon, an Opinion of Counsel stating:</w:t>
      </w:r>
    </w:p>
    <w:p>
      <w:pPr>
        <w:spacing w:after="0" w:line="68" w:lineRule="exact"/>
        <w:rPr>
          <w:sz w:val="20"/>
          <w:szCs w:val="20"/>
          <w:color w:val="auto"/>
        </w:rPr>
      </w:pPr>
    </w:p>
    <w:p>
      <w:pPr>
        <w:ind w:left="440" w:right="180" w:firstLine="423"/>
        <w:spacing w:after="0" w:line="282" w:lineRule="auto"/>
        <w:rPr>
          <w:sz w:val="20"/>
          <w:szCs w:val="20"/>
          <w:color w:val="auto"/>
        </w:rPr>
      </w:pPr>
      <w:r>
        <w:rPr>
          <w:rFonts w:ascii="Times New Roman" w:cs="Times New Roman" w:eastAsia="Times New Roman" w:hAnsi="Times New Roman"/>
          <w:sz w:val="18"/>
          <w:szCs w:val="18"/>
          <w:color w:val="auto"/>
        </w:rPr>
        <w:t xml:space="preserve">(1)  if the form of any of such Securities has been established by or pursuant to a Board Resolution as permitted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that such form has been established in conformity with the provisions of this Indenture;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41" w:name="page42"/>
    <w:bookmarkEnd w:id="41"/>
    <w:p>
      <w:pPr>
        <w:ind w:left="440" w:right="30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that such Securities, when authenticated and delivered by the Trustee and issued by the Company in the manner and subject to any conditions specified in such Opinion of Counsel, will constitute valid and binding obligations of the Company, enforceable in accordance with their respective terms, subject to bankruptcy, insolvency, reorganization and other laws of general applicability relating to or affecting the enforcement of creditors’ rights and to general equity principles.</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  Notwithstanding that such form or terms have been so established, the Trustee shall not be required to authenticate such Securities if the issue of such Securities pursuant to this Indenture would adversely affect the Trustee’s own rights, duties or immunities under the Securities and this Indenture or otherwise in a manner which is not reasonably acceptable to the Trustee.</w:t>
      </w:r>
    </w:p>
    <w:p>
      <w:pPr>
        <w:spacing w:after="0" w:line="176"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(g)  Notwithstanding the provisions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of the preceding paragraph, if all Securities of a series are not to be originally issued at one time, it shall not be necessary to deliver the Officer’s Certificate otherwise required pursuant to Section 2.1 or the Company Order and Opinion of Counsel otherwise required pursuant to this Section 2.3 at or prior to the time of authentication of each Security of such series if such documents have been delivered at or prior to the time of authentication upon original issuance of the first Security of such series to be issued.</w:t>
      </w:r>
    </w:p>
    <w:p>
      <w:pPr>
        <w:spacing w:after="0" w:line="180"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(h)  With respect to Securities of a series constituting a medium term note program, if the form and general terms of the Securities of such series have been established by or pursuant to one or more Board Resolutions or by an indenture supplemental hereto, as permitted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shall be fully protected in relying upon, in addition to the foregoing documents and (if applicable) in lieu of</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an Opinion of Counsel stating that the Securities have been duly authorized and executed by the Company, and assuming the due authentication by the Trustee in the manner provided for in this Indenture, when delivered against payment of the consideration therefor in accordance with any applicable distribution agreement, the Securities will constitute valid and binding obligations of the Company, enforceable against the Company in accordance with their respective terms, subject to bankruptcy, insolvency, reorganization, moratorium, fraudulent conveyance and similar laws affecting the rights and remedies of creditors generally and to general equity principles.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Each Security shall be dated the date of its authentication.</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(j)  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together with a written statement (which need not comply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40" w:firstLine="440"/>
        <w:spacing w:after="0" w:line="281" w:lineRule="auto"/>
        <w:rPr>
          <w:sz w:val="20"/>
          <w:szCs w:val="20"/>
          <w:color w:val="auto"/>
        </w:rPr>
      </w:pPr>
      <w:r>
        <w:rPr>
          <w:rFonts w:ascii="Times New Roman" w:cs="Times New Roman" w:eastAsia="Times New Roman" w:hAnsi="Times New Roman"/>
          <w:sz w:val="17"/>
          <w:szCs w:val="17"/>
          <w:color w:val="auto"/>
        </w:rPr>
        <w:t>(a)  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with such appropriate insertions, omissions, substitutions and other variations as the Officer executing such Securities may determine, as evidenced by his or her execution of such Securities.</w:t>
      </w:r>
    </w:p>
    <w:p>
      <w:pPr>
        <w:spacing w:after="0" w:line="164" w:lineRule="exact"/>
        <w:rPr>
          <w:sz w:val="20"/>
          <w:szCs w:val="20"/>
          <w:color w:val="auto"/>
        </w:rPr>
      </w:pPr>
    </w:p>
    <w:p>
      <w:pPr>
        <w:ind w:right="240" w:firstLine="440"/>
        <w:spacing w:after="0" w:line="255" w:lineRule="auto"/>
        <w:rPr>
          <w:sz w:val="20"/>
          <w:szCs w:val="20"/>
          <w:color w:val="auto"/>
        </w:rPr>
      </w:pPr>
      <w:r>
        <w:rPr>
          <w:rFonts w:ascii="Times New Roman" w:cs="Times New Roman" w:eastAsia="Times New Roman" w:hAnsi="Times New Roman"/>
          <w:sz w:val="18"/>
          <w:szCs w:val="18"/>
          <w:color w:val="auto"/>
        </w:rPr>
        <w:t>(b)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and of like tenor, of authorized denominations. Until so exchanged the temporary Securities of any series shall in all respects be entitled to the same benefits under this Indenture as definitive Securities of such series.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Registration; Transfer and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  The Company shall cause to be kept at the Corporate Trust Office of the Trustee a register (the register maintained in such office and in any other office or agency of the Company in a Place of Payment being herein sometimes collectively referred to as the “</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Securities and of transfers of Securities. The Trustee is hereby appointed “</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for the purpose of registering Securities and transfers of Securities as herein provided. The Company or any of its Subsidiaries or any of their respective Affiliates may act as Security Registrar with respect to any Securities issued hereunder.</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Upon surrender for registration of transfer of any Security of any series at an office or agency of the Company in a Place of Payment designated by the Company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for that series, the Company shall execute, and the Trustee shall authenticate and deliver, in the name of the designated transferee or transferees, one or more new Securities of the same series, of any authorized denominations and of a like aggregate principal amount and tenor.</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(c)  At the option of the Holder, Securities of any series may be exchanged for other Securities of the same series of any authorized denominations and of a like aggregate principal amount and tenor,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3" w:name="page44"/>
    <w:bookmarkEnd w:id="43"/>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62"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(e)  Every Security presented or surrendered for registration of transfer or for exchange shall (if so required by the Company, the Security Registrar or the Trustee) be duly endorsed, or be accompanied by a written instrument of transfer, in form as set forth in the applicable Security or as otherwise satisfactory to the Company and the Security Registrar, duly executed by the Holder thereof or such Holder’s attorney duly authorized in writing.</w:t>
      </w:r>
    </w:p>
    <w:p>
      <w:pPr>
        <w:spacing w:after="0" w:line="18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  No service charge shall be made for any registration of transfer or for exchange of Securities, but the Company, the Trustee or the Security Registrar may require payment of a sum sufficient to cover any tax or other governmental charge that may be imposed in connection with any registration of transfer or exchange of Securities, other than exchanges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10.6</w:t>
      </w:r>
      <w:r>
        <w:rPr>
          <w:rFonts w:ascii="Times New Roman" w:cs="Times New Roman" w:eastAsia="Times New Roman" w:hAnsi="Times New Roman"/>
          <w:sz w:val="18"/>
          <w:szCs w:val="18"/>
          <w:color w:val="auto"/>
        </w:rPr>
        <w:t xml:space="preserve"> not involving any transfer.</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(g)  The Company shall not be required (i) to issue, register the transfer of or exchange Securities of any series during a period beginning at the opening of business 15 days before the day of the sending of a notice of redemption of Securities of that series selected for redemption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ending at the close of business on the day of such transmission, or (ii) to register the transfer of or exchange any Security so selected for redemption in whole or in part, except the unredeemed portion of any Security being redeemed in part.</w:t>
      </w:r>
    </w:p>
    <w:p>
      <w:pPr>
        <w:spacing w:after="0" w:line="180"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(h)  Notwithstanding the foregoing, any Global Security shall be exchangeable pursuant to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for Securities registered in the names of Persons other than the Depository for such Security or its nominee only if (i) such Depository notifies the Company that it is unwilling or unable to continue as Depository for such Global Security or such Depository ceases to be a clearing agency registered under the Exchange Act and the Company has not appointed a successor Depository within 120 days from the date of such notice or from the date the Company becomes aware that such Depository is no longer registered, as applicable, (ii) the Company executes and delivers to the Trustee a Company Order that such Global Security shall be so exchangeable or (iii) there shall have occurred and be continuing an Event of Default which results in action by the Trustee pursuant to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hereof. Any Global Security that is exchangeable pursuant to the preceding sentence shall be exchangeable for Securities registered in such names as the Depository shall direct in writing in an aggregate principal amount equal to the principal amount of the Global Security with like tenor and terms.</w:t>
      </w:r>
    </w:p>
    <w:p>
      <w:pPr>
        <w:spacing w:after="0" w:line="172" w:lineRule="exact"/>
        <w:rPr>
          <w:sz w:val="20"/>
          <w:szCs w:val="20"/>
          <w:color w:val="auto"/>
        </w:rPr>
      </w:pPr>
    </w:p>
    <w:p>
      <w:pPr>
        <w:ind w:right="6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  Notwithstanding any other provision in this Indenture, but subject to exchanges under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above, a Global Security may not be transferred except as a whole by the Depository with respect to such Global Security to a nominee of such Depository or by a nominee of such Depository to such Depository or another nominee of such Depository.</w:t>
      </w:r>
    </w:p>
    <w:p>
      <w:pPr>
        <w:spacing w:after="0" w:line="176"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(j)  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the Depository or other beneficial owners of interests in any Global Security) other than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4" w:name="page45"/>
    <w:bookmarkEnd w:id="44"/>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nor any of it respective agents, shall have responsibility for any actions taken or not taken by a Depository.</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(k)  The Trustee shall have no responsibility or obligation to any beneficial owner of a Global Security, a member of, or a participant in, the applicable Depository or other Person with respect to the accuracy of the records of a Depository or its nominee or of any participant or member thereof, with respect to any ownership interest in the Securities or with respect to the delivery to any participant, member, beneficial owner or other Person (other than the Depository) of any notice (including any notice of redemption or purchase)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 the order of the registered Holders (which shall be the Depository or its nominee in the case of a Global Security). The rights of beneficial owners in any Global Security shall be exercised only through the applicable Depository subject to the applicable rules and procedures of the Depository. The Trustee may rely and shall be fully protected in relying upon information furnished by the applicable Depository with respect to its members, participants and any beneficial owners.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  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(b)  If there shall be delivered to the Company and the Trustee (i) evidence to their satisfaction of the destruction, loss or theft of any Security and (ii) such security and/or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(c)  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(d)  Upon the issuance of any new Security under this Section, the Company or the Trustee may require the payment of a sum sufficient to cover any tax or other governmental charge that may be imposed in relation thereto and any other expenses (including the fees and expenses of the Trustee and its counsel) connected therewith.</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(e)  Every new Security of any series issued pursuant to this Section in lieu of any destroyed, lost or stolen Security shall constitute an original additional contractual obligation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5" w:name="page46"/>
    <w:bookmarkEnd w:id="45"/>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2"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(f)  The provisions of this Section are exclusive and shall preclude (to the extent lawful) all other rights and remedies with respect to the replacement or payment of mutilated, destroyed, lost or stolen Securities.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Payment of Interest; Interest Rights Preserved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Unless otherwise provided as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interest due on the Stated Maturity of such Security or on any Redemption Date (in each case, whether or not an Interest Payment Date) will be paid to the Person to whom principal of such Security is payable.</w:t>
      </w:r>
    </w:p>
    <w:p>
      <w:pPr>
        <w:spacing w:after="0" w:line="183"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(b)  Any interest on any Security of any series which is payable, but is not punctually paid or duly provided for, on any Interest Payment Date (herein called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xml:space="preserve">”) shall forthwith cease to be payable to the Holder entitled to such interest by virtue of having been such Holder, and such Defaulted Interest may be paid by the Company, at its election in each case, as provided in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below:</w:t>
      </w:r>
    </w:p>
    <w:p>
      <w:pPr>
        <w:spacing w:after="0" w:line="68" w:lineRule="exact"/>
        <w:rPr>
          <w:sz w:val="20"/>
          <w:szCs w:val="20"/>
          <w:color w:val="auto"/>
        </w:rPr>
      </w:pPr>
    </w:p>
    <w:p>
      <w:pPr>
        <w:ind w:left="440" w:firstLine="423"/>
        <w:spacing w:after="0" w:line="252" w:lineRule="auto"/>
        <w:rPr>
          <w:sz w:val="20"/>
          <w:szCs w:val="20"/>
          <w:color w:val="auto"/>
        </w:rPr>
      </w:pPr>
      <w:r>
        <w:rPr>
          <w:rFonts w:ascii="Times New Roman" w:cs="Times New Roman" w:eastAsia="Times New Roman" w:hAnsi="Times New Roman"/>
          <w:sz w:val="18"/>
          <w:szCs w:val="18"/>
          <w:color w:val="auto"/>
        </w:rPr>
        <w:t>(1)  The Company may elect to make payment of any Defaulted Interest to the Persons in whose names the Securities of such series (or their respective Predecessor Securities) are registered at the close of business on a Special Record Date (as defined below)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(the “</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xml:space="preserv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Trustee, in the name and at the expense of the Company, shall cause notice of the proposed payment of such Defaulted Interest and the Special Record Date therefor to be sent to each Holder of Securities of such series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not less than 10 days prior to such Special Record Date. Notice of the proposed payment of such Defaulted Interest and the Special Record Date therefor having been so sent, such Defaulted Interest shall be paid to the Persons in whose names the Securities of such series (or their respective Predecessor Securities) are registered at the close of business on such Special Record Date and shall no longer be payable pursuant to the following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6" w:name="page47"/>
    <w:bookmarkEnd w:id="46"/>
    <w:p>
      <w:pPr>
        <w:ind w:left="440" w:right="6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The Company may elect to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(c)  Subject to the foregoing provisions of this Section, each Security delivered under this Indenture, upon registration of transfer of or in exchange for or in lieu of any other Security, shall carry the rights to interest accrued and unpaid, and interest to accrue, which were carried by such other Security.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Prior to due presentment of a Security for registration of transfer, the Company, any Guarantor, the Trustee and any agent of the Company, any Guarantor or the Trustee, including a Paying Agent, may treat the Person in whose name such Security is registered as the owner of such Security for the purpose of receiving payment of principal of (and premium, if any) and (subject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interest on such Security and for all other purposes whatsoever, whether or not such Security be overdue, and neither the Company, any Guarantor, the Trustee nor any agent of the Company, any Guarantor or the Trustee, including a Paying Agent, shall be affected by notice to the contrary.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the Trustee’s customary procedures.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Except as otherwise specified as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for Securities of any series, interest on the Securities of each series shall be computed on the basis of a 360-day year of twelve 30-day months.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in issuing the Securities may use “CUSIP” numbers (if then generally 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7" w:name="page48"/>
    <w:bookmarkEnd w:id="47"/>
    <w:p>
      <w:pPr>
        <w:ind w:right="2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use), and, if so, the Trustee shall use “CUSIP” numbers in notices of redemption as a convenience to 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numbers.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Securities of any series which are redeemable before their Stated Maturity shall be redeemable in accordance with their terms and (except as otherwise specified as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for Securities of any series)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Election to Redeem; Notice to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case of any redemption at the election of the Company of less than all the Securities of like tenor of any series, the Company shall, at least two Business Days prior to the date that the notice of redemption is required to be given or caused to be given to the Holders of such Securities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(unless a shorter notice shall be satisfactory to the Trustee), notify the Trustee of such Redemption Date and of the principal amount of Securities of such series to be redeemed. Any such notice may be cancelled at any time prior to notice of such redemption being mailed to any Holder and shall thereby be void and of no effect.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Selection by Trustee of Securities to Be Redeemed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(a)  If less than all the Securities of like tenor of any series are to be redeemed, the particular securities to be redeemed shall be selected by the Trustee from the Outstanding Securities of like tenor of such series not previously called for redemption, on a pro rata basis, by lot or any other such method as the Trustee shall deem fair and appropriate (subject to the redemption procedures of the applicable Depository) and which may provide for the selection for redemption of portions (equal to the minimum authorized denomination for Securities of that series or any integral multiple thereof) of the principal amount of such Securities of a denomination larger than the minimum authorized denomination for such Securities. For so long as the Securities of any series are held by the Depository, the redemption of the Securities of such series shall be done in accordance with the policies and procedures of the Depository.</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(b)  The Trustee shall promptly notify the Company in writing of the Securities selected for redemption and, in the case of any Securities selected for partial redemption, the principal amount thereof to be redeemed.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8" w:name="page49"/>
    <w:bookmarkEnd w:id="48"/>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(a)  Unless otherwise indicated for a particular series of Securities by Board Resolution, a supplemental indenture hereto or an Officer’s Certificate, a notice of redemption shall be given by first-class mail (postage prepaid), at such Holder’s address appearing in the Security Register, or electronically delivered (or otherwise transmitted in accordance with the Depository’s procedures), not less than 10 nor more than 60 days prior to the Redemption Date, to each Holder of Securities to be redeemed.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notice of redemption shall state: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the Redemption Date,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   the Redemption Price or the methodology for calculating it,</w:t>
      </w:r>
    </w:p>
    <w:p>
      <w:pPr>
        <w:spacing w:after="0" w:line="117" w:lineRule="exact"/>
        <w:rPr>
          <w:sz w:val="20"/>
          <w:szCs w:val="20"/>
          <w:color w:val="auto"/>
        </w:rPr>
      </w:pPr>
    </w:p>
    <w:p>
      <w:pPr>
        <w:ind w:left="440" w:right="260" w:firstLine="423"/>
        <w:spacing w:after="0" w:line="282" w:lineRule="auto"/>
        <w:rPr>
          <w:sz w:val="20"/>
          <w:szCs w:val="20"/>
          <w:color w:val="auto"/>
        </w:rPr>
      </w:pPr>
      <w:r>
        <w:rPr>
          <w:rFonts w:ascii="Times New Roman" w:cs="Times New Roman" w:eastAsia="Times New Roman" w:hAnsi="Times New Roman"/>
          <w:sz w:val="18"/>
          <w:szCs w:val="18"/>
          <w:color w:val="auto"/>
        </w:rPr>
        <w:t>(3)  if less than all the Outstanding Securities of like tenor of any series are to be redeemed, the identification (and, in the case of partial redemption, the principal amounts) of the particular Securities to be redeemed,</w:t>
      </w:r>
    </w:p>
    <w:p>
      <w:pPr>
        <w:spacing w:after="0" w:line="54" w:lineRule="exact"/>
        <w:rPr>
          <w:sz w:val="20"/>
          <w:szCs w:val="20"/>
          <w:color w:val="auto"/>
        </w:rPr>
      </w:pPr>
    </w:p>
    <w:p>
      <w:pPr>
        <w:ind w:left="440" w:right="480" w:firstLine="423"/>
        <w:spacing w:after="0" w:line="266" w:lineRule="auto"/>
        <w:rPr>
          <w:sz w:val="20"/>
          <w:szCs w:val="20"/>
          <w:color w:val="auto"/>
        </w:rPr>
      </w:pPr>
      <w:r>
        <w:rPr>
          <w:rFonts w:ascii="Times New Roman" w:cs="Times New Roman" w:eastAsia="Times New Roman" w:hAnsi="Times New Roman"/>
          <w:sz w:val="18"/>
          <w:szCs w:val="18"/>
          <w:color w:val="auto"/>
        </w:rPr>
        <w:t>(4)  in case any Security is to be redeemed in part only, the notice which relates to such Security shall state that on and after the Redemption Date, upon surrender of such Security, the Holder of such Security will receive, without charge, a new Security or Securities of authorized denominations for the principal amount thereof remaining unredeemed,</w:t>
      </w:r>
    </w:p>
    <w:p>
      <w:pPr>
        <w:spacing w:after="0" w:line="68" w:lineRule="exact"/>
        <w:rPr>
          <w:sz w:val="20"/>
          <w:szCs w:val="20"/>
          <w:color w:val="auto"/>
        </w:rPr>
      </w:pPr>
    </w:p>
    <w:p>
      <w:pPr>
        <w:ind w:left="440" w:right="460" w:firstLine="423"/>
        <w:spacing w:after="0" w:line="282" w:lineRule="auto"/>
        <w:rPr>
          <w:sz w:val="20"/>
          <w:szCs w:val="20"/>
          <w:color w:val="auto"/>
        </w:rPr>
      </w:pPr>
      <w:r>
        <w:rPr>
          <w:rFonts w:ascii="Times New Roman" w:cs="Times New Roman" w:eastAsia="Times New Roman" w:hAnsi="Times New Roman"/>
          <w:sz w:val="18"/>
          <w:szCs w:val="18"/>
          <w:color w:val="auto"/>
        </w:rPr>
        <w:t>(5)  that on the Redemption Date the Redemption Price will become due and payable upon each such Security to be redeemed and, if applicable, that interest thereon will cease to accrue on and after such date,</w:t>
      </w:r>
    </w:p>
    <w:p>
      <w:pPr>
        <w:spacing w:after="0" w:line="54" w:lineRule="exact"/>
        <w:rPr>
          <w:sz w:val="20"/>
          <w:szCs w:val="20"/>
          <w:color w:val="auto"/>
        </w:rPr>
      </w:pPr>
    </w:p>
    <w:p>
      <w:pPr>
        <w:ind w:left="440" w:right="440" w:firstLine="423"/>
        <w:spacing w:after="0" w:line="282" w:lineRule="auto"/>
        <w:rPr>
          <w:sz w:val="20"/>
          <w:szCs w:val="20"/>
          <w:color w:val="auto"/>
        </w:rPr>
      </w:pPr>
      <w:r>
        <w:rPr>
          <w:rFonts w:ascii="Times New Roman" w:cs="Times New Roman" w:eastAsia="Times New Roman" w:hAnsi="Times New Roman"/>
          <w:sz w:val="18"/>
          <w:szCs w:val="18"/>
          <w:color w:val="auto"/>
        </w:rPr>
        <w:t>(6)  the CUSIP number and/or similar numbers of such Securities, if any (or any other numbers used by a Depository to identify such Securities),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(7)   the place or places where such Securities are to be surrendered for payment of the Redemption Price, and</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(8)   that the redemption is for a sinking fund, if such is the case.</w:t>
      </w:r>
    </w:p>
    <w:p>
      <w:pPr>
        <w:spacing w:after="0" w:line="117"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In addition, if such redemption is subject to satisfaction of one or more conditions precedent, as permitted by the Board Resolution, supplemental indenture or Officer’s Certificate establishing such series of Securities, such notice shall describe each such condition, and if applicable, shall state that, in the Company’s discretion, the Redemption Date may be delayed until such time as any or all such conditions shall be satisfied (or waived by the Company in its sole discretion), or such redemption may not occur and such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49" w:name="page50"/>
    <w:bookmarkEnd w:id="49"/>
    <w:p>
      <w:pPr>
        <w:ind w:left="440"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may be rescinded in the event that any or all such conditions shall not have been satisfied (or waived by the Company in its sole discretion) by the Redemption Date, or by the Redemption Date as so delayed.</w:t>
      </w:r>
    </w:p>
    <w:p>
      <w:pPr>
        <w:spacing w:after="0" w:line="16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(b)  Any such notice of redemption of Securities to be redeemed at the election of the Company shall be given by the Company or, at the Company’s request, by the Trustee in the name and at the expense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By 11:00 a.m. New York time on any Redemption Date, the Company shall deposit with the Trustee or with a Paying Agent (or, if the Company is acting as its own Paying Agent, the Company shall segregate and hold in trust as provided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an amount of money sufficient to pay the Redemption Price of, and accrued interest on, all the Securities which are to be redeemed on that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Subject to the final sentence of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such notice, such Security shall be paid by the Company at the Redemption Price, together with accrued interest to (but excluding)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installments of interest whose Stated Maturity is prior to the Redemption Date shall be payable to the Holders of such Securities, or one or more Predecessor Securities, registered as such at the close of business on the relevant Record Dates, and installments of interest whose Stated Maturity is on the Redemption Date shall be payable to the Holders of such Securities to whom the principal shall be payable, in each case, according to their terms and the provisions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(b)  If any Security called for redemption shall not be so paid upon surrender thereof for redemption, the principal (and premium, if any) shall, until paid, bear interest from the Redemption Date at the rate prescribed therefor in the Security.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It is understood that, notwithstanding anything in this Indenture to the contrary, only a Company Order and not an Opinion of Counsel or Officer’s Certificate is required for the Trustee to authenticate such new Security or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SINKING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applicable to any sinking fund for the retirement of Securities of a series permitted or required by the applicable supplemental indenture except as otherwise specified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for Securities of such series.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(b)  The minimum amount of any sinking fund payment provided for by the terms of Securities of any series is herein referred to as a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sinking fund payment</w:t>
      </w:r>
      <w:r>
        <w:rPr>
          <w:rFonts w:ascii="Times New Roman" w:cs="Times New Roman" w:eastAsia="Times New Roman" w:hAnsi="Times New Roman"/>
          <w:sz w:val="18"/>
          <w:szCs w:val="18"/>
          <w:color w:val="auto"/>
        </w:rPr>
        <w:t>”, and any payment in excess of such minimum amount provided for by the terms of Securities of any series is herein referred to as an “</w:t>
      </w:r>
      <w:r>
        <w:rPr>
          <w:rFonts w:ascii="Times New Roman" w:cs="Times New Roman" w:eastAsia="Times New Roman" w:hAnsi="Times New Roman"/>
          <w:sz w:val="18"/>
          <w:szCs w:val="18"/>
          <w:u w:val="single" w:color="auto"/>
          <w:color w:val="auto"/>
        </w:rPr>
        <w:t>optional sinking fund payment</w:t>
      </w:r>
      <w:r>
        <w:rPr>
          <w:rFonts w:ascii="Times New Roman" w:cs="Times New Roman" w:eastAsia="Times New Roman" w:hAnsi="Times New Roman"/>
          <w:sz w:val="18"/>
          <w:szCs w:val="18"/>
          <w:color w:val="auto"/>
        </w:rPr>
        <w:t xml:space="preserve">”. If provided for by the terms of Securities of any series, the cash amount of any sinking fund payment may be subject to reduction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Each sinking fund payment shall be applied to the redemption of Securities of any series as provided for by the terms of Securities of such series.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 less than 45 days prior (unless a shorter period shall be satisfactory to the Trustee)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will also deliver to the Trustee any such Securities. Not less than 30 days before each such sinking fund payment date the Trustee shall select the Securities to be redeemed upon such sinking fund payment date in the manner specified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cause notice of the redemption, prepared by the Company, thereof to be given in the name of and at the expense of the Company in the manner provided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8"/>
          <w:szCs w:val="18"/>
          <w:u w:val="single" w:color="auto"/>
          <w:color w:val="auto"/>
        </w:rPr>
        <w:t>Sections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(a)  The Company covenants and agrees for the benefit of each series of Securities that it will duly and punctually pay the principal of (and premium, if any) and interest on the Securities of that series in accordance with the terms of the Securities and this Indenture.</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(b)  An installment of principal or interest shall be considered paid on the date it is due if the Trustee or Paying Agent holds on that date money designated for and sufficient to pay such installment and is not prohibited from paying such money to the Holders pursuant to the terms of this Indenture or otherwise.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(a)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Money for Securities Payments to Be Held in Trust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  If the Company shall at any time act as its own Paying Agent with respect to any series of Securities, it will, on or before each due date of the principal of (and premium, if any) or interest on any of the Securities of that series,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failure so to act.</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(b)  Whenever the Company shall have one or more Paying Agents for any series of Securities, it will, by 11:00 a.m., New York time, on each due date of the principal of (and premium, if any) or interest on any Securities of that series, deposit with a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Company will cause each Paying Agent for any series of Securities other than the Trustee or the Company to execute and deliver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an instrument in which such Paying Agent shall agree with the Trustee, subject to the provisions of this Section, that such Paying Agent will:</w:t>
      </w:r>
    </w:p>
    <w:p>
      <w:pPr>
        <w:spacing w:after="0" w:line="99" w:lineRule="exact"/>
        <w:rPr>
          <w:sz w:val="20"/>
          <w:szCs w:val="20"/>
          <w:color w:val="auto"/>
        </w:rPr>
      </w:pPr>
    </w:p>
    <w:p>
      <w:pPr>
        <w:ind w:left="440" w:right="100" w:firstLine="423"/>
        <w:spacing w:after="0" w:line="282" w:lineRule="auto"/>
        <w:rPr>
          <w:sz w:val="20"/>
          <w:szCs w:val="20"/>
          <w:color w:val="auto"/>
        </w:rPr>
      </w:pPr>
      <w:r>
        <w:rPr>
          <w:rFonts w:ascii="Times New Roman" w:cs="Times New Roman" w:eastAsia="Times New Roman" w:hAnsi="Times New Roman"/>
          <w:sz w:val="18"/>
          <w:szCs w:val="18"/>
          <w:color w:val="auto"/>
        </w:rPr>
        <w:t>(1)  hold all sums held by it for the payment of the principal of (and premium, if any) or interest on Securities of that series in trust for the benefit of the Persons entitled thereto until such sums shall be paid to such Persons or otherwise disposed of as herein provided;</w:t>
      </w:r>
    </w:p>
    <w:p>
      <w:pPr>
        <w:spacing w:after="0" w:line="54" w:lineRule="exact"/>
        <w:rPr>
          <w:sz w:val="20"/>
          <w:szCs w:val="20"/>
          <w:color w:val="auto"/>
        </w:rPr>
      </w:pPr>
    </w:p>
    <w:p>
      <w:pPr>
        <w:ind w:left="440" w:right="280" w:firstLine="423"/>
        <w:spacing w:after="0" w:line="282" w:lineRule="auto"/>
        <w:rPr>
          <w:sz w:val="20"/>
          <w:szCs w:val="20"/>
          <w:color w:val="auto"/>
        </w:rPr>
      </w:pPr>
      <w:r>
        <w:rPr>
          <w:rFonts w:ascii="Times New Roman" w:cs="Times New Roman" w:eastAsia="Times New Roman" w:hAnsi="Times New Roman"/>
          <w:sz w:val="18"/>
          <w:szCs w:val="18"/>
          <w:color w:val="auto"/>
        </w:rPr>
        <w:t>(2)  give the Trustee notice of any default by the Company (or any other obligor upon the Securities of that series) in the making of any payment of principal (and premium, if any) or interest on the Securities of that series; and</w:t>
      </w:r>
    </w:p>
    <w:p>
      <w:pPr>
        <w:spacing w:after="0" w:line="54"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(3)  at any time during the continuance of any such default, upon the written request of the Trustee, forthwith pay to the Trustee all sums so held in trust by such Paying Agent.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(d)  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Upon such payment by any Paying Agent to the Trustee, such Paying Agent shall be released from all further liability with respect to such money.</w:t>
      </w:r>
    </w:p>
    <w:p>
      <w:pPr>
        <w:spacing w:after="0" w:line="180"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(e)  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on Company Request or (if then held by the Company) shall be discharged from such trust. Thereafter the Holder of such Security shall, as an unsecured general creditor, look only to the Company for payment thereof, and all liability of the Trustee or such Paying Agent with respect to such trust money, and all liability of the Company as trustee thereof, shall thereupon cease.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each of the Company and each Guarantor will do or cause to be done all things necessary to preserve and keep in full force and effect its corporate existence.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Annual Statement by Officer as to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will deliver to the Trustee, within 120 days after the end of each fiscal year of the Company ending after the date hereof, an Officer’s Certificate stating whether or not, to the knowledge of the signer thereof, the Company or any Guarantor was in Default in the performance and observance of any of the terms, provisions and conditions applicable to the Company or any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53" w:name="page54"/>
    <w:bookmarkEnd w:id="5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Guarantor during such fiscal year and, if the Company or any Guarantor was in Default, specifying all such Defaults and the nature and status thereof of which he or she may have knowledge. If any Default or Event of Default under clauses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has occurred and is continuing, within 30 Business Days after its becoming aware of such occurrence, the Company shall deliver to the Trustee an Officer’s Certificate specifying such event and what action the Company is taking or proposes to take with respect thereto.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CONSOLIDATION, MERGER, CONVEYANCE, TRANSFER OR 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Company May Consolidate, Etc., Only on Certain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another Person (in a transaction in which the Company is not the surviving entity) unless (1) the resulting, surviving or transferee Person is an entity organized and existing under the laws of the United States of America, any State thereof or the District of Columbia, and such Person expressly assumes by supplemental indenture all of the Company’s obligations under the Securities and this Indenture; and (2) immediately after giving effect to such transaction, no Event of Default has occurred and is continuing under this Indenture. In a transaction in which the Company is not the surviving entity, upon any such consolidation, merger or transfer, the resulting, surviving or transferee Person shall succeed to, and may exercise every right and power of, the Company under this Indenture.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Guarantor May Consolidate, Etc., Only on Certain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 Guarantor shall consolidate with or merge with or into, or convey, transfer or lease all or substantially all of its properties and assets to, another Person (other than another Guarantor or the Company) in a transaction in which such Guarantor is not the surviving entity unless (1) the resulting, surviving or transferee Person is an entity organized and existing under the laws of the United States of America, any State thereof or the District of Columbia, and such Person expressly assumes by supplemental indenture all of such Guarantor’s obligations under its Guarantee and this Indenture; and (2) immediately after giving effect to such transaction, no Event of Default has occurred and is continuing under this Indenture.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Successor Substituted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440"/>
        <w:spacing w:after="0" w:line="255" w:lineRule="auto"/>
        <w:rPr>
          <w:sz w:val="20"/>
          <w:szCs w:val="20"/>
          <w:color w:val="auto"/>
        </w:rPr>
      </w:pPr>
      <w:r>
        <w:rPr>
          <w:rFonts w:ascii="Times New Roman" w:cs="Times New Roman" w:eastAsia="Times New Roman" w:hAnsi="Times New Roman"/>
          <w:sz w:val="18"/>
          <w:szCs w:val="18"/>
          <w:color w:val="auto"/>
        </w:rPr>
        <w:t>Upon any consolidation by the Company or any Guarantor, as applicable, with or merger by the Company or any Guarantor, as applicable, into any other Person or any conveyance, transfer or lease of all or substantially all of the properties and assets of the Company or any Guarantor, as applicable, the successor formed by such consolidation or into which the Company or any Guarantor, as applicable, is merged or the Person to which such conveyance, transfer or lease is made shall succeed to, and be substituted for, and may exercise every right and power of, the Company or such Guarantor, as applicable, under this Indenture with the same effect as if such successor Person had been named as the Company or Guarantor, as applicable, herein, and thereafter, except in the case of a lease, the predecessor Person shall be relieved of all obligations and covenants under this Indenture, the Guarantee (if applicable) and the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REMEDIES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or any other event as specified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for a particular series of Securities:</w:t>
      </w:r>
    </w:p>
    <w:p>
      <w:pPr>
        <w:spacing w:after="0" w:line="72" w:lineRule="exact"/>
        <w:rPr>
          <w:sz w:val="20"/>
          <w:szCs w:val="20"/>
          <w:color w:val="auto"/>
        </w:rPr>
      </w:pPr>
    </w:p>
    <w:p>
      <w:pPr>
        <w:ind w:left="440" w:right="440" w:firstLine="423"/>
        <w:spacing w:after="0" w:line="282" w:lineRule="auto"/>
        <w:rPr>
          <w:sz w:val="20"/>
          <w:szCs w:val="20"/>
          <w:color w:val="auto"/>
        </w:rPr>
      </w:pPr>
      <w:r>
        <w:rPr>
          <w:rFonts w:ascii="Times New Roman" w:cs="Times New Roman" w:eastAsia="Times New Roman" w:hAnsi="Times New Roman"/>
          <w:sz w:val="18"/>
          <w:szCs w:val="18"/>
          <w:color w:val="auto"/>
        </w:rPr>
        <w:t>(1)  default in the payment of any interest upon any Security of that series when it becomes due and payable, and continuance of such default for a period of 30 days; or</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   default in the payment of the principal of, or premium, if any, on any Security of that series at its Maturity; or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(3)   default in the deposit of any sinking fund payment, when and as due by the terms of a Security of that series; or</w:t>
      </w:r>
    </w:p>
    <w:p>
      <w:pPr>
        <w:spacing w:after="0" w:line="117" w:lineRule="exact"/>
        <w:rPr>
          <w:sz w:val="20"/>
          <w:szCs w:val="20"/>
          <w:color w:val="auto"/>
        </w:rPr>
      </w:pPr>
    </w:p>
    <w:p>
      <w:pPr>
        <w:ind w:left="440" w:right="180" w:firstLine="423"/>
        <w:spacing w:after="0" w:line="255" w:lineRule="auto"/>
        <w:rPr>
          <w:sz w:val="20"/>
          <w:szCs w:val="20"/>
          <w:color w:val="auto"/>
        </w:rPr>
      </w:pPr>
      <w:r>
        <w:rPr>
          <w:rFonts w:ascii="Times New Roman" w:cs="Times New Roman" w:eastAsia="Times New Roman" w:hAnsi="Times New Roman"/>
          <w:sz w:val="18"/>
          <w:szCs w:val="18"/>
          <w:color w:val="auto"/>
        </w:rPr>
        <w:t>(4)  default in the performance, or breach, of any covenant of the Company or any Guarantor in this Indenture (other than a covenant a default in whose performance or whose breach is elsewhere in this Section specifically dealt with or which has expressly been included in this Indenture solely for the benefit of a series of Securities other than the series in respect of which the Event of Default is being determined), any Security of that series or any Guarantee, and continuance of such default or breach for a period of 90 days after notice has been given to the Company and each Guarantor by the Trustee or to the Company, each Guarantor and the Trustee by the Holders of at least 25% in principal amount of the Outstanding Securities of that series, in accordance with this Indenture, with such written notice specifying such default or breach and requiring it to be remedied and stating that such notice is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hereunder; or</w:t>
      </w:r>
    </w:p>
    <w:p>
      <w:pPr>
        <w:spacing w:after="0" w:line="81" w:lineRule="exact"/>
        <w:rPr>
          <w:sz w:val="20"/>
          <w:szCs w:val="20"/>
          <w:color w:val="auto"/>
        </w:rPr>
      </w:pPr>
    </w:p>
    <w:p>
      <w:pPr>
        <w:ind w:left="440" w:right="100" w:firstLine="423"/>
        <w:spacing w:after="0" w:line="266" w:lineRule="auto"/>
        <w:rPr>
          <w:sz w:val="20"/>
          <w:szCs w:val="20"/>
          <w:color w:val="auto"/>
        </w:rPr>
      </w:pPr>
      <w:r>
        <w:rPr>
          <w:rFonts w:ascii="Times New Roman" w:cs="Times New Roman" w:eastAsia="Times New Roman" w:hAnsi="Times New Roman"/>
          <w:sz w:val="18"/>
          <w:szCs w:val="18"/>
          <w:color w:val="auto"/>
        </w:rPr>
        <w:t>(5)  any Guarantee with respect to the Securities of such series shall for any reason cease to be, or shall for any reason be asserted in writing by the Company or a Guarantor, if applicable, not to be, in full force and effect and enforceable in accordance with its terms except to the extent contemplated by this Indenture and such Guarantee; or</w:t>
      </w:r>
    </w:p>
    <w:p>
      <w:pPr>
        <w:spacing w:after="0" w:line="68" w:lineRule="exact"/>
        <w:rPr>
          <w:sz w:val="20"/>
          <w:szCs w:val="20"/>
          <w:color w:val="auto"/>
        </w:rPr>
      </w:pPr>
    </w:p>
    <w:p>
      <w:pPr>
        <w:ind w:left="440" w:right="20" w:firstLine="423"/>
        <w:spacing w:after="0" w:line="255" w:lineRule="auto"/>
        <w:rPr>
          <w:sz w:val="20"/>
          <w:szCs w:val="20"/>
          <w:color w:val="auto"/>
        </w:rPr>
      </w:pPr>
      <w:r>
        <w:rPr>
          <w:rFonts w:ascii="Times New Roman" w:cs="Times New Roman" w:eastAsia="Times New Roman" w:hAnsi="Times New Roman"/>
          <w:sz w:val="18"/>
          <w:szCs w:val="18"/>
          <w:color w:val="auto"/>
        </w:rPr>
        <w:t>(6)  the entry by a court having jurisdiction in the premises of (A) a decree or order for relief in respect of the Company, the Parent Guarantor or any of their respective Significant Subsidiaries or any group of their respective Subsidiaries that, taken together, would constitute a Significant Subsidiary (collectively, the “</w:t>
      </w:r>
      <w:r>
        <w:rPr>
          <w:rFonts w:ascii="Times New Roman" w:cs="Times New Roman" w:eastAsia="Times New Roman" w:hAnsi="Times New Roman"/>
          <w:sz w:val="18"/>
          <w:szCs w:val="18"/>
          <w:u w:val="single" w:color="auto"/>
          <w:color w:val="auto"/>
        </w:rPr>
        <w:t>Relevant Parties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in an involuntary case or proceeding under any applicable federal or state bankruptcy, insolvency, reorganization or other similar law or (B) a decree or order adjudging any Relevant Party, a bankrupt or insolvent, or approving as properly filed a petition seeking reorganization, arrangement, adjustment or composition of or in respect of any Relevant Party, under any applicable federal or state law, or appointing a custodian, receiver, liquidator, assignee, trustee, sequestrator or other similar official of any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55" w:name="page56"/>
    <w:bookmarkEnd w:id="55"/>
    <w:p>
      <w:pPr>
        <w:ind w:left="440" w:right="1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or of any substantial part of their respective property, or ordering the winding up or liquidation of their respective affairs, and the continuance of any such decree or order for relief or any such other decree or order unstayed and in effect for a period of 90 consecutive days; or</w:t>
      </w:r>
    </w:p>
    <w:p>
      <w:pPr>
        <w:spacing w:after="0" w:line="32" w:lineRule="exact"/>
        <w:rPr>
          <w:sz w:val="20"/>
          <w:szCs w:val="20"/>
          <w:color w:val="auto"/>
        </w:rPr>
      </w:pPr>
    </w:p>
    <w:p>
      <w:pPr>
        <w:ind w:left="440" w:right="40" w:firstLine="423"/>
        <w:spacing w:after="0" w:line="254" w:lineRule="auto"/>
        <w:rPr>
          <w:sz w:val="20"/>
          <w:szCs w:val="20"/>
          <w:color w:val="auto"/>
        </w:rPr>
      </w:pPr>
      <w:r>
        <w:rPr>
          <w:rFonts w:ascii="Times New Roman" w:cs="Times New Roman" w:eastAsia="Times New Roman" w:hAnsi="Times New Roman"/>
          <w:sz w:val="18"/>
          <w:szCs w:val="18"/>
          <w:color w:val="auto"/>
        </w:rPr>
        <w:t>(7)  the commencement by any Relevant Party,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any Relevant Party,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any Relevant Party or of any substantial part of their respective property, or the making by any Relevant Party, of an assignment for the benefit of creditors, or the admission by any Relevant Party, in writing of its inability to pay its debts generally as they become due, or the taking of corporate action by any Relevant Party, in furtherance of any such action; or</w:t>
      </w:r>
    </w:p>
    <w:p>
      <w:pPr>
        <w:spacing w:after="0" w:line="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(8)   any other Event of Default provided with respect to Securities of that series.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8.3(h)</w:t>
      </w:r>
      <w:r>
        <w:rPr>
          <w:rFonts w:ascii="Times New Roman" w:cs="Times New Roman" w:eastAsia="Times New Roman" w:hAnsi="Times New Roman"/>
          <w:sz w:val="18"/>
          <w:szCs w:val="18"/>
          <w:color w:val="auto"/>
        </w:rPr>
        <w:t xml:space="preserve">, the Trustee shall not be deemed to have knowledge of an Event of Default hereunder (except for those described in </w:t>
      </w:r>
      <w:r>
        <w:rPr>
          <w:rFonts w:ascii="Times New Roman" w:cs="Times New Roman" w:eastAsia="Times New Roman" w:hAnsi="Times New Roman"/>
          <w:sz w:val="18"/>
          <w:szCs w:val="18"/>
          <w:u w:val="single" w:color="auto"/>
          <w:color w:val="auto"/>
        </w:rPr>
        <w:t>paragraphs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above) unless a Responsible Officer of the Trustee has received written notice thereof.</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If an Event of Default with respect to Securities of any series at the time Outstanding (other than an Event of Default specified in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clause (7)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occurs and is continuing, then and in every such case the Trustee or the Holders of not less than 25% in principal amount of the Outstanding Securities of that series may declare the principal amount (or, if any of the Securities of that series are Original Issue Discount Securities, such portion of the principal amount of such Securities as may be specified in the terms thereof) of all of the Securities of that series to be due and payable immediately, by a notice in writing to the Company (and to the Trustee if given by Holders), and upon any such declaration such principal amount (or specified amount) shall become immediately due and payable. If an Event of Default specified in </w:t>
      </w:r>
      <w:r>
        <w:rPr>
          <w:rFonts w:ascii="Times New Roman" w:cs="Times New Roman" w:eastAsia="Times New Roman" w:hAnsi="Times New Roman"/>
          <w:sz w:val="18"/>
          <w:szCs w:val="18"/>
          <w:u w:val="single" w:color="auto"/>
          <w:color w:val="auto"/>
        </w:rPr>
        <w:t>clause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occurs, the principal amount (or, if any of the Securities of that series are Original Issue Discount Securities, such portion of the principal amount of such Securities as may be specified in the terms thereof) of all of the Outstanding Securities of that series shall be immediately due and payable without any declaration or other act on the part of the Trustee or any Holder of any Security of that series.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56" w:name="page57"/>
    <w:bookmarkEnd w:id="56"/>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At any time after such a declaration of acceleration with respect to Securities of any series has been made and before a judgment or decree for payment of the money due has been obtained by the Trustee as provided in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the Holders of a majority in principal amount of the Outstanding Securities of that series, by written notice to the Company and the Trustee, may rescind and annul such declaration and its consequences if:</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the Company has paid or deposited with the Trustee a sum sufficient to pay:</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   all overdue interest on all Securities of that series,</w:t>
      </w:r>
    </w:p>
    <w:p>
      <w:pPr>
        <w:spacing w:after="0" w:line="117" w:lineRule="exact"/>
        <w:rPr>
          <w:sz w:val="20"/>
          <w:szCs w:val="20"/>
          <w:color w:val="auto"/>
        </w:rPr>
      </w:pPr>
    </w:p>
    <w:p>
      <w:pPr>
        <w:ind w:left="980" w:right="700" w:firstLine="401"/>
        <w:spacing w:after="0" w:line="282" w:lineRule="auto"/>
        <w:rPr>
          <w:sz w:val="20"/>
          <w:szCs w:val="20"/>
          <w:color w:val="auto"/>
        </w:rPr>
      </w:pPr>
      <w:r>
        <w:rPr>
          <w:rFonts w:ascii="Times New Roman" w:cs="Times New Roman" w:eastAsia="Times New Roman" w:hAnsi="Times New Roman"/>
          <w:sz w:val="18"/>
          <w:szCs w:val="18"/>
          <w:color w:val="auto"/>
        </w:rPr>
        <w:t>(B)  the principal of (and premium, if any, on) any Securities of that series which have become due otherwise than by such declaration of acceleration and interest thereon at the rate or rates prescribed therefor in such Securities,</w:t>
      </w:r>
    </w:p>
    <w:p>
      <w:pPr>
        <w:spacing w:after="0" w:line="54" w:lineRule="exact"/>
        <w:rPr>
          <w:sz w:val="20"/>
          <w:szCs w:val="20"/>
          <w:color w:val="auto"/>
        </w:rPr>
      </w:pPr>
    </w:p>
    <w:p>
      <w:pPr>
        <w:ind w:left="980" w:right="40" w:firstLine="401"/>
        <w:spacing w:after="0" w:line="282" w:lineRule="auto"/>
        <w:rPr>
          <w:sz w:val="20"/>
          <w:szCs w:val="20"/>
          <w:color w:val="auto"/>
        </w:rPr>
      </w:pPr>
      <w:r>
        <w:rPr>
          <w:rFonts w:ascii="Times New Roman" w:cs="Times New Roman" w:eastAsia="Times New Roman" w:hAnsi="Times New Roman"/>
          <w:sz w:val="18"/>
          <w:szCs w:val="18"/>
          <w:color w:val="auto"/>
        </w:rPr>
        <w:t>(C)  to the extent that payment of such interest is lawful, interest upon overdue principal (and premium, if any) and overdue interest at the rate or rates prescribed therefor in such Securities, and</w:t>
      </w:r>
    </w:p>
    <w:p>
      <w:pPr>
        <w:spacing w:after="0" w:line="54" w:lineRule="exact"/>
        <w:rPr>
          <w:sz w:val="20"/>
          <w:szCs w:val="20"/>
          <w:color w:val="auto"/>
        </w:rPr>
      </w:pPr>
    </w:p>
    <w:p>
      <w:pPr>
        <w:ind w:left="980" w:firstLine="401"/>
        <w:spacing w:after="0" w:line="282" w:lineRule="auto"/>
        <w:rPr>
          <w:sz w:val="20"/>
          <w:szCs w:val="20"/>
          <w:color w:val="auto"/>
        </w:rPr>
      </w:pPr>
      <w:r>
        <w:rPr>
          <w:rFonts w:ascii="Times New Roman" w:cs="Times New Roman" w:eastAsia="Times New Roman" w:hAnsi="Times New Roman"/>
          <w:sz w:val="18"/>
          <w:szCs w:val="18"/>
          <w:color w:val="auto"/>
        </w:rPr>
        <w:t xml:space="preserve">(D)  all sums paid or advanced by the Trustee hereunder and the reasonable compensation, expenses, disbursements and advances of the Trustee, its agents and counsel to the extent required to be paid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and</w:t>
      </w:r>
    </w:p>
    <w:p>
      <w:pPr>
        <w:spacing w:after="0" w:line="54" w:lineRule="exact"/>
        <w:rPr>
          <w:sz w:val="20"/>
          <w:szCs w:val="20"/>
          <w:color w:val="auto"/>
        </w:rPr>
      </w:pPr>
    </w:p>
    <w:p>
      <w:pPr>
        <w:ind w:left="440" w:right="300" w:firstLine="423"/>
        <w:spacing w:after="0" w:line="282" w:lineRule="auto"/>
        <w:rPr>
          <w:sz w:val="20"/>
          <w:szCs w:val="20"/>
          <w:color w:val="auto"/>
        </w:rPr>
      </w:pPr>
      <w:r>
        <w:rPr>
          <w:rFonts w:ascii="Times New Roman" w:cs="Times New Roman" w:eastAsia="Times New Roman" w:hAnsi="Times New Roman"/>
          <w:sz w:val="18"/>
          <w:szCs w:val="18"/>
          <w:color w:val="auto"/>
        </w:rPr>
        <w:t xml:space="preserve">(2)  all Events of Default with respect to Securities of that series, other than the non-payment of the principal of Securities of that series which have become due solely by such declaration of acceleration, have been cured or waived as provided in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No such rescission shall affect any subsequent default or impair any right consequent thereon.</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(d)  Upon receipt by the Trustee of any declaration of acceleration, or rescission and annulment thereof, with respect to Securities of a series all or part of which is represented by a Global Security, the Trustee shall establish a record date for determining Holders of Outstanding Securities of such series entitled to join in such declaration of acceleration, or rescission and annulment, as the case may be, which record date shall be the day the Trustee receives such declaration of acceleration, or rescission and annulment, as the case may be. The Holders on such record date, or their duly designated proxies, and only such Persons, shall be entitled to join in such declaration of acceleration, or rescission and annulment, as the case may be, whether or not such Holders remain Holders after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such declaration of acceleration, or rescission and annulment, as the case may be, shall have become effective by virtue of the requisite percentage having been obtained prior to the day which is 90 days after such record date, such declaration of acceleration, or rescission and annulment, as the case may be, shall automatically and without further action by any Holder be canceled and of no further effect. Nothing in this paragraph shall prevent a Holder, or a proxy of a Holder, from giving, after expiration of such 90-day period, a new declaration of acceleration, or rescission or annulment thereof, as the case may be, that is identical to a declaration of acceleration, or rescission or annulment thereof, which has been canceled pursuant to the proviso to the preceding sentence, in which event a new record date shall be established pursuant to the proviso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Company covenants that if:</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(1)  default is made in the payment of any interest on any Security when such interest becomes due and payable and such default continues for a period of 30 days;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57" w:name="page58"/>
    <w:bookmarkEnd w:id="57"/>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default is made in the payment of the principal of (or premium, if any, on) any Security at the Maturity thereof; or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(3)   default is made in the deposit of any sinking fund payment, when and as due by the terms of a Security;</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Company or any Guarantor will, upon demand of the Trustee, pay to it, for the benefit of the Holders of such Securities, the whole amount then due and payable on such Securities for principal (and premium, if any) and interest and, to the extent that payment of such interest shall be legally enforceable, interest on any overdue principal (and premium, if any)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to the extent required to be paid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(b)  If the Company (and any applicable Guarantor)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any Guarantor or any other obligor upon such Securities and collect the moneys adjudged or decreed to be payable in the manner provided by law out of the property of the Company, any Guarantor or any other obligor upon such Securities, wherever situated.</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(c)  If an Event of Default with respect to Securities of any series occurs and is continuing, the Trustee may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  In case of the pendency of any receivership, insolvency, liquidation, bankruptcy, reorganization, arrangement, adjustment, composition or other judicial proceeding relative to the Company, any Guarantor or any other obligor upon the Securities or the property of the Company or of such other obligor or their creditors (irrespective of whether the principal of the Securities shall then be due and payable as therein expressed or by declaration or otherwise and irrespective of whether the Trustee shall have made any demand on the Company for the payment of overdue principal (and premium, if any) or interest), the Trustee shall be entitled and empowered, by intervention in such proceeding or otherwise:</w:t>
      </w:r>
    </w:p>
    <w:p>
      <w:pPr>
        <w:spacing w:after="0" w:line="75" w:lineRule="exact"/>
        <w:rPr>
          <w:sz w:val="20"/>
          <w:szCs w:val="20"/>
          <w:color w:val="auto"/>
        </w:rPr>
      </w:pPr>
    </w:p>
    <w:p>
      <w:pPr>
        <w:ind w:left="1420" w:right="40" w:firstLine="383"/>
        <w:spacing w:after="0" w:line="266" w:lineRule="auto"/>
        <w:rPr>
          <w:sz w:val="20"/>
          <w:szCs w:val="20"/>
          <w:color w:val="auto"/>
        </w:rPr>
      </w:pPr>
      <w:r>
        <w:rPr>
          <w:rFonts w:ascii="Times New Roman" w:cs="Times New Roman" w:eastAsia="Times New Roman" w:hAnsi="Times New Roman"/>
          <w:sz w:val="18"/>
          <w:szCs w:val="18"/>
          <w:color w:val="auto"/>
        </w:rPr>
        <w:t>(i)  to file and prove a claim for the whole amount of principal (and premium, if any) and interest owing and unpaid in respect of the Securities and to file such other papers or documents as may be necessary or advisable in order to have the claims of the Trustee (including any claim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58" w:name="page59"/>
    <w:bookmarkEnd w:id="58"/>
    <w:p>
      <w:pPr>
        <w:ind w:left="1420" w:right="6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reasonable compensation, expenses, disbursements and advances of the Trustee, its agents and counsel, and any other amounts required to be paid to the Trustee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of this Indenture) and of the Holders allowed in such judicial proceeding, and</w:t>
      </w:r>
    </w:p>
    <w:p>
      <w:pPr>
        <w:spacing w:after="0" w:line="6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(ii)   to collect and receive any moneys or other property payable or deliverable on any such claims and to distribute the same.</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required to be paid to the Trustee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(c)  Nothing herein contained shall be deemed to authorize the Trustee to authorize, consent to,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The Trustee shall be entitled to participate as a member of any official committee of creditors in the matters it deems advisable.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to the extent required to be paid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be for the ratable benefit of the Holders of the Securities in respect of which such judgment has been recovered.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Any money collected by the Trustee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be applied in the following order, at the date or dates fixed by the Trustee and, in case of the distribution of such money on account of principal (or premium, if any) or interest, upon presentation of the Securities and the notation thereon of the payment if only partially paid and upon surrender thereof if fully paid:</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FIRST: To the payment of all amounts due the Trustee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firstLine="401"/>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premium, if any) and interest on the Securities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59" w:name="page60"/>
    <w:bookmarkEnd w:id="59"/>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To 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4" w:lineRule="exact"/>
        <w:rPr>
          <w:sz w:val="20"/>
          <w:szCs w:val="20"/>
          <w:color w:val="auto"/>
        </w:rPr>
      </w:pPr>
    </w:p>
    <w:p>
      <w:pPr>
        <w:ind w:left="440" w:right="240" w:firstLine="423"/>
        <w:spacing w:after="0" w:line="282" w:lineRule="auto"/>
        <w:rPr>
          <w:sz w:val="20"/>
          <w:szCs w:val="20"/>
          <w:color w:val="auto"/>
        </w:rPr>
      </w:pPr>
      <w:r>
        <w:rPr>
          <w:rFonts w:ascii="Times New Roman" w:cs="Times New Roman" w:eastAsia="Times New Roman" w:hAnsi="Times New Roman"/>
          <w:sz w:val="18"/>
          <w:szCs w:val="18"/>
          <w:color w:val="auto"/>
        </w:rPr>
        <w:t>(1)  such Holder has previously given written notice to the Trustee of a continuing Event of Default with respect to the Securities of that series;</w:t>
      </w:r>
    </w:p>
    <w:p>
      <w:pPr>
        <w:spacing w:after="0" w:line="54"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(2)  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4"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(3)  such Holder or Holders have offered to the Trustee indemnity and/or security satisfactory to the Trustee against the costs, expenses and liabilities to be incurred in compliance with such request;</w:t>
      </w:r>
    </w:p>
    <w:p>
      <w:pPr>
        <w:spacing w:after="0" w:line="54" w:lineRule="exact"/>
        <w:rPr>
          <w:sz w:val="20"/>
          <w:szCs w:val="20"/>
          <w:color w:val="auto"/>
        </w:rPr>
      </w:pPr>
    </w:p>
    <w:p>
      <w:pPr>
        <w:ind w:left="440" w:right="280" w:firstLine="423"/>
        <w:spacing w:after="0" w:line="282" w:lineRule="auto"/>
        <w:rPr>
          <w:sz w:val="20"/>
          <w:szCs w:val="20"/>
          <w:color w:val="auto"/>
        </w:rPr>
      </w:pPr>
      <w:r>
        <w:rPr>
          <w:rFonts w:ascii="Times New Roman" w:cs="Times New Roman" w:eastAsia="Times New Roman" w:hAnsi="Times New Roman"/>
          <w:sz w:val="18"/>
          <w:szCs w:val="18"/>
          <w:color w:val="auto"/>
        </w:rPr>
        <w:t>(4)  the Trustee for 60 days after its receipt of such notice, request and offer of security and/or indemnity has failed to institute any such proceeding; and</w:t>
      </w:r>
    </w:p>
    <w:p>
      <w:pPr>
        <w:spacing w:after="0" w:line="54" w:lineRule="exact"/>
        <w:rPr>
          <w:sz w:val="20"/>
          <w:szCs w:val="20"/>
          <w:color w:val="auto"/>
        </w:rPr>
      </w:pPr>
    </w:p>
    <w:p>
      <w:pPr>
        <w:ind w:left="440" w:right="600" w:firstLine="423"/>
        <w:spacing w:after="0" w:line="282" w:lineRule="auto"/>
        <w:rPr>
          <w:sz w:val="20"/>
          <w:szCs w:val="20"/>
          <w:color w:val="auto"/>
        </w:rPr>
      </w:pPr>
      <w:r>
        <w:rPr>
          <w:rFonts w:ascii="Times New Roman" w:cs="Times New Roman" w:eastAsia="Times New Roman" w:hAnsi="Times New Roman"/>
          <w:sz w:val="18"/>
          <w:szCs w:val="18"/>
          <w:color w:val="auto"/>
        </w:rPr>
        <w:t>(5)  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any provision of this Indenture to affect, disturb or prejudice the rights of any other of such Holders (it being understood that the Trustee does not have an affirmative duty to ascertain whether or not such actions or forbearances are unduly prejudicial to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Unconditional Right of Holders to Receive Principal, Premium and Interest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 other provision in this Indenture, the Holder of any Security shall have the right, which is absolute and unconditional, to receive payment of the principal of (and premium, if any) and (subject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interest on such Security on the Stated Maturity or Maturities expressed in such Security (or, in the case of redemption, on the Redemption Date) and to institute suit for the enforcement of any such payment, and such rights shall not be impaired without the consent of such Holder.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60" w:name="page61"/>
    <w:bookmarkEnd w:id="6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this Indenture and such proceeding has been discontinued or abandoned for any reason, or has been determined adversely to the Trustee or to such Holder, then and in every such case, subject to any determination in such proceeding, the Company, any Guarantor (if applicable),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provided with respect to the replacement or payment of mutilated, destroyed, lost or stolen Securities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by law to the Trustee or to the Holders may be exercised from time to time, and as often as may be deemed expedient, by the Trustee or by the Holders, as the case may be.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may refuse to follow any direction that is in conflict with any rule of law or with this Indenture, subjects the Trustee to a risk of personal liability in respect of which the Trustee has not received indemnification or security satisfactory to it, or that the Trustee determines in good faith may be unduly prejudicial to the rights of Holders not joining in the giving of such direction;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may take any other action it deems proper that is not inconsistent with any such direction.</w:t>
      </w:r>
    </w:p>
    <w:p>
      <w:pPr>
        <w:spacing w:after="0" w:line="18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(b)  Upon receipt by the Trustee of any such direction with respect to Securities of a series all or part of which is represented by a Global Security, the record date for determining Holders of outstanding Securities of such series entitled to join in such direction shall be the day the Trustee receives such direction, or, if such receipt occurs after the close of business or on a day that is not a Business Day, the next succeeding Business Day, and the Holders on such record date, or their duly designated proxies, and only such Persons, shall be entitled to join in such direction, whether or not such Holders remain Holders after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such majority in principal amount shall have been obtained prior to the day which is 90 days after such record date, such direction shall automatically and without further action by any Holder be canceled and of no further effect. The Trustee may conclusively rely on any representation by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61" w:name="page62"/>
    <w:bookmarkEnd w:id="61"/>
    <w:p>
      <w:pPr>
        <w:ind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delivering such direction that such Holders constitute the requisite percentage to deliver such direction. Nothing in this paragraph shall prevent a Holder, or a proxy of a Holder, from giving, after expiration of such 90-day period, a new direction identical to a direction which has been canceled pursuant to the provisions to the preceding sentence, in which event a new record date shall be established pursuant to the provisions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Holders of not less than a majority in principal amount of the Outstanding Securities of any series may on behalf of the Holders of all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such series waive any past default hereunder with respect to such series and its consequences, except a default:</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in the payment of the principal of any Security of that series at its Maturity, or</w:t>
      </w:r>
    </w:p>
    <w:p>
      <w:pPr>
        <w:spacing w:after="0" w:line="117" w:lineRule="exact"/>
        <w:rPr>
          <w:sz w:val="20"/>
          <w:szCs w:val="20"/>
          <w:color w:val="auto"/>
        </w:rPr>
      </w:pPr>
    </w:p>
    <w:p>
      <w:pPr>
        <w:ind w:left="440" w:right="180" w:firstLine="423"/>
        <w:spacing w:after="0" w:line="282" w:lineRule="auto"/>
        <w:rPr>
          <w:sz w:val="20"/>
          <w:szCs w:val="20"/>
          <w:color w:val="auto"/>
        </w:rPr>
      </w:pPr>
      <w:r>
        <w:rPr>
          <w:rFonts w:ascii="Times New Roman" w:cs="Times New Roman" w:eastAsia="Times New Roman" w:hAnsi="Times New Roman"/>
          <w:sz w:val="18"/>
          <w:szCs w:val="18"/>
          <w:color w:val="auto"/>
        </w:rPr>
        <w:t xml:space="preserve">(2)  in respect of a covenant or provision hereof which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cannot be modified or amended without the consent of the Holder of each Outstanding Security of such series affected.</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(b)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Each party to this Indenture agrees, and each Holder of any Security by its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if any) or interest on any Security on or after the Stated Maturity or Maturities expressed in such Security (or, in the case of redemption, on or after the Redemption Date).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Waiver of Usury, Stay or Extension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and each Guarantor covenant (to the extent that they may lawfully do so) that they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and each Guarantor (to the extent that they may lawfully do so) hereby expressly waive all benefit or advantage of any such law and covenant that they will not hinder, delay or impede the execution of any power herein granted to the Trustee, but will suffer and permit the execution of every such power as though no such law had been enacted.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62" w:name="page63"/>
    <w:bookmarkEnd w:id="62"/>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Certain Duties and Responsibilities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Except during the continuance of an Event of Default:</w:t>
      </w:r>
    </w:p>
    <w:p>
      <w:pPr>
        <w:spacing w:after="0" w:line="117" w:lineRule="exact"/>
        <w:rPr>
          <w:sz w:val="20"/>
          <w:szCs w:val="20"/>
          <w:color w:val="auto"/>
        </w:rPr>
      </w:pPr>
    </w:p>
    <w:p>
      <w:pPr>
        <w:ind w:left="440" w:right="460" w:firstLine="423"/>
        <w:spacing w:after="0" w:line="282" w:lineRule="auto"/>
        <w:rPr>
          <w:sz w:val="20"/>
          <w:szCs w:val="20"/>
          <w:color w:val="auto"/>
        </w:rPr>
      </w:pPr>
      <w:r>
        <w:rPr>
          <w:rFonts w:ascii="Times New Roman" w:cs="Times New Roman" w:eastAsia="Times New Roman" w:hAnsi="Times New Roman"/>
          <w:sz w:val="18"/>
          <w:szCs w:val="18"/>
          <w:color w:val="auto"/>
        </w:rPr>
        <w:t>(1)  the Trustee undertakes to perform such duties and only such duties as are specifically set forth in this Indenture, and no implied covenants or obligations shall be read into this Indenture against the Trustee; and</w:t>
      </w:r>
    </w:p>
    <w:p>
      <w:pPr>
        <w:spacing w:after="0" w:line="54"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(2)  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examine the same to determine whether or not they conform to the requirements of this Indenture (but need not confirm or investigate the accuracy of mathematical calculations or other facts stated therein).</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(b)  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No provision of this Indenture shall be construed to relieve the Trustee from liability for its own negligence or willful misconduct, except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(1)   this subsection shall not be construed to limit the effect of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of this Section;</w:t>
      </w:r>
    </w:p>
    <w:p>
      <w:pPr>
        <w:spacing w:after="0" w:line="117" w:lineRule="exact"/>
        <w:rPr>
          <w:sz w:val="20"/>
          <w:szCs w:val="20"/>
          <w:color w:val="auto"/>
        </w:rPr>
      </w:pPr>
    </w:p>
    <w:p>
      <w:pPr>
        <w:ind w:left="440" w:right="80" w:firstLine="423"/>
        <w:spacing w:after="0" w:line="282" w:lineRule="auto"/>
        <w:rPr>
          <w:sz w:val="20"/>
          <w:szCs w:val="20"/>
          <w:color w:val="auto"/>
        </w:rPr>
      </w:pPr>
      <w:r>
        <w:rPr>
          <w:rFonts w:ascii="Times New Roman" w:cs="Times New Roman" w:eastAsia="Times New Roman" w:hAnsi="Times New Roman"/>
          <w:sz w:val="18"/>
          <w:szCs w:val="18"/>
          <w:color w:val="auto"/>
        </w:rPr>
        <w:t>(2)  the Trustee shall not be liable for any error of judgment made in good faith by a Responsible Officer of the Trustee, unless it shall be proved that the Trustee was negligent in ascertaining the pertinent facts;</w:t>
      </w:r>
    </w:p>
    <w:p>
      <w:pPr>
        <w:spacing w:after="0" w:line="54" w:lineRule="exact"/>
        <w:rPr>
          <w:sz w:val="20"/>
          <w:szCs w:val="20"/>
          <w:color w:val="auto"/>
        </w:rPr>
      </w:pPr>
    </w:p>
    <w:p>
      <w:pPr>
        <w:ind w:left="440" w:right="2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(3)  the Trustee shall not be liable with respect to any action taken or omitted to be taken by it in good faith in accordance with the direction, determined as provided in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72" w:lineRule="exact"/>
        <w:rPr>
          <w:sz w:val="20"/>
          <w:szCs w:val="20"/>
          <w:color w:val="auto"/>
        </w:rPr>
      </w:pPr>
    </w:p>
    <w:p>
      <w:pPr>
        <w:jc w:val="both"/>
        <w:ind w:left="440" w:right="40" w:firstLine="423"/>
        <w:spacing w:after="0" w:line="266" w:lineRule="auto"/>
        <w:rPr>
          <w:sz w:val="20"/>
          <w:szCs w:val="20"/>
          <w:color w:val="auto"/>
        </w:rPr>
      </w:pPr>
      <w:r>
        <w:rPr>
          <w:rFonts w:ascii="Times New Roman" w:cs="Times New Roman" w:eastAsia="Times New Roman" w:hAnsi="Times New Roman"/>
          <w:sz w:val="18"/>
          <w:szCs w:val="18"/>
          <w:color w:val="auto"/>
        </w:rPr>
        <w:t>(4)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80"/>
          </w:cols>
          <w:pgMar w:left="440" w:top="270" w:right="579" w:bottom="1440" w:gutter="0" w:footer="0" w:header="0"/>
        </w:sectPr>
      </w:pPr>
    </w:p>
    <w:bookmarkStart w:id="63" w:name="page64"/>
    <w:bookmarkEnd w:id="63"/>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Whether or not therein expressly so provided, every provision of this Indenture relating to the conduct or affecting the liability of or affording protection to the Trustee shall be subject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The Trustee shall not be liable for interest on any money or assets received by it except as the Trustee may agree with the Company.</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(f)  Unless otherwise specifically provided in this Indenture, any demand, request, direction or notice from the Company shall be sufficient if signed by an Officer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Within 90 days after the Trustee has actual knowledge of an occurrence of any Default hereunder with respect to the Securities of any series, the Trustee shall transmit by mail to all Holders of Securities of such series, as their names and addresses appear in the Security Register, notice of such Default hereunder known to the Trustee, unless such Default shall have been cured or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of such series or in the payment of any sinking fund installment with respect to Securities of such series, the Trustee shall be protected in withholding such notice if the Trustee in good faith determines that the withholding of such notice is in the interest of the Holders of Securities of such series.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Sections 315(a) through 315(d) of the Trust Indenture Act:</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(a)  the Trustee may conclusively rely and shall be fully protected in acting or refraining from acting upon any resolution, certificate, statement, instrument, opinion, report, notice, request, direction, consent, order, bond, debenture, note, other evidence of indebtedness or other document believed by it to be genuine and to have been signed or presented by the proper party or parties;</w:t>
      </w:r>
    </w:p>
    <w:p>
      <w:pPr>
        <w:spacing w:after="0" w:line="176"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(b)  any request or direction of the Company or any Guarantor mentioned herein shall be sufficiently evidenced by a Company Request or Company Order, or as otherwise expressly provided herein, and any resolution of the Board of Directors may be sufficiently evidenced by a Board Resolution or as otherwise expressly provided herein;</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(c)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require and rely upon an Officer’s Certificate or Opinion of Counsel. The Trustee shall not be liable for any action it takes or omits to take in good faith in reliance on an Officer’s Certificate and/or Opinion of Counsel;</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(d)  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64" w:name="page65"/>
    <w:bookmarkEnd w:id="6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the Trustee shall be under no obligation to exercise any of the rights or powers vested in it by this Indenture at the request or direction of any of the Holders pursuant to this Indenture (including, without limitation, instituting, conducting or defending any litigation), unless such Holders shall have offered to the Trustee security and/or indemnity reasonably satisfactory to it against the costs, expenses and liabilities which might be incurred by it in compliance with such request or direction;</w:t>
      </w:r>
    </w:p>
    <w:p>
      <w:pPr>
        <w:spacing w:after="0" w:line="180"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  the Trustee shall not be bound to make any investigation into the facts or matters stated in any resolution, certificate, statement, instrument, opinion, report, notice, request, direction, consent, order, bond, debenture, note, other evidence of indebtedness or other document, but if notwithstanding the foregoing the Trustee makes or is directed to make such further inquiry or investigation into such facts or matters, it shall, upon at least three (3) Business Days’ prior notice or such lesser period of time as may be acceptable to the Company, be entitled reasonably to examine the books, records and premises of the Company, personally or by agent or attorney and, subject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shall incur no liability or additional liability of any kind by reason of such inquiry or investigation;</w:t>
      </w:r>
    </w:p>
    <w:p>
      <w:pPr>
        <w:spacing w:after="0" w:line="187"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6"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(h)  the Trustee shall not be deemed to have notice of any Default or Event of Default unless a Responsible Officer of the Trustee has actual knowledge thereof or unless written notice of any event which is in fact such a Default or Event of Default is received by a Responsible Officer of the Trustee at the Corporate Trust Office of the Trustee, and such notice references the Securities and this Indenture. For purposes of determining the Trustee’s responsibility and liability hereunder, whenever reference is made in this Indenture to a Default or Event of Default, such reference shall be construed to refer only to such Default or Event of Default for which the Trustee is deemed to have notice pursuant to this </w:t>
      </w:r>
      <w:r>
        <w:rPr>
          <w:rFonts w:ascii="Times New Roman" w:cs="Times New Roman" w:eastAsia="Times New Roman" w:hAnsi="Times New Roman"/>
          <w:sz w:val="18"/>
          <w:szCs w:val="18"/>
          <w:u w:val="single" w:color="auto"/>
          <w:color w:val="auto"/>
        </w:rPr>
        <w:t>Section 8.3(h)</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  the Trustee need perform only those duties that are specifically set forth in this Indenture, and no implied covenants or obligations shall be read into this Indenture against the Trustee. The Trustee shall not be liable for any action it takes or omits to take in good faith that it believes to be authorized or within its rights or powers. The permissive right of the Trustee to take the actions permitted by this Indenture shall not be construed as an obligation or duty to do so;</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(j)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76"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(k)  the Trustee may request that the Company and any Guarantor deliver a certificate setting forth the names of individuals and/or titles of officers authorized at such time to take specified actions pursuant to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reasonably believes that the last such certificate received from the Company or currently on file is no longer accurate;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   the Trustee shall not be required to give any note, bond or surety in respect of the execution of the trusts and powers under this Indenture; and</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(m)  the Trustee shall have no obligation or duty to ensure compliance with the securities laws of any country or state except to (i) request such certificates or other documents required to be obtained by the Trustee or any Security Registrar hereunder in connection with any exchange or transfer pursuant to the terms hereof and (ii) file any documents required to be filed by an indenture trustee pursuant to the Trust Indenture Act or otherwise required in this Indenture.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Not Responsible for Recitals or Issuance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recitals contained herein and in the Securities, except the Trustee’s certificates of authentication, shall be taken as the statements of the Company, and the Trustee or any Authenticating Agent assumes no responsibility for their correctness. The Trustee makes no representations as to the validity or sufficiency of this Indenture or of the Securities. The Trustee or any Authenticating Agent shall not be accountable for the use or application by the Company of Securities or the proceeds thereof.</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Trustee, any Authenticating Agent, any Paying Agent, any Security Registrar or any other agent of the Company or of the Trustee, in its individual or any other capacity, may become the owner or pledgee of Securities and, subject to </w:t>
      </w:r>
      <w:r>
        <w:rPr>
          <w:rFonts w:ascii="Times New Roman" w:cs="Times New Roman" w:eastAsia="Times New Roman" w:hAnsi="Times New Roman"/>
          <w:sz w:val="18"/>
          <w:szCs w:val="18"/>
          <w:u w:val="single" w:color="auto"/>
          <w:color w:val="auto"/>
        </w:rPr>
        <w:t>Sections 8.8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8.13</w:t>
      </w:r>
      <w:r>
        <w:rPr>
          <w:rFonts w:ascii="Times New Roman" w:cs="Times New Roman" w:eastAsia="Times New Roman" w:hAnsi="Times New Roman"/>
          <w:sz w:val="18"/>
          <w:szCs w:val="18"/>
          <w:color w:val="auto"/>
        </w:rPr>
        <w:t>, may otherwise deal with the Company or any Guarantor with the same rights it would have if it were not Trustee, Authenticating Agent, Paying Agent, Security Registrar or such other agent.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Money Held in Trust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Company agrees:</w:t>
      </w:r>
    </w:p>
    <w:p>
      <w:pPr>
        <w:spacing w:after="0" w:line="117" w:lineRule="exact"/>
        <w:rPr>
          <w:sz w:val="20"/>
          <w:szCs w:val="20"/>
          <w:color w:val="auto"/>
        </w:rPr>
      </w:pPr>
    </w:p>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t>(1)  to pay to the Trustee from time to time such compensation for its acceptance of this Indenture and for its services hereunder as Trustee, Paying Agent, Security Registrar and in all other capacities in which it is serving hereunder as the Company and the Trustee shall from time to time agree in writing (which compensation shall not be limited by any provision of law in regard to the compensation of a trustee of an express trust);</w:t>
      </w:r>
    </w:p>
    <w:p>
      <w:pPr>
        <w:spacing w:after="0" w:line="72" w:lineRule="exact"/>
        <w:rPr>
          <w:sz w:val="20"/>
          <w:szCs w:val="20"/>
          <w:color w:val="auto"/>
        </w:rPr>
      </w:pPr>
    </w:p>
    <w:p>
      <w:pPr>
        <w:ind w:left="440" w:right="880" w:firstLine="423"/>
        <w:spacing w:after="0" w:line="282" w:lineRule="auto"/>
        <w:rPr>
          <w:sz w:val="20"/>
          <w:szCs w:val="20"/>
          <w:color w:val="auto"/>
        </w:rPr>
      </w:pPr>
      <w:r>
        <w:rPr>
          <w:rFonts w:ascii="Times New Roman" w:cs="Times New Roman" w:eastAsia="Times New Roman" w:hAnsi="Times New Roman"/>
          <w:sz w:val="18"/>
          <w:szCs w:val="18"/>
          <w:color w:val="auto"/>
        </w:rPr>
        <w:t>(2)  except as otherwise expressly provided herein, to reimburse the Trustee upon its request for all reasonable and documented out-of-pocket expenses, disbursements and advances incurred or made by the Trustee in accordance with any provision of this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66" w:name="page67"/>
    <w:bookmarkEnd w:id="66"/>
    <w:p>
      <w:pPr>
        <w:ind w:left="440"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(including the reasonable compensation, expenses and disbursements of its agents and counsel), except any such expense, disbursement or advance as may be attributable to its negligence, bad faith or willful misconduct; and</w:t>
      </w:r>
    </w:p>
    <w:p>
      <w:pPr>
        <w:spacing w:after="0" w:line="54" w:lineRule="exact"/>
        <w:rPr>
          <w:sz w:val="20"/>
          <w:szCs w:val="20"/>
          <w:color w:val="auto"/>
        </w:rPr>
      </w:pPr>
    </w:p>
    <w:p>
      <w:pPr>
        <w:ind w:left="440" w:right="340" w:firstLine="423"/>
        <w:spacing w:after="0" w:line="258" w:lineRule="auto"/>
        <w:rPr>
          <w:sz w:val="20"/>
          <w:szCs w:val="20"/>
          <w:color w:val="auto"/>
        </w:rPr>
      </w:pPr>
      <w:r>
        <w:rPr>
          <w:rFonts w:ascii="Times New Roman" w:cs="Times New Roman" w:eastAsia="Times New Roman" w:hAnsi="Times New Roman"/>
          <w:sz w:val="18"/>
          <w:szCs w:val="18"/>
          <w:color w:val="auto"/>
        </w:rPr>
        <w:t>(3)  to indemnify the Trustee and its agents, directors, employees and officers for, and to hold them harmless against, any loss, claim, damage, liability or reasonable out-of-pocket expense (including the reasonable compensation, expenses and disbursements of its agents and counsel) incurred without negligence, bad faith or willful misconduct on its or their part, arising out of or in connection with the acceptance or administration of the trust or trusts hereunder, including the reasonable and documented costs and out-of-pocket expenses of defending itself against any claim or liability in connection with the exercise or performance of any of the Trustee’s powers or duties hereunder.</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As security for the performance of the obligations of the Company under this Section, the Trustee shall have a lien prior to the Securities upon all property and funds held or collected by the Trustee in such capacity, except funds held in trust for the payment of principal of, premium, if any, or interest, if any, on particular Securities. If the Trustee incurs expenses or renders services after the occurrence and during the continuance of an Event of Default, the expenses and the compensation for the services will be intended to constitute expenses of administration under Title 11 of the United States Bankruptcy Code or any applicable federal or state law for the relief of debtors. The provisions of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survive the resignation or removal of the Trustee and the satisfaction, discharge and termination of this Indenture for any reason.</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(b)  The Trustee shall notify the Company promptly of any third-party claim for which it may seek indemnity of which it has received written notice. Failure by the Trustee to so notify the Company shall not relieve the Company of its obligations hereunder unless, and solely to the extent that, such failure materially prejudices the Company’s defense of such claim. The Company shall defend the claim, with counsel reasonably satisfactory to the Trustee, and the Trustee shall provide reasonable cooperation at the Company’s expense in the defense;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defendants in any such claim include both the Company and the Trustee and the Trustee shall have concluded that there may be legal defenses available to it which are different from or additional to those available to the Company, or the Trustee has concluded that there may be any other actual or potential conflicting interests between the Company and the Trustee, the Trustee shall have the right to select separate counsel and the Company shall be required to pay the reasonable fees and expenses of such separate counsel. Any settlement which affects the Trustee may not be entered into without the written consent of the Trustee, unless the Trustee is given a full and unconditional release from liability with respect to the claims covered thereby and such settlement does not include a statement or admission of fault, culpability or failure to act by or on behalf of the Trustee. After the Company has assumed the defense of a claim as set forth in this </w:t>
      </w:r>
      <w:r>
        <w:rPr>
          <w:rFonts w:ascii="Times New Roman" w:cs="Times New Roman" w:eastAsia="Times New Roman" w:hAnsi="Times New Roman"/>
          <w:sz w:val="18"/>
          <w:szCs w:val="18"/>
          <w:u w:val="single" w:color="auto"/>
          <w:color w:val="auto"/>
        </w:rPr>
        <w:t>Section 8.7(b)</w:t>
      </w:r>
      <w:r>
        <w:rPr>
          <w:rFonts w:ascii="Times New Roman" w:cs="Times New Roman" w:eastAsia="Times New Roman" w:hAnsi="Times New Roman"/>
          <w:sz w:val="18"/>
          <w:szCs w:val="18"/>
          <w:color w:val="auto"/>
        </w:rPr>
        <w:t>, the Trustee may not settle or compromise any suit or action without the consent of the Company (not to be unreasonably withheld or delayed). In no event shall the Company or any Guarantor be responsible or liable for special, indirect, punitive or consequential loss or damage of any kind whatsoever (including, but not limited to, loss of profit) irrespective of whether the Company has been advised of the likelihood of such loss or damage and regardless of the form of action.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Disqualification; Conflicting Interests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shall comply with the terms of Section 310(b) of the Trust Indenture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8.9.   </w:t>
      </w:r>
      <w:r>
        <w:rPr>
          <w:rFonts w:ascii="Times New Roman" w:cs="Times New Roman" w:eastAsia="Times New Roman" w:hAnsi="Times New Roman"/>
          <w:sz w:val="18"/>
          <w:szCs w:val="18"/>
          <w:u w:val="single" w:color="auto"/>
          <w:color w:val="auto"/>
        </w:rPr>
        <w:t>Corporate Trustee Required; Eligibility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There shall at all times be a Trustee hereunder which shall be eligible to act as such pursuant to the Trust Indenture Act and which shall be a Corporation organized and doing business under the laws of the United States of America, any State thereof or the District of Columbia, authorized under such laws to exercise corporate trust powers, having a combined capital and surplus of at least $50,000,000 and subject to supervision or examination by federal or state authority. If such Corporation publishes reports of condition at least annually, pursuant to law or to the requirements of such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No resignation or removal of the Trustee and no appointment of a successor Trustee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become effective until the acceptance of appointment by the successor Trustee in accordance with the applicable requirements of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The Trustee may resign at any time with respect to the Securities of one or more series by giving written notice thereof to the Company. If the instrument of acceptance by a successor Trustee required by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(c)  The Trustee may be removed at any time with respect to the Securities of any series by Act of the Holders of a majority in principal amount of the Outstanding Securities of such series, delivered to the Trustee and to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If at any time:</w:t>
      </w:r>
    </w:p>
    <w:p>
      <w:pPr>
        <w:spacing w:after="0" w:line="117" w:lineRule="exact"/>
        <w:rPr>
          <w:sz w:val="20"/>
          <w:szCs w:val="20"/>
          <w:color w:val="auto"/>
        </w:rPr>
      </w:pPr>
    </w:p>
    <w:p>
      <w:pPr>
        <w:ind w:left="440" w:right="80" w:firstLine="423"/>
        <w:spacing w:after="0" w:line="282" w:lineRule="auto"/>
        <w:rPr>
          <w:sz w:val="20"/>
          <w:szCs w:val="20"/>
          <w:color w:val="auto"/>
        </w:rPr>
      </w:pPr>
      <w:r>
        <w:rPr>
          <w:rFonts w:ascii="Times New Roman" w:cs="Times New Roman" w:eastAsia="Times New Roman" w:hAnsi="Times New Roman"/>
          <w:sz w:val="18"/>
          <w:szCs w:val="18"/>
          <w:color w:val="auto"/>
        </w:rPr>
        <w:t xml:space="preserve">(1)  the Trustee shall fail to comply with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after written request therefor by the Company or by any Holder who has been a bona fide Holder of a Security for at least six months, or</w:t>
      </w:r>
    </w:p>
    <w:p>
      <w:pPr>
        <w:spacing w:after="0" w:line="54" w:lineRule="exact"/>
        <w:rPr>
          <w:sz w:val="20"/>
          <w:szCs w:val="20"/>
          <w:color w:val="auto"/>
        </w:rPr>
      </w:pPr>
    </w:p>
    <w:p>
      <w:pPr>
        <w:ind w:left="440" w:right="300" w:firstLine="423"/>
        <w:spacing w:after="0" w:line="282" w:lineRule="auto"/>
        <w:rPr>
          <w:sz w:val="20"/>
          <w:szCs w:val="20"/>
          <w:color w:val="auto"/>
        </w:rPr>
      </w:pPr>
      <w:r>
        <w:rPr>
          <w:rFonts w:ascii="Times New Roman" w:cs="Times New Roman" w:eastAsia="Times New Roman" w:hAnsi="Times New Roman"/>
          <w:sz w:val="18"/>
          <w:szCs w:val="18"/>
          <w:color w:val="auto"/>
        </w:rPr>
        <w:t xml:space="preserve">(2)  the Trustee shall cease to be eligible under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and shall fail to resign after written request therefor by the Company or any such Holder, or</w:t>
      </w:r>
    </w:p>
    <w:p>
      <w:pPr>
        <w:spacing w:after="0" w:line="54"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440" w:top="270" w:right="519" w:bottom="1440" w:gutter="0" w:footer="0" w:header="0"/>
        </w:sectPr>
      </w:pPr>
    </w:p>
    <w:bookmarkStart w:id="68" w:name="page69"/>
    <w:bookmarkEnd w:id="68"/>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then, in any such case, (i) the Company may remove the Trustee with respect to all Securities, or (ii) subject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any Holder who has been a bona fide Holder of a Security for at least six months may, on behalf of such Holder and all others similarly situated, petition any court of competent jurisdiction for the removal of the Trustee with respect to all Securities and the appointment of a successor Trustee or Trustees.</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  If the Trustee shall resign, be removed or become incapable of acting, or if a vacancy shall occur in the office of Trustee for any cause,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If no successor Trustee with respect to the Securities of any series shall have been so appointed by the Company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any Holder who has been a bona fide Holder of a Security of such series for at least six months may, on behalf of such Holder and all others similarly situated, petition any court of competent jurisdiction for the appointment of a successor Trustee with respect to the Securities of such series.</w:t>
      </w:r>
    </w:p>
    <w:p>
      <w:pPr>
        <w:spacing w:after="0" w:line="187"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  The Company shall give notice of each resignation and each removal of the Trustee with respect to the Securities of any series and each appointment of a successor Trustee with respect to the Securities of any series by sending notice of such event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Each notice shall include the name of the successor Trustee with respect to the Securities of such series and the address of its corporate trust office.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  In case of the appointment hereunder of a successor Trustee with respect to all Securities, every such successor Trustee so appointed shall execute, acknowledge and deliver to the Company and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(b)  In case of the appointment hereunder of a successor Trustee with respect to the Securities of one or more (but not all) series, the Company, any Guarantor, the retiring Trustee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69" w:name="page70"/>
    <w:bookmarkEnd w:id="6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9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  Upon request of any such successor Trustee, the Company and any Guarantor shall execute any and all instruments for more fully and certainly vesting in and confirming to such successor Trustee all such rights, powers and trusts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as the case may be.</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(d)  No successor Trustee shall accept its appointment unless at the time of such acceptance such successor Trustee shall be qualified and eligible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  Notwithstanding the replacement of the Trustee pursuant to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the Company’s obligations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continue for the benefit of the retiring Trustee.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the corporate trust business of the Trustee, shall be the successor of the Trustee hereunder without the execution or filing of any paper or any further act on the part of any of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Corporation or other entity shall be otherwise qualified and eligible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8.13.   </w:t>
      </w:r>
      <w:r>
        <w:rPr>
          <w:rFonts w:ascii="Times New Roman" w:cs="Times New Roman" w:eastAsia="Times New Roman" w:hAnsi="Times New Roman"/>
          <w:sz w:val="18"/>
          <w:szCs w:val="18"/>
          <w:u w:val="single" w:color="auto"/>
          <w:color w:val="auto"/>
        </w:rPr>
        <w:t>Preferential Collection of Claims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The Trustee shall comply with Section 311(a) of the Trust Indenture Act, excluding any creditor relationship listed in Section 311(b) of the Trust Indenture Act. A Trustee who has resigned or been removed shall be subject to Section 311(a) of the Trust Indenture Act to the extent indicated therein.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(a)  At any time when any of the Securities remain Outstanding, the Trustee may and, upon request of the Company, shall appoint an Authenticating Agent or Authenticating Agents with respect to one or more series of Securities, which shall be authorized to act on behalf of the Trustee to authenticate Securities of such series issued upon exchange, registration of transfer or partial redemption thereof or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Trustee’s appointment of such Authenticating Agent shall be subject to the Company’s approval at the time of and throughout such appointment.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 other entity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such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96"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Any Corporation or other entity into which an Authenticating Agent may be merged or converted or with which it may be consolidated, or any Corporation or other entity resulting from any merger, conversion or consolidation to which such Authenticating Agent shall be a party, or any Corporation or other entity succeeding to the corporate agency or corporate trust business of an Authenticating Agent, shall continue to be an Authenticating Agent without the execution or filing of any paper or any further act on the part of the Trustee or the Authenticating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Corporation or other entity shall be otherwise eligible under this Section.</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(c)  An Authenticating Agent may resign at any time by giving written notice thereof to the Trustee and the Company. The Trustee may at any time terminate the agency of an Authenticating Agent by giving written notice thereof to such Authenticating Agent and the Company, and the Trustee shall terminate any such agency promptly upon request by the Company. Upon receiving such a notice of resignation or upon such a termination, or in case at any time such Authenticating Agent shall cease to be eligible in accordance with the provisions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71" w:name="page72"/>
    <w:bookmarkEnd w:id="7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Section, the Trustee may and, upon request of the Company, shall appoint a successor Authenticating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Trustee’s appointment of such Authenticating Agent shall be subject to the Company’s approval at the time of and throughout such appointment, and the Trustee shall send notice of such appointment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to all Holders of Securities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The Company agrees to pay to each Authenticating Agent from time to time reasonable compensation for its services under this Section.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  If an appointment of an Authenticating Agent with respect to one or more series is made pursuant to this Section, the Securities of such series may have endorsed thereon, in lieu of the Trustee’s certificate of authentication, an alternate certificate of authentication in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-7620</wp:posOffset>
            </wp:positionV>
            <wp:extent cx="571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HOLDERS’ LISTS AND REPORTS BY TRUSTEE AND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Company to Furnish Trustee Names and Addresses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Trustee is not the Security Registrar, the Company will furnish or cause to be furnished to the Trustee:</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  not later than 15 days after each Regular Record Date (or, if there is no Regular Record Date relating to a series, semi-annually on dates set forth in the Board Resolution or supplemental indenture with respect to such series), a list, in such form as the Trustee may reasonably require, of the names and addresses of the Holders as of such date,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72" w:name="page73"/>
    <w:bookmarkEnd w:id="72"/>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at such other times as the Trustee may request in writing, within 30 days after the receipt by the Company of any such request, a list of similar form and content as of a date not more than 15 days prior to the time such list is furnished.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Preservation of Information; Communications to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The Trustee shall preserve, in as current a form as is reasonably practicable, the names and addresses of Holders contained in the most recent list furnished to the Trustee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(if any) and the names and addresses of Holders received by the Trustee in its capacity as Security Registrar. The Trustee may destroy any list furnished to it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upon receipt of a new list so furnished.</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(b)  Holders of any series may communicate pursuant to Section 312(b) of the Trust Indenture Act with other Holders of that series or any other series with respect to their rights under this Indenture or the Securities of that series or any other series. The Company, each Guarantor (if any), the Trustee, the Security Registrar and any other Person shall have the protection of Section 312(c) of the Trust Indenture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  Within 60 days after May 15 of each year, commencing the May 15 following the date of this Indenture, the Trustee shall, to the extent that any of the events described in Section 313(a) of the Trust Indenture Act occurred within the previous 12 months, but not otherwise, send to each Holder a brief report dated as of such date that complies with Section 313(a) of the Trust Indenture Act. The Trustee also shall comply with Sections 313(a), 313(b), 313(c) and 313(d) of the Trust Indenture Act.</w:t>
      </w:r>
    </w:p>
    <w:p>
      <w:pPr>
        <w:spacing w:after="0" w:line="18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(b)  A copy of each report at the time of its transmission to Holders shall be sent to the Company and filed with the Commission and each securities exchange, if any, on which the Securities of that series are listed.</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(c)  The Company shall notify the Trustee if the Securities of any series become listed on any securities exchange or of any delisting thereof and the Trustee shall comply with Section 313(d) of the Trust Indenture Act.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Reports by Company and the Parent Guarantor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  The Company and the Parent Guarantor shall deliver to the Trustee, within fifteen days after the same is filed with the Commission, copies of the quarterly and annual reports and of the information, documents and other reports, if any, that the Company or the Parent Guarantor, as applicable, is required to file with the Commission pursuant to Section 13 or 15(d) of the Exchange Act. To the extent required by the Trust Indenture Act, the Company and the Parent Guarantor shall otherwise comply with the requirements of Section 314(a) of the Trust Indenture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73" w:name="page74"/>
    <w:bookmarkEnd w:id="7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 Any such report, information or document that the Company or the Parent Guarantor, as applicable, files with the Commission through the Commission’s EDGAR filing system (or any successor system) shall be deemed delivered to the Trustee for purposes of this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at the time of such filing through the EDGAR database (or successor thereto), without notice to the Trustee or any other action on the part of the Company or the Parent Guarantor.</w:t>
      </w:r>
    </w:p>
    <w:p>
      <w:pPr>
        <w:spacing w:after="0" w:line="180"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Delivery of any information, documents and reports to the Trustee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Section is for informational purposes only and the Trustee’s receipt of such items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SUPPLEMENTAL INDENTURES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Without the consent of or notice to any Holders or any other party hereto, the Company, any Guarantor (if affected thereby) and the Trustee (at the direction of the Company) at any time and from time to time, may enter into one or more indentures supplemental hereto for any of the following purposes:</w:t>
      </w:r>
    </w:p>
    <w:p>
      <w:pPr>
        <w:spacing w:after="0" w:line="68" w:lineRule="exact"/>
        <w:rPr>
          <w:sz w:val="20"/>
          <w:szCs w:val="20"/>
          <w:color w:val="auto"/>
        </w:rPr>
      </w:pPr>
    </w:p>
    <w:p>
      <w:pPr>
        <w:ind w:left="440" w:right="540" w:firstLine="423"/>
        <w:spacing w:after="0" w:line="282" w:lineRule="auto"/>
        <w:rPr>
          <w:sz w:val="20"/>
          <w:szCs w:val="20"/>
          <w:color w:val="auto"/>
        </w:rPr>
      </w:pPr>
      <w:r>
        <w:rPr>
          <w:rFonts w:ascii="Times New Roman" w:cs="Times New Roman" w:eastAsia="Times New Roman" w:hAnsi="Times New Roman"/>
          <w:sz w:val="18"/>
          <w:szCs w:val="18"/>
          <w:color w:val="auto"/>
        </w:rPr>
        <w:t>(1)  to evidence the succession of another Person to the Company or any Guarantor, if applicable, or successive successions, and the assumption by any such successor of the covenants of the Company or any Guarantor, if applicable, herein and in the Securities;</w:t>
      </w:r>
    </w:p>
    <w:p>
      <w:pPr>
        <w:spacing w:after="0" w:line="54" w:lineRule="exact"/>
        <w:rPr>
          <w:sz w:val="20"/>
          <w:szCs w:val="20"/>
          <w:color w:val="auto"/>
        </w:rPr>
      </w:pPr>
    </w:p>
    <w:p>
      <w:pPr>
        <w:ind w:left="440" w:right="260" w:firstLine="423"/>
        <w:spacing w:after="0" w:line="266" w:lineRule="auto"/>
        <w:rPr>
          <w:sz w:val="20"/>
          <w:szCs w:val="20"/>
          <w:color w:val="auto"/>
        </w:rPr>
      </w:pPr>
      <w:r>
        <w:rPr>
          <w:rFonts w:ascii="Times New Roman" w:cs="Times New Roman" w:eastAsia="Times New Roman" w:hAnsi="Times New Roman"/>
          <w:sz w:val="18"/>
          <w:szCs w:val="18"/>
          <w:color w:val="auto"/>
        </w:rPr>
        <w:t>(2)  to add to the covenants of the Company or any Guarantor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any Guarantor;</w:t>
      </w:r>
    </w:p>
    <w:p>
      <w:pPr>
        <w:spacing w:after="0" w:line="68" w:lineRule="exact"/>
        <w:rPr>
          <w:sz w:val="20"/>
          <w:szCs w:val="20"/>
          <w:color w:val="auto"/>
        </w:rPr>
      </w:pPr>
    </w:p>
    <w:p>
      <w:pPr>
        <w:ind w:left="440" w:right="60" w:firstLine="423"/>
        <w:spacing w:after="0" w:line="255" w:lineRule="auto"/>
        <w:rPr>
          <w:sz w:val="20"/>
          <w:szCs w:val="20"/>
          <w:color w:val="auto"/>
        </w:rPr>
      </w:pPr>
      <w:r>
        <w:rPr>
          <w:rFonts w:ascii="Times New Roman" w:cs="Times New Roman" w:eastAsia="Times New Roman" w:hAnsi="Times New Roman"/>
          <w:sz w:val="18"/>
          <w:szCs w:val="18"/>
          <w:color w:val="auto"/>
        </w:rPr>
        <w:t>(3)  to add any additional Events of Default with respect to all or any series of Securities (and if such additional Events of Default are to be for the benefit of less than all of the Securities, stating that such additional Events of Default are expressly being included solely for the benefit of such series); provided, however,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w:t>
      </w:r>
    </w:p>
    <w:p>
      <w:pPr>
        <w:spacing w:after="0" w:line="81" w:lineRule="exact"/>
        <w:rPr>
          <w:sz w:val="20"/>
          <w:szCs w:val="20"/>
          <w:color w:val="auto"/>
        </w:rPr>
      </w:pPr>
    </w:p>
    <w:p>
      <w:pPr>
        <w:ind w:left="440" w:right="140" w:firstLine="423"/>
        <w:spacing w:after="0" w:line="266" w:lineRule="auto"/>
        <w:rPr>
          <w:sz w:val="20"/>
          <w:szCs w:val="20"/>
          <w:color w:val="auto"/>
        </w:rPr>
      </w:pPr>
      <w:r>
        <w:rPr>
          <w:rFonts w:ascii="Times New Roman" w:cs="Times New Roman" w:eastAsia="Times New Roman" w:hAnsi="Times New Roman"/>
          <w:sz w:val="18"/>
          <w:szCs w:val="18"/>
          <w:color w:val="auto"/>
        </w:rPr>
        <w:t>(4)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74" w:name="page75"/>
    <w:bookmarkEnd w:id="74"/>
    <w:p>
      <w:pPr>
        <w:ind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to secure the Securities or to confirm and evidence the release, termination or discharge of any lien securing the Securities to the extent permitted by this Indenture;</w:t>
      </w:r>
    </w:p>
    <w:p>
      <w:pPr>
        <w:spacing w:after="0" w:line="54" w:lineRule="exact"/>
        <w:rPr>
          <w:sz w:val="20"/>
          <w:szCs w:val="20"/>
          <w:color w:val="auto"/>
        </w:rPr>
      </w:pPr>
    </w:p>
    <w:p>
      <w:pPr>
        <w:ind w:right="480" w:firstLine="423"/>
        <w:spacing w:after="0" w:line="282" w:lineRule="auto"/>
        <w:rPr>
          <w:sz w:val="20"/>
          <w:szCs w:val="20"/>
          <w:color w:val="auto"/>
        </w:rPr>
      </w:pPr>
      <w:r>
        <w:rPr>
          <w:rFonts w:ascii="Times New Roman" w:cs="Times New Roman" w:eastAsia="Times New Roman" w:hAnsi="Times New Roman"/>
          <w:sz w:val="18"/>
          <w:szCs w:val="18"/>
          <w:color w:val="auto"/>
        </w:rPr>
        <w:t>(6)  to add one or more Guarantees for the benefit of Holders of all or any series of Securities or to confirm and evidence the release, termination or discharge of any Guarantee to the extent permitted by this Indenture;</w:t>
      </w:r>
    </w:p>
    <w:p>
      <w:pPr>
        <w:spacing w:after="0" w:line="54" w:lineRule="exact"/>
        <w:rPr>
          <w:sz w:val="20"/>
          <w:szCs w:val="20"/>
          <w:color w:val="auto"/>
        </w:rPr>
      </w:pPr>
    </w:p>
    <w:p>
      <w:pPr>
        <w:jc w:val="both"/>
        <w:ind w:right="340" w:firstLine="423"/>
        <w:spacing w:after="0" w:line="266" w:lineRule="auto"/>
        <w:rPr>
          <w:sz w:val="20"/>
          <w:szCs w:val="20"/>
          <w:color w:val="auto"/>
        </w:rPr>
      </w:pPr>
      <w:r>
        <w:rPr>
          <w:rFonts w:ascii="Times New Roman" w:cs="Times New Roman" w:eastAsia="Times New Roman" w:hAnsi="Times New Roman"/>
          <w:sz w:val="18"/>
          <w:szCs w:val="18"/>
          <w:color w:val="auto"/>
        </w:rPr>
        <w:t xml:space="preserve">(7)  to change or eliminate any of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w:t>
      </w:r>
    </w:p>
    <w:p>
      <w:pPr>
        <w:spacing w:after="0" w:line="68"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t>(8)  to make a change to the Securities of any series that does not adversely affect (as determined in good faith by the Company) the rights of any Holder of the Securities of such series;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(9)   to establish the form or terms of Securities of any series as permitted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 xml:space="preserve">(10)  to evidence and provide for the acceptance of appointment hereunder by a successor Trustee with respect to the Securities of one or more series or to add to or change any of the provisions of this Indenture as shall be necessary to provide for or facilitate the administration of the trusts hereunder by more than one Trustee, pursuant to the requirements of </w:t>
      </w:r>
      <w:r>
        <w:rPr>
          <w:rFonts w:ascii="Times New Roman" w:cs="Times New Roman" w:eastAsia="Times New Roman" w:hAnsi="Times New Roman"/>
          <w:sz w:val="18"/>
          <w:szCs w:val="18"/>
          <w:u w:val="single" w:color="auto"/>
          <w:color w:val="auto"/>
        </w:rPr>
        <w:t>Section 8.11(b)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(11)  to cure any ambiguity or omission or to correct or supplement any provision herein which may be defective or inconsistent with any other provision herein, or to make any other provisions with respect to matters or questions arising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action shall not adversely affect the interests of the Holders of Securities of any series in any material respect (as determined in good faith by the Company);</w:t>
      </w:r>
    </w:p>
    <w:p>
      <w:pPr>
        <w:spacing w:after="0" w:line="72"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(12)  to comply with any requirement of the Commission in order to effect or maintain the qualification of this Indenture under the Trust Indenture Act;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(13)   to provide for the issuance of additional Securities of any series;</w:t>
      </w:r>
    </w:p>
    <w:p>
      <w:pPr>
        <w:spacing w:after="0" w:line="117" w:lineRule="exact"/>
        <w:rPr>
          <w:sz w:val="20"/>
          <w:szCs w:val="20"/>
          <w:color w:val="auto"/>
        </w:rPr>
      </w:pPr>
    </w:p>
    <w:p>
      <w:pPr>
        <w:ind w:right="260" w:firstLine="423"/>
        <w:spacing w:after="0" w:line="282" w:lineRule="auto"/>
        <w:rPr>
          <w:sz w:val="20"/>
          <w:szCs w:val="20"/>
          <w:color w:val="auto"/>
        </w:rPr>
      </w:pPr>
      <w:r>
        <w:rPr>
          <w:rFonts w:ascii="Times New Roman" w:cs="Times New Roman" w:eastAsia="Times New Roman" w:hAnsi="Times New Roman"/>
          <w:sz w:val="18"/>
          <w:szCs w:val="18"/>
          <w:color w:val="auto"/>
        </w:rPr>
        <w:t>(14)  to conform this Indenture or the Securities to the description thereof in the related prospectus, offering memorandum or disclosure document pursuant to which such Securities were initially offered; or</w:t>
      </w:r>
    </w:p>
    <w:p>
      <w:pPr>
        <w:spacing w:after="0" w:line="54" w:lineRule="exact"/>
        <w:rPr>
          <w:sz w:val="20"/>
          <w:szCs w:val="20"/>
          <w:color w:val="auto"/>
        </w:rPr>
      </w:pPr>
    </w:p>
    <w:p>
      <w:pPr>
        <w:ind w:right="200" w:firstLine="423"/>
        <w:spacing w:after="0" w:line="266" w:lineRule="auto"/>
        <w:rPr>
          <w:sz w:val="20"/>
          <w:szCs w:val="20"/>
          <w:color w:val="auto"/>
        </w:rPr>
      </w:pPr>
      <w:r>
        <w:rPr>
          <w:rFonts w:ascii="Times New Roman" w:cs="Times New Roman" w:eastAsia="Times New Roman" w:hAnsi="Times New Roman"/>
          <w:sz w:val="18"/>
          <w:szCs w:val="18"/>
          <w:color w:val="auto"/>
        </w:rPr>
        <w:t xml:space="preserve">(15)  to supplement any of the provisions of this Indenture to such extent as shall be necessary to permit or facilitate the defeasance, Covenant Defeasance and/or satisfaction and discharge of any series of Securities pursuant to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provided that any such action shall not adversely affect the interests of any Holder of a Security of such series or any other Security in any material respect;</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40"/>
          </w:cols>
          <w:pgMar w:left="880" w:top="270" w:right="479" w:bottom="1440" w:gutter="0" w:footer="0" w:header="0"/>
        </w:sectPr>
      </w:pPr>
    </w:p>
    <w:bookmarkStart w:id="75" w:name="page76"/>
    <w:bookmarkEnd w:id="75"/>
    <w:p>
      <w:pPr>
        <w:ind w:left="440" w:right="100" w:firstLine="423"/>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  in the case of any series of Securities which are convertible into or exchangeable for Common Equity or other securities or property, to safeguard or provide for the conversion or exchange rights, as the case may be, of such Securities in the event of any reclassification or change of outstanding shares of Common Equity or any merger, consolidation, statutory share exchange or combination of the Company with or into another Person or any sale, lease, assignment, transfer, disposition or other conveyance of all or substantially all of the assets of the Company to any other Person or other similar transactions, if expressly required by the terms of such series of Securities established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(17)   to comply with the rules of any applicable Depository;</w:t>
      </w:r>
    </w:p>
    <w:p>
      <w:pPr>
        <w:spacing w:after="0" w:line="117" w:lineRule="exact"/>
        <w:rPr>
          <w:sz w:val="20"/>
          <w:szCs w:val="20"/>
          <w:color w:val="auto"/>
        </w:rPr>
      </w:pPr>
    </w:p>
    <w:p>
      <w:pPr>
        <w:ind w:left="440" w:right="220" w:firstLine="423"/>
        <w:spacing w:after="0" w:line="282" w:lineRule="auto"/>
        <w:rPr>
          <w:sz w:val="20"/>
          <w:szCs w:val="20"/>
          <w:color w:val="auto"/>
        </w:rPr>
      </w:pPr>
      <w:r>
        <w:rPr>
          <w:rFonts w:ascii="Times New Roman" w:cs="Times New Roman" w:eastAsia="Times New Roman" w:hAnsi="Times New Roman"/>
          <w:sz w:val="18"/>
          <w:szCs w:val="18"/>
          <w:color w:val="auto"/>
        </w:rPr>
        <w:t>(18)  to add to or change any of the provisions of this Indenture to such extent as shall be necessary to permit or facilitate the issuance of Securities in uncertificated form;</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(19)   to provide for reduction in the minimum denominations of the debt securities; or</w:t>
      </w:r>
    </w:p>
    <w:p>
      <w:pPr>
        <w:spacing w:after="0" w:line="117" w:lineRule="exact"/>
        <w:rPr>
          <w:sz w:val="20"/>
          <w:szCs w:val="20"/>
          <w:color w:val="auto"/>
        </w:rPr>
      </w:pPr>
    </w:p>
    <w:p>
      <w:pPr>
        <w:ind w:left="440" w:right="80" w:firstLine="423"/>
        <w:spacing w:after="0" w:line="282" w:lineRule="auto"/>
        <w:rPr>
          <w:sz w:val="20"/>
          <w:szCs w:val="20"/>
          <w:color w:val="auto"/>
        </w:rPr>
      </w:pPr>
      <w:r>
        <w:rPr>
          <w:rFonts w:ascii="Times New Roman" w:cs="Times New Roman" w:eastAsia="Times New Roman" w:hAnsi="Times New Roman"/>
          <w:sz w:val="18"/>
          <w:szCs w:val="18"/>
          <w:color w:val="auto"/>
        </w:rPr>
        <w:t>(20)  to comply with the rules or regulations of any securities exchange or automated quotation system on which any of the Securities may be listed or traded.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Supplemental Indentures with Consent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 xml:space="preserve">(a)  With the consent of the Holders of not less than a majority in principal amount of the Outstanding Securities of each series so affected by such supplemental indenture, by Act of such Holders delivered to the Company and the Trustee, the Company, any Guarantor affected thereby and the Trustee (at the direction of the Company) may enter into an indenture or indentures supplemental hereto for the purpose of adding any provisions to or changing in any manner or eliminating any of the provisions of this Indenture or of the Securities of such series or of modifying in any manner the rights of the Holders of Securities of such series under this Indenture. Without the consent of the Holder of each Outstanding Security directly and adversely affected thereby, a supplemental indenture under this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shall not (with respect to any Outstanding Security held by a non-consenting Holder):</w:t>
      </w:r>
    </w:p>
    <w:p>
      <w:pPr>
        <w:spacing w:after="0" w:line="65" w:lineRule="exact"/>
        <w:rPr>
          <w:sz w:val="20"/>
          <w:szCs w:val="20"/>
          <w:color w:val="auto"/>
        </w:rPr>
      </w:pPr>
    </w:p>
    <w:p>
      <w:pPr>
        <w:ind w:left="440" w:right="60" w:firstLine="423"/>
        <w:spacing w:after="0" w:line="256" w:lineRule="auto"/>
        <w:rPr>
          <w:sz w:val="20"/>
          <w:szCs w:val="20"/>
          <w:color w:val="auto"/>
        </w:rPr>
      </w:pPr>
      <w:r>
        <w:rPr>
          <w:rFonts w:ascii="Times New Roman" w:cs="Times New Roman" w:eastAsia="Times New Roman" w:hAnsi="Times New Roman"/>
          <w:sz w:val="18"/>
          <w:szCs w:val="18"/>
          <w:color w:val="auto"/>
        </w:rPr>
        <w:t xml:space="preserve">(1)  change the Stated Maturity of, the Redemption Date of, the principal of, or any installment of principal of or interest on, such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or change the currency in which such Security or any premium or the interest thereon is payable, or impair the right to institute suit for the enforcement of any such payment on or after the Stated Maturity thereof (or, in the case of redemption, on or after the Redemption Date), or release any Guarantor from any of its obligations under a Guarantee except as permitted under this Indenture,</w:t>
      </w:r>
    </w:p>
    <w:p>
      <w:pPr>
        <w:spacing w:after="0" w:line="79" w:lineRule="exact"/>
        <w:rPr>
          <w:sz w:val="20"/>
          <w:szCs w:val="20"/>
          <w:color w:val="auto"/>
        </w:rPr>
      </w:pPr>
    </w:p>
    <w:p>
      <w:pPr>
        <w:ind w:left="440" w:right="200" w:firstLine="423"/>
        <w:spacing w:after="0" w:line="266" w:lineRule="auto"/>
        <w:rPr>
          <w:sz w:val="20"/>
          <w:szCs w:val="20"/>
          <w:color w:val="auto"/>
        </w:rPr>
      </w:pPr>
      <w:r>
        <w:rPr>
          <w:rFonts w:ascii="Times New Roman" w:cs="Times New Roman" w:eastAsia="Times New Roman" w:hAnsi="Times New Roman"/>
          <w:sz w:val="18"/>
          <w:szCs w:val="18"/>
          <w:color w:val="auto"/>
        </w:rPr>
        <w:t>(2)  reduce the percentage in principal amount of the Outstanding Securities of the series for such Outstanding Security,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76" w:name="page77"/>
    <w:bookmarkEnd w:id="76"/>
    <w:p>
      <w:pPr>
        <w:ind w:left="440" w:right="14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  modify any of the provisions of this Section or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except to increase the percentage in principal amount of the Outstanding Securities of any series, the consent of whose Holders is required under any such Section or to provide that certain other provisions of this Indenture cannot be modified or waived without the consent of the Holder of each Outstanding Security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clause shall not be deemed to require the consent of any Holder with respect to changes in the references to “the Trustee” and concomitant changes in this Section, or the deletion of this proviso, in accordance with the requirements of </w:t>
      </w:r>
      <w:r>
        <w:rPr>
          <w:rFonts w:ascii="Times New Roman" w:cs="Times New Roman" w:eastAsia="Times New Roman" w:hAnsi="Times New Roman"/>
          <w:sz w:val="18"/>
          <w:szCs w:val="18"/>
          <w:u w:val="single" w:color="auto"/>
          <w:color w:val="auto"/>
        </w:rPr>
        <w:t>Sections 8.11(b)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(b)  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(c)  It shall not be necessary for any Act of Holders under this Section to approve the particular form of any proposed supplemental indenture, but it shall be sufficient if such Act shall approve the substance thereof.</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(d)  The Company may set a record date for purposes of determining the identity of Holders of Securities entitled to consent pursuant to this Section. Such record date shall be the later of (i) thirty days prior to the first solicitation of such consent or (ii) the date of the most recent list of Holders furnished to the Trustee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prior to such solicitation.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executing, or accepting the additional trusts created by, any supplemental indenture permitted by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the modifications thereby of the trusts created by this Indenture, the Trustee shall be entitled to receive, and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be fully protected in relying upon, an Officer’s Certificate and an Opinion of Counsel stating that the execution of such supplemental indenture is authorized or permitted by this Indenture and complies with the provisions hereof (including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The Trustee may, but shall not be obligated to, enter into any such supplemental indenture which adversely affects the Trustee’s own rights, duties, or immunities or liabilities under this Indenture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Upon the execution of any supplemental indenture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this Indenture shall be modified in accordance therewith, and such supplemental indenture shall form a part of this Indenture for all purposes. Every Holder of Securities theretofore or thereafter authenticated and delivered hereunder shall be bound thereby.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Every supplemental indenture executed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conform to the requirements of the Trust Indenture Act, as then in effect.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10.6.   </w:t>
      </w:r>
      <w:r>
        <w:rPr>
          <w:rFonts w:ascii="Times New Roman" w:cs="Times New Roman" w:eastAsia="Times New Roman" w:hAnsi="Times New Roman"/>
          <w:sz w:val="18"/>
          <w:szCs w:val="18"/>
          <w:u w:val="single" w:color="auto"/>
          <w:color w:val="auto"/>
        </w:rPr>
        <w:t>Reference in Securities to Supplemental Indentures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Securities authenticated and delivered after the execution of any supplemental indenture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such Securities may be authenticated and delivered by the Trustee, in exchange for Outstanding Securities of such series.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(a)  This Indenture shall upon Company Request cease to be of further effect with respect to Securities of any series and any Guarantee of such Securities (except as to any surviving rights of registration of transfer or exchange of Securities of such series and replacement of lost, stolen or mutilated Securities of such series herein expressly provided for), and the Trustee, on the demand of and at the expense of the Company, shall execute instruments acknowledging satisfaction and discharge of this Indenture with respect to such series, when:</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Either:</w:t>
      </w:r>
    </w:p>
    <w:p>
      <w:pPr>
        <w:spacing w:after="0" w:line="117" w:lineRule="exact"/>
        <w:rPr>
          <w:sz w:val="20"/>
          <w:szCs w:val="20"/>
          <w:color w:val="auto"/>
        </w:rPr>
      </w:pPr>
    </w:p>
    <w:p>
      <w:pPr>
        <w:ind w:left="980" w:firstLine="401"/>
        <w:spacing w:after="0" w:line="261" w:lineRule="auto"/>
        <w:rPr>
          <w:sz w:val="20"/>
          <w:szCs w:val="20"/>
          <w:color w:val="auto"/>
        </w:rPr>
      </w:pPr>
      <w:r>
        <w:rPr>
          <w:rFonts w:ascii="Times New Roman" w:cs="Times New Roman" w:eastAsia="Times New Roman" w:hAnsi="Times New Roman"/>
          <w:sz w:val="18"/>
          <w:szCs w:val="18"/>
          <w:color w:val="auto"/>
        </w:rPr>
        <w:t xml:space="preserve">(A)  all Securities of such series theretofore authenticated and delivered have been delivered to the Trustee for cancellation (other than (i) Securities of such series which have been destroyed, lost or stolen and which have been replaced or paid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(ii) Securities of such series for whose payment money has theretofore been deposited in trust or held in trust by the Company and thereafter repaid to the Company or discharged from such trust, as provided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or</w:t>
      </w:r>
    </w:p>
    <w:p>
      <w:pPr>
        <w:spacing w:after="0" w:line="7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   all such Securities of such series not theretofore delivered to the Trustee for cancellation:</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(i)   have become due and payable, or</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(ii)   will become due and payable at their Stated Maturity within one year, or</w:t>
      </w:r>
    </w:p>
    <w:p>
      <w:pPr>
        <w:spacing w:after="0" w:line="117" w:lineRule="exact"/>
        <w:rPr>
          <w:sz w:val="20"/>
          <w:szCs w:val="20"/>
          <w:color w:val="auto"/>
        </w:rPr>
      </w:pPr>
    </w:p>
    <w:p>
      <w:pPr>
        <w:ind w:left="1420" w:right="100" w:firstLine="383"/>
        <w:spacing w:after="0" w:line="282" w:lineRule="auto"/>
        <w:rPr>
          <w:sz w:val="20"/>
          <w:szCs w:val="20"/>
          <w:color w:val="auto"/>
        </w:rPr>
      </w:pPr>
      <w:r>
        <w:rPr>
          <w:rFonts w:ascii="Times New Roman" w:cs="Times New Roman" w:eastAsia="Times New Roman" w:hAnsi="Times New Roman"/>
          <w:sz w:val="18"/>
          <w:szCs w:val="18"/>
          <w:color w:val="auto"/>
        </w:rPr>
        <w:t>(iii)  are to be called for redemption within one year under arrangements satisfactory to the Trustee for the giving of notice of redemption,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78" w:name="page79"/>
    <w:bookmarkEnd w:id="78"/>
    <w:p>
      <w:pPr>
        <w:ind w:left="98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the Company,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has deposited or caused to be deposited with the Trustee as trust funds in trust for the purpose of establishing an amount sufficient to pay and discharge the entire indebtedness on such Securities of such series not theretofore delivered to the Trustee for cancellation, for principal and interest to the date of such deposit (in the case of Securities of such series which have become due and payable) or to the Stated Maturity or Redemption Date, as the case may be; and</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   the Company has paid or caused to be paid all other sums payable hereunder by the Company with respect to Securities of such series;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(3)  the Company has delivered to the Trustee an Officer’s Certificate and an Opinion of Counsel, each stating that all conditions precedent herein provided for the satisfaction and discharge of this Indenture with respect to Securities of such series have been complied with.</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(b)  At any time when no Securities of any series are outstanding, this Indenture shall upon Company Request cease to be of further effect and the Trustee, at the expense of the Company, shall execute instruments of satisfaction and discharge of this Indenture.</w:t>
      </w:r>
    </w:p>
    <w:p>
      <w:pPr>
        <w:spacing w:after="0" w:line="162"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  Notwithstanding the satisfaction and discharge of this Indenture, the obligations of the Company to the Trustee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and, if money shall have been deposited with the Trustee pursuant to </w:t>
      </w:r>
      <w:r>
        <w:rPr>
          <w:rFonts w:ascii="Times New Roman" w:cs="Times New Roman" w:eastAsia="Times New Roman" w:hAnsi="Times New Roman"/>
          <w:sz w:val="18"/>
          <w:szCs w:val="18"/>
          <w:u w:val="single" w:color="auto"/>
          <w:color w:val="auto"/>
        </w:rPr>
        <w:t>subclause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(a)(1)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obligations of the Trustee under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xml:space="preserve"> shall survive.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Company’s Option to Effect Defeasance or Covenant Defeasance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Unless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provision is made for either or both of (a) Defeasance of the Securities of another series under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not to be applicable with respect to the Securities of a particular series or (b) Covenant Defeasance of the Securities of another series under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not to be applicable with respect to the Securities of such particular series, then the provisions of such Sections, together with the other provisions of </w:t>
      </w:r>
      <w:r>
        <w:rPr>
          <w:rFonts w:ascii="Times New Roman" w:cs="Times New Roman" w:eastAsia="Times New Roman" w:hAnsi="Times New Roman"/>
          <w:sz w:val="18"/>
          <w:szCs w:val="18"/>
          <w:u w:val="single" w:color="auto"/>
          <w:color w:val="auto"/>
        </w:rPr>
        <w:t>Sections 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11.6</w:t>
      </w:r>
      <w:r>
        <w:rPr>
          <w:rFonts w:ascii="Times New Roman" w:cs="Times New Roman" w:eastAsia="Times New Roman" w:hAnsi="Times New Roman"/>
          <w:sz w:val="18"/>
          <w:szCs w:val="18"/>
          <w:color w:val="auto"/>
        </w:rPr>
        <w:t xml:space="preserve">, shall be applicable to the Securities of such particular series, and the Company may at its option, at any time, with respect to the Securities of such particular series, elect to have either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be applied to the Outstanding Securities of such series and any Guarantees of such Outstanding Securities upon compliance with the conditions set forth below in </w:t>
      </w:r>
      <w:r>
        <w:rPr>
          <w:rFonts w:ascii="Times New Roman" w:cs="Times New Roman" w:eastAsia="Times New Roman" w:hAnsi="Times New Roman"/>
          <w:sz w:val="18"/>
          <w:szCs w:val="18"/>
          <w:u w:val="single" w:color="auto"/>
          <w:color w:val="auto"/>
        </w:rPr>
        <w:t>Sections 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11.6</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Defeasance and Discharge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the Company’s exercise of the option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satisfaction of the conditions to defeasance set forth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the Company and any Guarantor shall be deemed to have been discharged from its obligations with respect to the Outstanding Securities of such series and any Guarantees of such Outstanding Securities on the date the conditions set forth below are satisfied (each, a “</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For this purpose, such Defeasance means that the Company shall be deemed to have paid and discharged the entire indebtedness represented by the Outstanding Securities of such series and to have satisfied all its other obligations under such Securities and this Indenture insofar as such Securities are concerned and any Guarantor shall be deemed to have satisfied all its obligations under any Guarantee (and the Trustee, at the expense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60"/>
          </w:cols>
          <w:pgMar w:left="440" w:top="270" w:right="499" w:bottom="1440" w:gutter="0" w:footer="0" w:header="0"/>
        </w:sectPr>
      </w:pPr>
    </w:p>
    <w:bookmarkStart w:id="79" w:name="page80"/>
    <w:bookmarkEnd w:id="79"/>
    <w:p>
      <w:pPr>
        <w:jc w:val="both"/>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direction of the Company or any Guarantor, as applicable, shall execute instruments acknowledging the same), except for the following which shall survive until otherwise terminated or discharged hereunder: (A) the rights of Holders of Outstanding Securities of such series to receive, solely from the trust fund described in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xml:space="preserve"> and as more fully set forth in such Section, payments in respect of the principal of (and premium, if any) and interest on such Securities when such payments are due, (B) the Company’s obligations with respect to such Securities under </w:t>
      </w:r>
      <w:r>
        <w:rPr>
          <w:rFonts w:ascii="Times New Roman" w:cs="Times New Roman" w:eastAsia="Times New Roman" w:hAnsi="Times New Roman"/>
          <w:sz w:val="17"/>
          <w:szCs w:val="17"/>
          <w:u w:val="single" w:color="auto"/>
          <w:color w:val="auto"/>
        </w:rPr>
        <w:t>Sections 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5.3</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left="4" w:hanging="4"/>
        <w:spacing w:after="0" w:line="253" w:lineRule="auto"/>
        <w:tabs>
          <w:tab w:leader="none" w:pos="2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powers, trusts, duties, and immunities of the Trustee under </w:t>
      </w:r>
      <w:r>
        <w:rPr>
          <w:rFonts w:ascii="Times New Roman" w:cs="Times New Roman" w:eastAsia="Times New Roman" w:hAnsi="Times New Roman"/>
          <w:sz w:val="18"/>
          <w:szCs w:val="18"/>
          <w:u w:val="single" w:color="auto"/>
          <w:color w:val="auto"/>
        </w:rPr>
        <w:t>Sections 2.4, 2.5,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11.6</w:t>
      </w:r>
      <w:r>
        <w:rPr>
          <w:rFonts w:ascii="Times New Roman" w:cs="Times New Roman" w:eastAsia="Times New Roman" w:hAnsi="Times New Roman"/>
          <w:sz w:val="18"/>
          <w:szCs w:val="18"/>
          <w:color w:val="auto"/>
        </w:rPr>
        <w:t xml:space="preserve"> and otherwise the duty of the Trustee to authenticate Securities of such series issued on registration of transfer or exchange and (D) </w:t>
      </w:r>
      <w:r>
        <w:rPr>
          <w:rFonts w:ascii="Times New Roman" w:cs="Times New Roman" w:eastAsia="Times New Roman" w:hAnsi="Times New Roman"/>
          <w:sz w:val="18"/>
          <w:szCs w:val="18"/>
          <w:u w:val="single" w:color="auto"/>
          <w:color w:val="auto"/>
        </w:rPr>
        <w:t>Sections 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11.6</w:t>
      </w:r>
      <w:r>
        <w:rPr>
          <w:rFonts w:ascii="Times New Roman" w:cs="Times New Roman" w:eastAsia="Times New Roman" w:hAnsi="Times New Roman"/>
          <w:sz w:val="18"/>
          <w:szCs w:val="18"/>
          <w:color w:val="auto"/>
        </w:rPr>
        <w:t xml:space="preserve">. Subject to compliance with </w:t>
      </w:r>
      <w:r>
        <w:rPr>
          <w:rFonts w:ascii="Times New Roman" w:cs="Times New Roman" w:eastAsia="Times New Roman" w:hAnsi="Times New Roman"/>
          <w:sz w:val="18"/>
          <w:szCs w:val="18"/>
          <w:u w:val="single" w:color="auto"/>
          <w:color w:val="auto"/>
        </w:rPr>
        <w:t>Sections 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11.6</w:t>
      </w:r>
      <w:r>
        <w:rPr>
          <w:rFonts w:ascii="Times New Roman" w:cs="Times New Roman" w:eastAsia="Times New Roman" w:hAnsi="Times New Roman"/>
          <w:sz w:val="18"/>
          <w:szCs w:val="18"/>
          <w:color w:val="auto"/>
        </w:rPr>
        <w:t xml:space="preserve">, the Company may exercise its option under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notwithstanding the prior exercise of its option under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with respect to the Securities of such series.</w:t>
      </w:r>
    </w:p>
    <w:p>
      <w:pPr>
        <w:spacing w:after="0" w:line="2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Upon the Company’s exercise of the option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satisfaction of the conditions to defeasance set forth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the Company and any Guarantor shall be released from its obligations under </w:t>
      </w:r>
      <w:r>
        <w:rPr>
          <w:rFonts w:ascii="Times New Roman" w:cs="Times New Roman" w:eastAsia="Times New Roman" w:hAnsi="Times New Roman"/>
          <w:sz w:val="18"/>
          <w:szCs w:val="18"/>
          <w:u w:val="single" w:color="auto"/>
          <w:color w:val="auto"/>
        </w:rPr>
        <w:t>Sections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and 9.4 and any other covenants to be applicable to the Securities of a series as specified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unless specified otherwise pursuant to such Section (and the failure to comply with any such provisions shall not constitute a default or Event of Default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the occurrence of any event described in </w:t>
      </w:r>
      <w:r>
        <w:rPr>
          <w:rFonts w:ascii="Times New Roman" w:cs="Times New Roman" w:eastAsia="Times New Roman" w:hAnsi="Times New Roman"/>
          <w:sz w:val="18"/>
          <w:szCs w:val="18"/>
          <w:u w:val="single" w:color="auto"/>
          <w:color w:val="auto"/>
        </w:rPr>
        <w:t>Sections 7.1(4)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any other events of default to be applicable to the Securities of a series as specified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unless specified otherwise pursuant to such Section shall not constitute a default or Event of Default hereunder, with respect to the Outstanding Securities of such series on and after the date the conditions set forth below are satisfied (a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For this purpose, such Covenant Defeasance means that, with respect to the Outstanding Securities of such series, the Company and any Guarantor, as applicable, may omit to comply with and shall have no liability in respect of any term, condition or limitation set forth in any such Section with respect to it,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-1263015</wp:posOffset>
            </wp:positionV>
            <wp:extent cx="1714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The following shall be the conditions to application of either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to the Outstanding Securities of such series:</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the Company shall irrevocably have deposited or caused to be deposited with the Trustee (or another trustee satisfying the requirements of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who shall agree to comply with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applicable to it) as trust funds in trust for the purpose of making the following payments, specifically pledged as security for, and dedicated solely to, the benefit of the holders of such Securities, (A) money in an amount, or (B) U.S. Government Obligations which through the scheduled payment of principal and interest in respect thereof in accordance with their terms will provide, not later than the due date of any payment, money in an amount, or (C) a combination thereof, sufficient, in the opinion of a nationally recognized firm of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80" w:name="page81"/>
    <w:bookmarkEnd w:id="8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public accountants expressed in a written certification thereof delivered to the Trustee, to pay and discharge, and which shall be applied by the Trustee (or other qualifying trustee) to pay and discharge, (i) the principal of (and premium, if any) and interest on and each installment of principal of (premium, if any) and interest on the Outstanding Securities of such series on the Stated Maturity (or if the Company has made irrevocable arrangements satisfactory to the Trustee for the giving of notice of redemption by the Trustee in the Company’s name and at the Company’s expense, the Redemption Date) of such principal or installment of principal or interest and (ii) any mandatory sinking fund payments or analogous payments applicable to the Outstanding Securities of such series on the day on which such payments are due and payable in accordance with the terms of this Indenture and of such Securities. For this purpose, “</w:t>
      </w:r>
      <w:r>
        <w:rPr>
          <w:rFonts w:ascii="Times New Roman" w:cs="Times New Roman" w:eastAsia="Times New Roman" w:hAnsi="Times New Roman"/>
          <w:sz w:val="18"/>
          <w:szCs w:val="18"/>
          <w:u w:val="single" w:color="auto"/>
          <w:color w:val="auto"/>
        </w:rPr>
        <w:t>U.S. Government Obligations</w:t>
      </w:r>
      <w:r>
        <w:rPr>
          <w:rFonts w:ascii="Times New Roman" w:cs="Times New Roman" w:eastAsia="Times New Roman" w:hAnsi="Times New Roman"/>
          <w:sz w:val="18"/>
          <w:szCs w:val="18"/>
          <w:color w:val="auto"/>
        </w:rPr>
        <w:t xml:space="preserve">” means securities that are (x) direct obligations of the United States of America for the payment of which its full faith and credit is pledged or (y)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of 1933, as amended from time to time) as custodian with respect to any such U.S. Government Obligation or a specific payment of principal of or interest on any such U.S. Government Obligation held by such custodian for the account of the holder of such depository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w:t>
      </w:r>
    </w:p>
    <w:p>
      <w:pPr>
        <w:spacing w:after="0" w:line="19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(b)  no Event of Default with respect to the Securities of such series shall have occurred and be continuing on the date of such deposit (other than an Event of Default resulting from borrowing of funds to be applied to such deposit, the grant of any lien securing such borrowing and the consummation of other transactions in connection therewith);</w:t>
      </w:r>
    </w:p>
    <w:p>
      <w:pPr>
        <w:spacing w:after="0" w:line="176"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(c)  such Defeasance or Covenant Defeasance shall not cause the Trustee for the Securities of such series to have a conflicting interest for purposes of the Trust Indenture Act with respect to any securities of the Company;</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(d)  such Defeasance or Covenant Defeasance shall not result in a breach or violation of, or constitute a default under, any other agreement or instrument to which the Company or any Guarantor is a party or by which it is bound (other than an Event of Default resulting from borrowing of funds to be applied to such deposit, the grant of any lien securing such borrowing and the consummation of other transactions in connection therewith);</w:t>
      </w:r>
    </w:p>
    <w:p>
      <w:pPr>
        <w:spacing w:after="0" w:line="176"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(e)  such Defeasance or Covenant Defeasance shall not cause any Securities of such series then listed on any registered national securities exchange under the Exchange Act to be delisted;</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  in the case of an election under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81" w:name="page82"/>
    <w:bookmarkEnd w:id="8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based thereon such opinion shall confirm that, the Holders of the Outstanding Securities of such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(g)  in the case of an election under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(h)  such Defeasance or Covenant Defeasance shall be effected in compliance with any additional terms, conditions or limitations which may be imposed on the Company in connection therewith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  the Company shall have delivered to the Trustee an Officer’s Certificate and an Opinion of Counsel, each stating that all conditions precedent relating to either the Defeasance under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or the Covenant Defeasance under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as the case may be, have been complied with.</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Deposited Money and U.S. Government Obligations to Be Held in Trust; Other Miscellaneous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Subject to the provisions of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xml:space="preserve">, all money and U.S. Government Obligations (including the proceeds thereof) deposited with the Trustee (or other qualifying trustee, collectively, for purposes of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in respect of the Outstanding Securities of such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if any) and interest, but such money need not be segregated from other funds except to the extent required by law.</w:t>
      </w:r>
    </w:p>
    <w:p>
      <w:pPr>
        <w:spacing w:after="0" w:line="18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(b)  The Company shall pay and indemnify the Trustee against any tax, fee or other charge imposed on or assessed against the U.S. Government Obligations deposited pursuant to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or the principal and interest received in respect thereof, other than any such tax, fee or other charge which by law is for the account of the Holders of the Outstanding Securities of such series.</w:t>
      </w:r>
    </w:p>
    <w:p>
      <w:pPr>
        <w:spacing w:after="0" w:line="176" w:lineRule="exact"/>
        <w:rPr>
          <w:sz w:val="20"/>
          <w:szCs w:val="20"/>
          <w:color w:val="auto"/>
        </w:rPr>
      </w:pPr>
    </w:p>
    <w:p>
      <w:pPr>
        <w:ind w:right="2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(c)  Anything in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to the contrary notwithstanding, the Trustee shall deliver or pay to the Company from time to time upon Company Request any money or U.S. Government Obligations held by it as provided in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xml:space="preserve"> which, in the opinion of a nationally recognized firm of independent public accountants, investment bank or appraisal firm expressed in a written certification thereof delivered to the Trustee, are in excess of the amount thereof which would then be required to be deposited to effect an equivalent Defeasance or Covenant Defeasance.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  The Parent Guarantor and each other Person who may become a “Guarantor” with respect to any series of Securities to which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is made applicable, irrevocably and unconditionally guarantees (the “Guarantee”) to each Holder of a Security of such series authenticated and delivered by the Trustee and to the Trustee and its successors and assigns, irrespective of the validity and enforceability of this Indenture, the Securities of such series, the obligations of the Company under this Indenture or the Securities of such series or irrespective of restrictions of any kind on the Company’s performance of its obligations under the Securities, and waiving all rights of objection and defense arising from the Securities, that: (i) the principal of and premium, if any, and interest on the Securities of such series will be punctually paid in full when due, whether at the Stated Maturity or Interest Payment Date, by acceleration, call for redemption, or otherwise; (ii) all other obligations of the Company to the Holders of such series or the Trustee under this Indenture or the Securities of such series will be promptly paid in full, all in accordance with the terms of this Indenture and the Securities of such series; and (iii) in case of any extension of time of payment or renewal of any Securities of such series or any of such other obligations thereunder, they will be paid in full when due in accordance with the terms of the extension or renewal, whether at the Stated Maturity or Interest Payment Date, by acceleration, call for redemption, or otherwise. Failing payment when due of any amount so guaranteed for whatever reason, each Guarantor shall be obligated to pay the same before failure so to pay becomes an Event of Default with respect to Securities of any series. If the Company defaults in the payment of the principal of or premium, if any, or interest on the Securities of a series so guaranteed when and as the same shall become due, whether at the Stated Maturity or Interest Payment Date, by acceleration, call for redemption, or otherwise, without the necessity of action by the Trustee or any Holder, each Guarantor with respect to such series shall be required to promptly make such payment in full. The obligations of all Guarantors under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shall be joint and several.</w:t>
      </w:r>
    </w:p>
    <w:p>
      <w:pPr>
        <w:spacing w:after="0" w:line="195"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(b)  Each Guarantor agrees with respect to Securities of any series that its obligations with regard to this Guarantee shall be as principal and not merely as surety and shall be full, irrevocable and unconditional, irrespective of the validity, regularity or enforceability of the Securities of such series or this Indenture, the absence of any action to enforce the same, any delays in obtaining or realizing upon or failures to obtain or realize upon collateral, the recovery of any judgment against the Company, any action to enforce the same or any other circumstances that might otherwise constitute a legal or equitable discharge or defense of a surety or a guarantor. Each Guarantor with respect to Securities of any series hereby waives diligence, presentment, demand of payment, filing of claims with a court in the event of insolvency or bankruptcy of the Company, any right to require a proceeding first against the Company or right to require the prior disposition of the assets of the Company to meet its obligations, protest, notice and all demands whatsoever and covenants that this Guarantee will not be discharged except by complete performance of all obligations contained in the Securities of such series and this Indenture as it relates to such series of Securities. Each Guarantee is a guaranty of payment and not of collection. Unless otherwise specified in the terms of any Guarantee established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the obligations of any Guarantor under this Guarantee will constitute direct, unsecured and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83" w:name="page84"/>
    <w:bookmarkEnd w:id="83"/>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unsubordinated obligations of such Guarantor and any Guarantor undertakes that its obligations hereunder will rank pari passu with all other present or future direct, unsecured and unsubordinated obligations of such Guarantor, save for such obligations as may be mandatorily preferred by law.</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(c)  Any such Guarantee will be a guarantee of payment and not merely of collection, and it shall continue in full force and effect by way of continuing security until all principal, premium, if any, and interest, if any, have been paid in full and all other actual or contingent obligations of the Company in relation to the series of Securities so guaranteed or under the Indenture have been satisfied in full. Notwithstanding the foregoing, if any payment received by any Holder is, on the subsequent bankruptcy or insolvency of the Company, avoided under any applicable laws, including, among others, laws relating to bankruptcy or insolvency, such payment will not be considered as having discharged or diminished the liability of any Guarantor and any such Guarantee will continue to apply as if such payment had at all times remained owing by the Company.</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(d)  If any Holder of Securities of a series or the Trustee is required by any court or otherwise to return to any of the Company or a Guarantor with respect to Securities of that series, or any custodian, trustee, or similar official acting in relation to any of the Company or a Guarantor, any amount paid by any of the Company or a Guarantor to the Trustee or such Holder with respect to Securities of that series, the Guarantee with respect to Securities of that series, to the extent theretofore discharged, shall be reinstated in full force and effect. Each Guarantor agrees that it will not be entitled to any right of subrogation in relation to the Holders of Securities of a series in respect of any obligations guaranteed hereby until payment in full of all obligations of Securities of such series. Each Guarantor further agrees that, as between the Guarantors, on the one hand, and the Holders and the Trustee, on the other hand, (i) the maturity of the obligations guaranteed hereby may be accelerated as provided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for the purposes of a Guarantee, notwithstanding any stay, injunction or other prohibition preventing such acceleration as to the Company of the obligations so guaranteed, and (ii) in the event of any declaration of acceleration of those obligations as provided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those obligations (whether or not due and payable) will forthwith become due and payable by the Guarantors with respect to Securities of a series for purposes of the Guarantee.</w:t>
      </w:r>
    </w:p>
    <w:p>
      <w:pPr>
        <w:spacing w:after="0" w:line="194"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  Each Guarantor and by its acceptance of a Security issued hereunder each Holder hereby confirms that it is the intention of all such parties that the Guarantee by each Guarantor set forth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xml:space="preserve"> not constitute a fraudulent transfer or conveyance for purpose of any Bankruptcy Law, the Uniform Fraudulent Conveyance Act, the Uniform Fraudulent Transfer Act or any similar Federal or state law. To effectuate the foregoing intention, the Holders and all Guarantors hereby irrevocably agree that the obligations of each of the Guarantors under the Guarantee set forth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xml:space="preserve"> shall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Guarantee or pursuant to the next succeeding sentence, result in the obligations of such Guarantor under such Guarantee not constituting such a fraudulent transfer or conveyance. Each Guarantor that makes any payment or distribution under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xml:space="preserve"> shall be entitled to a contribution from each other Guarantor equal to its Pro Rata Portion of such payment or distribution. For purposes of the foregoing, the “</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of any Guarantor means the percentage of net assets of all Guarantors held by such Guarantor, determined in accordance with generally accepted accounting principles.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84" w:name="page85"/>
    <w:bookmarkEnd w:id="8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It is the intention of the parties that the obligations of the Guarantors shall be in, but not in excess of, the maximum amount permitted by applicable law. Accordingly, if the obligations in respect of the Guarantee would be annulled, avoided or subordinated to the creditors of any Guarantor by a court of competent jurisdiction in a proceeding actually pending before such court as a result of a determination both that such Guarantee was made without fair consideration and, immediately after giving effect thereto, such Guarantor was insolvent or unable to pay its debts as they mature or left with an unreasonably small capital, then the obligations of such Guarantor under such Guarantee shall be reduced by such court if and to the extent such reduction would result in the avoidance of such annulment, avoidance or subordination; provided, however, that any reduction pursuant to this paragraph shall be made in the smallest amount as is strictly necessary to reach such result. For purposes of this paragraph, “fair consideration,” “insolvency,” “unable to pay its debts as they mature,” “unreasonably small capital” and the effective times of reductions, if any, required by this paragraph shall be determined in accordance with applicable law.</w:t>
      </w:r>
    </w:p>
    <w:p>
      <w:pPr>
        <w:spacing w:after="0" w:line="18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(g)  If the obligations of any Guarantor are reduced pursuant to </w:t>
      </w:r>
      <w:r>
        <w:rPr>
          <w:rFonts w:ascii="Times New Roman" w:cs="Times New Roman" w:eastAsia="Times New Roman" w:hAnsi="Times New Roman"/>
          <w:sz w:val="18"/>
          <w:szCs w:val="18"/>
          <w:u w:val="single" w:color="auto"/>
          <w:color w:val="auto"/>
        </w:rPr>
        <w:t>Section 12.1(e)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12.1(f)</w:t>
      </w:r>
      <w:r>
        <w:rPr>
          <w:rFonts w:ascii="Times New Roman" w:cs="Times New Roman" w:eastAsia="Times New Roman" w:hAnsi="Times New Roman"/>
          <w:sz w:val="18"/>
          <w:szCs w:val="18"/>
          <w:color w:val="auto"/>
        </w:rPr>
        <w:t xml:space="preserve"> above, such reduction shall be applied proportionately with respect to all Securities (of whatever series) guaranteed under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in accordance with the respective outstanding principal amount of such Securities so guaranteed (or, if any Securities are Original Issue Discount Securities, the accreted value of such Securities) and being then due upon the acceleration of the payment of such Securities.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Future Guarantors</w:t>
      </w:r>
      <w:r>
        <w:rPr>
          <w:rFonts w:ascii="Times New Roman" w:cs="Times New Roman" w:eastAsia="Times New Roman" w:hAnsi="Times New Roman"/>
          <w:sz w:val="18"/>
          <w:szCs w:val="18"/>
          <w:color w:val="auto"/>
        </w:rPr>
        <w:t xml:space="preserve">. Each Person providing a guarantee of any Security of a series pursuant to this Indenture shall execute and deliver a supplemental indenture, which may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making such Person a party to this Indenture for the purpose of becoming a Guarantor.</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u w:val="single" w:color="auto"/>
          <w:color w:val="auto"/>
        </w:rPr>
        <w:t>Delivery of Guarantee</w:t>
      </w:r>
      <w:r>
        <w:rPr>
          <w:rFonts w:ascii="Times New Roman" w:cs="Times New Roman" w:eastAsia="Times New Roman" w:hAnsi="Times New Roman"/>
          <w:sz w:val="18"/>
          <w:szCs w:val="18"/>
          <w:color w:val="auto"/>
        </w:rPr>
        <w:t xml:space="preserve">. The delivery of any Security of a series by the Trustee, after the authentication thereof hereunder, shall constitute due delivery of the Guarantee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on behalf of each Guarantor for that series.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pacing w:after="0" w:line="22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This instrument may be executed in any number of counterparts, each of which so executed shall be deemed to be an original, but all such counterparts shall together constitute one and the same instrument. The exchange of copies of this Indenture and of signature pages by facsimile or electronic transmission (in “.pdf” or other format) shall constitute effective execution and delivery of this Indenture as to the parties hereto and may be used in lieu of the original Indenture for all purposes. Signatures of the parties hereto transmitted by facsimile or electronically (in “.pdf” or other format) shall be deemed to be their original signatures for all purposes.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intentionally left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date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LPL HOLDINGS,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PARENT GUARANTOR: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LPL FINANCIAL HOLDINGS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9579"/>
          </w:cols>
          <w:pgMar w:left="880" w:top="270"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date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 as Trustee</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9579"/>
          </w:cols>
          <w:pgMar w:left="880" w:top="270" w:right="1440"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SUPPLEMENTAL INDENTURE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dated as of         , among           (the “</w:t>
      </w:r>
      <w:r>
        <w:rPr>
          <w:rFonts w:ascii="Times New Roman" w:cs="Times New Roman" w:eastAsia="Times New Roman" w:hAnsi="Times New Roman"/>
          <w:sz w:val="18"/>
          <w:szCs w:val="18"/>
          <w:u w:val="single" w:color="auto"/>
          <w:color w:val="auto"/>
        </w:rPr>
        <w:t>Guaranteeing Subsidiary</w:t>
      </w:r>
      <w:r>
        <w:rPr>
          <w:rFonts w:ascii="Times New Roman" w:cs="Times New Roman" w:eastAsia="Times New Roman" w:hAnsi="Times New Roman"/>
          <w:sz w:val="18"/>
          <w:szCs w:val="18"/>
          <w:color w:val="auto"/>
        </w:rPr>
        <w:t>”), a subsidiary of LPL Holdings, Inc. (or its permitted successor),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Guarantors (as defined in the Indenture referred to herein) and [          ], as trustee under the Indenture referred to below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dated as of [        ]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by and among the Company, LPL Financial Holdings Inc. and the Trustee, as supplemented by a supplemental indenture, dated as of [          ] (the “</w:t>
      </w:r>
      <w:r>
        <w:rPr>
          <w:rFonts w:ascii="Times New Roman" w:cs="Times New Roman" w:eastAsia="Times New Roman" w:hAnsi="Times New Roman"/>
          <w:sz w:val="18"/>
          <w:szCs w:val="18"/>
          <w:u w:val="single" w:color="auto"/>
          <w:color w:val="auto"/>
        </w:rPr>
        <w:t>Supplemental Notes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the Company, the Guarantors and the Trustee providing for the issuance of   % Senior Notes due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Times New Roman" w:cs="Times New Roman" w:eastAsia="Times New Roman" w:hAnsi="Times New Roman"/>
          <w:sz w:val="18"/>
          <w:szCs w:val="18"/>
          <w:u w:val="single" w:color="auto"/>
          <w:color w:val="auto"/>
        </w:rPr>
        <w:t>Note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Base Indenture, the Trustee is authorized to execute and deliver this Supplemental Indenture.</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620" w:hanging="184"/>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340" w:firstLine="436"/>
        <w:spacing w:after="0" w:line="282"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Guarantee</w:t>
      </w:r>
      <w:r>
        <w:rPr>
          <w:rFonts w:ascii="Times New Roman" w:cs="Times New Roman" w:eastAsia="Times New Roman" w:hAnsi="Times New Roman"/>
          <w:sz w:val="18"/>
          <w:szCs w:val="18"/>
          <w:color w:val="auto"/>
        </w:rPr>
        <w:t xml:space="preserve">. The Guaranteeing Subsidiary hereby agrees to provide an unconditional Guarantee on the terms and subject to the conditions set forth in the Note Guarantee and in the Indenture including but not limited to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of the Base Indenture.</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or other communications to the Guaranteeing Subsidiary shall be given as provided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of the Indenture.</w:t>
      </w:r>
    </w:p>
    <w:p>
      <w:pPr>
        <w:spacing w:after="0" w:line="225" w:lineRule="exact"/>
        <w:rPr>
          <w:rFonts w:ascii="Times New Roman" w:cs="Times New Roman" w:eastAsia="Times New Roman" w:hAnsi="Times New Roman"/>
          <w:sz w:val="18"/>
          <w:szCs w:val="18"/>
          <w:color w:val="auto"/>
        </w:rPr>
      </w:pPr>
    </w:p>
    <w:p>
      <w:pPr>
        <w:ind w:right="240" w:firstLine="436"/>
        <w:spacing w:after="0" w:line="266"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recourse for the payment of the principal of or any premium or interest on the Notes, or for any claim based hereon or otherwise in respect hereof, and no recourse under or upon any obligation, covenant or agreement of the Company in the Indenture or any supplemental indenture or in any Note, or because of the creation of any</w:t>
      </w:r>
    </w:p>
    <w:p>
      <w:pPr>
        <w:sectPr>
          <w:pgSz w:w="11900" w:h="16838" w:orient="portrait"/>
          <w:cols w:equalWidth="0" w:num="1">
            <w:col w:w="11020"/>
          </w:cols>
          <w:pgMar w:left="440" w:top="270" w:right="439" w:bottom="1440" w:gutter="0" w:footer="0" w:header="0"/>
        </w:sectPr>
      </w:pPr>
    </w:p>
    <w:bookmarkStart w:id="88" w:name="page89"/>
    <w:bookmarkEnd w:id="88"/>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represented thereby, shall be had against any past, present or future general partner, limited partner, member, employee, incorporator, controlling person, stockholder, officer, director or agent, as such, of the Company, or of any of the Company’s predecessors or successors, either directly or through the Company, under any rule of law, statute or constitutional provision or by the enforcement of any assessment or by any legal or equitable proceeding or otherwise, all such liability being expressly waived and released by the acceptance of the Notes by the Holders thereof and as part of the consideration for the issue of the Notes</w:t>
      </w:r>
    </w:p>
    <w:p>
      <w:pPr>
        <w:spacing w:after="0" w:line="183" w:lineRule="exact"/>
        <w:rPr>
          <w:sz w:val="20"/>
          <w:szCs w:val="20"/>
          <w:color w:val="auto"/>
        </w:rPr>
      </w:pPr>
    </w:p>
    <w:p>
      <w:pPr>
        <w:jc w:val="both"/>
        <w:ind w:firstLine="436"/>
        <w:spacing w:after="0" w:line="266"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Indenture; Supplemental Indenture part of Indenture</w:t>
      </w:r>
      <w:r>
        <w:rPr>
          <w:rFonts w:ascii="Times New Roman" w:cs="Times New Roman" w:eastAsia="Times New Roman" w:hAnsi="Times New Roman"/>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75" w:lineRule="exact"/>
        <w:rPr>
          <w:rFonts w:ascii="Times New Roman" w:cs="Times New Roman" w:eastAsia="Times New Roman" w:hAnsi="Times New Roman"/>
          <w:sz w:val="18"/>
          <w:szCs w:val="18"/>
          <w:color w:val="auto"/>
        </w:rPr>
      </w:pPr>
    </w:p>
    <w:p>
      <w:pPr>
        <w:ind w:right="80" w:firstLine="436"/>
        <w:spacing w:after="0" w:line="255"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xml:space="preserve"> If any provision hereof limits, qualifies or conflicts with another provision hereof which is required to be included in this Supplemental Indenture by any of the provisions of the Trust Indenture Act, such required provision shall control. If any provision hereof limits, qualifies or conflicts with the duties imposed by Section 318(c) of the Trust Indenture Act, such imposed duties shall control. If any provision of this Supplemental Indenture limits, qualifies or conflicts with a provision of the Trust Indenture Act that is required under the Trust Indenture Act to be a part of and govern this Supplemental Indenture, such provision of the Trust Indenture Act shall control. If any provision of this Supplemental Indenture modifies or excludes any provision of the Trust Indenture Act that may be so modified or excluded, the latter provision shall be deemed to apply to this Supplemental Indenture as such provision of the Trust Indenture Act is so modified or excluded, as the case may be.</w:t>
      </w:r>
    </w:p>
    <w:p>
      <w:pPr>
        <w:spacing w:after="0" w:line="188" w:lineRule="exact"/>
        <w:rPr>
          <w:rFonts w:ascii="Times New Roman" w:cs="Times New Roman" w:eastAsia="Times New Roman" w:hAnsi="Times New Roman"/>
          <w:sz w:val="18"/>
          <w:szCs w:val="18"/>
          <w:color w:val="auto"/>
        </w:rPr>
      </w:pPr>
    </w:p>
    <w:p>
      <w:pPr>
        <w:ind w:right="120" w:firstLine="436"/>
        <w:spacing w:after="0" w:line="266"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Supplemental Indenture shall be governed by, and construed in accordance with, the laws of the State of New York. This Supplemental Indenture is subject to the provisions of the Trust Indenture Act, that are required to be part of this Supplemental Indenture and shall, to the extent applicable, be governed by such provisions.</w:t>
      </w:r>
    </w:p>
    <w:p>
      <w:pPr>
        <w:spacing w:after="0" w:line="175" w:lineRule="exact"/>
        <w:rPr>
          <w:rFonts w:ascii="Times New Roman" w:cs="Times New Roman" w:eastAsia="Times New Roman" w:hAnsi="Times New Roman"/>
          <w:sz w:val="18"/>
          <w:szCs w:val="18"/>
          <w:color w:val="auto"/>
        </w:rPr>
      </w:pPr>
    </w:p>
    <w:p>
      <w:pPr>
        <w:ind w:right="120" w:firstLine="436"/>
        <w:spacing w:after="0" w:line="258"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Supplemental Indenture may be executed in any number of counterparts, each of which shall be an original, but all such counterparts shall together constitute one and the same instrument. The exchange of copies of this Supplemental Indenture and of signature pages by facsimile or electronic transmission (in “.pdf” or other format) shall constitute effective execution and delivery of this Supplemental Indenture as to the parties hereto and may be used in lieu of the original Indenture for all purposes. Signatures of the parties hereto transmitted by facsimile or electronically (in “.pdf” or other format) shall be deemed to be their original signatures for all purposes.</w:t>
      </w:r>
    </w:p>
    <w:p>
      <w:pPr>
        <w:spacing w:after="0" w:line="1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right="120" w:firstLine="436"/>
        <w:spacing w:after="0" w:line="261" w:lineRule="auto"/>
        <w:tabs>
          <w:tab w:leader="none" w:pos="7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Trustee</w:t>
      </w:r>
      <w:r>
        <w:rPr>
          <w:rFonts w:ascii="Times New Roman" w:cs="Times New Roman" w:eastAsia="Times New Roman" w:hAnsi="Times New Roman"/>
          <w:sz w:val="18"/>
          <w:szCs w:val="18"/>
          <w:color w:val="auto"/>
        </w:rPr>
        <w:t>. In entering into this Supplemental Indenture, the Trustee shall be entitled to the benefit of every provision of the Indenture relating to the conduct or affecting the liability of or affording protection to the Trustee, whether or not elsewhere herein so provided.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ectPr>
          <w:pgSz w:w="11900" w:h="16838" w:orient="portrait"/>
          <w:cols w:equalWidth="0" w:num="1">
            <w:col w:w="11000"/>
          </w:cols>
          <w:pgMar w:left="440" w:top="270" w:right="459" w:bottom="1440" w:gutter="0" w:footer="0" w:header="0"/>
        </w:sectPr>
      </w:pPr>
    </w:p>
    <w:bookmarkStart w:id="89" w:name="page90"/>
    <w:bookmarkEnd w:id="8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GUARANTEEING SUBSIDIARY: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LPL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620"/>
          </w:cols>
          <w:pgMar w:left="440" w:top="270" w:right="8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2324"/>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539750" cy="677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539750" cy="677545"/>
                    </a:xfrm>
                    <a:prstGeom prst="rect">
                      <a:avLst/>
                    </a:prstGeom>
                    <a:noFill/>
                  </pic:spPr>
                </pic:pic>
              </a:graphicData>
            </a:graphic>
          </wp:anchor>
        </w:drawing>
      </w:r>
    </w:p>
    <w:p>
      <w:pPr>
        <w:spacing w:after="0" w:line="7" w:lineRule="exact"/>
        <w:rPr>
          <w:sz w:val="20"/>
          <w:szCs w:val="20"/>
          <w:color w:val="auto"/>
        </w:rPr>
      </w:pPr>
    </w:p>
    <w:p>
      <w:pPr>
        <w:ind w:left="2324"/>
        <w:spacing w:after="0"/>
        <w:rPr>
          <w:sz w:val="20"/>
          <w:szCs w:val="20"/>
          <w:color w:val="auto"/>
        </w:rPr>
      </w:pPr>
      <w:r>
        <w:rPr>
          <w:rFonts w:ascii="Times New Roman" w:cs="Times New Roman" w:eastAsia="Times New Roman" w:hAnsi="Times New Roman"/>
          <w:sz w:val="18"/>
          <w:szCs w:val="18"/>
          <w:color w:val="auto"/>
        </w:rPr>
        <w:t>PRUDENTIAL TOWER</w:t>
      </w:r>
    </w:p>
    <w:p>
      <w:pPr>
        <w:spacing w:after="0" w:line="9" w:lineRule="exact"/>
        <w:rPr>
          <w:sz w:val="20"/>
          <w:szCs w:val="20"/>
          <w:color w:val="auto"/>
        </w:rPr>
      </w:pPr>
    </w:p>
    <w:p>
      <w:pPr>
        <w:ind w:left="2324"/>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ind w:left="2324"/>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9" w:lineRule="exact"/>
        <w:rPr>
          <w:sz w:val="20"/>
          <w:szCs w:val="20"/>
          <w:color w:val="auto"/>
        </w:rPr>
      </w:pPr>
    </w:p>
    <w:p>
      <w:pPr>
        <w:ind w:left="2324"/>
        <w:spacing w:after="0"/>
        <w:rPr>
          <w:sz w:val="20"/>
          <w:szCs w:val="20"/>
          <w:color w:val="auto"/>
        </w:rPr>
      </w:pPr>
      <w:r>
        <w:rPr>
          <w:rFonts w:ascii="Times New Roman" w:cs="Times New Roman" w:eastAsia="Times New Roman" w:hAnsi="Times New Roman"/>
          <w:sz w:val="18"/>
          <w:szCs w:val="18"/>
          <w:color w:val="auto"/>
        </w:rPr>
        <w:t>WWW.ROPESGRAY.COM</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3, 2025</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LPL Financial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LPL Holdings,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4707 Executive Drive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 Registration of Securities on Form S-3</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We have acted as counsel to LPL Financial Holdings Inc., a Delaware corporation (“</w:t>
      </w:r>
      <w:r>
        <w:rPr>
          <w:rFonts w:ascii="Times New Roman" w:cs="Times New Roman" w:eastAsia="Times New Roman" w:hAnsi="Times New Roman"/>
          <w:sz w:val="18"/>
          <w:szCs w:val="18"/>
          <w:u w:val="single" w:color="auto"/>
          <w:color w:val="auto"/>
        </w:rPr>
        <w:t>LPLFH</w:t>
      </w:r>
      <w:r>
        <w:rPr>
          <w:rFonts w:ascii="Times New Roman" w:cs="Times New Roman" w:eastAsia="Times New Roman" w:hAnsi="Times New Roman"/>
          <w:sz w:val="18"/>
          <w:szCs w:val="18"/>
          <w:color w:val="auto"/>
        </w:rPr>
        <w:t>”) and LPL Holdings, Inc., a Massachusetts corporation (“</w:t>
      </w:r>
      <w:r>
        <w:rPr>
          <w:rFonts w:ascii="Times New Roman" w:cs="Times New Roman" w:eastAsia="Times New Roman" w:hAnsi="Times New Roman"/>
          <w:sz w:val="18"/>
          <w:szCs w:val="18"/>
          <w:u w:val="single" w:color="auto"/>
          <w:color w:val="auto"/>
        </w:rPr>
        <w:t>LPLH</w:t>
      </w:r>
      <w:r>
        <w:rPr>
          <w:rFonts w:ascii="Times New Roman" w:cs="Times New Roman" w:eastAsia="Times New Roman" w:hAnsi="Times New Roman"/>
          <w:sz w:val="18"/>
          <w:szCs w:val="18"/>
          <w:color w:val="auto"/>
        </w:rPr>
        <w:t>,” and together with LPLFH,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in connection with the registration statement on Form S-3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filed on the date hereof by the Companies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under the Securities Act and the proposed issuance and sale from time to time pursuant to Rule 415 under the Securities Act of:</w:t>
      </w:r>
    </w:p>
    <w:p>
      <w:pPr>
        <w:spacing w:after="0" w:line="75" w:lineRule="exact"/>
        <w:rPr>
          <w:sz w:val="20"/>
          <w:szCs w:val="20"/>
          <w:color w:val="auto"/>
        </w:rPr>
      </w:pPr>
    </w:p>
    <w:p>
      <w:pPr>
        <w:ind w:left="664" w:hanging="224"/>
        <w:spacing w:after="0"/>
        <w:tabs>
          <w:tab w:leader="none" w:pos="6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LPLFH’s common stock, $0.01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7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series of debt securities of LPLH (the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which Debt Securities may include senior debt securities or subordinated debt securities issued under an indenture, including any supplemental indenture related thereto, payments in respect of which will be fully and unconditionally guaranteed by LPLFH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Common Stock, the Debt Securities and the Guarantees are referred to herein collectively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Companies, public officials and other appropriate persons.</w:t>
      </w:r>
    </w:p>
    <w:p>
      <w:pPr>
        <w:spacing w:after="0" w:line="158"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opinions expressed below are limited to the laws of the State of New York, the Delaware General Corporation Law and the Massachusetts Business Corporations Act.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Based upon and subject to the foregoing and the assumptions, qualifications and limitations set forth below, we are of the opinion that:</w:t>
      </w:r>
    </w:p>
    <w:p>
      <w:pPr>
        <w:spacing w:after="0" w:line="225" w:lineRule="exact"/>
        <w:rPr>
          <w:sz w:val="20"/>
          <w:szCs w:val="20"/>
          <w:color w:val="auto"/>
        </w:rPr>
      </w:pPr>
    </w:p>
    <w:p>
      <w:pPr>
        <w:ind w:left="624" w:hanging="184"/>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issuance and sale of any shares of Common Stock have been duly authorized by all necessary corporate action of LPLFH and</w:t>
      </w:r>
    </w:p>
    <w:p>
      <w:pPr>
        <w:spacing w:after="0" w:line="27" w:lineRule="exact"/>
        <w:rPr>
          <w:rFonts w:ascii="Times New Roman" w:cs="Times New Roman" w:eastAsia="Times New Roman" w:hAnsi="Times New Roman"/>
          <w:sz w:val="18"/>
          <w:szCs w:val="18"/>
          <w:color w:val="auto"/>
        </w:rPr>
      </w:pPr>
    </w:p>
    <w:p>
      <w:pPr>
        <w:ind w:left="4" w:right="140" w:hanging="4"/>
        <w:spacing w:after="0" w:line="255" w:lineRule="auto"/>
        <w:tabs>
          <w:tab w:leader="none" w:pos="2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have been issued and delivered against payment of the purchase price therefor (in an amount in excess of the par value thereof) in accordance with the applicable purchase, underwriting or other agreement, and as contemplated by the Registration Statement, such shares of Common Stock will be validly issued, fully paid and nonassessable.</w:t>
      </w:r>
    </w:p>
    <w:p>
      <w:pPr>
        <w:sectPr>
          <w:pgSz w:w="11900" w:h="16838" w:orient="portrait"/>
          <w:cols w:equalWidth="0" w:num="1">
            <w:col w:w="11024"/>
          </w:cols>
          <w:pgMar w:left="436" w:top="117" w:right="439" w:bottom="1440" w:gutter="0" w:footer="0" w:header="0"/>
        </w:sectPr>
      </w:pPr>
    </w:p>
    <w:bookmarkStart w:id="91" w:name="page92"/>
    <w:bookmarkEnd w:id="9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LPL Financial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LPL Holdings, Inc.</w:t>
      </w:r>
    </w:p>
    <w:p>
      <w:pPr>
        <w:spacing w:after="0" w:line="139" w:lineRule="exact"/>
        <w:rPr>
          <w:sz w:val="20"/>
          <w:szCs w:val="20"/>
          <w:color w:val="auto"/>
        </w:rPr>
      </w:pPr>
    </w:p>
    <w:p>
      <w:pPr>
        <w:ind w:left="624" w:hanging="184"/>
        <w:spacing w:after="0"/>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terms of any Debt Securities and their issuance and sale have been duly authorized by all necessary corporate action of LPLH and</w:t>
      </w:r>
    </w:p>
    <w:p>
      <w:pPr>
        <w:spacing w:after="0" w:line="27" w:lineRule="exact"/>
        <w:rPr>
          <w:rFonts w:ascii="Times New Roman" w:cs="Times New Roman" w:eastAsia="Times New Roman" w:hAnsi="Times New Roman"/>
          <w:sz w:val="18"/>
          <w:szCs w:val="18"/>
          <w:color w:val="auto"/>
        </w:rPr>
      </w:pPr>
    </w:p>
    <w:p>
      <w:pPr>
        <w:ind w:left="4" w:right="80" w:hanging="4"/>
        <w:spacing w:after="0" w:line="253"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 Securities have been duly executed, authenticated and delivered against payment of the purchase price therefor in accordance with the applicable definitive purchase, underwriting or similar agreement, as contemplated by the Registration Statement, and in the manner provided for in the applicable indenture, such Debt Securities will constitute valid and binding obligations of LPLH enforceable against LPLH in accordance with their respective terms.</w:t>
      </w:r>
    </w:p>
    <w:p>
      <w:pPr>
        <w:spacing w:after="0" w:line="188" w:lineRule="exact"/>
        <w:rPr>
          <w:rFonts w:ascii="Times New Roman" w:cs="Times New Roman" w:eastAsia="Times New Roman" w:hAnsi="Times New Roman"/>
          <w:sz w:val="18"/>
          <w:szCs w:val="18"/>
          <w:color w:val="auto"/>
        </w:rPr>
      </w:pPr>
    </w:p>
    <w:p>
      <w:pPr>
        <w:ind w:left="4" w:right="260" w:firstLine="436"/>
        <w:spacing w:after="0" w:line="261" w:lineRule="auto"/>
        <w:tabs>
          <w:tab w:leader="none" w:pos="62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issuance and terms of any Guarantee have been duly authorized by all necessary corporate action of LPLFH, and (ii) such Guarantee has been duly executed and delivered in accordance with the applicable guarantee agreement, in accordance with the applicable purchase, underwriting or other agreement, and as contemplated by the Registration Statement, such Guarantee will constitute a valid and binding obligation of LPLFH enforceable against LPLFH in accordance with its terms.</w:t>
      </w:r>
    </w:p>
    <w:p>
      <w:pPr>
        <w:spacing w:after="0" w:line="1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In rendering the opinions set forth above, we have assumed that (i) the Registration Statement will have become effective under the Securities Act, a prospectus supplement will have been prepared and filed with the Commission describing the Securities offered thereby and such Securities will have been issued and sold in accordance with the terms of such prospectus supplement; (ii) a definitive purchase, underwriting, or similar agreement, and any applicable indenture (including any supplemental indenture) or guarantee agreement, pursuant to which such Securities may be issued, will have been duly authorized, executed and delivered by the applicable Company and the other parties thereto, and the specific terms of such Securities will have been duly established in conformity with the applicable agreement and the certificate of incorporation and bylaws of the applicable Company (if applicable); (iii) at the time of the issuance of any Securities, the applicable Company will be a validly existing corporation under the law of its jurisdiction of incorporation; (iv) the number of shares of Common Stock issued pursuant to the Registration Statement, together with the number of shares outstanding or reserved at the time of issuance, will not exceed the number of shares authorized by LPLFH’s certificate of incorporation in effect at the time of such issuance; and (v) all the foregoing actions to be taken by the applicable Company will have been taken so as not to violate any applicable law and so as to comply with any requirement or restriction imposed by any court or governmental or regulatory body having jurisdiction over the applicable Company or any of its property.</w:t>
      </w:r>
    </w:p>
    <w:p>
      <w:pPr>
        <w:spacing w:after="0" w:line="190" w:lineRule="exact"/>
        <w:rPr>
          <w:sz w:val="20"/>
          <w:szCs w:val="20"/>
          <w:color w:val="auto"/>
        </w:rPr>
      </w:pPr>
    </w:p>
    <w:p>
      <w:pPr>
        <w:ind w:left="4" w:right="240" w:firstLine="440"/>
        <w:spacing w:after="0" w:line="254" w:lineRule="auto"/>
        <w:rPr>
          <w:sz w:val="20"/>
          <w:szCs w:val="20"/>
          <w:color w:val="auto"/>
        </w:rPr>
      </w:pPr>
      <w:r>
        <w:rPr>
          <w:rFonts w:ascii="Times New Roman" w:cs="Times New Roman" w:eastAsia="Times New Roman" w:hAnsi="Times New Roman"/>
          <w:sz w:val="18"/>
          <w:szCs w:val="18"/>
          <w:color w:val="auto"/>
        </w:rPr>
        <w:t>Our opinions set forth above are subject to (a) bankruptcy, insolvency, reorganization, moratorium, fraudulent conveyance and similar laws affecting the rights and remedies of creditors generally and (b) general principles of equity. Our opinions are also subject to the qualification that the enforceability of provisions in the applicable indenture (including any supplemental indenture) providing for indemnification or contribution, broadly worded waivers, waivers of rights to damages or defenses, waivers of unknown or future claims, and waivers of statutory, regulatory or constitutional rights may be limited on public policy or statutory grounds. In addition, we express no opinion with respect to the enforceability of (i) any fraudulent transfer savings clause or similar provision of any Guarantee which purports to limit the obligations of LPLFH thereunder or the effect of the unenforceability of such provision on the enforceability of such Guarantee or (ii) rights to receive prepayment premiums or the unaccrued portion of original issue discount upon acceleration of any Debt Securities, in each case to the extent determined to be unreasonable or to constitute unmatured interest.</w:t>
      </w:r>
    </w:p>
    <w:p>
      <w:pPr>
        <w:spacing w:after="0" w:line="188" w:lineRule="exact"/>
        <w:rPr>
          <w:sz w:val="20"/>
          <w:szCs w:val="20"/>
          <w:color w:val="auto"/>
        </w:rPr>
      </w:pPr>
    </w:p>
    <w:p>
      <w:pPr>
        <w:jc w:val="both"/>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Ropes &amp; Gray LLP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 and Issuers of Guaranteed Securities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LPL Financial Holdings Inc. will fully and unconditionally guarantee the debt securities issued by LPL Holdings, Inc., a subsidiary of LPL Financial Holdings Inc., pursuant to the registration statement of which this Exhibit 22.1 is a part.</w:t>
      </w:r>
    </w:p>
    <w:p>
      <w:pPr>
        <w:sectPr>
          <w:pgSz w:w="11900" w:h="16838" w:orient="portrait"/>
          <w:cols w:equalWidth="0" w:num="1">
            <w:col w:w="11020"/>
          </w:cols>
          <w:pgMar w:left="440" w:top="117" w:right="4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reports dated February 20, 2025, relating to the consolidated financial statements of LPL Financial Holdings Inc. and subsidiaries, and the effectiveness of LPL Financial Holdings Inc.’s internal control over financial reporting, appearing in the Annual Report on Form 10-K of LPL Financial Holdings Inc. for the year ended December 31, 2024.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ectPr>
          <w:pgSz w:w="11900" w:h="16838" w:orient="portrait"/>
          <w:cols w:equalWidth="0" w:num="1">
            <w:col w:w="11020"/>
          </w:cols>
          <w:pgMar w:left="440" w:top="117" w:right="4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LPL Financial Holdings Inc.</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LPL Holdings, Inc.</w:t>
      </w:r>
    </w:p>
    <w:p>
      <w:pPr>
        <w:spacing w:after="0" w:line="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920" w:type="dxa"/>
            <w:vAlign w:val="bottom"/>
            <w:tcBorders>
              <w:top w:val="single" w:sz="8" w:color="auto"/>
              <w:left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Proposed</w:t>
            </w:r>
          </w:p>
        </w:tc>
        <w:tc>
          <w:tcPr>
            <w:tcW w:w="12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26"/>
        </w:trPr>
        <w:tc>
          <w:tcPr>
            <w:tcW w:w="92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Fee</w:t>
            </w:r>
          </w:p>
        </w:tc>
        <w:tc>
          <w:tcPr>
            <w:tcW w:w="7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4"/>
              </w:rPr>
              <w:t>Carry</w:t>
            </w:r>
          </w:p>
        </w:tc>
        <w:tc>
          <w:tcPr>
            <w:tcW w:w="7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Calculation</w:t>
            </w:r>
          </w:p>
        </w:tc>
        <w:tc>
          <w:tcPr>
            <w:tcW w:w="7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9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7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9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5"/>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 xml:space="preserve">Registered </w:t>
            </w:r>
            <w:r>
              <w:rPr>
                <w:rFonts w:ascii="Times New Roman" w:cs="Times New Roman" w:eastAsia="Times New Roman" w:hAnsi="Times New Roman"/>
                <w:sz w:val="15"/>
                <w:szCs w:val="15"/>
                <w:color w:val="auto"/>
                <w:w w:val="99"/>
                <w:vertAlign w:val="superscript"/>
              </w:rPr>
              <w:t>(1)</w:t>
            </w:r>
            <w:r>
              <w:rPr>
                <w:rFonts w:ascii="Times New Roman" w:cs="Times New Roman" w:eastAsia="Times New Roman" w:hAnsi="Times New Roman"/>
                <w:sz w:val="13"/>
                <w:szCs w:val="13"/>
                <w:color w:val="auto"/>
                <w:w w:val="99"/>
              </w:rPr>
              <w:t xml:space="preserve"> </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32"/>
        </w:trPr>
        <w:tc>
          <w:tcPr>
            <w:tcW w:w="92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9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 par</w:t>
            </w: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 per share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Fees to</w:t>
            </w: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Be</w:t>
            </w: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Guarantees (5)</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457(n)</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20" w:type="dxa"/>
            <w:vAlign w:val="bottom"/>
            <w:tcBorders>
              <w:left w:val="single" w:sz="8" w:color="auto"/>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$4,000,000,000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$612,400.00</w:t>
            </w:r>
          </w:p>
        </w:tc>
        <w:tc>
          <w:tcPr>
            <w:tcW w:w="5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2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center"/>
              <w:ind w:right="101"/>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9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2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Carry</w:t>
            </w: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Forward</w:t>
            </w: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2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Securities</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20" w:type="dxa"/>
            <w:vAlign w:val="bottom"/>
            <w:tcBorders>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9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$4,000,000,000</w:t>
            </w:r>
          </w:p>
        </w:tc>
        <w:tc>
          <w:tcPr>
            <w:tcW w:w="9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$612,400.00</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9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9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9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$612,400.00</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80" w:hanging="424"/>
        <w:spacing w:after="0" w:line="257"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common stock being registered hereunder includes such indeterminable number of shares of common stock that may be offered or issued in connection with any stock split, stock dividend or similar transactions.</w:t>
      </w:r>
    </w:p>
    <w:p>
      <w:pPr>
        <w:spacing w:after="0" w:line="1"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an indeterminate number of shares of common stock and an indeterminate principal amount of debt securities. The proposed maximum offering price will be determined, from time to time, by the applicable registrant in connection with the issuance by such registrant of the securities registered hereunder. In no event will the aggregate maximum offering price of all securities issued pursuant to this registration statement exceed $4,000,000,000 or, if any debt securities are issued at an original issue discount, such greater amount as will result in an aggregate offering price of $4,000,000,000, less the aggregate dollar amount of all securities previously issued pursuant to this registration statement.</w:t>
      </w:r>
    </w:p>
    <w:p>
      <w:pPr>
        <w:spacing w:after="0" w:line="2"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unit and aggregate offering prices per class of securities will be determined from time to time by the applicable registrant in connection with the issuance by such registrant of the securities registered under this registration statement and is not specified as to each class of security pursuant to Instruction 2.A.iii.b. to the Calculation of Filing Fee Tables and Related Disclosure on Form S-3 under the Securities Act.</w:t>
      </w:r>
    </w:p>
    <w:p>
      <w:pPr>
        <w:spacing w:after="0" w:line="1" w:lineRule="exact"/>
        <w:rPr>
          <w:rFonts w:ascii="Times New Roman" w:cs="Times New Roman" w:eastAsia="Times New Roman" w:hAnsi="Times New Roman"/>
          <w:sz w:val="18"/>
          <w:szCs w:val="18"/>
          <w:color w:val="auto"/>
        </w:rPr>
      </w:pPr>
    </w:p>
    <w:p>
      <w:pPr>
        <w:ind w:left="424" w:right="400"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issued under this registration statement may consist of one or more series of senior and/or subordinated debt securities of LPL Holdings, Inc.</w:t>
      </w:r>
    </w:p>
    <w:p>
      <w:pPr>
        <w:jc w:val="both"/>
        <w:ind w:left="424" w:right="200" w:hanging="424"/>
        <w:spacing w:after="0" w:line="255"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LPL Financial Holdings Inc. will fully and unconditionally guarantee the payment of principal of, and premium (if any) and interest on, the debt securities of LPL Holdings, Inc. No separate consideration will be received for the guarantees. Pursuant to Rule 457(n) under the Securities Act, no registration fee is required with respect to the guarantees.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
      <w:numFmt w:val="bullet"/>
      <w:start w:val="1"/>
    </w:lvl>
  </w:abstractNum>
  <w:abstractNum w:abstractNumId="8">
    <w:nsid w:val="519B500D"/>
    <w:multiLevelType w:val="hybridMultilevel"/>
    <w:lvl w:ilvl="0">
      <w:lvlJc w:val="left"/>
      <w:lvlText w:val=" "/>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Roman"/>
      <w:start w:val="2"/>
    </w:lvl>
  </w:abstractNum>
  <w:abstractNum w:abstractNumId="13">
    <w:nsid w:val="62BBD95A"/>
    <w:multiLevelType w:val="hybridMultilevel"/>
    <w:lvl w:ilvl="0">
      <w:lvlJc w:val="left"/>
      <w:lvlText w:val="(%1)"/>
      <w:numFmt w:val="decimal"/>
      <w:start w:val="2"/>
    </w:lvl>
  </w:abstractNum>
  <w:abstractNum w:abstractNumId="14">
    <w:nsid w:val="436C6125"/>
    <w:multiLevelType w:val="hybridMultilevel"/>
    <w:lvl w:ilvl="0">
      <w:lvlJc w:val="left"/>
      <w:lvlText w:val="(%1)"/>
      <w:numFmt w:val="lowerRoman"/>
      <w:start w:val="1"/>
    </w:lvl>
  </w:abstractNum>
  <w:abstractNum w:abstractNumId="15">
    <w:nsid w:val="628C895D"/>
    <w:multiLevelType w:val="hybridMultilevel"/>
    <w:lvl w:ilvl="0">
      <w:lvlJc w:val="left"/>
      <w:lvlText w:val="(%1)"/>
      <w:numFmt w:val="decimal"/>
      <w:start w:val="5"/>
    </w:lvl>
  </w:abstractNum>
  <w:abstractNum w:abstractNumId="16">
    <w:nsid w:val="333AB105"/>
    <w:multiLevelType w:val="hybridMultilevel"/>
    <w:lvl w:ilvl="0">
      <w:lvlJc w:val="left"/>
      <w:lvlText w:val="(%1)"/>
      <w:numFmt w:val="lowerLetter"/>
      <w:start w:val="2"/>
    </w:lvl>
  </w:abstractNum>
  <w:abstractNum w:abstractNumId="17">
    <w:nsid w:val="721DA317"/>
    <w:multiLevelType w:val="hybridMultilevel"/>
    <w:lvl w:ilvl="0">
      <w:lvlJc w:val="left"/>
      <w:lvlText w:val="(%1)"/>
      <w:numFmt w:val="upperLetter"/>
      <w:start w:val="3"/>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lowerRoman"/>
      <w:start w:val="1"/>
    </w:lvl>
  </w:abstractNum>
  <w:abstractNum w:abstractNumId="21">
    <w:nsid w:val="75A2A8D4"/>
    <w:multiLevelType w:val="hybridMultilevel"/>
    <w:lvl w:ilvl="0">
      <w:lvlJc w:val="left"/>
      <w:lvlText w:val="%1"/>
      <w:numFmt w:val="lowerRoman"/>
      <w:start w:val="1"/>
    </w:lvl>
    <w:lvl w:ilvl="1">
      <w:lvlJc w:val="left"/>
      <w:lvlText w:val="%2."/>
      <w:numFmt w:val="decimal"/>
      <w:start w:val="1"/>
    </w:lvl>
  </w:abstractNum>
  <w:abstractNum w:abstractNumId="22">
    <w:nsid w:val="8EDBDAB"/>
    <w:multiLevelType w:val="hybridMultilevel"/>
    <w:lvl w:ilvl="0">
      <w:lvlJc w:val="left"/>
      <w:lvlText w:val="(%1)"/>
      <w:numFmt w:val="lowerRoman"/>
      <w:start w:val="2"/>
    </w:lvl>
    <w:lvl w:ilvl="1">
      <w:lvlJc w:val="left"/>
      <w:lvlText w:val="%2"/>
      <w:numFmt w:val="decimal"/>
      <w:start w:val="1"/>
    </w:lvl>
  </w:abstractNum>
  <w:abstractNum w:abstractNumId="23">
    <w:nsid w:val="79838CB2"/>
    <w:multiLevelType w:val="hybridMultilevel"/>
    <w:lvl w:ilvl="0">
      <w:lvlJc w:val="left"/>
      <w:lvlText w:val="%1"/>
      <w:numFmt w:val="lowerRoman"/>
      <w:start w:val="1"/>
    </w:lvl>
    <w:lvl w:ilvl="1">
      <w:lvlJc w:val="left"/>
      <w:lvlText w:val="%2."/>
      <w:numFmt w:val="decimal"/>
      <w:start w:val="2"/>
    </w:lvl>
  </w:abstractNum>
  <w:abstractNum w:abstractNumId="24">
    <w:nsid w:val="4353D0CD"/>
    <w:multiLevelType w:val="hybridMultilevel"/>
    <w:lvl w:ilvl="0">
      <w:lvlJc w:val="left"/>
      <w:lvlText w:val="(%1)"/>
      <w:numFmt w:val="lowerRoman"/>
      <w:start w:val="2"/>
    </w:lvl>
    <w:lvl w:ilvl="1">
      <w:lvlJc w:val="left"/>
      <w:lvlText w:val="%2."/>
      <w:numFmt w:val="decimal"/>
      <w:start w:val="3"/>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jpeg"/><Relationship Id="rId147" Type="http://schemas.openxmlformats.org/officeDocument/2006/relationships/image" Target="media/image128.png"/><Relationship Id="rId42" Type="http://schemas.openxmlformats.org/officeDocument/2006/relationships/hyperlink" Target="http://www.sec.gov/ix?doc=/Archives/edgar/data/0001397911/000139791125000018/lpla-20241231.htm" TargetMode="External"/><Relationship Id="rId43" Type="http://schemas.openxmlformats.org/officeDocument/2006/relationships/hyperlink" Target="http://www.sec.gov/ix?doc=/Archives/edgar/data/0001397911/000119312525035129/d920333d8k.htm" TargetMode="External"/><Relationship Id="rId44" Type="http://schemas.openxmlformats.org/officeDocument/2006/relationships/hyperlink" Target="http://www.sec.gov/ix?doc=/Archives/edgar/data/0001397911/000119312525036781/d919242d8k.htm" TargetMode="External"/><Relationship Id="rId45" Type="http://schemas.openxmlformats.org/officeDocument/2006/relationships/hyperlink" Target="http://www.sec.gov/Archives/edgar/data/1397911/000095012310104778/b83403e8va12b.htm" TargetMode="External"/><Relationship Id="rId46" Type="http://schemas.openxmlformats.org/officeDocument/2006/relationships/hyperlink" Target="http://www.sec.gov/Archives/edgar/data/1397911/000139791125000018/exhibit4820241231.htm" TargetMode="External"/><Relationship Id="rId51" Type="http://schemas.openxmlformats.org/officeDocument/2006/relationships/hyperlink" Target="http://www.sec.gov/Archives/edgar/data/1397911/000095012310064557/b80825a2exv3w1.htm" TargetMode="External"/><Relationship Id="rId52" Type="http://schemas.openxmlformats.org/officeDocument/2006/relationships/hyperlink" Target="http://www.sec.gov/Archives/edgar/data/1397911/000119312512274621/d367583dex31.htm" TargetMode="External"/><Relationship Id="rId53" Type="http://schemas.openxmlformats.org/officeDocument/2006/relationships/hyperlink" Target="http://www.sec.gov/Archives/edgar/data/1397911/000139791114000094/a20140508exhibit31.htm" TargetMode="External"/><Relationship Id="rId54" Type="http://schemas.openxmlformats.org/officeDocument/2006/relationships/hyperlink" Target="http://www.sec.gov/Archives/edgar/data/1139097/000113909717000013/exhibit34restatedarticleso.htm" TargetMode="External"/><Relationship Id="rId55" Type="http://schemas.openxmlformats.org/officeDocument/2006/relationships/hyperlink" Target="http://www.sec.gov/Archives/edgar/data/1139097/000113909717000013/exhibit35articlesofmerger.htm" TargetMode="External"/><Relationship Id="rId56" Type="http://schemas.openxmlformats.org/officeDocument/2006/relationships/hyperlink" Target="http://www.sec.gov/Archives/edgar/data/1139097/000113909717000013/exhibit36lplholdingsinc-am.htm" TargetMode="External"/><Relationship Id="rId57" Type="http://schemas.openxmlformats.org/officeDocument/2006/relationships/hyperlink" Target="http://www.sec.gov/Archives/edgar/data/1397911/000095012310067769/b8169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2025-03-03T16:19:03Z</dcterms:created>
  <dcterms:modified xsi:type="dcterms:W3CDTF">2025-03-03T16:19:03Z</dcterms:modified>
</cp:coreProperties>
</file>