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9" w:lineRule="exact"/>
        <w:rPr>
          <w:sz w:val="24"/>
          <w:szCs w:val="24"/>
          <w:color w:val="auto"/>
        </w:rPr>
      </w:pPr>
    </w:p>
    <w:p>
      <w:pPr>
        <w:ind w:left="1080" w:hanging="597"/>
        <w:spacing w:after="0"/>
        <w:tabs>
          <w:tab w:leader="none" w:pos="1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1080" w:hanging="597"/>
        <w:spacing w:after="0"/>
        <w:tabs>
          <w:tab w:leader="none" w:pos="10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11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2" w:lineRule="exact"/>
        <w:rPr>
          <w:sz w:val="24"/>
          <w:szCs w:val="24"/>
          <w:color w:val="auto"/>
        </w:rPr>
      </w:pPr>
    </w:p>
    <w:tbl>
      <w:tblPr>
        <w:tblLayout w:type="fixed"/>
        <w:tblInd w:w="1700" w:type="dxa"/>
        <w:tblCellMar>
          <w:top w:w="0" w:type="dxa"/>
          <w:left w:w="0" w:type="dxa"/>
          <w:bottom w:w="0" w:type="dxa"/>
          <w:right w:w="0" w:type="dxa"/>
        </w:tblCellMar>
      </w:tblPr>
      <w:tr>
        <w:trPr>
          <w:trHeight w:val="253"/>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49"/>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44" w:lineRule="exact"/>
        <w:rPr>
          <w:sz w:val="24"/>
          <w:szCs w:val="24"/>
          <w:color w:val="auto"/>
        </w:rPr>
      </w:pPr>
    </w:p>
    <w:p>
      <w:pPr>
        <w:ind w:right="6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ind w:right="28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jc w:val="both"/>
        <w:ind w:firstLine="27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3"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7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26" w:lineRule="exact"/>
        <w:rPr>
          <w:sz w:val="24"/>
          <w:szCs w:val="24"/>
          <w:color w:val="auto"/>
        </w:rPr>
      </w:pPr>
    </w:p>
    <w:p>
      <w:pPr>
        <w:ind w:right="980" w:firstLine="270"/>
        <w:spacing w:after="0" w:line="447"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No The number of shares of Common Stock, par value $0.001 per share, outstanding as of April 27, 2015 was 96,103,531.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1"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87"/>
        </w:trPr>
        <w:tc>
          <w:tcPr>
            <w:tcW w:w="105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35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39</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48">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49">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40</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0">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42</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43</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2"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5"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17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80" w:lineRule="exact"/>
        <w:rPr>
          <w:sz w:val="20"/>
          <w:szCs w:val="20"/>
          <w:color w:val="auto"/>
        </w:rPr>
      </w:pPr>
    </w:p>
    <w:p>
      <w:pPr>
        <w:ind w:right="260" w:firstLine="486"/>
        <w:spacing w:after="0" w:line="289"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in Item 2 - “Management's Discussion and Analysis of Financial Condition and Results of Operations” and other sections of this Quarterly Report on Form 10-Q regarding the Company's future financial and operating results, growth, business strategies, plans, liquidity, future share repurchases, and future dividends, including statements regarding future resolution of regulatory matters and related costs, income projections based on changes in interest rates, and projected savings and anticipated improvements to the Company's operating model, services, and technology as a result of its Service Value Commitment initiative or restructuring initiatives,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April 30, 2015.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disciplinary actions imposed by federal and state securities regulators and self-regulatory organizations; the costs of settling and remediating issues related to pending or future regulatory matters; the Company's success in integrating the operations of acquired businesses; execution of the Company's plans related to its Service Value Commitment initiative or restructuring initiatives, including the Company's ability to successfully transform and transition business processes to third -party service providers; the Company's success in negotiating and developing commercial arrangements with third-party service providers that will enable the Company to realize the service improvements and efficiencies expected to result from its Service Value Commitment initiative or restructuring initiatives; the performance of third-party service providers to which business processes are transitioned from the Company; the Company's ability to control operating risks, information technology systems risks, cybersecurity risks, and sourcing risks; and the other factors set forth in Part I, “Item 1A. Risk Factors” in the Company's 2014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574" w:right="299" w:bottom="1440" w:gutter="0" w:footer="0" w:header="0"/>
        </w:sectPr>
      </w:pPr>
    </w:p>
    <w:bookmarkStart w:id="3" w:name="page4"/>
    <w:bookmarkEnd w:id="3"/>
    <w:p>
      <w:pPr>
        <w:spacing w:after="0" w:line="292" w:lineRule="auto"/>
        <w:rPr>
          <w:sz w:val="20"/>
          <w:szCs w:val="20"/>
          <w:color w:val="auto"/>
        </w:rPr>
      </w:pPr>
      <w:r>
        <w:rPr>
          <w:rFonts w:ascii="Arial" w:cs="Arial" w:eastAsia="Arial" w:hAnsi="Arial"/>
          <w:sz w:val="18"/>
          <w:szCs w:val="18"/>
          <w:color w:val="auto"/>
        </w:rPr>
        <w:t>stimates change, and you should not rely on statements contained herein as representing the Company's views as of any date subsequent to the date of this quarterly report.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240" w:top="468"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61"/>
        </w:trPr>
        <w:tc>
          <w:tcPr>
            <w:tcW w:w="63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62"/>
        </w:trPr>
        <w:tc>
          <w:tcPr>
            <w:tcW w:w="63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523,399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534,574</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342,112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327,253</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120,632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114,674</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101,695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89,985</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16,886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16,184</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2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1,109,302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1,087,431</w:t>
            </w:r>
          </w:p>
        </w:tc>
        <w:tc>
          <w:tcPr>
            <w:tcW w:w="0" w:type="dxa"/>
            <w:vAlign w:val="bottom"/>
          </w:tcPr>
          <w:p>
            <w:pPr>
              <w:spacing w:after="0"/>
              <w:rPr>
                <w:sz w:val="1"/>
                <w:szCs w:val="1"/>
                <w:color w:val="auto"/>
              </w:rPr>
            </w:pPr>
          </w:p>
        </w:tc>
      </w:tr>
      <w:tr>
        <w:trPr>
          <w:trHeight w:val="256"/>
        </w:trPr>
        <w:tc>
          <w:tcPr>
            <w:tcW w:w="63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741,247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744,543</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112,280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106,348</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27,183</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26,066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22,281</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22,081</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14,044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14,313</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12,175</w:t>
            </w:r>
          </w:p>
        </w:tc>
        <w:tc>
          <w:tcPr>
            <w:tcW w:w="0" w:type="dxa"/>
            <w:vAlign w:val="bottom"/>
          </w:tcPr>
          <w:p>
            <w:pPr>
              <w:spacing w:after="0"/>
              <w:rPr>
                <w:sz w:val="1"/>
                <w:szCs w:val="1"/>
                <w:color w:val="auto"/>
              </w:rPr>
            </w:pPr>
          </w:p>
        </w:tc>
      </w:tr>
      <w:tr>
        <w:trPr>
          <w:trHeight w:val="262"/>
        </w:trPr>
        <w:tc>
          <w:tcPr>
            <w:tcW w:w="63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2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10,659</w:t>
            </w:r>
          </w:p>
        </w:tc>
        <w:tc>
          <w:tcPr>
            <w:tcW w:w="0" w:type="dxa"/>
            <w:vAlign w:val="bottom"/>
          </w:tcPr>
          <w:p>
            <w:pPr>
              <w:spacing w:after="0"/>
              <w:rPr>
                <w:sz w:val="1"/>
                <w:szCs w:val="1"/>
                <w:color w:val="auto"/>
              </w:rPr>
            </w:pPr>
          </w:p>
        </w:tc>
      </w:tr>
      <w:tr>
        <w:trPr>
          <w:trHeight w:val="278"/>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charges</w:t>
            </w:r>
          </w:p>
        </w:tc>
        <w:tc>
          <w:tcPr>
            <w:tcW w:w="2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20,141</w:t>
            </w:r>
          </w:p>
        </w:tc>
        <w:tc>
          <w:tcPr>
            <w:tcW w:w="0" w:type="dxa"/>
            <w:vAlign w:val="bottom"/>
          </w:tcPr>
          <w:p>
            <w:pPr>
              <w:spacing w:after="0"/>
              <w:rPr>
                <w:sz w:val="1"/>
                <w:szCs w:val="1"/>
                <w:color w:val="auto"/>
              </w:rPr>
            </w:pPr>
          </w:p>
        </w:tc>
      </w:tr>
      <w:tr>
        <w:trPr>
          <w:trHeight w:val="250"/>
        </w:trPr>
        <w:tc>
          <w:tcPr>
            <w:tcW w:w="6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2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1,010,612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987,044</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Non-operating interest expense</w:t>
            </w:r>
          </w:p>
        </w:tc>
        <w:tc>
          <w:tcPr>
            <w:tcW w:w="2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12,840</w:t>
            </w:r>
          </w:p>
        </w:tc>
        <w:tc>
          <w:tcPr>
            <w:tcW w:w="0" w:type="dxa"/>
            <w:vAlign w:val="bottom"/>
          </w:tcPr>
          <w:p>
            <w:pPr>
              <w:spacing w:after="0"/>
              <w:rPr>
                <w:sz w:val="1"/>
                <w:szCs w:val="1"/>
                <w:color w:val="auto"/>
              </w:rPr>
            </w:pPr>
          </w:p>
        </w:tc>
      </w:tr>
      <w:tr>
        <w:trPr>
          <w:trHeight w:val="264"/>
        </w:trPr>
        <w:tc>
          <w:tcPr>
            <w:tcW w:w="6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expenses</w:t>
            </w:r>
          </w:p>
        </w:tc>
        <w:tc>
          <w:tcPr>
            <w:tcW w:w="22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1,024,627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999,884</w:t>
            </w:r>
          </w:p>
        </w:tc>
        <w:tc>
          <w:tcPr>
            <w:tcW w:w="0" w:type="dxa"/>
            <w:vAlign w:val="bottom"/>
          </w:tcPr>
          <w:p>
            <w:pPr>
              <w:spacing w:after="0"/>
              <w:rPr>
                <w:sz w:val="1"/>
                <w:szCs w:val="1"/>
                <w:color w:val="auto"/>
              </w:rPr>
            </w:pPr>
          </w:p>
        </w:tc>
      </w:tr>
      <w:tr>
        <w:trPr>
          <w:trHeight w:val="249"/>
        </w:trPr>
        <w:tc>
          <w:tcPr>
            <w:tcW w:w="63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87,547</w:t>
            </w:r>
          </w:p>
        </w:tc>
        <w:tc>
          <w:tcPr>
            <w:tcW w:w="0" w:type="dxa"/>
            <w:vAlign w:val="bottom"/>
          </w:tcPr>
          <w:p>
            <w:pPr>
              <w:spacing w:after="0"/>
              <w:rPr>
                <w:sz w:val="1"/>
                <w:szCs w:val="1"/>
                <w:color w:val="auto"/>
              </w:rPr>
            </w:pPr>
          </w:p>
        </w:tc>
      </w:tr>
      <w:tr>
        <w:trPr>
          <w:trHeight w:val="271"/>
        </w:trPr>
        <w:tc>
          <w:tcPr>
            <w:tcW w:w="6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34,412</w:t>
            </w:r>
          </w:p>
        </w:tc>
        <w:tc>
          <w:tcPr>
            <w:tcW w:w="0" w:type="dxa"/>
            <w:vAlign w:val="bottom"/>
          </w:tcPr>
          <w:p>
            <w:pPr>
              <w:spacing w:after="0"/>
              <w:rPr>
                <w:sz w:val="1"/>
                <w:szCs w:val="1"/>
                <w:color w:val="auto"/>
              </w:rPr>
            </w:pPr>
          </w:p>
        </w:tc>
      </w:tr>
      <w:tr>
        <w:trPr>
          <w:trHeight w:val="268"/>
        </w:trPr>
        <w:tc>
          <w:tcPr>
            <w:tcW w:w="63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50,678</w:t>
            </w:r>
          </w:p>
        </w:tc>
        <w:tc>
          <w:tcPr>
            <w:tcW w:w="12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53,135</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12)</w:t>
            </w: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320" w:type="dxa"/>
            <w:vAlign w:val="bottom"/>
            <w:vMerge w:val="continue"/>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3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24"/>
        </w:trPr>
        <w:tc>
          <w:tcPr>
            <w:tcW w:w="6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101,279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98,227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103,339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4"/>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r>
      <w:tr>
        <w:trPr>
          <w:trHeight w:val="262"/>
        </w:trPr>
        <w:tc>
          <w:tcPr>
            <w:tcW w:w="880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6"/>
        </w:trPr>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cash flow hedges, net of tax expense of $287 and $675 for the three months ended March 31,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88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2015 and 2014, respectively</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w:t>
            </w:r>
          </w:p>
        </w:tc>
      </w:tr>
      <w:tr>
        <w:trPr>
          <w:trHeight w:val="198"/>
        </w:trPr>
        <w:tc>
          <w:tcPr>
            <w:tcW w:w="880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 net income, net of tax expense of</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$85 and $0 for the three months ended March 31, 2015 and 2014, respectively</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8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income, net of tax</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1,062</w:t>
            </w:r>
          </w:p>
        </w:tc>
      </w:tr>
      <w:tr>
        <w:trPr>
          <w:trHeight w:val="242"/>
        </w:trPr>
        <w:tc>
          <w:tcPr>
            <w:tcW w:w="880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50,995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54,197</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7" w:right="23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2014</w:t>
            </w:r>
          </w:p>
        </w:tc>
        <w:tc>
          <w:tcPr>
            <w:tcW w:w="0" w:type="dxa"/>
            <w:vAlign w:val="bottom"/>
          </w:tcPr>
          <w:p>
            <w:pPr>
              <w:spacing w:after="0"/>
              <w:rPr>
                <w:sz w:val="1"/>
                <w:szCs w:val="1"/>
                <w:color w:val="auto"/>
              </w:rPr>
            </w:pPr>
          </w:p>
        </w:tc>
      </w:tr>
      <w:tr>
        <w:trPr>
          <w:trHeight w:val="226"/>
        </w:trPr>
        <w:tc>
          <w:tcPr>
            <w:tcW w:w="8340" w:type="dxa"/>
            <w:vAlign w:val="bottom"/>
          </w:tcPr>
          <w:p>
            <w:pPr>
              <w:jc w:val="center"/>
              <w:ind w:left="2999"/>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484,694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516,350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568,930</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Clients, net of allowance of $1,258 at March 31, 2015 and $1,245 at December 31, 2014</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324,458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365,390</w:t>
            </w:r>
          </w:p>
        </w:tc>
        <w:tc>
          <w:tcPr>
            <w:tcW w:w="0" w:type="dxa"/>
            <w:vAlign w:val="bottom"/>
          </w:tcPr>
          <w:p>
            <w:pPr>
              <w:spacing w:after="0"/>
              <w:rPr>
                <w:sz w:val="1"/>
                <w:szCs w:val="1"/>
                <w:color w:val="auto"/>
              </w:rPr>
            </w:pPr>
          </w:p>
        </w:tc>
      </w:tr>
      <w:tr>
        <w:trPr>
          <w:trHeight w:val="262"/>
        </w:trPr>
        <w:tc>
          <w:tcPr>
            <w:tcW w:w="834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172,713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177,470</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Others, net of allowance of $9,520 at March 31, 2015 and $8,379 at December 31, 2014</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318,199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291,449</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8,594</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5,035</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$288,538 at March 31, 2015 and $288,834 at</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2014</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209,194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214,154</w:t>
            </w:r>
          </w:p>
        </w:tc>
        <w:tc>
          <w:tcPr>
            <w:tcW w:w="0" w:type="dxa"/>
            <w:vAlign w:val="bottom"/>
          </w:tcPr>
          <w:p>
            <w:pPr>
              <w:spacing w:after="0"/>
              <w:rPr>
                <w:sz w:val="1"/>
                <w:szCs w:val="1"/>
                <w:color w:val="auto"/>
              </w:rPr>
            </w:pPr>
          </w:p>
        </w:tc>
      </w:tr>
      <w:tr>
        <w:trPr>
          <w:trHeight w:val="198"/>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 of accumulated amortization of $12,457 at March 31, 2015 and $11,724 at December 31,</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0"/>
              <w:spacing w:after="0"/>
              <w:rPr>
                <w:sz w:val="20"/>
                <w:szCs w:val="20"/>
                <w:color w:val="auto"/>
              </w:rPr>
            </w:pPr>
            <w:r>
              <w:rPr>
                <w:rFonts w:ascii="Arial" w:cs="Arial" w:eastAsia="Arial" w:hAnsi="Arial"/>
                <w:sz w:val="16"/>
                <w:szCs w:val="16"/>
                <w:color w:val="auto"/>
              </w:rPr>
              <w:t>2014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13,241</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198"/>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$314,137 at March 31, 2015 and $305,154 at December 31,</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0"/>
              <w:spacing w:after="0"/>
              <w:rPr>
                <w:sz w:val="20"/>
                <w:szCs w:val="20"/>
                <w:color w:val="auto"/>
              </w:rPr>
            </w:pPr>
            <w:r>
              <w:rPr>
                <w:rFonts w:ascii="Arial" w:cs="Arial" w:eastAsia="Arial" w:hAnsi="Arial"/>
                <w:sz w:val="16"/>
                <w:szCs w:val="16"/>
                <w:color w:val="auto"/>
              </w:rPr>
              <w:t>2014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420,633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430,704</w:t>
            </w: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183,639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183,197</w:t>
            </w:r>
          </w:p>
        </w:tc>
        <w:tc>
          <w:tcPr>
            <w:tcW w:w="0" w:type="dxa"/>
            <w:vAlign w:val="bottom"/>
          </w:tcPr>
          <w:p>
            <w:pPr>
              <w:spacing w:after="0"/>
              <w:rPr>
                <w:sz w:val="1"/>
                <w:szCs w:val="1"/>
                <w:color w:val="auto"/>
              </w:rPr>
            </w:pPr>
          </w:p>
        </w:tc>
      </w:tr>
      <w:tr>
        <w:trPr>
          <w:trHeight w:val="241"/>
        </w:trPr>
        <w:tc>
          <w:tcPr>
            <w:tcW w:w="8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4,058,719</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9"/>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170,212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180,099</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629,936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652,714</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45,427</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131,329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146,504</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291,248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289,426</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25,308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64,482</w:t>
            </w:r>
          </w:p>
        </w:tc>
        <w:tc>
          <w:tcPr>
            <w:tcW w:w="0" w:type="dxa"/>
            <w:vAlign w:val="bottom"/>
          </w:tcPr>
          <w:p>
            <w:pPr>
              <w:spacing w:after="0"/>
              <w:rPr>
                <w:sz w:val="1"/>
                <w:szCs w:val="1"/>
                <w:color w:val="auto"/>
              </w:rPr>
            </w:pPr>
          </w:p>
        </w:tc>
      </w:tr>
      <w:tr>
        <w:trPr>
          <w:trHeight w:val="262"/>
        </w:trPr>
        <w:tc>
          <w:tcPr>
            <w:tcW w:w="8340" w:type="dxa"/>
            <w:vAlign w:val="bottom"/>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secured credit facilities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1,641,548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1,634,258</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64,583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66,181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3,079,161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3,079,393</w:t>
            </w:r>
          </w:p>
        </w:tc>
        <w:tc>
          <w:tcPr>
            <w:tcW w:w="0" w:type="dxa"/>
            <w:vAlign w:val="bottom"/>
          </w:tcPr>
          <w:p>
            <w:pPr>
              <w:spacing w:after="0"/>
              <w:rPr>
                <w:sz w:val="1"/>
                <w:szCs w:val="1"/>
                <w:color w:val="auto"/>
              </w:rPr>
            </w:pPr>
          </w:p>
        </w:tc>
      </w:tr>
      <w:tr>
        <w:trPr>
          <w:trHeight w:val="256"/>
        </w:trPr>
        <w:tc>
          <w:tcPr>
            <w:tcW w:w="8340" w:type="dxa"/>
            <w:vAlign w:val="bottom"/>
          </w:tcPr>
          <w:p>
            <w:pPr>
              <w:ind w:left="7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34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118,490,826 shares issued at March 31, 2015</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6"/>
                <w:szCs w:val="16"/>
                <w:color w:val="auto"/>
              </w:rPr>
              <w:t>and 118,234,552 shares issued at December 31, 2014</w:t>
            </w:r>
          </w:p>
        </w:tc>
        <w:tc>
          <w:tcPr>
            <w:tcW w:w="2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1,367,426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1,355,085</w:t>
            </w:r>
          </w:p>
        </w:tc>
        <w:tc>
          <w:tcPr>
            <w:tcW w:w="0" w:type="dxa"/>
            <w:vAlign w:val="bottom"/>
          </w:tcPr>
          <w:p>
            <w:pPr>
              <w:spacing w:after="0"/>
              <w:rPr>
                <w:sz w:val="1"/>
                <w:szCs w:val="1"/>
                <w:color w:val="auto"/>
              </w:rPr>
            </w:pPr>
          </w:p>
        </w:tc>
      </w:tr>
      <w:tr>
        <w:trPr>
          <w:trHeight w:val="262"/>
        </w:trPr>
        <w:tc>
          <w:tcPr>
            <w:tcW w:w="8340" w:type="dxa"/>
            <w:vAlign w:val="bottom"/>
          </w:tcPr>
          <w:p>
            <w:pPr>
              <w:ind w:left="200"/>
              <w:spacing w:after="0"/>
              <w:rPr>
                <w:sz w:val="20"/>
                <w:szCs w:val="20"/>
                <w:color w:val="auto"/>
              </w:rPr>
            </w:pPr>
            <w:r>
              <w:rPr>
                <w:rFonts w:ascii="Arial" w:cs="Arial" w:eastAsia="Arial" w:hAnsi="Arial"/>
                <w:sz w:val="16"/>
                <w:szCs w:val="16"/>
                <w:color w:val="auto"/>
              </w:rPr>
              <w:t>Treasury stock, at cost — 21,792,887 shares at March 31, 2015 and 21,089,882 shares at December 31, 2014</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(811,895)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(780,661)</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422,655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396,121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979,558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971,600</w:t>
            </w:r>
          </w:p>
        </w:tc>
        <w:tc>
          <w:tcPr>
            <w:tcW w:w="0" w:type="dxa"/>
            <w:vAlign w:val="bottom"/>
          </w:tcPr>
          <w:p>
            <w:pPr>
              <w:spacing w:after="0"/>
              <w:rPr>
                <w:sz w:val="1"/>
                <w:szCs w:val="1"/>
                <w:color w:val="auto"/>
              </w:rPr>
            </w:pPr>
          </w:p>
        </w:tc>
      </w:tr>
      <w:tr>
        <w:trPr>
          <w:trHeight w:val="241"/>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4,058,719</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center"/>
              <w:ind w:left="299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7"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47"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54,197</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(24,097)</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14,060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8,287</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4,415</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March 31,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117,691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1,318,823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(606,474)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342,605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1,056,249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50,678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50,995</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266"/>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(30,014)</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(24,156)</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4,176</w:t>
            </w:r>
          </w:p>
        </w:tc>
        <w:tc>
          <w:tcPr>
            <w:tcW w:w="1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4,720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7,193</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7,193</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March 31, 2015</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118,491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1,367,426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(811,895)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422,655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979,558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r>
      <w:tr>
        <w:trPr>
          <w:trHeight w:val="261"/>
        </w:trPr>
        <w:tc>
          <w:tcPr>
            <w:tcW w:w="8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26,066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22,281</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8,287</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(4,444)</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6,436</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62"/>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51,039</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40,919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33,289</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27,950</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(19,356)</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(1,162)</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(27,431)</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(14,323)</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(12,533)</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(55,701)</w:t>
            </w:r>
          </w:p>
        </w:tc>
      </w:tr>
      <w:tr>
        <w:trPr>
          <w:trHeight w:val="278"/>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24,889</w:t>
            </w:r>
          </w:p>
        </w:tc>
      </w:tr>
      <w:tr>
        <w:trPr>
          <w:trHeight w:val="262"/>
        </w:trPr>
        <w:tc>
          <w:tcPr>
            <w:tcW w:w="858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5,578</w:t>
            </w:r>
          </w:p>
        </w:tc>
      </w:tr>
      <w:tr>
        <w:trPr>
          <w:trHeight w:val="271"/>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r>
      <w:tr>
        <w:trPr>
          <w:trHeight w:val="250"/>
        </w:trPr>
        <w:tc>
          <w:tcPr>
            <w:tcW w:w="858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145,643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85,787</w:t>
            </w: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ectPr>
          <w:pgSz w:w="11900" w:h="16838" w:orient="portrait"/>
          <w:cols w:equalWidth="0" w:num="1">
            <w:col w:w="11420"/>
          </w:cols>
          <w:pgMar w:left="240" w:top="5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4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r>
      <w:tr>
        <w:trPr>
          <w:trHeight w:val="261"/>
        </w:trPr>
        <w:tc>
          <w:tcPr>
            <w:tcW w:w="8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(23,012)</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Release of restricted cash</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r>
      <w:tr>
        <w:trPr>
          <w:trHeight w:val="257"/>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(19,880)</w:t>
            </w:r>
          </w:p>
        </w:tc>
      </w:tr>
      <w:tr>
        <w:trPr>
          <w:trHeight w:val="256"/>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proceeds from revolving credit facility</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(2,709)</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(24,097)</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4,444</w:t>
            </w: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14,060</w:t>
            </w: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(112,186)</w:t>
            </w:r>
          </w:p>
        </w:tc>
      </w:tr>
      <w:tr>
        <w:trPr>
          <w:trHeight w:val="249"/>
        </w:trPr>
        <w:tc>
          <w:tcPr>
            <w:tcW w:w="8580" w:type="dxa"/>
            <w:vAlign w:val="bottom"/>
          </w:tcPr>
          <w:p>
            <w:pPr>
              <w:ind w:left="80"/>
              <w:spacing w:after="0"/>
              <w:rPr>
                <w:sz w:val="20"/>
                <w:szCs w:val="20"/>
                <w:color w:val="auto"/>
              </w:rPr>
            </w:pPr>
            <w:r>
              <w:rPr>
                <w:rFonts w:ascii="Arial" w:cs="Arial" w:eastAsia="Arial" w:hAnsi="Arial"/>
                <w:sz w:val="16"/>
                <w:szCs w:val="16"/>
                <w:color w:val="auto"/>
              </w:rPr>
              <w:t>NET INCREASE (DECREASE) CASH AND CASH EQUIVALENTS</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(46,279)</w:t>
            </w:r>
          </w:p>
        </w:tc>
      </w:tr>
      <w:tr>
        <w:trPr>
          <w:trHeight w:val="271"/>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r>
      <w:tr>
        <w:trPr>
          <w:trHeight w:val="282"/>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484,694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470,305</w:t>
            </w:r>
          </w:p>
        </w:tc>
      </w:tr>
      <w:tr>
        <w:trPr>
          <w:trHeight w:val="252"/>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62"/>
        </w:trPr>
        <w:tc>
          <w:tcPr>
            <w:tcW w:w="8580" w:type="dxa"/>
            <w:vAlign w:val="bottom"/>
          </w:tcPr>
          <w:p>
            <w:pPr>
              <w:ind w:left="360"/>
              <w:spacing w:after="0"/>
              <w:rPr>
                <w:sz w:val="20"/>
                <w:szCs w:val="20"/>
                <w:color w:val="auto"/>
              </w:rPr>
            </w:pPr>
            <w:r>
              <w:rPr>
                <w:rFonts w:ascii="Arial" w:cs="Arial" w:eastAsia="Arial" w:hAnsi="Arial"/>
                <w:sz w:val="16"/>
                <w:szCs w:val="16"/>
                <w:color w:val="auto"/>
              </w:rPr>
              <w:t>Interest paid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8,175</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13,047</w:t>
            </w: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9,531</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NONCASH DISCLOSURES: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9,526</w:t>
            </w:r>
          </w:p>
        </w:tc>
      </w:tr>
      <w:tr>
        <w:trPr>
          <w:trHeight w:val="255"/>
        </w:trPr>
        <w:tc>
          <w:tcPr>
            <w:tcW w:w="8580" w:type="dxa"/>
            <w:vAlign w:val="bottom"/>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8,114</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4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27"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8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486"/>
        <w:spacing w:after="0" w:line="284" w:lineRule="auto"/>
        <w:rPr>
          <w:sz w:val="20"/>
          <w:szCs w:val="20"/>
          <w:color w:val="auto"/>
        </w:rPr>
      </w:pPr>
      <w:r>
        <w:rPr>
          <w:rFonts w:ascii="Arial" w:cs="Arial" w:eastAsia="Arial" w:hAnsi="Arial"/>
          <w:sz w:val="17"/>
          <w:szCs w:val="17"/>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155"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2014, contained in the Company’s Annual Report on Form 10-K as filed with the SEC.</w:t>
      </w:r>
    </w:p>
    <w:p>
      <w:pPr>
        <w:spacing w:after="0" w:line="175" w:lineRule="exact"/>
        <w:rPr>
          <w:sz w:val="20"/>
          <w:szCs w:val="20"/>
          <w:color w:val="auto"/>
        </w:rPr>
      </w:pPr>
    </w:p>
    <w:p>
      <w:pPr>
        <w:jc w:val="both"/>
        <w:ind w:right="400" w:firstLine="486"/>
        <w:spacing w:after="0" w:line="271"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Annual Report on Form 10-K for the year ended December 31, 2014. There have been no significant changes to these accounting policies during the first three months of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right="660" w:firstLine="486"/>
        <w:spacing w:after="0" w:line="271"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25" w:lineRule="exact"/>
        <w:rPr>
          <w:sz w:val="20"/>
          <w:szCs w:val="20"/>
          <w:color w:val="auto"/>
        </w:rPr>
      </w:pPr>
    </w:p>
    <w:p>
      <w:pPr>
        <w:jc w:val="both"/>
        <w:ind w:right="180" w:firstLine="486"/>
        <w:spacing w:after="0" w:line="271" w:lineRule="auto"/>
        <w:rPr>
          <w:sz w:val="20"/>
          <w:szCs w:val="20"/>
          <w:color w:val="auto"/>
        </w:rPr>
      </w:pPr>
      <w:r>
        <w:rPr>
          <w:rFonts w:ascii="Arial" w:cs="Arial" w:eastAsia="Arial" w:hAnsi="Arial"/>
          <w:sz w:val="18"/>
          <w:szCs w:val="18"/>
          <w:color w:val="auto"/>
        </w:rPr>
        <w:t>The Company's internal reporting is organized into two service channels: Independent Advisor Services and Institution Services. These service channels are aggregated and viewed as one operating segment, and therefore, one reportable segment due to their similar economic characteristics, products and services, production and distribution processes, and regulatory environment.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restricted for use by the Company’s captive insurance company.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3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March 31, 2015, the carrying amount and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Company’s indebtedness was approximately $1,641.5 million and $1,644.8 million, respectively. As of December 31, 2014, the carrying amount and fair value was approximately $1,634.3 million and $1,620.8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 xml:space="preserve">In April 2015, the Financial Accounting Standards Board ("FASB") issued Accounting Standards Update ("ASU") 2015-03,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Imputation of Interest</w:t>
      </w:r>
      <w:r>
        <w:rPr>
          <w:rFonts w:ascii="Arial" w:cs="Arial" w:eastAsia="Arial" w:hAnsi="Arial"/>
          <w:sz w:val="18"/>
          <w:szCs w:val="18"/>
          <w:color w:val="auto"/>
        </w:rPr>
        <w:t>, which simplifies the presentation of debt issuance costs on the balance sheet by presenting debt issuance costs 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 deduction from the carrying amount of the related debt liability. ASU 2015-03 will become effective for the Company beginning January 1, 2016 and early adoption is permitted. The Company </w:t>
      </w:r>
      <w:r>
        <w:rPr>
          <w:rFonts w:ascii="Arial" w:cs="Arial" w:eastAsia="Arial" w:hAnsi="Arial"/>
          <w:sz w:val="18"/>
          <w:szCs w:val="18"/>
          <w:color w:val="252525"/>
        </w:rPr>
        <w:t>does not anticipate the adoption of ASU 2015-03 to have a material impact</w:t>
      </w:r>
      <w:r>
        <w:rPr>
          <w:rFonts w:ascii="Arial" w:cs="Arial" w:eastAsia="Arial" w:hAnsi="Arial"/>
          <w:sz w:val="18"/>
          <w:szCs w:val="18"/>
          <w:color w:val="auto"/>
        </w:rPr>
        <w:t xml:space="preserve"> on its consolidated financial statements.</w:t>
      </w:r>
    </w:p>
    <w:p>
      <w:pPr>
        <w:spacing w:after="0" w:line="28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7"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In February 2013, the Company committed to an expansion of its Service Value Commitment initiative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163" w:lineRule="exact"/>
        <w:rPr>
          <w:sz w:val="20"/>
          <w:szCs w:val="20"/>
          <w:color w:val="auto"/>
        </w:rPr>
      </w:pPr>
    </w:p>
    <w:p>
      <w:pPr>
        <w:jc w:val="both"/>
        <w:ind w:right="100" w:firstLine="486"/>
        <w:spacing w:after="0" w:line="271" w:lineRule="auto"/>
        <w:rPr>
          <w:sz w:val="20"/>
          <w:szCs w:val="20"/>
          <w:color w:val="auto"/>
        </w:rPr>
      </w:pPr>
      <w:r>
        <w:rPr>
          <w:rFonts w:ascii="Arial" w:cs="Arial" w:eastAsia="Arial" w:hAnsi="Arial"/>
          <w:sz w:val="18"/>
          <w:szCs w:val="18"/>
          <w:color w:val="auto"/>
        </w:rPr>
        <w:t>The Company estimates total charges in connection with the Program will approach $68.0 million. These expenditures are comprised of outsourcing and other related costs, technology transformation costs, employee severance obligations and other related costs, as well as non-cash charges for impairment of certain fixed assets related to internally developed software.</w:t>
      </w:r>
    </w:p>
    <w:p>
      <w:pPr>
        <w:spacing w:after="0" w:line="163"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three months ended March 31, 2015 (in thousands):</w:t>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right="500"/>
        <w:spacing w:after="0" w:line="334" w:lineRule="auto"/>
        <w:rPr>
          <w:sz w:val="20"/>
          <w:szCs w:val="20"/>
          <w:color w:val="auto"/>
        </w:rPr>
      </w:pPr>
      <w:r>
        <w:rPr>
          <w:rFonts w:ascii="Arial" w:cs="Arial" w:eastAsia="Arial" w:hAnsi="Arial"/>
          <w:sz w:val="16"/>
          <w:szCs w:val="16"/>
          <w:color w:val="auto"/>
        </w:rPr>
        <w:t>Outsourcing and other related costs Technology transformation costs</w:t>
      </w:r>
    </w:p>
    <w:p>
      <w:pPr>
        <w:spacing w:after="0" w:line="1" w:lineRule="exact"/>
        <w:rPr>
          <w:sz w:val="20"/>
          <w:szCs w:val="20"/>
          <w:color w:val="auto"/>
        </w:rPr>
      </w:pPr>
    </w:p>
    <w:p>
      <w:pPr>
        <w:ind w:left="200" w:hanging="161"/>
        <w:spacing w:after="0" w:line="291" w:lineRule="auto"/>
        <w:rPr>
          <w:sz w:val="20"/>
          <w:szCs w:val="20"/>
          <w:color w:val="auto"/>
        </w:rPr>
      </w:pPr>
      <w:r>
        <w:rPr>
          <w:rFonts w:ascii="Arial" w:cs="Arial" w:eastAsia="Arial" w:hAnsi="Arial"/>
          <w:sz w:val="16"/>
          <w:szCs w:val="16"/>
          <w:color w:val="auto"/>
        </w:rPr>
        <w:t>Employee severance obligations and other related costs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 impairments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Accrued Balance at</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203"/>
        </w:trPr>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Incurred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Payments</w:t>
            </w:r>
          </w:p>
        </w:tc>
        <w:tc>
          <w:tcPr>
            <w:tcW w:w="100" w:type="dxa"/>
            <w:vAlign w:val="bottom"/>
          </w:tcPr>
          <w:p>
            <w:pPr>
              <w:spacing w:after="0"/>
              <w:rPr>
                <w:sz w:val="17"/>
                <w:szCs w:val="17"/>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 March 31, 2015</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43"/>
        </w:trPr>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22,243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23,500</w:t>
            </w:r>
          </w:p>
        </w:tc>
      </w:tr>
      <w:tr>
        <w:trPr>
          <w:trHeight w:val="263"/>
        </w:trPr>
        <w:tc>
          <w:tcPr>
            <w:tcW w:w="50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30,035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30,300</w:t>
            </w:r>
          </w:p>
        </w:tc>
      </w:tr>
      <w:tr>
        <w:trPr>
          <w:trHeight w:val="432"/>
        </w:trPr>
        <w:tc>
          <w:tcPr>
            <w:tcW w:w="50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2,952</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9,985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13,400</w:t>
            </w:r>
          </w:p>
        </w:tc>
      </w:tr>
      <w:tr>
        <w:trPr>
          <w:trHeight w:val="279"/>
        </w:trPr>
        <w:tc>
          <w:tcPr>
            <w:tcW w:w="5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842</w:t>
            </w:r>
          </w:p>
        </w:tc>
      </w:tr>
      <w:tr>
        <w:trPr>
          <w:trHeight w:val="237"/>
        </w:trPr>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6,457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(5,207)</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63,105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68,042</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-977265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-633730</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-187960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340"/>
            <w:col w:w="7980"/>
          </w:cols>
          <w:pgMar w:left="240" w:top="439" w:right="239" w:bottom="1440" w:gutter="0" w:footer="0" w:header="0"/>
          <w:type w:val="continuous"/>
        </w:sectPr>
      </w:pPr>
    </w:p>
    <w:p>
      <w:pPr>
        <w:spacing w:after="0" w:line="47" w:lineRule="exact"/>
        <w:rPr>
          <w:sz w:val="20"/>
          <w:szCs w:val="20"/>
          <w:color w:val="auto"/>
        </w:rPr>
      </w:pPr>
    </w:p>
    <w:p>
      <w:pPr>
        <w:ind w:right="240" w:firstLine="486"/>
        <w:spacing w:after="0" w:line="258" w:lineRule="auto"/>
        <w:rPr>
          <w:sz w:val="20"/>
          <w:szCs w:val="20"/>
          <w:color w:val="auto"/>
        </w:rPr>
      </w:pPr>
      <w:r>
        <w:rPr>
          <w:rFonts w:ascii="Arial" w:cs="Arial" w:eastAsia="Arial" w:hAnsi="Arial"/>
          <w:sz w:val="18"/>
          <w:szCs w:val="18"/>
          <w:color w:val="auto"/>
        </w:rPr>
        <w:t>On February 24, 2015, the Company committed to a course of action to restructure the business of its subsidiary, Fortigent Holdings Company, Inc. (together with its subsidiaries, “Fortigent”). The Company acquired Fortigent, which provides outsourced wealth management solutions, in April 2012. The intention of the restructuring plan is to migrate Fortigent’s operations from Rockville, Maryland to the Company’s office in Charlotte, North Carolina, simplify and improve the efficiency of Fortigent’s existing service offerings, and position Fortigent to capitalize on the Company's future technology investments and service offerings for financial institutions and advisors focused on high-net-worth clients.</w:t>
      </w:r>
    </w:p>
    <w:p>
      <w:pPr>
        <w:spacing w:after="0" w:line="178" w:lineRule="exact"/>
        <w:rPr>
          <w:sz w:val="20"/>
          <w:szCs w:val="20"/>
          <w:color w:val="auto"/>
        </w:rPr>
      </w:pPr>
    </w:p>
    <w:p>
      <w:pPr>
        <w:jc w:val="both"/>
        <w:ind w:right="60" w:firstLine="486"/>
        <w:spacing w:after="0" w:line="271" w:lineRule="auto"/>
        <w:rPr>
          <w:sz w:val="20"/>
          <w:szCs w:val="20"/>
          <w:color w:val="auto"/>
        </w:rPr>
      </w:pPr>
      <w:r>
        <w:rPr>
          <w:rFonts w:ascii="Arial" w:cs="Arial" w:eastAsia="Arial" w:hAnsi="Arial"/>
          <w:sz w:val="18"/>
          <w:szCs w:val="18"/>
          <w:color w:val="auto"/>
        </w:rPr>
        <w:t>In connection with this restructuring, the Company estimates total charges in connection with this restructuring will approach $9.0 million. These expenditures are comprised of employee severance obligations and other related costs, relocation and related costs, lease restructuring charges, as well as non-cash charges for impairment of certain intangible assets.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39"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three months ended March 31, 2015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Non-cash</w:t>
            </w:r>
          </w:p>
        </w:tc>
        <w:tc>
          <w:tcPr>
            <w:tcW w:w="140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March 31, 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179"/>
        </w:trPr>
        <w:tc>
          <w:tcPr>
            <w:tcW w:w="3780" w:type="dxa"/>
            <w:vAlign w:val="bottom"/>
            <w:tcBorders>
              <w:top w:val="single" w:sz="8" w:color="CCEEFF"/>
            </w:tcBorders>
            <w:shd w:val="clear" w:color="auto" w:fill="CCEEFF"/>
          </w:tcPr>
          <w:p>
            <w:pPr>
              <w:ind w:left="40"/>
              <w:spacing w:after="0" w:line="179" w:lineRule="exact"/>
              <w:rPr>
                <w:sz w:val="20"/>
                <w:szCs w:val="20"/>
                <w:color w:val="auto"/>
              </w:rPr>
            </w:pPr>
            <w:r>
              <w:rPr>
                <w:rFonts w:ascii="Arial" w:cs="Arial" w:eastAsia="Arial" w:hAnsi="Arial"/>
                <w:sz w:val="16"/>
                <w:szCs w:val="16"/>
                <w:color w:val="auto"/>
              </w:rPr>
              <w:t>Employee severance obligations and other related</w:t>
            </w: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34"/>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896</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4,500</w:t>
            </w: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Relocation and related costs</w:t>
            </w:r>
          </w:p>
        </w:tc>
        <w:tc>
          <w:tcPr>
            <w:tcW w:w="1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2,000</w:t>
            </w: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restructuring charges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1,300</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1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1,200</w:t>
            </w:r>
          </w:p>
        </w:tc>
      </w:tr>
      <w:tr>
        <w:trPr>
          <w:trHeight w:val="242"/>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9,000</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80" w:firstLine="648"/>
        <w:spacing w:after="0" w:line="27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55" w:lineRule="exact"/>
        <w:rPr>
          <w:sz w:val="20"/>
          <w:szCs w:val="20"/>
          <w:color w:val="auto"/>
        </w:rPr>
      </w:pPr>
    </w:p>
    <w:p>
      <w:pPr>
        <w:ind w:left="520" w:right="60" w:firstLine="648"/>
        <w:spacing w:after="0" w:line="27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55"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three months ended March 31, 2015.</w:t>
      </w:r>
    </w:p>
    <w:p>
      <w:pPr>
        <w:spacing w:after="0" w:line="3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2015, the Company had the following financial assets and liabilities that are measured at fair value on a recurring basis:</w:t>
      </w:r>
    </w:p>
    <w:p>
      <w:pPr>
        <w:spacing w:after="0" w:line="5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 determinable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derived from active markets.</w:t>
      </w:r>
    </w:p>
    <w:p>
      <w:pPr>
        <w:spacing w:after="0" w:line="3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6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2015, the Company did not adjust prices received from the independent third-party pricing services.</w:t>
      </w:r>
    </w:p>
    <w:p>
      <w:pPr>
        <w:spacing w:after="0" w:line="70"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(2) certain non-traded real estate investment trusts and auction rate notes, which are valued using quoted prices for</w:t>
      </w:r>
    </w:p>
    <w:p>
      <w:pPr>
        <w:sectPr>
          <w:pgSz w:w="11900" w:h="16838" w:orient="portrait"/>
          <w:cols w:equalWidth="0" w:num="1">
            <w:col w:w="11420"/>
          </w:cols>
          <w:pgMar w:left="240" w:top="439"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39"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5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that are measured using Level 3 inputs.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2015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45"/>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March 31, 2015:</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13,463</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262</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7,231</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8,617</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16,277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16,290</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91,593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97,304</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121,333</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5,724</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127,057</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r>
      <w:tr>
        <w:trPr>
          <w:trHeight w:val="242"/>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604</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45"/>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At December 31, 2014:</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22,592</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7,570</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1,379</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12,087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13,466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75,540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80,598</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110,219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116,656</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279</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r>
      <w:tr>
        <w:trPr>
          <w:trHeight w:val="242"/>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2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2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27"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32"/>
        </w:trPr>
        <w:tc>
          <w:tcPr>
            <w:tcW w:w="76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9,350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42"/>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9,363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9" w:right="239" w:bottom="1440" w:gutter="0" w:footer="0" w:header="0"/>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39"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2015, the securities held-to-maturity were scheduled to mature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3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9,363</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178"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163"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that will be reclassified out of accumulated other comprehensive income and recognized in net income ratably over a 12-month period ending May 31, 2015 to match the timing of the underlying hedged item.</w:t>
      </w:r>
    </w:p>
    <w:p>
      <w:pPr>
        <w:spacing w:after="0" w:line="175" w:lineRule="exact"/>
        <w:rPr>
          <w:sz w:val="20"/>
          <w:szCs w:val="20"/>
          <w:color w:val="auto"/>
        </w:rPr>
      </w:pPr>
    </w:p>
    <w:p>
      <w:pPr>
        <w:ind w:right="520" w:firstLine="486"/>
        <w:spacing w:after="0" w:line="292" w:lineRule="auto"/>
        <w:rPr>
          <w:sz w:val="20"/>
          <w:szCs w:val="20"/>
          <w:color w:val="auto"/>
        </w:rPr>
      </w:pPr>
      <w:r>
        <w:rPr>
          <w:rFonts w:ascii="Arial" w:cs="Arial" w:eastAsia="Arial" w:hAnsi="Arial"/>
          <w:sz w:val="18"/>
          <w:szCs w:val="18"/>
          <w:color w:val="auto"/>
        </w:rPr>
        <w:t>The details related to the remaining non-deliverable foreign currency contracts at March 31, 2015 are as follows (in millions, except foreign exchange rate):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32"/>
        </w:trPr>
        <w:tc>
          <w:tcPr>
            <w:tcW w:w="39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20"/>
                <w:szCs w:val="20"/>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54"/>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62"/>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271"/>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2"/>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380" w:firstLine="486"/>
        <w:spacing w:after="0" w:line="29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32"/>
        </w:trPr>
        <w:tc>
          <w:tcPr>
            <w:tcW w:w="7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5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r>
    </w:tbl>
    <w:p>
      <w:pPr>
        <w:spacing w:after="0" w:line="29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7"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 xml:space="preserve">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2014 Annual Report on Form 10-K for a discussion of the components of goodwill and additional information regarding intangible assets.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7"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In October 2014, the Company entered into the Second Amendment, Extension and Incremental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 Agreement (“Credit Agreement”) with its wholly owned subsidiary, LPL Holdings, Inc., the other parties thereto. The Credit Agreement includes a term loan A (“Term Loan A”), a term loan B (“Term Loan B”), and a revolving credit facility (“Revolving Credit Facility”), which has a borrowing capacity of $400.0 million.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March 31, 2015</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2014</w:t>
            </w:r>
          </w:p>
        </w:tc>
      </w:tr>
      <w:tr>
        <w:trPr>
          <w:trHeight w:val="193"/>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r>
      <w:tr>
        <w:trPr>
          <w:trHeight w:val="232"/>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Rate</w:t>
            </w:r>
          </w:p>
        </w:tc>
      </w:tr>
      <w:tr>
        <w:trPr>
          <w:trHeight w:val="254"/>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Revolving Credit Facility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62"/>
        </w:trPr>
        <w:tc>
          <w:tcPr>
            <w:tcW w:w="4780" w:type="dxa"/>
            <w:vAlign w:val="bottom"/>
            <w:gridSpan w:val="2"/>
          </w:tcPr>
          <w:p>
            <w:pPr>
              <w:ind w:left="80"/>
              <w:spacing w:after="0"/>
              <w:rPr>
                <w:sz w:val="20"/>
                <w:szCs w:val="20"/>
                <w:color w:val="auto"/>
              </w:rPr>
            </w:pPr>
            <w:r>
              <w:rPr>
                <w:rFonts w:ascii="Arial" w:cs="Arial" w:eastAsia="Arial" w:hAnsi="Arial"/>
                <w:sz w:val="16"/>
                <w:szCs w:val="16"/>
                <w:color w:val="auto"/>
              </w:rPr>
              <w:t>Senior secured term loans: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8"/>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Term Loan 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64"/>
        </w:trPr>
        <w:tc>
          <w:tcPr>
            <w:tcW w:w="4780" w:type="dxa"/>
            <w:vAlign w:val="bottom"/>
            <w:tcBorders>
              <w:bottom w:val="single" w:sz="8" w:color="CCEEFF"/>
            </w:tcBorders>
            <w:gridSpan w:val="2"/>
          </w:tcPr>
          <w:p>
            <w:pPr>
              <w:ind w:left="1000"/>
              <w:spacing w:after="0"/>
              <w:rPr>
                <w:sz w:val="20"/>
                <w:szCs w:val="20"/>
                <w:color w:val="auto"/>
              </w:rPr>
            </w:pPr>
            <w:r>
              <w:rPr>
                <w:rFonts w:ascii="Arial" w:cs="Arial" w:eastAsia="Arial" w:hAnsi="Arial"/>
                <w:sz w:val="16"/>
                <w:szCs w:val="16"/>
                <w:color w:val="auto"/>
              </w:rPr>
              <w:t>Term Loan B</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1,062,173</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1,064,883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47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1,641,548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1,634,258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4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Less current portion</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130,839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120,839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2"/>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1,510,709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1,513,419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85"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auto"/>
        </w:rPr>
        <w:t>As of March 31, 2015, the Company also had $21.5 million of irrevocable letters of credit, with an applicable interest rate margin of 2.50%, which were supported by the Revolving Credit Facility.</w:t>
      </w:r>
    </w:p>
    <w:p>
      <w:pPr>
        <w:spacing w:after="0" w:line="199"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The Credit Agreement subjects the Company to certain financial and non-financial covenants. As of March 31, 2015, the Company was in compliance with such covenants.</w:t>
      </w:r>
    </w:p>
    <w:p>
      <w:pPr>
        <w:spacing w:after="0" w:line="14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$ 200.0 million limit, and allows for both collateralized and uncollateralized borrowings. The lines have not been utilized in 2015 and were not utilized in 2014; therefore, there were no balances outstanding at March 31, 2015 or December 31, 2014.</w:t>
      </w:r>
    </w:p>
    <w:p>
      <w:pPr>
        <w:spacing w:after="0" w:line="22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$6.6 million and $8.8 million for the three months ended March 31, 2015 and 2014,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25"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71"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w:t>
      </w:r>
    </w:p>
    <w:p>
      <w:pPr>
        <w:sectPr>
          <w:pgSz w:w="11900" w:h="16838" w:orient="portrait"/>
          <w:cols w:equalWidth="0" w:num="1">
            <w:col w:w="11420"/>
          </w:cols>
          <w:pgMar w:left="240" w:top="439" w:right="2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39"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potential requirement for the Company to make payments under these agreements is remote. Accordingly, no liability has been recognized for these transactions.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2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March 31, 2015.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Assessing the probability of a loss occurring and the amount of any loss related to a legal proceeding or regulatory matter is inherently difficult. The Company exercises significant and complex judgments to make certain estimates presented in its consolidated financial statements, and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The Company’s accruals at March 31, 2015, include estimated costs for regulatory matters generally relating to the adequacy of the Company’s compliance and supervisory systems and procedures and other controls, for which the Company believes losses are both probable and reasonably estimable. When it is not probable but at least reasonably possible that a loss has been incurred, a disclosure of fact is made when the underlying loss or range of losses can also be reasonably estimated. The Company estimates that, as of March 31, 2015, exposure to those losses could range from $0 to $8 million in excess of the accrued liability, if any, related to those matters. Due to the inherent unpredictability of such matters, the Company may have exposure to losses that are not yet predictable or cannot yet be reasonably estimated in addition to those amounts that have been accrued or disclosed.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15"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The Company maintains third-party insurance coverage for certain legal proceedings, including those involving client claims. With respect to client claims, the estimated losses on many of the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2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has self-insurance for potential liabilities, including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March 31, 2015, these self-insurance liabilities are included in accounts payable and accrued liabilities in the condensed consolidated balance sheet. Self-insurance related charges are included in other expenses in the condensed consolidated statement of income for the three months ended March 31,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As of March 31, 2015, the Company had received collateral primarily in connection with client margin loans with a market value of approximately $349.8 million, which it can re-pledge, loan, or sell. Of these securities, approximately $31.4 million were client-owned securities pledged to the Options Clearing Corporation as collateral</w:t>
      </w:r>
    </w:p>
    <w:p>
      <w:pPr>
        <w:sectPr>
          <w:pgSz w:w="11900" w:h="16838" w:orient="portrait"/>
          <w:cols w:equalWidth="0" w:num="1">
            <w:col w:w="11420"/>
          </w:cols>
          <w:pgMar w:left="240" w:top="439" w:right="2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39"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to secure client obligations related to options positions. As of March 31, 2015 there were no restrictions that materially limited the Company's ability to re-pledge, loan, or sell the remaining $318.4 million of client collateral.</w:t>
      </w:r>
    </w:p>
    <w:p>
      <w:pPr>
        <w:spacing w:after="0" w:line="199"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$4.3 million and $4.0 million pledged to clearing organizations at March 31, 2015 and December 31, 2014, respectively.</w:t>
      </w:r>
    </w:p>
    <w:p>
      <w:pPr>
        <w:spacing w:after="0" w:line="19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18, 2015, the Board of Directors declared a cash dividend of $0.25 per share on the Company's outstanding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$24.2 million in the aggregate was paid on March 16, 2015 to all stockholders of record as of March 2, 2015.</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10, 2014, the Board of Directors declared a cash dividend of $0.24 per share on the Company's outstanding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$24.1 million in the aggregate was paid on March 10, 2014 to all stockholders of record as of February 24, 2014.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121"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auto"/>
        </w:rPr>
        <w:t>For the three months ended March 31, 2015 and 2014, the Company had the following activity under its approved share repurchase programs (in millions,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Average Price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 at</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Paid 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14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Cost(1)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Cost(1)</w:t>
            </w:r>
          </w:p>
        </w:tc>
        <w:tc>
          <w:tcPr>
            <w:tcW w:w="0" w:type="dxa"/>
            <w:vAlign w:val="bottom"/>
          </w:tcPr>
          <w:p>
            <w:pPr>
              <w:spacing w:after="0"/>
              <w:rPr>
                <w:sz w:val="1"/>
                <w:szCs w:val="1"/>
                <w:color w:val="auto"/>
              </w:rPr>
            </w:pPr>
          </w:p>
        </w:tc>
      </w:tr>
      <w:tr>
        <w:trPr>
          <w:trHeight w:val="251"/>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1,306,288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62"/>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616,788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71"/>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679,772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679,772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44.15</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1,923,076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7"/>
                <w:szCs w:val="7"/>
                <w:color w:val="auto"/>
              </w:rPr>
              <w:t>_________________________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5620" w:right="4620" w:hanging="5612"/>
        <w:spacing w:after="0" w:line="740" w:lineRule="auto"/>
        <w:tabs>
          <w:tab w:leader="none" w:pos="3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Included in the total cost of shares purchased is a commission fee of $0.02 per share. </w:t>
      </w:r>
      <w:r>
        <w:rPr>
          <w:rFonts w:ascii="Arial" w:cs="Arial" w:eastAsia="Arial" w:hAnsi="Arial"/>
          <w:sz w:val="18"/>
          <w:szCs w:val="18"/>
          <w:color w:val="auto"/>
        </w:rPr>
        <w:t>15</w:t>
      </w:r>
    </w:p>
    <w:p>
      <w:pPr>
        <w:sectPr>
          <w:pgSz w:w="11900" w:h="16838" w:orient="portrait"/>
          <w:cols w:equalWidth="0" w:num="1">
            <w:col w:w="11420"/>
          </w:cols>
          <w:pgMar w:left="240" w:top="439" w:right="239" w:bottom="1440" w:gutter="0" w:footer="0" w:header="0"/>
        </w:sectPr>
      </w:pPr>
    </w:p>
    <w:bookmarkStart w:id="19" w:name="page20"/>
    <w:bookmarkEnd w:id="1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details regarding the repurchase of shares from related parties.</w:t>
      </w:r>
    </w:p>
    <w:p>
      <w:pPr>
        <w:spacing w:after="0" w:line="33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8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24" w:lineRule="exact"/>
        <w:rPr>
          <w:sz w:val="20"/>
          <w:szCs w:val="20"/>
          <w:color w:val="auto"/>
        </w:rPr>
      </w:pPr>
    </w:p>
    <w:p>
      <w:pPr>
        <w:ind w:right="320" w:firstLine="486"/>
        <w:spacing w:after="0" w:line="258" w:lineRule="auto"/>
        <w:rPr>
          <w:sz w:val="20"/>
          <w:szCs w:val="20"/>
          <w:color w:val="auto"/>
        </w:rPr>
      </w:pPr>
      <w:r>
        <w:rPr>
          <w:rFonts w:ascii="Arial" w:cs="Arial" w:eastAsia="Arial" w:hAnsi="Arial"/>
          <w:sz w:val="18"/>
          <w:szCs w:val="18"/>
          <w:color w:val="auto"/>
        </w:rPr>
        <w:t>In November 2010, the Company adopted a 2010 Omnibus Equity Incentive Plan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178" w:lineRule="exact"/>
        <w:rPr>
          <w:sz w:val="20"/>
          <w:szCs w:val="20"/>
          <w:color w:val="auto"/>
        </w:rPr>
      </w:pPr>
    </w:p>
    <w:p>
      <w:pPr>
        <w:ind w:right="100" w:firstLine="486"/>
        <w:spacing w:after="0" w:line="292" w:lineRule="auto"/>
        <w:rPr>
          <w:sz w:val="20"/>
          <w:szCs w:val="20"/>
          <w:color w:val="auto"/>
        </w:rPr>
      </w:pPr>
      <w:r>
        <w:rPr>
          <w:rFonts w:ascii="Arial" w:cs="Arial" w:eastAsia="Arial" w:hAnsi="Arial"/>
          <w:sz w:val="18"/>
          <w:szCs w:val="18"/>
          <w:color w:val="auto"/>
        </w:rPr>
        <w:t>There are 12,055,945 shares authorized for grant under the 2010 Plan. As of March 31, 2015, there were 5,241,049 shares reserved for issuance upon exercise or conversion of outstanding awards granted under the 2010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officer, and director stock options that have been granted during the three months ended March 31, 2015: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r>
      <w:tr>
        <w:trPr>
          <w:trHeight w:val="262"/>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27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2"/>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7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8.82</w:t>
            </w:r>
          </w:p>
        </w:tc>
      </w:tr>
    </w:tbl>
    <w:p>
      <w:pPr>
        <w:spacing w:after="0" w:line="139"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three months ended March 31, 2015:</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6.74</w:t>
            </w:r>
          </w:p>
        </w:tc>
      </w:tr>
      <w:tr>
        <w:trPr>
          <w:trHeight w:val="262"/>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25.69%</w:t>
            </w:r>
          </w:p>
        </w:tc>
      </w:tr>
      <w:tr>
        <w:trPr>
          <w:trHeight w:val="27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62"/>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7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14.53</w:t>
            </w: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three months ended March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32"/>
        </w:trPr>
        <w:tc>
          <w:tcPr>
            <w:tcW w:w="50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6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6,287,410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1,100,197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45.55</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28.49</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37.65</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March 31, 2015</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7,061,317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71,898</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March 31, 2015</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4,101,683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29.24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59,952</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March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Outstanding</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3"/>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Life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32"/>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0"/>
                <w:szCs w:val="20"/>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Price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(Years)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0"/>
                <w:szCs w:val="20"/>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67"/>
        </w:trPr>
        <w:tc>
          <w:tcPr>
            <w:tcW w:w="4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$2.38</w:t>
            </w: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17,382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17,382</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62"/>
        </w:trPr>
        <w:tc>
          <w:tcPr>
            <w:tcW w:w="4000" w:type="dxa"/>
            <w:vAlign w:val="bottom"/>
          </w:tcPr>
          <w:p>
            <w:pPr>
              <w:ind w:left="180"/>
              <w:spacing w:after="0"/>
              <w:rPr>
                <w:sz w:val="20"/>
                <w:szCs w:val="20"/>
                <w:color w:val="auto"/>
              </w:rPr>
            </w:pPr>
            <w:r>
              <w:rPr>
                <w:rFonts w:ascii="Arial" w:cs="Arial" w:eastAsia="Arial" w:hAnsi="Arial"/>
                <w:sz w:val="16"/>
                <w:szCs w:val="16"/>
                <w:color w:val="auto"/>
              </w:rPr>
              <w:t>$15.84 - $23.02</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1,255,407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21.41</w:t>
            </w:r>
          </w:p>
        </w:tc>
        <w:tc>
          <w:tcPr>
            <w:tcW w:w="132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1,255,407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21.41</w:t>
            </w:r>
          </w:p>
        </w:tc>
      </w:tr>
      <w:tr>
        <w:trPr>
          <w:trHeight w:val="226"/>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$23.41 - $30.00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1,517,035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28.11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1,015,575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27.80</w:t>
            </w:r>
          </w:p>
        </w:tc>
      </w:tr>
    </w:tbl>
    <w:p>
      <w:pPr>
        <w:sectPr>
          <w:pgSz w:w="11900" w:h="16900" w:orient="portrait"/>
          <w:cols w:equalWidth="0" w:num="1">
            <w:col w:w="11420"/>
          </w:cols>
          <w:pgMar w:left="240" w:top="439" w:right="239" w:bottom="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6"/>
        </w:trPr>
        <w:tc>
          <w:tcPr>
            <w:tcW w:w="4120" w:type="dxa"/>
            <w:vAlign w:val="bottom"/>
          </w:tcPr>
          <w:p>
            <w:pPr>
              <w:jc w:val="right"/>
              <w:ind w:right="2739"/>
              <w:spacing w:after="0"/>
              <w:rPr>
                <w:sz w:val="20"/>
                <w:szCs w:val="20"/>
                <w:color w:val="auto"/>
              </w:rPr>
            </w:pPr>
            <w:r>
              <w:rPr>
                <w:rFonts w:ascii="Arial" w:cs="Arial" w:eastAsia="Arial" w:hAnsi="Arial"/>
                <w:sz w:val="16"/>
                <w:szCs w:val="16"/>
                <w:color w:val="auto"/>
              </w:rPr>
              <w:t>$31.60 - $32.33</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1,431,890</w:t>
            </w:r>
          </w:p>
        </w:tc>
        <w:tc>
          <w:tcPr>
            <w:tcW w:w="62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31.89</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7.40</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773,151</w:t>
            </w:r>
          </w:p>
        </w:tc>
        <w:tc>
          <w:tcPr>
            <w:tcW w:w="6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31.93</w:t>
            </w:r>
          </w:p>
        </w:tc>
      </w:tr>
      <w:tr>
        <w:trPr>
          <w:trHeight w:val="278"/>
        </w:trPr>
        <w:tc>
          <w:tcPr>
            <w:tcW w:w="4120" w:type="dxa"/>
            <w:vAlign w:val="bottom"/>
            <w:shd w:val="clear" w:color="auto" w:fill="CCEEFF"/>
          </w:tcPr>
          <w:p>
            <w:pPr>
              <w:jc w:val="right"/>
              <w:ind w:right="2739"/>
              <w:spacing w:after="0"/>
              <w:rPr>
                <w:sz w:val="20"/>
                <w:szCs w:val="20"/>
                <w:color w:val="auto"/>
              </w:rPr>
            </w:pPr>
            <w:r>
              <w:rPr>
                <w:rFonts w:ascii="Arial" w:cs="Arial" w:eastAsia="Arial" w:hAnsi="Arial"/>
                <w:sz w:val="16"/>
                <w:szCs w:val="16"/>
                <w:color w:val="auto"/>
              </w:rPr>
              <w:t>$34.01 - $39.60</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1,111,875</w:t>
            </w:r>
          </w:p>
        </w:tc>
        <w:tc>
          <w:tcPr>
            <w:tcW w:w="6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34.59</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5.91</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831,396</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34.48</w:t>
            </w:r>
          </w:p>
        </w:tc>
      </w:tr>
      <w:tr>
        <w:trPr>
          <w:trHeight w:val="264"/>
        </w:trPr>
        <w:tc>
          <w:tcPr>
            <w:tcW w:w="4120" w:type="dxa"/>
            <w:vAlign w:val="bottom"/>
            <w:tcBorders>
              <w:bottom w:val="single" w:sz="8" w:color="CCEEFF"/>
            </w:tcBorders>
          </w:tcPr>
          <w:p>
            <w:pPr>
              <w:jc w:val="right"/>
              <w:ind w:right="2739"/>
              <w:spacing w:after="0"/>
              <w:rPr>
                <w:sz w:val="20"/>
                <w:szCs w:val="20"/>
                <w:color w:val="auto"/>
              </w:rPr>
            </w:pPr>
            <w:r>
              <w:rPr>
                <w:rFonts w:ascii="Arial" w:cs="Arial" w:eastAsia="Arial" w:hAnsi="Arial"/>
                <w:sz w:val="16"/>
                <w:szCs w:val="16"/>
                <w:color w:val="auto"/>
              </w:rPr>
              <w:t>$45.55 - $54.81</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1,727,728</w:t>
            </w:r>
          </w:p>
        </w:tc>
        <w:tc>
          <w:tcPr>
            <w:tcW w:w="6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539"/>
              <w:spacing w:after="0"/>
              <w:rPr>
                <w:sz w:val="20"/>
                <w:szCs w:val="20"/>
                <w:color w:val="auto"/>
              </w:rPr>
            </w:pPr>
            <w:r>
              <w:rPr>
                <w:rFonts w:ascii="Arial" w:cs="Arial" w:eastAsia="Arial" w:hAnsi="Arial"/>
                <w:sz w:val="16"/>
                <w:szCs w:val="16"/>
                <w:color w:val="auto"/>
              </w:rPr>
              <w:t>48.70</w:t>
            </w:r>
          </w:p>
        </w:tc>
        <w:tc>
          <w:tcPr>
            <w:tcW w:w="108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9.58</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208,772</w:t>
            </w:r>
          </w:p>
        </w:tc>
        <w:tc>
          <w:tcPr>
            <w:tcW w:w="6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54.81</w:t>
            </w:r>
          </w:p>
        </w:tc>
      </w:tr>
      <w:tr>
        <w:trPr>
          <w:trHeight w:val="242"/>
        </w:trPr>
        <w:tc>
          <w:tcPr>
            <w:tcW w:w="4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7,061,317</w:t>
            </w:r>
          </w:p>
        </w:tc>
        <w:tc>
          <w:tcPr>
            <w:tcW w:w="6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33.68</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6.70</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4,101,683</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1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$4.1 million and $3.8 million during the three months ended March 31, 2015 and 2014, respectively, which is included in compensation and benefits expense on the unaudited condensed consolidated statements of income. As of March 31, 2015, total unrecognized compensation cost related to non-vested stock options granted to employees, officers, and directors was $24.1 million, which is expected to be recognized over a weighted-average period of 2.20 years.</w:t>
      </w:r>
    </w:p>
    <w:p>
      <w:pPr>
        <w:spacing w:after="0" w:line="178"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reporting period. The Company recognized share-based compensation of $0.6 million and $3.2 million during the three months ended March 31, 2015 and 2014, respectively, related to the vesting of stock options and warrants awarded to its advisors and financial institutions, which is classified within commission and advisory expense on the unaudited condensed consolidated statements of income. As of March 31, 2015, total unrecognized compensation cost related to non-vested stock options and warrants granted to advisors and financial institutions was $6.4 million, which is expected to be recognized over a weighted-average period of 2.13 years.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20"/>
                <w:szCs w:val="20"/>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3"/>
        </w:trPr>
        <w:tc>
          <w:tcPr>
            <w:tcW w:w="4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Weighted-Average</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Weighted-Average</w:t>
            </w:r>
          </w:p>
        </w:tc>
      </w:tr>
      <w:tr>
        <w:trPr>
          <w:trHeight w:val="189"/>
        </w:trPr>
        <w:tc>
          <w:tcPr>
            <w:tcW w:w="4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Grant-Date</w:t>
            </w: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32"/>
        </w:trPr>
        <w:tc>
          <w:tcPr>
            <w:tcW w:w="424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5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42.78</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546,725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43.34</w:t>
            </w:r>
          </w:p>
        </w:tc>
      </w:tr>
      <w:tr>
        <w:trPr>
          <w:trHeight w:val="262"/>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180,121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43.50</w:t>
            </w:r>
          </w:p>
        </w:tc>
      </w:tr>
      <w:tr>
        <w:trPr>
          <w:trHeight w:val="278"/>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38.99</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49.53</w:t>
            </w:r>
          </w:p>
        </w:tc>
      </w:tr>
      <w:tr>
        <w:trPr>
          <w:trHeight w:val="24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March 31, 2015</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592,363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43.94</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8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based on the grant date fair value over the requisite service period of the award, which generally equals the vesting period. The Company recognized $2.0 million and $1.2 million of share-based compensation related to the vesting of these restricted stock awards and restricted stock units during the three months ended March 31, 2015 and 2014, respectively, which is included in compensation and benefits expense on the unaudited condensed consolidated statements of income. As of March 31, 2015, total unrecognized compensation cost for restricted stock awards and restricted stock units granted to employees, officers, and directors was $15.5 million, which is expected to be recognized over a weighted-average remaining period of 2.35 years.</w:t>
      </w:r>
    </w:p>
    <w:p>
      <w:pPr>
        <w:spacing w:after="0" w:line="17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the second quarter of 2014, the Company began granting restricted stock units to its advisors and to financial institutions. The Company recognizes share-based compensation for restricted stock units granted to its advisors and to financial institutions based on the fair value of the awards at each reporting period. The Company recognized share-based compensation of $0.4 million related to the vesting of these restricted stock units during the three months ended March 31, 2015, which is classified within commission and advisory expense on the unaudited condensed consolidated statements of income. As of March 31, 2015, total unrecognized compensation cost for restricted stock units granted to advisors and financial institutions was $3.4 million, which is expected to be recognized over a weighted-average remaining period of 2.12 years.</w:t>
      </w:r>
    </w:p>
    <w:p>
      <w:pPr>
        <w:spacing w:after="0" w:line="22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for the three months ended March 31, 2015 and 2014 is as follows (in thousands,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3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6"/>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96,551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101,279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2,060</w:t>
            </w: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103,339</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6"/>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0.51</w:t>
            </w: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439" w:right="239" w:bottom="0" w:gutter="0" w:footer="0" w:header="0"/>
        </w:sectPr>
      </w:pPr>
    </w:p>
    <w:bookmarkStart w:id="22" w:name="page23"/>
    <w:bookmarkEnd w:id="22"/>
    <w:p>
      <w:pPr>
        <w:jc w:val="both"/>
        <w:ind w:right="220" w:firstLine="486"/>
        <w:spacing w:after="0" w:line="271"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March 31, 2015 and 2014, stock options, warrants, and restricted stock units representing common share equivalents of 1,595,614 shares and 941,406 shares, respectively, were anti-dilutive.</w:t>
      </w:r>
    </w:p>
    <w:p>
      <w:pPr>
        <w:spacing w:after="0" w:line="18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ind w:right="500" w:firstLine="405"/>
        <w:spacing w:after="0" w:line="260"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40.1% and 39.3% for the three months ended March 31, 2015 and 2014, respectively. Deferred income taxes reflect the net tax effects of temporary differences between the carrying amounts of assets and liabilities for financial reporting purposes and the amounts used for income tax purposes.</w:t>
      </w:r>
    </w:p>
    <w:p>
      <w:pPr>
        <w:spacing w:after="0" w:line="17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The Company has related party transactions with TPG Capital, one of the Company's significant stockholders, as well as certain portfolio companies of TPG Capital. During the three months ended March 31, 2015 and 2014 the Company recognized revenue for services provided to these portfolio companies of $0.3 million and $0.1 million, respectively. During the three months ended March 31, 2015 and 2014, the Company incurred expenses for services provided by TPG Capital or these portfolio companies of $1.2 million and $0.2 million, respectively. As of March 31, 2015 and 2014, receivables from related parties were $0.2 million and $0.1 million, respectively. As of March 31, 2015 and 2014, payables to related parties were $0.2 million and less than $0.1 million, respectively.</w:t>
      </w:r>
    </w:p>
    <w:p>
      <w:pPr>
        <w:spacing w:after="0" w:line="178"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On February 12, 2014, the Company entered into a share repurchase agreement with an investment fund associated with TPG Capital, pursuant to which the Company repurchased 1.9 million shares of its common stock at a price of $52.00 per share, for total consideration of $100.0 million.</w:t>
      </w:r>
    </w:p>
    <w:p>
      <w:pPr>
        <w:spacing w:after="0" w:line="2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2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$153.0 million with a minimum net capital requirement of $6.5 million as of March 31, 2015.</w:t>
      </w:r>
    </w:p>
    <w:p>
      <w:pPr>
        <w:spacing w:after="0" w:line="170" w:lineRule="exact"/>
        <w:rPr>
          <w:sz w:val="20"/>
          <w:szCs w:val="20"/>
          <w:color w:val="auto"/>
        </w:rPr>
      </w:pPr>
    </w:p>
    <w:p>
      <w:pPr>
        <w:ind w:right="360" w:firstLine="486"/>
        <w:spacing w:after="0" w:line="294" w:lineRule="auto"/>
        <w:rPr>
          <w:sz w:val="20"/>
          <w:szCs w:val="20"/>
          <w:color w:val="auto"/>
        </w:rPr>
      </w:pPr>
      <w:r>
        <w:rPr>
          <w:rFonts w:ascii="Arial" w:cs="Arial" w:eastAsia="Arial" w:hAnsi="Arial"/>
          <w:sz w:val="17"/>
          <w:szCs w:val="17"/>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46" w:lineRule="exact"/>
        <w:rPr>
          <w:sz w:val="20"/>
          <w:szCs w:val="20"/>
          <w:color w:val="auto"/>
        </w:rPr>
      </w:pPr>
    </w:p>
    <w:p>
      <w:pPr>
        <w:ind w:right="660" w:firstLine="486"/>
        <w:spacing w:after="0" w:line="292" w:lineRule="auto"/>
        <w:rPr>
          <w:sz w:val="20"/>
          <w:szCs w:val="20"/>
          <w:color w:val="auto"/>
        </w:rPr>
      </w:pPr>
      <w:r>
        <w:rPr>
          <w:rFonts w:ascii="Arial" w:cs="Arial" w:eastAsia="Arial" w:hAnsi="Arial"/>
          <w:sz w:val="18"/>
          <w:szCs w:val="18"/>
          <w:color w:val="auto"/>
        </w:rPr>
        <w:t>As of March 31, 2015 and December 31, 2014, LPL Financial and PTC met all capital adequacy requirements to which they were subject.</w:t>
      </w:r>
    </w:p>
    <w:p>
      <w:pPr>
        <w:spacing w:after="0" w:line="19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2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7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178"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3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auto"/>
        </w:rPr>
        <w:t>On April 28, 2015, the Board of Directors declared a cash dividend of $0.25 per share on the Company's outstanding common stock to be paid on May 21, 2015 to stockholders of record on May 11, 2015.</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April 28, 2015, the Company's Board of Directors approved an increase in the Company's share repurchase plan by $200.0 million.</w:t>
      </w:r>
    </w:p>
    <w:p>
      <w:pPr>
        <w:sectPr>
          <w:pgSz w:w="11900" w:h="16838" w:orient="portrait"/>
          <w:cols w:equalWidth="0" w:num="1">
            <w:col w:w="11420"/>
          </w:cols>
          <w:pgMar w:left="240" w:top="171" w:right="239" w:bottom="0" w:gutter="0" w:footer="0" w:header="0"/>
        </w:sectPr>
      </w:pPr>
    </w:p>
    <w:bookmarkStart w:id="23" w:name="page24"/>
    <w:bookmarkEnd w:id="23"/>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019"/>
          </w:cols>
          <w:pgMar w:left="1440" w:top="115" w:right="1440"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439"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7" w:lineRule="exact"/>
        <w:rPr>
          <w:sz w:val="20"/>
          <w:szCs w:val="20"/>
          <w:color w:val="auto"/>
        </w:rPr>
      </w:pPr>
    </w:p>
    <w:p>
      <w:pPr>
        <w:ind w:right="300" w:firstLine="486"/>
        <w:spacing w:after="0" w:line="258"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4,300 financial advisors who are affiliated and licensed with insurance companies that use our customized clearing, advisory platforms, and technology solutions.</w:t>
      </w:r>
    </w:p>
    <w:p>
      <w:pPr>
        <w:spacing w:after="0" w:line="15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151" w:lineRule="exact"/>
        <w:rPr>
          <w:sz w:val="20"/>
          <w:szCs w:val="20"/>
          <w:color w:val="auto"/>
        </w:rPr>
      </w:pPr>
    </w:p>
    <w:p>
      <w:pPr>
        <w:jc w:val="both"/>
        <w:ind w:right="100" w:firstLine="486"/>
        <w:spacing w:after="0" w:line="271" w:lineRule="auto"/>
        <w:rPr>
          <w:sz w:val="20"/>
          <w:szCs w:val="20"/>
          <w:color w:val="auto"/>
        </w:rPr>
      </w:pPr>
      <w:r>
        <w:rPr>
          <w:rFonts w:ascii="Arial" w:cs="Arial" w:eastAsia="Arial" w:hAnsi="Arial"/>
          <w:sz w:val="18"/>
          <w:szCs w:val="18"/>
          <w:color w:val="auto"/>
        </w:rPr>
        <w:t>We are a leading financial services provider to independent advisors, RIAs, financial institutions, and retirement plan business. We are a market leader with the largest independent advisor base, and we believe we have the fourth-largest overall advisor base in the United States. Through our advisors, we are also one of the largest distributors of financial products and services in the United States.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Growth Trends</w:t>
      </w:r>
    </w:p>
    <w:p>
      <w:pPr>
        <w:spacing w:after="0" w:line="225"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Net new advisory assets, which exclude the impact of market movement, were $5.2 billion for the three months ended March 31, 2015, primarily driven by strong advisor productivity and the continued addition of hybrid registered investment advisors ("Hybrid RIAs").</w:t>
      </w:r>
    </w:p>
    <w:p>
      <w:pPr>
        <w:spacing w:after="0" w:line="145"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auto"/>
        </w:rPr>
        <w:t>Assets under custody on our Hybrid RIA platform, which provides an integrated offering of technology, clearing, compliance, and custody services to Hybrid RIAs grew 50.6% to $104.8 billion as of March 31, 2015, representing 342 Hybrid RIA firms, compared to $69.6 billion and 265 Hybrid RIA firms as of March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Growth</w:t>
      </w:r>
    </w:p>
    <w:p>
      <w:pPr>
        <w:spacing w:after="0" w:line="225"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Key contributors to growth of our first quarter gross profit included a $38.3 billion increase in total advisory and brokerage assets since March 31, 2014, and 372 net new advisors added since March 31, 2014.</w:t>
      </w:r>
    </w:p>
    <w:p>
      <w:pPr>
        <w:spacing w:after="0" w:line="145" w:lineRule="exact"/>
        <w:rPr>
          <w:sz w:val="20"/>
          <w:szCs w:val="20"/>
          <w:color w:val="auto"/>
        </w:rPr>
      </w:pPr>
    </w:p>
    <w:p>
      <w:pPr>
        <w:jc w:val="both"/>
        <w:ind w:right="180" w:firstLine="486"/>
        <w:spacing w:after="0" w:line="271" w:lineRule="auto"/>
        <w:rPr>
          <w:sz w:val="20"/>
          <w:szCs w:val="20"/>
          <w:color w:val="auto"/>
        </w:rPr>
      </w:pPr>
      <w:r>
        <w:rPr>
          <w:rFonts w:ascii="Arial" w:cs="Arial" w:eastAsia="Arial" w:hAnsi="Arial"/>
          <w:sz w:val="18"/>
          <w:szCs w:val="18"/>
          <w:color w:val="auto"/>
        </w:rPr>
        <w:t>Gross profit is calculated as net revenues less production expenses. Because our gross profit amounts do not include any depreciation and amortization expense, we consider our gross profit amounts to be non-GAAP measures that may not be comparable to those of others in our industry.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Sweep Program Performance</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Revenue generated from the Company's cash sweep programs declined 10.4% to $21.5 million in the first quarter of 2015 compared to $24.0 million in the prior year period. This decline was primarily driven by the insured cash account ("ICA") program fee decreasing by 13 basis points from the step-down in bank contracts, offset by 4 basis points of improvement in average effective federal funds rate and $1.0 billion increase in cash sweep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Management Activity</w:t>
      </w:r>
    </w:p>
    <w:p>
      <w:pPr>
        <w:spacing w:after="0" w:line="225" w:lineRule="exact"/>
        <w:rPr>
          <w:sz w:val="20"/>
          <w:szCs w:val="20"/>
          <w:color w:val="auto"/>
        </w:rPr>
      </w:pPr>
    </w:p>
    <w:p>
      <w:pPr>
        <w:jc w:val="both"/>
        <w:ind w:right="160" w:firstLine="486"/>
        <w:spacing w:after="0" w:line="271" w:lineRule="auto"/>
        <w:rPr>
          <w:sz w:val="20"/>
          <w:szCs w:val="20"/>
          <w:color w:val="auto"/>
        </w:rPr>
      </w:pPr>
      <w:r>
        <w:rPr>
          <w:rFonts w:ascii="Arial" w:cs="Arial" w:eastAsia="Arial" w:hAnsi="Arial"/>
          <w:sz w:val="18"/>
          <w:szCs w:val="18"/>
          <w:color w:val="auto"/>
        </w:rPr>
        <w:t>We spent $30.0 million in the first quarter of 2015 to buy back 0.7 million shares of our common stock, at an average price per share of $44.15. Since our initial public offering in 2010, we have spent $812.4 million to repurchase 21.8 million shares, at an average price per share of $37.22, through March 31, 2015.</w:t>
      </w:r>
    </w:p>
    <w:p>
      <w:pPr>
        <w:spacing w:after="0" w:line="163"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Our Board of Directors declared a quarterly cash dividend of $0.25 per share of the Company's common stock, to be paid on May 21, 2015, to all shareholders of record as of May 11, 2015.</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Board of Directors also approved an additional $200.0 million of share repurchase capacity.</w:t>
      </w:r>
    </w:p>
    <w:p>
      <w:pPr>
        <w:sectPr>
          <w:pgSz w:w="11900" w:h="16838" w:orient="portrait"/>
          <w:cols w:equalWidth="0" w:num="1">
            <w:col w:w="11420"/>
          </w:cols>
          <w:pgMar w:left="240" w:top="358"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8"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Our Sources of Revenue</w:t>
      </w:r>
    </w:p>
    <w:p>
      <w:pPr>
        <w:spacing w:after="0" w:line="22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25,000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17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124" w:lineRule="exact"/>
        <w:rPr>
          <w:sz w:val="20"/>
          <w:szCs w:val="20"/>
          <w:color w:val="auto"/>
        </w:rPr>
      </w:pPr>
    </w:p>
    <w:p>
      <w:pPr>
        <w:ind w:right="660" w:firstLine="486"/>
        <w:spacing w:after="0" w:line="29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2440" w:type="dxa"/>
            <w:vAlign w:val="bottom"/>
            <w:tcBorders>
              <w:right w:val="single" w:sz="8" w:color="A5A5A5"/>
            </w:tcBorders>
          </w:tcPr>
          <w:p>
            <w:pPr>
              <w:spacing w:after="0"/>
              <w:rPr>
                <w:sz w:val="23"/>
                <w:szCs w:val="23"/>
                <w:color w:val="auto"/>
              </w:rPr>
            </w:pPr>
          </w:p>
        </w:tc>
        <w:tc>
          <w:tcPr>
            <w:tcW w:w="2960" w:type="dxa"/>
            <w:vAlign w:val="bottom"/>
            <w:tcBorders>
              <w:right w:val="single" w:sz="8" w:color="A5A5A5"/>
            </w:tcBorders>
            <w:shd w:val="clear" w:color="auto" w:fill="000000"/>
          </w:tcPr>
          <w:p>
            <w:pPr>
              <w:spacing w:after="0"/>
              <w:rPr>
                <w:sz w:val="23"/>
                <w:szCs w:val="23"/>
                <w:color w:val="auto"/>
              </w:rPr>
            </w:pPr>
          </w:p>
        </w:tc>
        <w:tc>
          <w:tcPr>
            <w:tcW w:w="2960" w:type="dxa"/>
            <w:vAlign w:val="bottom"/>
            <w:tcBorders>
              <w:right w:val="single" w:sz="8" w:color="A5A5A5"/>
            </w:tcBorders>
            <w:shd w:val="clear" w:color="auto" w:fill="000000"/>
          </w:tcPr>
          <w:p>
            <w:pPr>
              <w:spacing w:after="0"/>
              <w:rPr>
                <w:sz w:val="23"/>
                <w:szCs w:val="23"/>
                <w:color w:val="auto"/>
              </w:rPr>
            </w:pPr>
          </w:p>
        </w:tc>
        <w:tc>
          <w:tcPr>
            <w:tcW w:w="308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Three Months Ended March 31, 2015</w:t>
            </w:r>
          </w:p>
        </w:tc>
        <w:tc>
          <w:tcPr>
            <w:tcW w:w="0" w:type="dxa"/>
            <w:vAlign w:val="bottom"/>
          </w:tcPr>
          <w:p>
            <w:pPr>
              <w:spacing w:after="0"/>
              <w:rPr>
                <w:sz w:val="1"/>
                <w:szCs w:val="1"/>
                <w:color w:val="auto"/>
              </w:rPr>
            </w:pPr>
          </w:p>
        </w:tc>
      </w:tr>
      <w:tr>
        <w:trPr>
          <w:trHeight w:val="184"/>
        </w:trPr>
        <w:tc>
          <w:tcPr>
            <w:tcW w:w="2440" w:type="dxa"/>
            <w:vAlign w:val="bottom"/>
            <w:tcBorders>
              <w:right w:val="single" w:sz="8" w:color="A5A5A5"/>
            </w:tcBorders>
          </w:tcPr>
          <w:p>
            <w:pPr>
              <w:spacing w:after="0"/>
              <w:rPr>
                <w:sz w:val="15"/>
                <w:szCs w:val="15"/>
                <w:color w:val="auto"/>
              </w:rPr>
            </w:pPr>
          </w:p>
        </w:tc>
        <w:tc>
          <w:tcPr>
            <w:tcW w:w="2960" w:type="dxa"/>
            <w:vAlign w:val="bottom"/>
            <w:tcBorders>
              <w:right w:val="single" w:sz="8" w:color="A5A5A5"/>
            </w:tcBorders>
            <w:shd w:val="clear" w:color="auto" w:fill="000000"/>
          </w:tcPr>
          <w:p>
            <w:pPr>
              <w:spacing w:after="0"/>
              <w:rPr>
                <w:sz w:val="15"/>
                <w:szCs w:val="15"/>
                <w:color w:val="auto"/>
              </w:rPr>
            </w:pPr>
          </w:p>
        </w:tc>
        <w:tc>
          <w:tcPr>
            <w:tcW w:w="2960" w:type="dxa"/>
            <w:vAlign w:val="bottom"/>
            <w:tcBorders>
              <w:right w:val="single" w:sz="8" w:color="A5A5A5"/>
            </w:tcBorders>
            <w:shd w:val="clear" w:color="auto" w:fill="000000"/>
          </w:tcPr>
          <w:p>
            <w:pPr>
              <w:spacing w:after="0"/>
              <w:rPr>
                <w:sz w:val="15"/>
                <w:szCs w:val="15"/>
                <w:color w:val="auto"/>
              </w:rPr>
            </w:pPr>
          </w:p>
        </w:tc>
        <w:tc>
          <w:tcPr>
            <w:tcW w:w="10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Total</w:t>
            </w:r>
          </w:p>
        </w:tc>
        <w:tc>
          <w:tcPr>
            <w:tcW w:w="104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of Total Net</w:t>
            </w:r>
          </w:p>
        </w:tc>
        <w:tc>
          <w:tcPr>
            <w:tcW w:w="1020" w:type="dxa"/>
            <w:vAlign w:val="bottom"/>
            <w:tcBorders>
              <w:right w:val="single" w:sz="8" w:color="A5A5A5"/>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40" w:type="dxa"/>
            <w:vAlign w:val="bottom"/>
            <w:tcBorders>
              <w:bottom w:val="single" w:sz="8" w:color="999999"/>
              <w:right w:val="single" w:sz="8" w:color="A5A5A5"/>
            </w:tcBorders>
          </w:tcPr>
          <w:p>
            <w:pPr>
              <w:spacing w:after="0"/>
              <w:rPr>
                <w:sz w:val="17"/>
                <w:szCs w:val="17"/>
                <w:color w:val="auto"/>
              </w:rPr>
            </w:pPr>
          </w:p>
        </w:tc>
        <w:tc>
          <w:tcPr>
            <w:tcW w:w="2960" w:type="dxa"/>
            <w:vAlign w:val="bottom"/>
            <w:tcBorders>
              <w:bottom w:val="single" w:sz="8" w:color="A5A5A5"/>
              <w:right w:val="single" w:sz="8" w:color="A5A5A5"/>
            </w:tcBorders>
            <w:shd w:val="clear" w:color="auto" w:fill="000000"/>
          </w:tcPr>
          <w:p>
            <w:pPr>
              <w:ind w:left="820"/>
              <w:spacing w:after="0"/>
              <w:rPr>
                <w:sz w:val="20"/>
                <w:szCs w:val="20"/>
                <w:color w:val="auto"/>
              </w:rPr>
            </w:pPr>
            <w:r>
              <w:rPr>
                <w:rFonts w:ascii="Arial" w:cs="Arial" w:eastAsia="Arial" w:hAnsi="Arial"/>
                <w:sz w:val="14"/>
                <w:szCs w:val="14"/>
                <w:color w:val="FFFFFF"/>
              </w:rPr>
              <w:t>Sources of Revenue</w:t>
            </w:r>
          </w:p>
        </w:tc>
        <w:tc>
          <w:tcPr>
            <w:tcW w:w="2960" w:type="dxa"/>
            <w:vAlign w:val="bottom"/>
            <w:tcBorders>
              <w:bottom w:val="single" w:sz="8" w:color="A5A5A5"/>
              <w:right w:val="single" w:sz="8" w:color="A5A5A5"/>
            </w:tcBorders>
            <w:shd w:val="clear" w:color="auto" w:fill="000000"/>
          </w:tcPr>
          <w:p>
            <w:pPr>
              <w:ind w:left="980"/>
              <w:spacing w:after="0"/>
              <w:rPr>
                <w:sz w:val="20"/>
                <w:szCs w:val="20"/>
                <w:color w:val="auto"/>
              </w:rPr>
            </w:pPr>
            <w:r>
              <w:rPr>
                <w:rFonts w:ascii="Arial" w:cs="Arial" w:eastAsia="Arial" w:hAnsi="Arial"/>
                <w:sz w:val="14"/>
                <w:szCs w:val="14"/>
                <w:color w:val="FFFFFF"/>
              </w:rPr>
              <w:t>Primary Drivers</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104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Revenue</w:t>
            </w:r>
          </w:p>
        </w:tc>
        <w:tc>
          <w:tcPr>
            <w:tcW w:w="10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73"/>
        </w:trPr>
        <w:tc>
          <w:tcPr>
            <w:tcW w:w="244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Advisor-driven revenue with</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$523</w:t>
            </w:r>
          </w:p>
        </w:tc>
        <w:tc>
          <w:tcPr>
            <w:tcW w:w="10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47%</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08"/>
        </w:trPr>
        <w:tc>
          <w:tcPr>
            <w:tcW w:w="2440" w:type="dxa"/>
            <w:vAlign w:val="bottom"/>
            <w:tcBorders>
              <w:left w:val="single" w:sz="8" w:color="999999"/>
              <w:right w:val="single" w:sz="8" w:color="A5A5A5"/>
            </w:tcBorders>
            <w:vMerge w:val="continue"/>
          </w:tcPr>
          <w:p>
            <w:pPr>
              <w:spacing w:after="0"/>
              <w:rPr>
                <w:sz w:val="9"/>
                <w:szCs w:val="9"/>
                <w:color w:val="auto"/>
              </w:rPr>
            </w:pPr>
          </w:p>
        </w:tc>
        <w:tc>
          <w:tcPr>
            <w:tcW w:w="2960" w:type="dxa"/>
            <w:vAlign w:val="bottom"/>
            <w:tcBorders>
              <w:right w:val="single" w:sz="8" w:color="A5A5A5"/>
            </w:tcBorders>
          </w:tcPr>
          <w:p>
            <w:pPr>
              <w:spacing w:after="0"/>
              <w:rPr>
                <w:sz w:val="9"/>
                <w:szCs w:val="9"/>
                <w:color w:val="auto"/>
              </w:rPr>
            </w:pP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Brokerage asset levels</w:t>
            </w:r>
          </w:p>
        </w:tc>
        <w:tc>
          <w:tcPr>
            <w:tcW w:w="1020" w:type="dxa"/>
            <w:vAlign w:val="bottom"/>
            <w:tcBorders>
              <w:right w:val="single" w:sz="8" w:color="A5A5A5"/>
            </w:tcBorders>
            <w:vMerge w:val="continue"/>
          </w:tcPr>
          <w:p>
            <w:pPr>
              <w:spacing w:after="0"/>
              <w:rPr>
                <w:sz w:val="9"/>
                <w:szCs w:val="9"/>
                <w:color w:val="auto"/>
              </w:rPr>
            </w:pPr>
          </w:p>
        </w:tc>
        <w:tc>
          <w:tcPr>
            <w:tcW w:w="1040" w:type="dxa"/>
            <w:vAlign w:val="bottom"/>
            <w:tcBorders>
              <w:right w:val="single" w:sz="8" w:color="A5A5A5"/>
            </w:tcBorders>
            <w:vMerge w:val="continue"/>
          </w:tcPr>
          <w:p>
            <w:pPr>
              <w:spacing w:after="0"/>
              <w:rPr>
                <w:sz w:val="9"/>
                <w:szCs w:val="9"/>
                <w:color w:val="auto"/>
              </w:rPr>
            </w:pPr>
          </w:p>
        </w:tc>
        <w:tc>
          <w:tcPr>
            <w:tcW w:w="1020" w:type="dxa"/>
            <w:vAlign w:val="bottom"/>
            <w:tcBorders>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~85%-90% payout ratio</w:t>
            </w:r>
          </w:p>
        </w:tc>
        <w:tc>
          <w:tcPr>
            <w:tcW w:w="2960" w:type="dxa"/>
            <w:vAlign w:val="bottom"/>
            <w:tcBorders>
              <w:bottom w:val="single" w:sz="8" w:color="A5A5A5"/>
              <w:right w:val="single" w:sz="8" w:color="A5A5A5"/>
            </w:tcBorders>
          </w:tcPr>
          <w:p>
            <w:pPr>
              <w:spacing w:after="0"/>
              <w:rPr>
                <w:sz w:val="7"/>
                <w:szCs w:val="7"/>
                <w:color w:val="auto"/>
              </w:rPr>
            </w:pPr>
          </w:p>
        </w:tc>
        <w:tc>
          <w:tcPr>
            <w:tcW w:w="2960" w:type="dxa"/>
            <w:vAlign w:val="bottom"/>
            <w:tcBorders>
              <w:bottom w:val="single" w:sz="8" w:color="A5A5A5"/>
              <w:right w:val="single" w:sz="8" w:color="A5A5A5"/>
            </w:tcBorders>
            <w:vMerge w:val="continue"/>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104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440" w:type="dxa"/>
            <w:vAlign w:val="bottom"/>
            <w:tcBorders>
              <w:left w:val="single" w:sz="8" w:color="999999"/>
              <w:right w:val="single" w:sz="8" w:color="A5A5A5"/>
            </w:tcBorders>
            <w:vMerge w:val="continue"/>
          </w:tcPr>
          <w:p>
            <w:pPr>
              <w:spacing w:after="0"/>
              <w:rPr>
                <w:sz w:val="7"/>
                <w:szCs w:val="7"/>
                <w:color w:val="auto"/>
              </w:rPr>
            </w:pP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auto"/>
              </w:rPr>
              <w:t>Advisory</w:t>
            </w: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Advisory asset levels</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$342</w:t>
            </w:r>
          </w:p>
        </w:tc>
        <w:tc>
          <w:tcPr>
            <w:tcW w:w="10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29"/>
        </w:trPr>
        <w:tc>
          <w:tcPr>
            <w:tcW w:w="2440" w:type="dxa"/>
            <w:vAlign w:val="bottom"/>
            <w:tcBorders>
              <w:left w:val="single" w:sz="8" w:color="999999"/>
              <w:bottom w:val="single" w:sz="8" w:color="999999"/>
              <w:right w:val="single" w:sz="8" w:color="A5A5A5"/>
            </w:tcBorders>
          </w:tcPr>
          <w:p>
            <w:pPr>
              <w:spacing w:after="0"/>
              <w:rPr>
                <w:sz w:val="11"/>
                <w:szCs w:val="11"/>
                <w:color w:val="auto"/>
              </w:rPr>
            </w:pPr>
          </w:p>
        </w:tc>
        <w:tc>
          <w:tcPr>
            <w:tcW w:w="2960" w:type="dxa"/>
            <w:vAlign w:val="bottom"/>
            <w:tcBorders>
              <w:bottom w:val="single" w:sz="8" w:color="A5A5A5"/>
              <w:right w:val="single" w:sz="8" w:color="A5A5A5"/>
            </w:tcBorders>
            <w:vMerge w:val="continue"/>
          </w:tcPr>
          <w:p>
            <w:pPr>
              <w:spacing w:after="0"/>
              <w:rPr>
                <w:sz w:val="11"/>
                <w:szCs w:val="11"/>
                <w:color w:val="auto"/>
              </w:rPr>
            </w:pPr>
          </w:p>
        </w:tc>
        <w:tc>
          <w:tcPr>
            <w:tcW w:w="2960" w:type="dxa"/>
            <w:vAlign w:val="bottom"/>
            <w:tcBorders>
              <w:bottom w:val="single" w:sz="8" w:color="A5A5A5"/>
              <w:right w:val="single" w:sz="8" w:color="A5A5A5"/>
            </w:tcBorders>
            <w:vMerge w:val="continue"/>
          </w:tcPr>
          <w:p>
            <w:pPr>
              <w:spacing w:after="0"/>
              <w:rPr>
                <w:sz w:val="11"/>
                <w:szCs w:val="11"/>
                <w:color w:val="auto"/>
              </w:rPr>
            </w:pPr>
          </w:p>
        </w:tc>
        <w:tc>
          <w:tcPr>
            <w:tcW w:w="1020" w:type="dxa"/>
            <w:vAlign w:val="bottom"/>
            <w:tcBorders>
              <w:bottom w:val="single" w:sz="8" w:color="A5A5A5"/>
              <w:right w:val="single" w:sz="8" w:color="A5A5A5"/>
            </w:tcBorders>
            <w:vMerge w:val="continue"/>
          </w:tcPr>
          <w:p>
            <w:pPr>
              <w:spacing w:after="0"/>
              <w:rPr>
                <w:sz w:val="11"/>
                <w:szCs w:val="11"/>
                <w:color w:val="auto"/>
              </w:rPr>
            </w:pPr>
          </w:p>
        </w:tc>
        <w:tc>
          <w:tcPr>
            <w:tcW w:w="1040" w:type="dxa"/>
            <w:vAlign w:val="bottom"/>
            <w:tcBorders>
              <w:bottom w:val="single" w:sz="8" w:color="A5A5A5"/>
              <w:right w:val="single" w:sz="8" w:color="A5A5A5"/>
            </w:tcBorders>
            <w:vMerge w:val="continue"/>
          </w:tcPr>
          <w:p>
            <w:pPr>
              <w:spacing w:after="0"/>
              <w:rPr>
                <w:sz w:val="11"/>
                <w:szCs w:val="11"/>
                <w:color w:val="auto"/>
              </w:rPr>
            </w:pPr>
          </w:p>
        </w:tc>
        <w:tc>
          <w:tcPr>
            <w:tcW w:w="1020" w:type="dxa"/>
            <w:vAlign w:val="bottom"/>
            <w:tcBorders>
              <w:bottom w:val="single" w:sz="8" w:color="A5A5A5"/>
              <w:right w:val="single" w:sz="8" w:color="A5A5A5"/>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Interest rates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$121</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11%</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4"/>
        </w:trPr>
        <w:tc>
          <w:tcPr>
            <w:tcW w:w="2440" w:type="dxa"/>
            <w:vAlign w:val="bottom"/>
            <w:tcBorders>
              <w:left w:val="single" w:sz="8" w:color="999999"/>
              <w:right w:val="single" w:sz="8" w:color="A5A5A5"/>
            </w:tcBorders>
          </w:tcPr>
          <w:p>
            <w:pPr>
              <w:spacing w:after="0"/>
              <w:rPr>
                <w:sz w:val="16"/>
                <w:szCs w:val="16"/>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20" w:type="dxa"/>
            <w:vAlign w:val="bottom"/>
            <w:tcBorders>
              <w:right w:val="single" w:sz="8" w:color="A5A5A5"/>
            </w:tcBorders>
          </w:tcPr>
          <w:p>
            <w:pPr>
              <w:spacing w:after="0"/>
              <w:rPr>
                <w:sz w:val="16"/>
                <w:szCs w:val="16"/>
                <w:color w:val="auto"/>
              </w:rPr>
            </w:pPr>
          </w:p>
        </w:tc>
        <w:tc>
          <w:tcPr>
            <w:tcW w:w="104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bottom w:val="single" w:sz="8" w:color="A5A5A5"/>
              <w:right w:val="single" w:sz="8" w:color="A5A5A5"/>
            </w:tcBorders>
          </w:tcPr>
          <w:p>
            <w:pPr>
              <w:spacing w:after="0"/>
              <w:rPr>
                <w:sz w:val="14"/>
                <w:szCs w:val="14"/>
                <w:color w:val="auto"/>
              </w:rPr>
            </w:pPr>
          </w:p>
        </w:tc>
        <w:tc>
          <w:tcPr>
            <w:tcW w:w="2960" w:type="dxa"/>
            <w:vAlign w:val="bottom"/>
            <w:tcBorders>
              <w:bottom w:val="single" w:sz="8" w:color="A5A5A5"/>
              <w:right w:val="single" w:sz="8" w:color="A5A5A5"/>
            </w:tcBorders>
          </w:tcPr>
          <w:p>
            <w:pPr>
              <w:spacing w:after="0"/>
              <w:rPr>
                <w:sz w:val="14"/>
                <w:szCs w:val="14"/>
                <w:color w:val="auto"/>
              </w:rPr>
            </w:pPr>
          </w:p>
        </w:tc>
        <w:tc>
          <w:tcPr>
            <w:tcW w:w="1020" w:type="dxa"/>
            <w:vAlign w:val="bottom"/>
            <w:tcBorders>
              <w:bottom w:val="single" w:sz="8" w:color="A5A5A5"/>
              <w:right w:val="single" w:sz="8" w:color="A5A5A5"/>
            </w:tcBorders>
          </w:tcPr>
          <w:p>
            <w:pPr>
              <w:spacing w:after="0"/>
              <w:rPr>
                <w:sz w:val="14"/>
                <w:szCs w:val="14"/>
                <w:color w:val="auto"/>
              </w:rPr>
            </w:pPr>
          </w:p>
        </w:tc>
        <w:tc>
          <w:tcPr>
            <w:tcW w:w="1040" w:type="dxa"/>
            <w:vAlign w:val="bottom"/>
            <w:tcBorders>
              <w:bottom w:val="single" w:sz="8" w:color="A5A5A5"/>
              <w:right w:val="single" w:sz="8" w:color="A5A5A5"/>
            </w:tcBorders>
          </w:tcPr>
          <w:p>
            <w:pPr>
              <w:spacing w:after="0"/>
              <w:rPr>
                <w:sz w:val="14"/>
                <w:szCs w:val="14"/>
                <w:color w:val="auto"/>
              </w:rPr>
            </w:pPr>
          </w:p>
        </w:tc>
        <w:tc>
          <w:tcPr>
            <w:tcW w:w="1020" w:type="dxa"/>
            <w:vAlign w:val="bottom"/>
            <w:tcBorders>
              <w:bottom w:val="single" w:sz="8" w:color="A5A5A5"/>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4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Attachment revenue</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Fee</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clients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(Investor) Accounts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advisors</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$102</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2440" w:type="dxa"/>
            <w:vAlign w:val="bottom"/>
            <w:tcBorders>
              <w:left w:val="single" w:sz="8" w:color="999999"/>
              <w:right w:val="single" w:sz="8" w:color="A5A5A5"/>
            </w:tcBorders>
          </w:tcPr>
          <w:p>
            <w:pPr>
              <w:spacing w:after="0"/>
              <w:rPr>
                <w:sz w:val="14"/>
                <w:szCs w:val="14"/>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440" w:type="dxa"/>
            <w:vAlign w:val="bottom"/>
            <w:tcBorders>
              <w:left w:val="single" w:sz="8" w:color="999999"/>
              <w:right w:val="single" w:sz="8" w:color="A5A5A5"/>
            </w:tcBorders>
          </w:tcPr>
          <w:p>
            <w:pPr>
              <w:spacing w:after="0"/>
              <w:rPr>
                <w:sz w:val="17"/>
                <w:szCs w:val="17"/>
                <w:color w:val="auto"/>
              </w:rPr>
            </w:pPr>
          </w:p>
        </w:tc>
        <w:tc>
          <w:tcPr>
            <w:tcW w:w="2960" w:type="dxa"/>
            <w:vAlign w:val="bottom"/>
            <w:tcBorders>
              <w:bottom w:val="single" w:sz="8" w:color="A5A5A5"/>
              <w:right w:val="single" w:sz="8" w:color="A5A5A5"/>
            </w:tcBorders>
          </w:tcPr>
          <w:p>
            <w:pPr>
              <w:spacing w:after="0"/>
              <w:rPr>
                <w:sz w:val="17"/>
                <w:szCs w:val="17"/>
                <w:color w:val="auto"/>
              </w:rPr>
            </w:pPr>
          </w:p>
        </w:tc>
        <w:tc>
          <w:tcPr>
            <w:tcW w:w="296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Number of premium technology subscribers</w:t>
            </w:r>
          </w:p>
        </w:tc>
        <w:tc>
          <w:tcPr>
            <w:tcW w:w="1020" w:type="dxa"/>
            <w:vAlign w:val="bottom"/>
            <w:tcBorders>
              <w:bottom w:val="single" w:sz="8" w:color="A5A5A5"/>
              <w:right w:val="single" w:sz="8" w:color="A5A5A5"/>
            </w:tcBorders>
          </w:tcPr>
          <w:p>
            <w:pPr>
              <w:spacing w:after="0"/>
              <w:rPr>
                <w:sz w:val="17"/>
                <w:szCs w:val="17"/>
                <w:color w:val="auto"/>
              </w:rPr>
            </w:pPr>
          </w:p>
        </w:tc>
        <w:tc>
          <w:tcPr>
            <w:tcW w:w="1040" w:type="dxa"/>
            <w:vAlign w:val="bottom"/>
            <w:tcBorders>
              <w:bottom w:val="single" w:sz="8" w:color="A5A5A5"/>
              <w:right w:val="single" w:sz="8" w:color="A5A5A5"/>
            </w:tcBorders>
          </w:tcPr>
          <w:p>
            <w:pPr>
              <w:spacing w:after="0"/>
              <w:rPr>
                <w:sz w:val="17"/>
                <w:szCs w:val="17"/>
                <w:color w:val="auto"/>
              </w:rPr>
            </w:pPr>
          </w:p>
        </w:tc>
        <w:tc>
          <w:tcPr>
            <w:tcW w:w="1020" w:type="dxa"/>
            <w:vAlign w:val="bottom"/>
            <w:tcBorders>
              <w:bottom w:val="single" w:sz="8" w:color="A5A5A5"/>
              <w:right w:val="single" w:sz="8" w:color="A5A5A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40" w:type="dxa"/>
            <w:vAlign w:val="bottom"/>
            <w:tcBorders>
              <w:left w:val="single" w:sz="8" w:color="999999"/>
              <w:right w:val="single" w:sz="8" w:color="A5A5A5"/>
            </w:tcBorders>
          </w:tcPr>
          <w:p>
            <w:pPr>
              <w:spacing w:after="0"/>
              <w:rPr>
                <w:sz w:val="15"/>
                <w:szCs w:val="15"/>
                <w:color w:val="auto"/>
              </w:rPr>
            </w:pP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Other</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$21</w:t>
            </w:r>
          </w:p>
        </w:tc>
        <w:tc>
          <w:tcPr>
            <w:tcW w:w="10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13"/>
        </w:trPr>
        <w:tc>
          <w:tcPr>
            <w:tcW w:w="2440" w:type="dxa"/>
            <w:vAlign w:val="bottom"/>
            <w:tcBorders>
              <w:left w:val="single" w:sz="8" w:color="999999"/>
              <w:right w:val="single" w:sz="8" w:color="A5A5A5"/>
            </w:tcBorders>
          </w:tcPr>
          <w:p>
            <w:pPr>
              <w:spacing w:after="0"/>
              <w:rPr>
                <w:sz w:val="9"/>
                <w:szCs w:val="9"/>
                <w:color w:val="auto"/>
              </w:rPr>
            </w:pPr>
          </w:p>
        </w:tc>
        <w:tc>
          <w:tcPr>
            <w:tcW w:w="2960" w:type="dxa"/>
            <w:vAlign w:val="bottom"/>
            <w:tcBorders>
              <w:right w:val="single" w:sz="8" w:color="A5A5A5"/>
            </w:tcBorders>
          </w:tcPr>
          <w:p>
            <w:pPr>
              <w:spacing w:after="0"/>
              <w:rPr>
                <w:sz w:val="9"/>
                <w:szCs w:val="9"/>
                <w:color w:val="auto"/>
              </w:rPr>
            </w:pP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 transactions</w:t>
            </w:r>
          </w:p>
        </w:tc>
        <w:tc>
          <w:tcPr>
            <w:tcW w:w="1020" w:type="dxa"/>
            <w:vAlign w:val="bottom"/>
            <w:tcBorders>
              <w:right w:val="single" w:sz="8" w:color="A5A5A5"/>
            </w:tcBorders>
            <w:vMerge w:val="continue"/>
          </w:tcPr>
          <w:p>
            <w:pPr>
              <w:spacing w:after="0"/>
              <w:rPr>
                <w:sz w:val="9"/>
                <w:szCs w:val="9"/>
                <w:color w:val="auto"/>
              </w:rPr>
            </w:pPr>
          </w:p>
        </w:tc>
        <w:tc>
          <w:tcPr>
            <w:tcW w:w="1040" w:type="dxa"/>
            <w:vAlign w:val="bottom"/>
            <w:tcBorders>
              <w:right w:val="single" w:sz="8" w:color="A5A5A5"/>
            </w:tcBorders>
            <w:vMerge w:val="continue"/>
          </w:tcPr>
          <w:p>
            <w:pPr>
              <w:spacing w:after="0"/>
              <w:rPr>
                <w:sz w:val="9"/>
                <w:szCs w:val="9"/>
                <w:color w:val="auto"/>
              </w:rPr>
            </w:pPr>
          </w:p>
        </w:tc>
        <w:tc>
          <w:tcPr>
            <w:tcW w:w="1020" w:type="dxa"/>
            <w:vAlign w:val="bottom"/>
            <w:tcBorders>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440" w:type="dxa"/>
            <w:vAlign w:val="bottom"/>
            <w:tcBorders>
              <w:left w:val="single" w:sz="8" w:color="999999"/>
              <w:bottom w:val="single" w:sz="8" w:color="999999"/>
              <w:right w:val="single" w:sz="8" w:color="A5A5A5"/>
            </w:tcBorders>
          </w:tcPr>
          <w:p>
            <w:pPr>
              <w:spacing w:after="0"/>
              <w:rPr>
                <w:sz w:val="7"/>
                <w:szCs w:val="7"/>
                <w:color w:val="auto"/>
              </w:rPr>
            </w:pPr>
          </w:p>
        </w:tc>
        <w:tc>
          <w:tcPr>
            <w:tcW w:w="2960" w:type="dxa"/>
            <w:vAlign w:val="bottom"/>
            <w:tcBorders>
              <w:bottom w:val="single" w:sz="8" w:color="A5A5A5"/>
              <w:right w:val="single" w:sz="8" w:color="A5A5A5"/>
            </w:tcBorders>
          </w:tcPr>
          <w:p>
            <w:pPr>
              <w:spacing w:after="0"/>
              <w:rPr>
                <w:sz w:val="7"/>
                <w:szCs w:val="7"/>
                <w:color w:val="auto"/>
              </w:rPr>
            </w:pPr>
          </w:p>
        </w:tc>
        <w:tc>
          <w:tcPr>
            <w:tcW w:w="2960" w:type="dxa"/>
            <w:vAlign w:val="bottom"/>
            <w:tcBorders>
              <w:bottom w:val="single" w:sz="8" w:color="A5A5A5"/>
              <w:right w:val="single" w:sz="8" w:color="A5A5A5"/>
            </w:tcBorders>
            <w:vMerge w:val="continue"/>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104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440" w:type="dxa"/>
            <w:vAlign w:val="bottom"/>
            <w:tcBorders>
              <w:right w:val="single" w:sz="8" w:color="A5A5A5"/>
            </w:tcBorders>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960" w:type="dxa"/>
            <w:vAlign w:val="bottom"/>
            <w:tcBorders>
              <w:right w:val="single" w:sz="8" w:color="A5A5A5"/>
            </w:tcBorders>
          </w:tcPr>
          <w:p>
            <w:pPr>
              <w:spacing w:after="0"/>
              <w:rPr>
                <w:sz w:val="20"/>
                <w:szCs w:val="20"/>
                <w:color w:val="auto"/>
              </w:rPr>
            </w:pP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$1,109</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440" w:type="dxa"/>
            <w:vAlign w:val="bottom"/>
            <w:tcBorders>
              <w:right w:val="single" w:sz="8" w:color="A5A5A5"/>
            </w:tcBorders>
          </w:tcPr>
          <w:p>
            <w:pPr>
              <w:spacing w:after="0"/>
              <w:rPr>
                <w:sz w:val="2"/>
                <w:szCs w:val="2"/>
                <w:color w:val="auto"/>
              </w:rPr>
            </w:pPr>
          </w:p>
        </w:tc>
        <w:tc>
          <w:tcPr>
            <w:tcW w:w="2960" w:type="dxa"/>
            <w:vAlign w:val="bottom"/>
            <w:tcBorders>
              <w:bottom w:val="single" w:sz="8" w:color="A5A5A5"/>
            </w:tcBorders>
          </w:tcPr>
          <w:p>
            <w:pPr>
              <w:spacing w:after="0"/>
              <w:rPr>
                <w:sz w:val="2"/>
                <w:szCs w:val="2"/>
                <w:color w:val="auto"/>
              </w:rPr>
            </w:pPr>
          </w:p>
        </w:tc>
        <w:tc>
          <w:tcPr>
            <w:tcW w:w="2960" w:type="dxa"/>
            <w:vAlign w:val="bottom"/>
            <w:tcBorders>
              <w:bottom w:val="single" w:sz="8" w:color="A5A5A5"/>
              <w:right w:val="single" w:sz="8" w:color="A5A5A5"/>
            </w:tcBorders>
          </w:tcPr>
          <w:p>
            <w:pPr>
              <w:spacing w:after="0"/>
              <w:rPr>
                <w:sz w:val="2"/>
                <w:szCs w:val="2"/>
                <w:color w:val="auto"/>
              </w:rPr>
            </w:pPr>
          </w:p>
        </w:tc>
        <w:tc>
          <w:tcPr>
            <w:tcW w:w="1020" w:type="dxa"/>
            <w:vAlign w:val="bottom"/>
            <w:tcBorders>
              <w:bottom w:val="single" w:sz="8" w:color="A5A5A5"/>
              <w:right w:val="single" w:sz="8" w:color="A5A5A5"/>
            </w:tcBorders>
          </w:tcPr>
          <w:p>
            <w:pPr>
              <w:spacing w:after="0"/>
              <w:rPr>
                <w:sz w:val="2"/>
                <w:szCs w:val="2"/>
                <w:color w:val="auto"/>
              </w:rPr>
            </w:pPr>
          </w:p>
        </w:tc>
        <w:tc>
          <w:tcPr>
            <w:tcW w:w="1040" w:type="dxa"/>
            <w:vAlign w:val="bottom"/>
            <w:tcBorders>
              <w:bottom w:val="single" w:sz="8" w:color="A5A5A5"/>
              <w:right w:val="single" w:sz="8" w:color="A5A5A5"/>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440" w:type="dxa"/>
            <w:vAlign w:val="bottom"/>
            <w:tcBorders>
              <w:right w:val="single" w:sz="8" w:color="A5A5A5"/>
            </w:tcBorders>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960" w:type="dxa"/>
            <w:vAlign w:val="bottom"/>
            <w:tcBorders>
              <w:right w:val="single" w:sz="8" w:color="A5A5A5"/>
            </w:tcBorders>
          </w:tcPr>
          <w:p>
            <w:pPr>
              <w:spacing w:after="0"/>
              <w:rPr>
                <w:sz w:val="20"/>
                <w:szCs w:val="20"/>
                <w:color w:val="auto"/>
              </w:rPr>
            </w:pP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$767</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69%</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440" w:type="dxa"/>
            <w:vAlign w:val="bottom"/>
            <w:tcBorders>
              <w:right w:val="single" w:sz="8" w:color="A5A5A5"/>
            </w:tcBorders>
          </w:tcPr>
          <w:p>
            <w:pPr>
              <w:spacing w:after="0"/>
              <w:rPr>
                <w:sz w:val="2"/>
                <w:szCs w:val="2"/>
                <w:color w:val="auto"/>
              </w:rPr>
            </w:pPr>
          </w:p>
        </w:tc>
        <w:tc>
          <w:tcPr>
            <w:tcW w:w="2960" w:type="dxa"/>
            <w:vAlign w:val="bottom"/>
            <w:tcBorders>
              <w:bottom w:val="single" w:sz="8" w:color="A5A5A5"/>
            </w:tcBorders>
          </w:tcPr>
          <w:p>
            <w:pPr>
              <w:spacing w:after="0"/>
              <w:rPr>
                <w:sz w:val="2"/>
                <w:szCs w:val="2"/>
                <w:color w:val="auto"/>
              </w:rPr>
            </w:pPr>
          </w:p>
        </w:tc>
        <w:tc>
          <w:tcPr>
            <w:tcW w:w="2960" w:type="dxa"/>
            <w:vAlign w:val="bottom"/>
            <w:tcBorders>
              <w:bottom w:val="single" w:sz="8" w:color="A5A5A5"/>
              <w:right w:val="single" w:sz="8" w:color="A5A5A5"/>
            </w:tcBorders>
          </w:tcPr>
          <w:p>
            <w:pPr>
              <w:spacing w:after="0"/>
              <w:rPr>
                <w:sz w:val="2"/>
                <w:szCs w:val="2"/>
                <w:color w:val="auto"/>
              </w:rPr>
            </w:pPr>
          </w:p>
        </w:tc>
        <w:tc>
          <w:tcPr>
            <w:tcW w:w="1020" w:type="dxa"/>
            <w:vAlign w:val="bottom"/>
            <w:tcBorders>
              <w:bottom w:val="single" w:sz="8" w:color="A5A5A5"/>
              <w:right w:val="single" w:sz="8" w:color="A5A5A5"/>
            </w:tcBorders>
          </w:tcPr>
          <w:p>
            <w:pPr>
              <w:spacing w:after="0"/>
              <w:rPr>
                <w:sz w:val="2"/>
                <w:szCs w:val="2"/>
                <w:color w:val="auto"/>
              </w:rPr>
            </w:pPr>
          </w:p>
        </w:tc>
        <w:tc>
          <w:tcPr>
            <w:tcW w:w="1040" w:type="dxa"/>
            <w:vAlign w:val="bottom"/>
            <w:tcBorders>
              <w:bottom w:val="single" w:sz="8" w:color="A5A5A5"/>
              <w:right w:val="single" w:sz="8" w:color="A5A5A5"/>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-368300</wp:posOffset>
            </wp:positionV>
            <wp:extent cx="66040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400" cy="188595"/>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40"/>
          </w:cols>
          <w:pgMar w:left="240" w:top="520"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19"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1"/>
        </w:trPr>
        <w:tc>
          <w:tcPr>
            <w:tcW w:w="7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66"/>
        </w:trPr>
        <w:tc>
          <w:tcPr>
            <w:tcW w:w="70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Advisors(1)</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13,726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62"/>
        </w:trPr>
        <w:tc>
          <w:tcPr>
            <w:tcW w:w="70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485.4</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447.1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78"/>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r>
      <w:tr>
        <w:trPr>
          <w:trHeight w:val="262"/>
        </w:trPr>
        <w:tc>
          <w:tcPr>
            <w:tcW w:w="70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18.2 %</w:t>
            </w:r>
          </w:p>
        </w:tc>
      </w:tr>
      <w:tr>
        <w:trPr>
          <w:trHeight w:val="278"/>
        </w:trPr>
        <w:tc>
          <w:tcPr>
            <w:tcW w:w="7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55"/>
        </w:trPr>
        <w:tc>
          <w:tcPr>
            <w:tcW w:w="70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r>
      <w:tr>
        <w:trPr>
          <w:trHeight w:val="261"/>
        </w:trPr>
        <w:tc>
          <w:tcPr>
            <w:tcW w:w="8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r>
      <w:tr>
        <w:trPr>
          <w:trHeight w:val="266"/>
        </w:trPr>
        <w:tc>
          <w:tcPr>
            <w:tcW w:w="844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period</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78"/>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53.1</w:t>
            </w: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0.51</w:t>
            </w:r>
          </w:p>
        </w:tc>
      </w:tr>
      <w:tr>
        <w:trPr>
          <w:trHeight w:val="278"/>
        </w:trPr>
        <w:tc>
          <w:tcPr>
            <w:tcW w:w="8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Gross profit (in millions)(5)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355.3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330.7</w:t>
            </w:r>
          </w:p>
        </w:tc>
      </w:tr>
      <w:tr>
        <w:trPr>
          <w:trHeight w:val="278"/>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growth from prior period</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Gross profit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78"/>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(in millions)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141.5</w:t>
            </w: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Adjusted EBITDA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78"/>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gross profit</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62"/>
        </w:trPr>
        <w:tc>
          <w:tcPr>
            <w:tcW w:w="8440" w:type="dxa"/>
            <w:vAlign w:val="bottom"/>
          </w:tcPr>
          <w:p>
            <w:pPr>
              <w:ind w:left="200"/>
              <w:spacing w:after="0"/>
              <w:rPr>
                <w:sz w:val="20"/>
                <w:szCs w:val="20"/>
                <w:color w:val="auto"/>
              </w:rPr>
            </w:pPr>
            <w:r>
              <w:rPr>
                <w:rFonts w:ascii="Arial" w:cs="Arial" w:eastAsia="Arial" w:hAnsi="Arial"/>
                <w:sz w:val="16"/>
                <w:szCs w:val="16"/>
                <w:color w:val="auto"/>
              </w:rPr>
              <w:t>Adjusted Earnings (in millions)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71.0</w:t>
            </w:r>
          </w:p>
        </w:tc>
      </w:tr>
      <w:tr>
        <w:trPr>
          <w:trHeight w:val="278"/>
        </w:trPr>
        <w:tc>
          <w:tcPr>
            <w:tcW w:w="8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per share (diluted)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0.69</w:t>
            </w:r>
          </w:p>
        </w:tc>
      </w:tr>
    </w:tbl>
    <w:p>
      <w:pPr>
        <w:spacing w:after="0"/>
        <w:rPr>
          <w:sz w:val="20"/>
          <w:szCs w:val="20"/>
          <w:color w:val="auto"/>
        </w:rPr>
      </w:pPr>
      <w:r>
        <w:rPr>
          <w:rFonts w:ascii="Arial" w:cs="Arial" w:eastAsia="Arial" w:hAnsi="Arial"/>
          <w:sz w:val="7"/>
          <w:szCs w:val="7"/>
          <w:color w:val="auto"/>
        </w:rPr>
        <w:t>________________________________</w:t>
      </w:r>
    </w:p>
    <w:p>
      <w:pPr>
        <w:ind w:left="660" w:right="480" w:hanging="328"/>
        <w:spacing w:after="0" w:line="26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w:t>
      </w:r>
    </w:p>
    <w:p>
      <w:pPr>
        <w:spacing w:after="0" w:line="59"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Set forth below are other client assets at March 31, 2015 and 2014, including retirement plan assets, and certain trust and high-net-worth assets, that are custodied with third-party providers and therefore excluded from advisory and brokerage assets (in billions):</w:t>
      </w: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232"/>
        </w:trPr>
        <w:tc>
          <w:tcPr>
            <w:tcW w:w="7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4"/>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r>
      <w:tr>
        <w:trPr>
          <w:trHeight w:val="262"/>
        </w:trPr>
        <w:tc>
          <w:tcPr>
            <w:tcW w:w="7220" w:type="dxa"/>
            <w:vAlign w:val="bottom"/>
          </w:tcPr>
          <w:p>
            <w:pPr>
              <w:ind w:left="80"/>
              <w:spacing w:after="0"/>
              <w:rPr>
                <w:sz w:val="20"/>
                <w:szCs w:val="20"/>
                <w:color w:val="auto"/>
              </w:rPr>
            </w:pPr>
            <w:r>
              <w:rPr>
                <w:rFonts w:ascii="Arial" w:cs="Arial" w:eastAsia="Arial" w:hAnsi="Arial"/>
                <w:sz w:val="16"/>
                <w:szCs w:val="16"/>
                <w:color w:val="auto"/>
              </w:rPr>
              <w:t>Trust assets(b)</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78"/>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assets(c)</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60" w:hanging="324"/>
        <w:spacing w:after="0" w:line="25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March 31, 2015 and 2014, our retirement plan assets represent assets that are custodied with 37 third-party providers and 34 third-party providers, respectively, of retirement plan administrative services who provide reporting feeds. We estimate the total assets in retirement plans supported to be between $120.0 billion and $130.0 billion at March 31, 2015 and between $105.0 billion and $115.0 billion at March 31, 2014. If we receive reporting feeds in the future from providers for whom we do not currently receive feeds, we intend to include and identify such additional assets in this metric. Such</w:t>
      </w:r>
    </w:p>
    <w:p>
      <w:pPr>
        <w:sectPr>
          <w:pgSz w:w="11900" w:h="16838" w:orient="portrait"/>
          <w:cols w:equalWidth="0" w:num="1">
            <w:col w:w="11420"/>
          </w:cols>
          <w:pgMar w:left="240" w:top="520" w:right="2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520" w:right="239" w:bottom="1440" w:gutter="0" w:footer="0" w:header="0"/>
          <w:type w:val="continuous"/>
        </w:sectPr>
      </w:pPr>
    </w:p>
    <w:bookmarkStart w:id="28" w:name="page29"/>
    <w:bookmarkEnd w:id="28"/>
    <w:p>
      <w:pPr>
        <w:jc w:val="center"/>
        <w:ind w:right="20"/>
        <w:spacing w:after="0"/>
        <w:rPr>
          <w:sz w:val="20"/>
          <w:szCs w:val="20"/>
          <w:color w:val="auto"/>
        </w:rPr>
      </w:pPr>
      <w:r>
        <w:rPr>
          <w:rFonts w:ascii="Arial" w:cs="Arial" w:eastAsia="Arial" w:hAnsi="Arial"/>
          <w:sz w:val="18"/>
          <w:szCs w:val="18"/>
          <w:color w:val="auto"/>
        </w:rPr>
        <w:t>additional feeds since March 31, 2014, accounted for $0.6 billion of the $14.4 billion increase in retirement plan assets.</w:t>
      </w:r>
    </w:p>
    <w:p>
      <w:pPr>
        <w:spacing w:after="0" w:line="239" w:lineRule="exact"/>
        <w:rPr>
          <w:sz w:val="20"/>
          <w:szCs w:val="20"/>
          <w:color w:val="auto"/>
        </w:rPr>
      </w:pPr>
    </w:p>
    <w:p>
      <w:pPr>
        <w:ind w:left="980" w:right="300" w:hanging="324"/>
        <w:spacing w:after="0" w:line="29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trust assets that are on the wealth management platform of the Concord Trust and Wealth Solutions division of LPL Financial.</w:t>
      </w:r>
    </w:p>
    <w:p>
      <w:pPr>
        <w:spacing w:after="0" w:line="145" w:lineRule="exact"/>
        <w:rPr>
          <w:sz w:val="20"/>
          <w:szCs w:val="20"/>
          <w:color w:val="auto"/>
        </w:rPr>
      </w:pPr>
    </w:p>
    <w:p>
      <w:pPr>
        <w:ind w:left="1200" w:hanging="539"/>
        <w:spacing w:after="0" w:line="292" w:lineRule="auto"/>
        <w:rPr>
          <w:sz w:val="20"/>
          <w:szCs w:val="20"/>
          <w:color w:val="auto"/>
        </w:rPr>
      </w:pPr>
      <w:r>
        <w:rPr>
          <w:rFonts w:ascii="Arial" w:cs="Arial" w:eastAsia="Arial" w:hAnsi="Arial"/>
          <w:sz w:val="18"/>
          <w:szCs w:val="18"/>
          <w:color w:val="auto"/>
        </w:rPr>
        <w:t>(c)Represents high-net-worth assets that are on the platform of performance reporting, investment research, and practice management services of Fortigent.</w:t>
      </w:r>
    </w:p>
    <w:p>
      <w:pPr>
        <w:spacing w:after="0" w:line="145" w:lineRule="exact"/>
        <w:rPr>
          <w:sz w:val="20"/>
          <w:szCs w:val="20"/>
          <w:color w:val="auto"/>
        </w:rPr>
      </w:pPr>
    </w:p>
    <w:p>
      <w:pPr>
        <w:ind w:left="660" w:right="160" w:hanging="328"/>
        <w:spacing w:after="0" w:line="323"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122" w:lineRule="exact"/>
        <w:rPr>
          <w:rFonts w:ascii="Arial" w:cs="Arial" w:eastAsia="Arial" w:hAnsi="Arial"/>
          <w:sz w:val="17"/>
          <w:szCs w:val="17"/>
          <w:color w:val="auto"/>
        </w:rPr>
      </w:pPr>
    </w:p>
    <w:p>
      <w:pPr>
        <w:ind w:left="660" w:right="540" w:hanging="328"/>
        <w:spacing w:after="0" w:line="29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144"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Because our gross profit amounts do not include any depreciation and amortization expense, we consider our gross profit amounts to be non-GAAP measures that may not be comparable to those of others in our industry.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175"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We believe that Adjusted EBITDA, viewed in addition to, and not in lieu of, our reported financial results under GAAP, provides useful information to investors regarding our performance and overall results of operations for the following reasons:</w:t>
      </w:r>
    </w:p>
    <w:p>
      <w:pPr>
        <w:spacing w:after="0" w:line="145" w:lineRule="exact"/>
        <w:rPr>
          <w:sz w:val="20"/>
          <w:szCs w:val="20"/>
          <w:color w:val="auto"/>
        </w:rPr>
      </w:pPr>
    </w:p>
    <w:p>
      <w:pPr>
        <w:ind w:left="520" w:right="100" w:hanging="120"/>
        <w:spacing w:after="0" w:line="27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at any particular time, share-based compensation expense is not a key measure of our operating performance; and</w:t>
      </w:r>
    </w:p>
    <w:p>
      <w:pPr>
        <w:spacing w:after="0" w:line="163" w:lineRule="exact"/>
        <w:rPr>
          <w:rFonts w:ascii="Arial" w:cs="Arial" w:eastAsia="Arial" w:hAnsi="Arial"/>
          <w:sz w:val="18"/>
          <w:szCs w:val="18"/>
          <w:color w:val="auto"/>
        </w:rPr>
      </w:pPr>
    </w:p>
    <w:p>
      <w:pPr>
        <w:jc w:val="both"/>
        <w:ind w:left="520" w:right="60" w:hanging="120"/>
        <w:spacing w:after="0" w:line="27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communications with our Board of Directors (the “Board”)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163" w:lineRule="exact"/>
        <w:rPr>
          <w:sz w:val="20"/>
          <w:szCs w:val="20"/>
          <w:color w:val="auto"/>
        </w:rPr>
      </w:pPr>
    </w:p>
    <w:p>
      <w:pPr>
        <w:ind w:right="480" w:firstLine="486"/>
        <w:spacing w:after="0" w:line="29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45"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ectPr>
          <w:pgSz w:w="11900" w:h="16838" w:orient="portrait"/>
          <w:cols w:equalWidth="0" w:num="1">
            <w:col w:w="11400"/>
          </w:cols>
          <w:pgMar w:left="240" w:top="387" w:right="259" w:bottom="1440" w:gutter="0" w:footer="0" w:header="0"/>
        </w:sect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387" w:right="259" w:bottom="1440" w:gutter="0" w:footer="0" w:header="0"/>
          <w:type w:val="continuous"/>
        </w:sectPr>
      </w:pPr>
    </w:p>
    <w:bookmarkStart w:id="29" w:name="page30"/>
    <w:bookmarkEnd w:id="29"/>
    <w:p>
      <w:pPr>
        <w:ind w:left="520" w:right="340" w:hanging="120"/>
        <w:spacing w:after="0" w:line="292"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44" w:lineRule="exact"/>
        <w:rPr>
          <w:rFonts w:ascii="Arial" w:cs="Arial" w:eastAsia="Arial" w:hAnsi="Arial"/>
          <w:sz w:val="18"/>
          <w:szCs w:val="18"/>
          <w:color w:val="auto"/>
        </w:rPr>
      </w:pPr>
    </w:p>
    <w:p>
      <w:pPr>
        <w:ind w:left="520" w:right="340" w:hanging="120"/>
        <w:spacing w:after="0" w:line="323"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22"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4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three months ended March 31, 2015 and 2014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4"/>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12,840</w:t>
            </w:r>
          </w:p>
        </w:tc>
      </w:tr>
      <w:tr>
        <w:trPr>
          <w:trHeight w:val="278"/>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34,412</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9,716</w:t>
            </w:r>
          </w:p>
        </w:tc>
      </w:tr>
      <w:tr>
        <w:trPr>
          <w:trHeight w:val="271"/>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12,565</w:t>
            </w:r>
          </w:p>
        </w:tc>
      </w:tr>
      <w:tr>
        <w:trPr>
          <w:trHeight w:val="25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124,756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122,668</w:t>
            </w:r>
          </w:p>
        </w:tc>
      </w:tr>
      <w:tr>
        <w:trPr>
          <w:trHeight w:val="27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2"/>
        </w:trPr>
        <w:tc>
          <w:tcPr>
            <w:tcW w:w="858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5,111</w:t>
            </w:r>
          </w:p>
        </w:tc>
      </w:tr>
      <w:tr>
        <w:trPr>
          <w:trHeight w:val="278"/>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r>
      <w:tr>
        <w:trPr>
          <w:trHeight w:val="262"/>
        </w:trPr>
        <w:tc>
          <w:tcPr>
            <w:tcW w:w="858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7,271</w:t>
            </w:r>
          </w:p>
        </w:tc>
      </w:tr>
      <w:tr>
        <w:trPr>
          <w:trHeight w:val="271"/>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Other(4)</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r>
      <w:tr>
        <w:trPr>
          <w:trHeight w:val="25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18,809</w:t>
            </w:r>
          </w:p>
        </w:tc>
      </w:tr>
      <w:tr>
        <w:trPr>
          <w:trHeight w:val="242"/>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135,093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141,477</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-77470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660" w:right="4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66"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w:t>
      </w:r>
    </w:p>
    <w:p>
      <w:pPr>
        <w:spacing w:after="0" w:line="36" w:lineRule="exact"/>
        <w:rPr>
          <w:rFonts w:ascii="Arial" w:cs="Arial" w:eastAsia="Arial" w:hAnsi="Arial"/>
          <w:sz w:val="18"/>
          <w:szCs w:val="18"/>
          <w:color w:val="auto"/>
        </w:rPr>
      </w:pPr>
    </w:p>
    <w:p>
      <w:pPr>
        <w:ind w:left="660" w:right="480" w:hanging="328"/>
        <w:spacing w:after="0" w:line="27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 initiative. Results for the three months ended March 31, 2015 also include charges related to the restructuring of the business of the Company's subsidiary, Fortigent Holdings Company, Inc.</w:t>
      </w:r>
    </w:p>
    <w:p>
      <w:pPr>
        <w:spacing w:after="0" w:line="55" w:lineRule="exact"/>
        <w:rPr>
          <w:rFonts w:ascii="Arial" w:cs="Arial" w:eastAsia="Arial" w:hAnsi="Arial"/>
          <w:sz w:val="18"/>
          <w:szCs w:val="18"/>
          <w:color w:val="auto"/>
        </w:rPr>
      </w:pPr>
    </w:p>
    <w:p>
      <w:pPr>
        <w:ind w:left="660" w:right="460" w:hanging="328"/>
        <w:spacing w:after="0" w:line="29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for the three months ended March 31, 2014 include approximately $5.3 million in parallel rent, property tax, common area maintenance expenses, and fixed asset disposals incurred in connection with our relocation to our San Diego office building.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25"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68" w:right="239" w:bottom="1440" w:gutter="0" w:footer="0" w:header="0"/>
        </w:sectPr>
      </w:pPr>
    </w:p>
    <w:bookmarkStart w:id="30" w:name="page31"/>
    <w:bookmarkEnd w:id="30"/>
    <w:p>
      <w:pPr>
        <w:jc w:val="both"/>
        <w:ind w:right="520" w:firstLine="486"/>
        <w:spacing w:after="0" w:line="271"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financial results under GAAP, provide useful information to investors regarding our performance and overall results of operations for the following reasons:</w:t>
      </w:r>
    </w:p>
    <w:p>
      <w:pPr>
        <w:spacing w:after="0" w:line="163" w:lineRule="exact"/>
        <w:rPr>
          <w:sz w:val="20"/>
          <w:szCs w:val="20"/>
          <w:color w:val="auto"/>
        </w:rPr>
      </w:pPr>
    </w:p>
    <w:p>
      <w:pPr>
        <w:ind w:left="520" w:right="80" w:hanging="120"/>
        <w:spacing w:after="0" w:line="27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the related share-based compensation expense is not a key measure of our current operating performance;</w:t>
      </w:r>
    </w:p>
    <w:p>
      <w:pPr>
        <w:spacing w:after="0" w:line="163" w:lineRule="exact"/>
        <w:rPr>
          <w:rFonts w:ascii="Arial" w:cs="Arial" w:eastAsia="Arial" w:hAnsi="Arial"/>
          <w:sz w:val="18"/>
          <w:szCs w:val="18"/>
          <w:color w:val="auto"/>
        </w:rPr>
      </w:pPr>
    </w:p>
    <w:p>
      <w:pPr>
        <w:ind w:left="520" w:right="180" w:hanging="120"/>
        <w:spacing w:after="0" w:line="27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163" w:lineRule="exact"/>
        <w:rPr>
          <w:rFonts w:ascii="Arial" w:cs="Arial" w:eastAsia="Arial" w:hAnsi="Arial"/>
          <w:sz w:val="18"/>
          <w:szCs w:val="18"/>
          <w:color w:val="auto"/>
        </w:rPr>
      </w:pPr>
    </w:p>
    <w:p>
      <w:pPr>
        <w:ind w:left="520" w:right="40" w:hanging="120"/>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170"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163"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163" w:lineRule="exact"/>
        <w:rPr>
          <w:sz w:val="20"/>
          <w:szCs w:val="20"/>
          <w:color w:val="auto"/>
        </w:rPr>
      </w:pPr>
    </w:p>
    <w:p>
      <w:pPr>
        <w:ind w:left="520" w:right="40" w:hanging="120"/>
        <w:spacing w:after="0" w:line="292"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44" w:lineRule="exact"/>
        <w:rPr>
          <w:rFonts w:ascii="Arial" w:cs="Arial" w:eastAsia="Arial" w:hAnsi="Arial"/>
          <w:sz w:val="18"/>
          <w:szCs w:val="18"/>
          <w:color w:val="auto"/>
        </w:rPr>
      </w:pPr>
    </w:p>
    <w:p>
      <w:pPr>
        <w:ind w:left="520" w:hanging="120"/>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92"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4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68" w:right="279" w:bottom="1440" w:gutter="0" w:footer="0" w:header="0"/>
        </w:sectPr>
      </w:pPr>
    </w:p>
    <w:bookmarkStart w:id="31" w:name="page32"/>
    <w:bookmarkEnd w:id="31"/>
    <w:p>
      <w:pPr>
        <w:ind w:right="320" w:firstLine="486"/>
        <w:spacing w:after="0" w:line="29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months ended March 31, 2015 and 2014 (in thousands, except per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4"/>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53,135</w:t>
            </w:r>
          </w:p>
        </w:tc>
      </w:tr>
      <w:tr>
        <w:trPr>
          <w:trHeight w:val="262"/>
        </w:trPr>
        <w:tc>
          <w:tcPr>
            <w:tcW w:w="8580" w:type="dxa"/>
            <w:vAlign w:val="bottom"/>
          </w:tcPr>
          <w:p>
            <w:pPr>
              <w:ind w:left="80"/>
              <w:spacing w:after="0"/>
              <w:rPr>
                <w:sz w:val="20"/>
                <w:szCs w:val="20"/>
                <w:color w:val="auto"/>
              </w:rPr>
            </w:pPr>
            <w:r>
              <w:rPr>
                <w:rFonts w:ascii="Arial" w:cs="Arial" w:eastAsia="Arial" w:hAnsi="Arial"/>
                <w:sz w:val="16"/>
                <w:szCs w:val="16"/>
                <w:color w:val="auto"/>
              </w:rPr>
              <w:t>After-Tax:</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2"/>
        </w:trPr>
        <w:tc>
          <w:tcPr>
            <w:tcW w:w="858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3,518</w:t>
            </w:r>
          </w:p>
        </w:tc>
      </w:tr>
      <w:tr>
        <w:trPr>
          <w:trHeight w:val="278"/>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2"/>
        </w:trPr>
        <w:tc>
          <w:tcPr>
            <w:tcW w:w="858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4,464</w:t>
            </w:r>
          </w:p>
        </w:tc>
      </w:tr>
      <w:tr>
        <w:trPr>
          <w:trHeight w:val="271"/>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EBITDA Adjustments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11,928</w:t>
            </w:r>
          </w:p>
        </w:tc>
      </w:tr>
      <w:tr>
        <w:trPr>
          <w:trHeight w:val="25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5,966</w:t>
            </w:r>
          </w:p>
        </w:tc>
      </w:tr>
      <w:tr>
        <w:trPr>
          <w:trHeight w:val="282"/>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63,180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71,029</w:t>
            </w:r>
          </w:p>
        </w:tc>
      </w:tr>
      <w:tr>
        <w:trPr>
          <w:trHeight w:val="224"/>
        </w:trPr>
        <w:tc>
          <w:tcPr>
            <w:tcW w:w="8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8580" w:type="dxa"/>
            <w:vAlign w:val="bottom"/>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98,227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1270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-77470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4" w:lineRule="exact"/>
        <w:rPr>
          <w:sz w:val="20"/>
          <w:szCs w:val="20"/>
          <w:color w:val="auto"/>
        </w:rPr>
      </w:pPr>
    </w:p>
    <w:p>
      <w:pPr>
        <w:ind w:left="660" w:right="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 net of the federal tax benefit, for the periods ended March 31, 2015 and 2014, except for the impact of incentive stock options granted to employees that qualify for preferential tax treatment and conversely for which we do not receive a tax deduction.</w:t>
      </w:r>
    </w:p>
    <w:p>
      <w:pPr>
        <w:spacing w:after="0" w:line="61" w:lineRule="exact"/>
        <w:rPr>
          <w:rFonts w:ascii="Arial" w:cs="Arial" w:eastAsia="Arial" w:hAnsi="Arial"/>
          <w:sz w:val="18"/>
          <w:szCs w:val="18"/>
          <w:color w:val="auto"/>
        </w:rPr>
      </w:pPr>
    </w:p>
    <w:p>
      <w:pPr>
        <w:ind w:left="660" w:right="300" w:hanging="328"/>
        <w:spacing w:after="0" w:line="27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2"/>
        </w:trPr>
        <w:tc>
          <w:tcPr>
            <w:tcW w:w="726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72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4"/>
        </w:trPr>
        <w:tc>
          <w:tcPr>
            <w:tcW w:w="7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r>
      <w:tr>
        <w:trPr>
          <w:trHeight w:val="262"/>
        </w:trPr>
        <w:tc>
          <w:tcPr>
            <w:tcW w:w="7260" w:type="dxa"/>
            <w:vAlign w:val="bottom"/>
          </w:tcPr>
          <w:p>
            <w:pPr>
              <w:ind w:left="20"/>
              <w:spacing w:after="0"/>
              <w:rPr>
                <w:sz w:val="20"/>
                <w:szCs w:val="20"/>
                <w:color w:val="auto"/>
              </w:rPr>
            </w:pPr>
            <w:r>
              <w:rPr>
                <w:rFonts w:ascii="Arial" w:cs="Arial" w:eastAsia="Arial" w:hAnsi="Arial"/>
                <w:sz w:val="16"/>
                <w:szCs w:val="16"/>
                <w:color w:val="auto"/>
              </w:rPr>
              <w:t>After-Tax:</w:t>
            </w: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7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EBITDA Adjustments per share</w:t>
            </w: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r>
      <w:tr>
        <w:trPr>
          <w:trHeight w:val="264"/>
        </w:trPr>
        <w:tc>
          <w:tcPr>
            <w:tcW w:w="72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Amortization of intangible assets per share</w:t>
            </w: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r>
      <w:tr>
        <w:trPr>
          <w:trHeight w:val="242"/>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r>
      <w:tr>
        <w:trPr>
          <w:trHeight w:val="20"/>
        </w:trPr>
        <w:tc>
          <w:tcPr>
            <w:tcW w:w="7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ongoing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regularly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the Company accrues for those losses based on an estimate of possible fines, customer restitution and/or losses related to the repurchase of sold securities and other losses, as applicable. The Company’s ability to estimate such costs may vary based on the current stage of evaluation and status of discussion with regulators, as applicable.</w:t>
      </w:r>
    </w:p>
    <w:p>
      <w:pPr>
        <w:spacing w:after="0" w:line="178"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Our accruals at March 31, 2015 include estimated costs for significant regulatory matters, generally relating to the adequacy of the Company’s compliance and supervisory systems and procedures and other controls, for which the Company believes losses are both probable and reasonably estimable. One of the matters relates to sales of certain securities over several years, and our accrual at March 31, 2015 includes an estimate for the loss we expect to incur in resolving this matter including if we were to repurchase certain affected securities at their original sales prices.</w:t>
      </w:r>
    </w:p>
    <w:p>
      <w:pPr>
        <w:spacing w:after="0" w:line="175"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which could have a material adverse effect on our business, results of operations, cash flows or financial condition. For more information on management’s loss contingency policies,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 Value Commitment Initiative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23"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Our Service Value Commitment initiative (the “Program”) is a multi-year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to reposition our labor force and invest in technology, human capital, marketing, and other key areas to enable future growth.</w:t>
      </w:r>
    </w:p>
    <w:p>
      <w:pPr>
        <w:sectPr>
          <w:pgSz w:w="11900" w:h="16838" w:orient="portrait"/>
          <w:cols w:equalWidth="0" w:num="1">
            <w:col w:w="11420"/>
          </w:cols>
          <w:pgMar w:left="240" w:top="468" w:right="239" w:bottom="134" w:gutter="0" w:footer="0" w:header="0"/>
        </w:sectPr>
      </w:pPr>
    </w:p>
    <w:bookmarkStart w:id="32" w:name="page33"/>
    <w:bookmarkEnd w:id="32"/>
    <w:p>
      <w:pPr>
        <w:ind w:right="180" w:firstLine="486"/>
        <w:spacing w:after="0" w:line="260" w:lineRule="auto"/>
        <w:rPr>
          <w:sz w:val="20"/>
          <w:szCs w:val="20"/>
          <w:color w:val="auto"/>
        </w:rPr>
      </w:pPr>
      <w:r>
        <w:rPr>
          <w:rFonts w:ascii="Arial" w:cs="Arial" w:eastAsia="Arial" w:hAnsi="Arial"/>
          <w:sz w:val="18"/>
          <w:szCs w:val="18"/>
          <w:color w:val="auto"/>
        </w:rPr>
        <w:t xml:space="preserve">As of March 31, 2015, we have incurred $63.1 million of costs related to outsourcing and other related costs, technology transformation costs, employee severance obligations, and other related costs, as well as non-cash charges for impairment of certain fixed assets related to internally developed software. The Program is expected to be completed in 2015, and we estimate total charges to be approximately $68.0 million, with expected annual pre-tax savings of approximately $32.0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information regarding the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conjunction with the Program,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178"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$10.0 million annually. 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25" w:right="239" w:bottom="1440" w:gutter="0" w:footer="0" w:header="0"/>
        </w:sectPr>
      </w:pPr>
    </w:p>
    <w:bookmarkStart w:id="33" w:name="page34"/>
    <w:bookmarkEnd w:id="33"/>
    <w:p>
      <w:pPr>
        <w:ind w:right="260" w:firstLine="486"/>
        <w:spacing w:after="0" w:line="292"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unaudited condensed consolidated financial statements for additional information regarding our derivative financial instruments.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27"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three months ended March 31, 2015. See our 2014 Annual Report on Form 10-K for 2014 activity.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7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At its April policy meeting, the Federal Reserve’s policy making arm, the Federal Open Market Committee ("FOMC") reaffirmed its view that the current 0.0% to 0.25% target range for the federal funds rate remains appropriate. The FOMC stated that it expects the economy to grow at a moderate pace, labor markets to continue to improve, and inflation to stay low in the short term but to move toward the Federal Reserve’s 2% target in the medium term. The FOMC also underscored that it would take a balanced approach once it began to raise rates and that it could keep rates below what members would consider normal in the longer term if conditions warranted, even if inflation and labor markets were near levels consistent with its mandate.</w:t>
      </w:r>
    </w:p>
    <w:p>
      <w:pPr>
        <w:spacing w:after="0" w:line="69"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As a result of the accommodative monetary policy, interest rates, including the rate on overnight funds have remained low on a historical basis, with the average federal funds effective rate for the first quarter of 2015 at 11 basis points. The low interest rate environment and fee compression, resulting from contract repricing in order to keep yields on our cash sweep programs competitive, has had a negative impact on profitability within our cash sweep programs, and fee compression has occurred in 2015 and is expected to increase further in 2016. Additionally, we have seen decreasing levels of demand for fixed and variable annuity products.</w:t>
      </w:r>
    </w:p>
    <w:p>
      <w:pPr>
        <w:spacing w:after="0" w:line="1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business is also affected by the performance of equity securities across the various markets in the United States. The S&amp;P 500 index closed the quarter at 2,068, which remained relatively unchanged from its close on December 31, 2014, but exhibited higher volatility relative to prior periods by continuing a pattern of setting new highs with frequent pullbacks, which resulted in a 1.0% year-to-date gain through March 31, 2015. The volatility was attributable to several factors including the impact of lower oil prices, bad weather affecting consumer spending in parts of the country, strong dollar performance, corporate earnings expectations, the European Central Bank monetary easing program, and assurances from the Federal Reserve that, despite growing evidence of strength in the U.S. economy, it does not plan to act quickly in raising interest rates. While the market demonstrated impressive resilience and posted a modest gain in the first quarter, investors continue to contend with lingering economic worries about geopolitical uncertainty, Federal Reserve monetary policy, U.S. and global growth rates, and policy uncertainty in Washington, D.C.</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The following discussion presents an analysis of our results of operations for the three months ended March 31, 2015 and 2014. Where appropriate, we have identified specific events and changes that affect comparability or identification or monitoring of trends, and where possible and practical, have quantified the impact of such items.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4"/>
        </w:trPr>
        <w:tc>
          <w:tcPr>
            <w:tcW w:w="7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6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4"/>
        </w:trPr>
        <w:tc>
          <w:tcPr>
            <w:tcW w:w="716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4"/>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523,399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534,574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2"/>
        </w:trPr>
        <w:tc>
          <w:tcPr>
            <w:tcW w:w="7160" w:type="dxa"/>
            <w:vAlign w:val="bottom"/>
          </w:tcPr>
          <w:p>
            <w:pPr>
              <w:ind w:left="80"/>
              <w:spacing w:after="0"/>
              <w:rPr>
                <w:sz w:val="20"/>
                <w:szCs w:val="20"/>
                <w:color w:val="auto"/>
              </w:rPr>
            </w:pPr>
            <w:r>
              <w:rPr>
                <w:rFonts w:ascii="Arial" w:cs="Arial" w:eastAsia="Arial" w:hAnsi="Arial"/>
                <w:sz w:val="16"/>
                <w:szCs w:val="16"/>
                <w:color w:val="auto"/>
              </w:rPr>
              <w:t>Advisory</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342,112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327,253</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78"/>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120,632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114,674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62"/>
        </w:trPr>
        <w:tc>
          <w:tcPr>
            <w:tcW w:w="716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101,695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89,985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13.0 %</w:t>
            </w:r>
          </w:p>
        </w:tc>
      </w:tr>
      <w:tr>
        <w:trPr>
          <w:trHeight w:val="278"/>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21,464</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46"/>
        </w:trPr>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1,109,302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1,087,431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2.0 %</w:t>
            </w:r>
          </w:p>
        </w:tc>
      </w:tr>
      <w:tr>
        <w:trPr>
          <w:trHeight w:val="267"/>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2"/>
        </w:trPr>
        <w:tc>
          <w:tcPr>
            <w:tcW w:w="716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753,988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756,718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78"/>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112,280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62"/>
        </w:trPr>
        <w:tc>
          <w:tcPr>
            <w:tcW w:w="716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114,354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94,377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21.2 %</w:t>
            </w:r>
          </w:p>
        </w:tc>
      </w:tr>
      <w:tr>
        <w:trPr>
          <w:trHeight w:val="278"/>
        </w:trPr>
        <w:tc>
          <w:tcPr>
            <w:tcW w:w="71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264"/>
        </w:trPr>
        <w:tc>
          <w:tcPr>
            <w:tcW w:w="71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(46.4)%</w:t>
            </w:r>
          </w:p>
        </w:tc>
      </w:tr>
      <w:tr>
        <w:trPr>
          <w:trHeight w:val="253"/>
        </w:trPr>
        <w:tc>
          <w:tcPr>
            <w:tcW w:w="71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1,010,612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987,044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47"/>
        </w:trPr>
        <w:tc>
          <w:tcPr>
            <w:tcW w:w="71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Non-operating interest expense</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12,840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9.2 %</w:t>
            </w:r>
          </w:p>
        </w:tc>
      </w:tr>
      <w:tr>
        <w:trPr>
          <w:trHeight w:val="253"/>
        </w:trPr>
        <w:tc>
          <w:tcPr>
            <w:tcW w:w="716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1,024,627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999,884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46"/>
        </w:trPr>
        <w:tc>
          <w:tcPr>
            <w:tcW w:w="716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87,547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w:t>
            </w:r>
          </w:p>
        </w:tc>
      </w:tr>
      <w:tr>
        <w:trPr>
          <w:trHeight w:val="274"/>
        </w:trPr>
        <w:tc>
          <w:tcPr>
            <w:tcW w:w="7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33,997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0"/>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50,678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53,135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generate two types of commission revenues: transaction-based sales commissions and trailing commissions. Transaction-based sales commission revenues, which occur whenever clients trade securities or purchase various types of investment products, primarily represent gross commissions generated by our advisors. The levels of transaction-based sales commission revenues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 revenues are recurring in nature and are earned based on the market value of investment holdings in trail-eligible assets.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20" w:right="299" w:bottom="1440" w:gutter="0" w:footer="0" w:header="0"/>
        </w:sectPr>
      </w:pPr>
    </w:p>
    <w:bookmarkStart w:id="35" w:name="page36"/>
    <w:bookmarkEnd w:id="35"/>
    <w:p>
      <w:pPr>
        <w:ind w:right="860" w:firstLine="486"/>
        <w:spacing w:after="0" w:line="29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March 31, 2015 and 2014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192,351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198,196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62"/>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151,153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148,755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2,398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78"/>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62"/>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35,107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46,726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(11,619)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(24.9)%</w:t>
            </w:r>
          </w:p>
        </w:tc>
      </w:tr>
      <w:tr>
        <w:trPr>
          <w:trHeight w:val="278"/>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62"/>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23,988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21,984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2,004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78"/>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21,689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62"/>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(11.1)%</w:t>
            </w:r>
          </w:p>
        </w:tc>
      </w:tr>
      <w:tr>
        <w:trPr>
          <w:trHeight w:val="278"/>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46"/>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523,399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534,574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w:t>
            </w: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283,467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312,020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239,932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222,554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17,378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7.8 %</w:t>
            </w:r>
          </w:p>
        </w:tc>
      </w:tr>
      <w:tr>
        <w:trPr>
          <w:trHeight w:val="243"/>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3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decrease in commission for the three months ended March 31, 2015 compared with the same period in 2014, was primarily due to a decrease in sales-based activity for fixed and variable annuities. The decline in demand for these products was a result of investors that have shifted their focus from guaranteed income streams with minimal risk to principal, that these products provide, to portfolio growth as gains in the market have steadily risen.</w:t>
      </w:r>
    </w:p>
    <w:p>
      <w:pPr>
        <w:spacing w:after="0" w:line="62"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Increases in trailing revenues for mutual funds, variable annuities, and alternative products reflect improved investor engagement and strong market conditions, resulting in the increase of the underlying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23"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generally average 1.1% of the underlying assets, and can range anywhere from 0.5% to 3.0%.</w:t>
      </w:r>
    </w:p>
    <w:p>
      <w:pPr>
        <w:spacing w:after="0" w:line="17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addition, we support hybrid RIAs who conduct their advisory business through separate entities by establishing their own RIA (“Hybrid RIAs”) pursuant to the Investment Advisers Act of 1940 or through their respective states' investment advisory licensing rules, rather than through LPL Financial. The assets held under these investment advisory accounts custodied with LPL Financial are included in our advisory and brokerage assets, net new advisory assets, and advisory assets under custody metrics. However, the advisory revenue generated by a Hybrid RIA is earned by the Hybrid RIA, and accordingly is not included in our advisory revenue. We charge administrative fees to Hybrid RIAs for clearing and custody of these assets based on the value of assets within these advisory accounts. The administrative fees collected on our Hybrid RIA platform vary and can reach a maximum of 0.6% of the underlying assets.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0" w:right="239" w:bottom="1440" w:gutter="0" w:footer="0" w:header="0"/>
        </w:sectPr>
      </w:pPr>
    </w:p>
    <w:bookmarkStart w:id="36" w:name="page37"/>
    <w:bookmarkEnd w:id="36"/>
    <w:p>
      <w:pPr>
        <w:ind w:right="40" w:firstLine="486"/>
        <w:spacing w:after="0" w:line="29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37" w:lineRule="exact"/>
        <w:rPr>
          <w:sz w:val="20"/>
          <w:szCs w:val="20"/>
          <w:color w:val="auto"/>
        </w:rPr>
      </w:pPr>
    </w:p>
    <w:p>
      <w:pPr>
        <w:ind w:right="360" w:firstLine="486"/>
        <w:spacing w:after="0" w:line="29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months ended March 31, 2015 and 2014 (in billions):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4"/>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r>
      <w:tr>
        <w:trPr>
          <w:trHeight w:val="262"/>
        </w:trPr>
        <w:tc>
          <w:tcPr>
            <w:tcW w:w="856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r>
      <w:tr>
        <w:trPr>
          <w:trHeight w:val="242"/>
        </w:trPr>
        <w:tc>
          <w:tcPr>
            <w:tcW w:w="856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158.0</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Net new advisory assets for the three months ended March 31, 2015 and 2014 had a limited impact on advisory fee revenue for those respective periods. Rather, net new advisory assets are a primary driver of future advisory fee revenue and have resulted from the continued shift by our existing advisors from brokerage towards more advisory business. Advisory revenue for a particular quarter is predominately driven by the prior quarter-end advisory assets under management. The growth in advisory revenue is due to net new advisory assets resulting from increased investor engagement and strong advisor productivity, as well as market gains as represented by higher levels of the S&amp;P 500 index.</w:t>
      </w:r>
    </w:p>
    <w:p>
      <w:pPr>
        <w:spacing w:after="0" w:line="283"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The Hybrid RIA model has continued to grow rapidly as advisors seek the freedom to run their businesses in a manner that they believe best enables them to meet their clients' needs. This continued shift of advisors to the Hybrid RIA platform (for which we custody assets but do not earn advisory revenues for managing those assets) has caused the rate of revenue growth of advisory assets under management to lag behind the rate of growth of advisory assets under custody. Our advisory revenues include administrative fees collected on our Hybrid RIA platform, but do not include fees for advisory services charged by Hybrid RIA advisors to their clients.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March 31, 2015 and 2014 (in billions):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48.4%</w:t>
            </w:r>
          </w:p>
        </w:tc>
      </w:tr>
      <w:tr>
        <w:trPr>
          <w:trHeight w:val="242"/>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2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Asset-based revenues are comprised of fees from cash sweep programs, our sponsorship programs 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17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Revenues from product sponsors and for record-keeping services, which are largely based on the underlying asset values, increased due to the impact of the higher average market indices on the value of those underlying assets and net new sales of eligible assets. Asset-based revenues also include revenues from our cash sweep programs, which decreased by $2.5 million, or 10.4%, to $21.5 million for the three months ended March 31, 2015</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68" w:right="239" w:bottom="1440" w:gutter="0" w:footer="0" w:header="0"/>
        </w:sectPr>
      </w:pPr>
    </w:p>
    <w:bookmarkStart w:id="37" w:name="page38"/>
    <w:bookmarkEnd w:id="37"/>
    <w:p>
      <w:pPr>
        <w:ind w:right="40"/>
        <w:spacing w:after="0" w:line="292" w:lineRule="auto"/>
        <w:rPr>
          <w:sz w:val="20"/>
          <w:szCs w:val="20"/>
          <w:color w:val="auto"/>
        </w:rPr>
      </w:pPr>
      <w:r>
        <w:rPr>
          <w:rFonts w:ascii="Arial" w:cs="Arial" w:eastAsia="Arial" w:hAnsi="Arial"/>
          <w:sz w:val="18"/>
          <w:szCs w:val="18"/>
          <w:color w:val="auto"/>
        </w:rPr>
        <w:t>from $24.0 million for the three months ended March 31, 2014. The decrease is due to fee compression that resulted from a repricing of certain contracts that underlie our cash sweep programs,.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2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Revenues earned from transactions and fees primarily consist of transaction 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177"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Transaction and fee revenues increased for the three months ended March 31, 2015 compared with the same period in 2014, primarily due to higher trade volumes in certain advisory accounts that generate transaction based revenue and a 2.7% increase in the average number of advisors.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3"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Other revenues are consistent for the three months ended March 31, 2015 as compared to the same period in 2014. These revenues include marketing allowances received from certain financial product manufacturers, primarily those 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Partners program, interest income from client margin accounts and cash equivalents, net of operating interest expense, and 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2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17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 correlated 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months ended March 31, 2015 and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660" w:type="dxa"/>
            <w:vAlign w:val="bottom"/>
          </w:tcPr>
          <w:p>
            <w:pPr>
              <w:spacing w:after="0"/>
              <w:rPr>
                <w:sz w:val="20"/>
                <w:szCs w:val="20"/>
                <w:color w:val="auto"/>
              </w:rPr>
            </w:pPr>
          </w:p>
        </w:tc>
        <w:tc>
          <w:tcPr>
            <w:tcW w:w="2620" w:type="dxa"/>
            <w:vAlign w:val="bottom"/>
            <w:gridSpan w:val="4"/>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1140" w:type="dxa"/>
            <w:vAlign w:val="bottom"/>
          </w:tcPr>
          <w:p>
            <w:pPr>
              <w:spacing w:after="0"/>
              <w:rPr>
                <w:sz w:val="20"/>
                <w:szCs w:val="20"/>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(53 bps)</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11 bps</w:t>
            </w:r>
          </w:p>
        </w:tc>
      </w:tr>
      <w:tr>
        <w:trPr>
          <w:trHeight w:val="257"/>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(42 bps)</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(33 bps)</w:t>
            </w:r>
          </w:p>
        </w:tc>
      </w:tr>
      <w:tr>
        <w:trPr>
          <w:trHeight w:val="242"/>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(75 bps)</w:t>
            </w: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68" w:right="239" w:bottom="1440" w:gutter="0" w:footer="0" w:header="0"/>
        </w:sectPr>
      </w:pPr>
    </w:p>
    <w:bookmarkStart w:id="38" w:name="page39"/>
    <w:bookmarkEnd w:id="38"/>
    <w:p>
      <w:pPr>
        <w:ind w:right="80" w:firstLine="486"/>
        <w:spacing w:after="0" w:line="264" w:lineRule="auto"/>
        <w:rPr>
          <w:sz w:val="20"/>
          <w:szCs w:val="20"/>
          <w:color w:val="auto"/>
        </w:rPr>
      </w:pPr>
      <w:r>
        <w:rPr>
          <w:rFonts w:ascii="Arial" w:cs="Arial" w:eastAsia="Arial" w:hAnsi="Arial"/>
          <w:sz w:val="18"/>
          <w:szCs w:val="18"/>
          <w:color w:val="auto"/>
        </w:rPr>
        <w:t>Production expenses for the three months ended March 31, 2015 compared with the same period in 2014 remained relatively flat, which correlates with our commission and advisory revenues during the same period. The change in non-GDC sensitive payout is attributable to decreased advisor share-based compensation, which is correlated to market movement in our stock and the advisor non-qualified deferred compensation plan as noted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23"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4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increase in compensation and benefits expense for the three months ended March 31, 2015 compared with the same period in 2014 was primarily driven by a 3.2% increase in our average number of full-time employees, from 3,252 for the three months ended March 31, 2014 to 3,357 for the three months ended March 31, 2015, to support business growth and investments in staffing related to service and compliance and risk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3"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General and administrative expenses include promotional, occupancy and equipment, professional services, communications and data processing, regulatory fees, and other expenses. General and administrative expenses also include expenses for our hosting of certain advisor conferences that serve as training, sales, and marketing events.</w:t>
      </w:r>
    </w:p>
    <w:p>
      <w:pPr>
        <w:spacing w:after="0" w:line="163"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The increase in general and administrative expenses for the three months ended March 31, 2015 compared with the same period in 2014 was primarily driven by an increase of $8.5 million for business development and promotional expenses, and $10.4 million for charges related to estimated costs for the investigation, settlement, and resolution of regulatory matters and captive insurance.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3"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intangible assets established through our acquisitions, as well as fixed assets, which include internally developed software, hardware, leasehold improvements, and other equipment.</w:t>
      </w:r>
    </w:p>
    <w:p>
      <w:pPr>
        <w:spacing w:after="0" w:line="163" w:lineRule="exact"/>
        <w:rPr>
          <w:sz w:val="20"/>
          <w:szCs w:val="20"/>
          <w:color w:val="auto"/>
        </w:rPr>
      </w:pPr>
    </w:p>
    <w:p>
      <w:pPr>
        <w:jc w:val="both"/>
        <w:ind w:right="100" w:firstLine="486"/>
        <w:spacing w:after="0" w:line="271" w:lineRule="auto"/>
        <w:rPr>
          <w:sz w:val="20"/>
          <w:szCs w:val="20"/>
          <w:color w:val="auto"/>
        </w:rPr>
      </w:pPr>
      <w:r>
        <w:rPr>
          <w:rFonts w:ascii="Arial" w:cs="Arial" w:eastAsia="Arial" w:hAnsi="Arial"/>
          <w:sz w:val="18"/>
          <w:szCs w:val="18"/>
          <w:color w:val="auto"/>
        </w:rPr>
        <w:t>The increase in depreciation and amortization for the three months ended March 31, 2015 compared with the same period in 2014 was primarily due to increased levels of capital expenditures in 2014, which were primarily related to the relocation of our San Diego office building and capitalized software.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 xml:space="preserve">Restructuring charges primarily represent expenses incurred as a result of our expansion of our Service Value Commitment initiative. These charges relate primarily to consulting fees paid to support our technology transformation as well as employee severance obligations and other related costs and non-cash charges for impairment. Also included in the restructuring charges are expenses incurred as part of our Fortigent restructuring.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further detail.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3"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The increase in interest expense for the three months ended March 31, 2015, compared with the same periods in 2014 is primarily due to changes in the level of outstanding indebtedness relating to our senior secured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3"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22" w:right="279" w:bottom="1440" w:gutter="0" w:footer="0" w:header="0"/>
        </w:sectPr>
      </w:pPr>
    </w:p>
    <w:bookmarkStart w:id="39" w:name="page40"/>
    <w:bookmarkEnd w:id="39"/>
    <w:p>
      <w:pPr>
        <w:ind w:right="320" w:firstLine="486"/>
        <w:spacing w:after="0" w:line="292" w:lineRule="auto"/>
        <w:rPr>
          <w:sz w:val="20"/>
          <w:szCs w:val="20"/>
          <w:color w:val="auto"/>
        </w:rPr>
      </w:pPr>
      <w:r>
        <w:rPr>
          <w:rFonts w:ascii="Arial" w:cs="Arial" w:eastAsia="Arial" w:hAnsi="Arial"/>
          <w:sz w:val="18"/>
          <w:szCs w:val="18"/>
          <w:color w:val="auto"/>
        </w:rPr>
        <w:t>During the three months ended March 31, 2015, we recorded income tax expense of $34.0 million, compared with $34.4 million in the prior year period. Our effective income tax rate was 40.1% and 39.3% for the three months ended March 31, 2015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61"/>
        </w:trPr>
        <w:tc>
          <w:tcPr>
            <w:tcW w:w="8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62"/>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8"/>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145,643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85,787</w:t>
            </w:r>
          </w:p>
        </w:tc>
      </w:tr>
      <w:tr>
        <w:trPr>
          <w:trHeight w:val="262"/>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(30,525)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(19,880)</w:t>
            </w:r>
          </w:p>
        </w:tc>
      </w:tr>
      <w:tr>
        <w:trPr>
          <w:trHeight w:val="271"/>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(112,186)</w:t>
            </w:r>
          </w:p>
        </w:tc>
      </w:tr>
      <w:tr>
        <w:trPr>
          <w:trHeight w:val="249"/>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72,362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(46,279)</w:t>
            </w:r>
          </w:p>
        </w:tc>
      </w:tr>
      <w:tr>
        <w:trPr>
          <w:trHeight w:val="271"/>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r>
      <w:tr>
        <w:trPr>
          <w:trHeight w:val="242"/>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484,694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470,305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45"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16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change in cash flows provided by operating activities for the three months ended March 31, 2015 compared to the same period in 2014 was primarily due to increases in accounts payable and accrued liabilities relating to advisor deferred compensation and self-insurance, increases in deferred FINRA license renewal fees, and increases in deferred compliance audit fees; partially offset by uses of cash in receivables from others associated with advisor loans.</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Cash flows used in investing activities for the three months ended March 31, 2015 changed as compared to the same period in 2014 due primarily to an increase in deposits of restricted cash relating to our captive insurance; partially offset by a decrease in capital expenditures related to business technology, real estate, and facilities.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68" w:right="239" w:bottom="1440" w:gutter="0" w:footer="0" w:header="0"/>
        </w:sectPr>
      </w:pPr>
    </w:p>
    <w:bookmarkStart w:id="40" w:name="page41"/>
    <w:bookmarkEnd w:id="40"/>
    <w:p>
      <w:pPr>
        <w:ind w:right="80" w:firstLine="486"/>
        <w:spacing w:after="0" w:line="271" w:lineRule="auto"/>
        <w:rPr>
          <w:sz w:val="20"/>
          <w:szCs w:val="20"/>
          <w:color w:val="auto"/>
        </w:rPr>
      </w:pPr>
      <w:r>
        <w:rPr>
          <w:rFonts w:ascii="Arial" w:cs="Arial" w:eastAsia="Arial" w:hAnsi="Arial"/>
          <w:sz w:val="18"/>
          <w:szCs w:val="18"/>
          <w:color w:val="auto"/>
        </w:rPr>
        <w:t>Changes in the cash flows used in financing activities for the three months ended March 31, 2015 compared to the same period in 2014 were due to a decrease in repurchases of outstanding common stock; partially offset by an increase in proceeds from our revolving credit facility.</w:t>
      </w:r>
    </w:p>
    <w:p>
      <w:pPr>
        <w:spacing w:after="0" w:line="16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Notwithstanding the foregoing, see the Risks Related to our Debt section within Part I, “Item 1A. Risk Factors” in our 2014 Annual Report on Form 10-K for more information about the risks associated with our debt obligations and their potential effect on our liquidity.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 regarding our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 regarding our dividends.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that collateralize those margin accounts. As of March 31, 2015, we had received collateral primarily in connection with client margin loans with a fair value of approximately $349.8 million, which we can be re-pledge, loan, or sell. Of these securities, approximately $31.4 million were client-owned securities pledged to the Options Clearing Corporation as collateral to secure client obligations related to options positions. As of March 31, 2015 there were no restrictions that materially limited our ability to re-pledge, loan, or sell the remaining $318.4 million of client collateral.</w:t>
      </w:r>
    </w:p>
    <w:p>
      <w:pPr>
        <w:spacing w:after="0" w:line="178"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4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1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March 31, 2015, LPL Financial's excess net capital was $146.5 million.</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68" w:right="299" w:bottom="1440" w:gutter="0" w:footer="0" w:header="0"/>
        </w:sectPr>
      </w:pPr>
    </w:p>
    <w:bookmarkStart w:id="41" w:name="page42"/>
    <w:bookmarkEnd w:id="41"/>
    <w:p>
      <w:pPr>
        <w:ind w:right="100" w:firstLine="486"/>
        <w:spacing w:after="0" w:line="271"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163"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175"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281" w:lineRule="exact"/>
        <w:rPr>
          <w:sz w:val="20"/>
          <w:szCs w:val="20"/>
          <w:color w:val="auto"/>
        </w:rPr>
      </w:pPr>
    </w:p>
    <w:p>
      <w:pPr>
        <w:ind w:right="1000" w:firstLine="486"/>
        <w:spacing w:after="0" w:line="292" w:lineRule="auto"/>
        <w:rPr>
          <w:sz w:val="20"/>
          <w:szCs w:val="20"/>
          <w:color w:val="auto"/>
        </w:rPr>
      </w:pPr>
      <w:r>
        <w:rPr>
          <w:rFonts w:ascii="Arial" w:cs="Arial" w:eastAsia="Arial" w:hAnsi="Arial"/>
          <w:sz w:val="18"/>
          <w:szCs w:val="18"/>
          <w:color w:val="auto"/>
        </w:rPr>
        <w:t>We are party to a debt agreement with our wholly-owned subsidiary, LPL Holdings, Inc., and other parties thereto (the "Credit Agreement"). See Note 8</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an adjusted EBITDA reflecting financial covenants in our Credit Agreement to exceed certain prescribed levels set forth in the Credit Agreement. Under our interest coverage ratio test, we covenant not to allow the ratio of our Credit Agreement Adjusted EBITDA to our consolidated interest expense (as defined in the Credit Agreement) to be less than certain prescribed levels set forth in the Credit Agreement. Each of our financial ratios is measured at the end of each fiscal quarter.</w:t>
      </w:r>
    </w:p>
    <w:p>
      <w:pPr>
        <w:spacing w:after="0" w:line="178"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As of March 31, 2015 we were in compliance with all of our covenant requirements. Our covenant requirements and actual ratios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March 31, 2015</w:t>
            </w:r>
          </w:p>
        </w:tc>
      </w:tr>
      <w:tr>
        <w:trPr>
          <w:trHeight w:val="193"/>
        </w:trPr>
        <w:tc>
          <w:tcPr>
            <w:tcW w:w="29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480" w:type="dxa"/>
            <w:vAlign w:val="bottom"/>
          </w:tcPr>
          <w:p>
            <w:pPr>
              <w:jc w:val="right"/>
              <w:ind w:right="399"/>
              <w:spacing w:after="0"/>
              <w:rPr>
                <w:sz w:val="20"/>
                <w:szCs w:val="20"/>
                <w:color w:val="auto"/>
              </w:rPr>
            </w:pPr>
            <w:r>
              <w:rPr>
                <w:rFonts w:ascii="Arial" w:cs="Arial" w:eastAsia="Arial" w:hAnsi="Arial"/>
                <w:sz w:val="16"/>
                <w:szCs w:val="16"/>
                <w:b w:val="1"/>
                <w:bCs w:val="1"/>
                <w:color w:val="auto"/>
              </w:rPr>
              <w:t>Actual</w:t>
            </w:r>
          </w:p>
        </w:tc>
      </w:tr>
      <w:tr>
        <w:trPr>
          <w:trHeight w:val="23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Ratio</w:t>
            </w:r>
          </w:p>
        </w:tc>
        <w:tc>
          <w:tcPr>
            <w:tcW w:w="53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Ratio</w:t>
            </w:r>
          </w:p>
        </w:tc>
      </w:tr>
      <w:tr>
        <w:trPr>
          <w:trHeight w:val="254"/>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r>
        <w:trPr>
          <w:trHeight w:val="255"/>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Coverage (Minimum)</w:t>
            </w: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10.36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16.</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 xml:space="preserve">In the three months ended March 31, 2015 there have been no material changes in our contractual obligations, other than in the ordinary course of business, from those above or disclosed in our 2014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within the notes to unaudited condensed consolidated financial statements, as well as the Contractual Obligations section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7. Management’s Discussion and Analysis of Financial Condition and Results of Operations” in our 2014 Annual Report on Form 10-K, for further detail on operating lease obligations and obligations under noncancelable service contracts.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94"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ectPr>
          <w:pgSz w:w="11900" w:h="16838" w:orient="portrait"/>
          <w:cols w:equalWidth="0" w:num="1">
            <w:col w:w="11420"/>
          </w:cols>
          <w:pgMar w:left="240" w:top="468" w:right="239" w:bottom="0" w:gutter="0" w:footer="0" w:header="0"/>
        </w:sectPr>
      </w:pPr>
    </w:p>
    <w:bookmarkStart w:id="42" w:name="page43"/>
    <w:bookmarkEnd w:id="42"/>
    <w:p>
      <w:pPr>
        <w:ind w:firstLine="486"/>
        <w:spacing w:after="0" w:line="271" w:lineRule="auto"/>
        <w:rPr>
          <w:sz w:val="20"/>
          <w:szCs w:val="20"/>
          <w:color w:val="auto"/>
        </w:rPr>
      </w:pPr>
      <w:r>
        <w:rPr>
          <w:rFonts w:ascii="Arial" w:cs="Arial" w:eastAsia="Arial" w:hAnsi="Arial"/>
          <w:sz w:val="18"/>
          <w:szCs w:val="18"/>
          <w:color w:val="auto"/>
        </w:rPr>
        <w:t>At March 31, 2015,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3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240" w:top="225" w:right="5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2014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2014 Annual Report on Form 10-K. The accounting principles used in preparing our unaudited condensed consolidated financial statements conform in all material respects to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120" w:firstLine="486"/>
        <w:spacing w:after="0" w:line="271"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within the notes to the condensed consolidated financial statements for a discussion of recent accounting pronouncements or changes in accounting pronouncements that are of significance, or potential significance,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17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broker-dealer support services department. Our research department develops model portfolios that are used by advisors in developing client portfolios. We currently maintain approximately 190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183"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 xml:space="preserve">At March 31, 2015, the fair value of our trading securities owned were $16.3 million. Securities sold, but not yet purchased were immaterial at March 31, 2015. The fair value of securities included within other assets were $97.3 million at March 31, 2015. See Note 4.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within the notes to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trading 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unaudited condensed consolidated financial statements for information regarding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securities held to maturity.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7"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We are exposed to risk associated with changes in interest rates. As of March 31, 2015, all of the outstanding debt under our Credit Agreement, $1.6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520" w:right="299" w:bottom="1440" w:gutter="0" w:footer="0" w:header="0"/>
        </w:sectPr>
      </w:pPr>
    </w:p>
    <w:bookmarkStart w:id="44" w:name="page45"/>
    <w:bookmarkEnd w:id="44"/>
    <w:p>
      <w:pPr>
        <w:ind w:right="540" w:firstLine="486"/>
        <w:spacing w:after="0" w:line="29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2015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413"/>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2"/>
        </w:trPr>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9"/>
                <w:szCs w:val="9"/>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9"/>
                <w:szCs w:val="9"/>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4"/>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5"/>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1,062,173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55"/>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1,641,548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12,478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unaudited condensed consolidated financial statements for additional information.</w:t>
      </w:r>
    </w:p>
    <w:p>
      <w:pPr>
        <w:spacing w:after="0" w:line="18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78"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The average Federal Reserve effective federal funds rate (“FFER”) for the three months ended March 31, 2015 was 0.11%. The following table reflects the approximate annual impact to asset-based revenues on our insured cash programs (assuming that client balances at March 31, 2015 remain unchanged) of an upward or downward change in short-term interest rates of one basis point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32"/>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20"/>
                <w:szCs w:val="20"/>
                <w:color w:val="auto"/>
              </w:rPr>
            </w:pPr>
          </w:p>
        </w:tc>
      </w:tr>
      <w:tr>
        <w:trPr>
          <w:trHeight w:val="254"/>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r>
      <w:tr>
        <w:trPr>
          <w:trHeight w:val="265"/>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5"/>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- 2.70%</w:t>
            </w:r>
          </w:p>
        </w:tc>
        <w:tc>
          <w:tcPr>
            <w:tcW w:w="120" w:type="dxa"/>
            <w:vAlign w:val="bottom"/>
            <w:shd w:val="clear" w:color="auto" w:fill="CCEEFF"/>
          </w:tcPr>
          <w:p>
            <w:pPr>
              <w:spacing w:after="0"/>
              <w:rPr>
                <w:sz w:val="23"/>
                <w:szCs w:val="23"/>
                <w:color w:val="auto"/>
              </w:rPr>
            </w:pPr>
          </w:p>
        </w:tc>
        <w:tc>
          <w:tcPr>
            <w:tcW w:w="7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bl>
    <w:p>
      <w:pPr>
        <w:spacing w:after="0" w:line="139" w:lineRule="exact"/>
        <w:rPr>
          <w:sz w:val="20"/>
          <w:szCs w:val="20"/>
          <w:color w:val="auto"/>
        </w:rPr>
      </w:pPr>
    </w:p>
    <w:p>
      <w:pPr>
        <w:ind w:right="400" w:firstLine="486"/>
        <w:spacing w:after="0" w:line="271" w:lineRule="auto"/>
        <w:rPr>
          <w:sz w:val="20"/>
          <w:szCs w:val="20"/>
          <w:color w:val="auto"/>
        </w:rPr>
      </w:pPr>
      <w:r>
        <w:rPr>
          <w:rFonts w:ascii="Arial" w:cs="Arial" w:eastAsia="Arial" w:hAnsi="Arial"/>
          <w:sz w:val="18"/>
          <w:szCs w:val="18"/>
          <w:color w:val="auto"/>
        </w:rPr>
        <w:t>The actual impact to asset-based revenues, including a change in the FFER of greater than 2.70%, may vary depending on the FRS committee's strategy in response to a change in interest rate levels, the significance of a change, and actual balances at the time of such change.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7"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of our advisors to support margin lending or derivative trading is insufficient to meet such client’s contractual obligations to LPL Financial. We bear credit risk on the activities of our advisors’ clients, including the execution, settlement and financing of various transactions on behalf of these clients.</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170" w:lineRule="exact"/>
        <w:rPr>
          <w:sz w:val="20"/>
          <w:szCs w:val="20"/>
          <w:color w:val="auto"/>
        </w:rPr>
      </w:pPr>
    </w:p>
    <w:p>
      <w:pPr>
        <w:ind w:right="80" w:firstLine="486"/>
        <w:spacing w:after="0" w:line="284" w:lineRule="auto"/>
        <w:rPr>
          <w:sz w:val="20"/>
          <w:szCs w:val="20"/>
          <w:color w:val="auto"/>
        </w:rPr>
      </w:pPr>
      <w:r>
        <w:rPr>
          <w:rFonts w:ascii="Arial" w:cs="Arial" w:eastAsia="Arial" w:hAnsi="Arial"/>
          <w:sz w:val="17"/>
          <w:szCs w:val="17"/>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losses on margin accounts were immaterial and did not exceed $0.1 million during the three months ended March 31, 2015 and 2014. We monitor exposure to industry sectors and individual securities and perform analyses on a regular basis in connection with our margin lending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activities. We adjust our margin requirements if we believe our risk exposure is not appropriate based on market conditions.</w:t>
      </w:r>
    </w:p>
    <w:p>
      <w:pPr>
        <w:spacing w:after="0" w:line="225"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assist in the mitigation and control of operational risk, we have an Operational Risk Management department and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in our 2014 Annual Report on Form 10-K for more information about the risks associated with our technology, including risks related to security, and the potential related effects on our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1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2014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2014 Annual Report on Form 10-K for more information about the risks associated with operating within our regulatory environment, and the potential related effects on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19" w:lineRule="exact"/>
        <w:rPr>
          <w:sz w:val="20"/>
          <w:szCs w:val="20"/>
          <w:color w:val="auto"/>
        </w:rPr>
      </w:pPr>
    </w:p>
    <w:p>
      <w:pPr>
        <w:ind w:right="300" w:firstLine="486"/>
        <w:spacing w:after="0" w:line="271"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163"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Our risk management governance approach includes the Board of Directors (the “Board”) and certain of its committees; the Management Committee and business line management of our broker-dealer subsidiary LPL Financial LLC ("LPL Financial"); the Risk Oversight Committee (the “ROC”) of LPL Financial and its subcommittees; the Policy Committee of LPL Financial; the Internal Audit Department of LPL Financial; and the Governance, Risk, and Compliance (“GRC”) Department of LPL Financial. We regularly reevaluate and, when necessary, modify our processes to improve the identification and escalation of risks and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2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68"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25" w:lineRule="exact"/>
        <w:rPr>
          <w:sz w:val="20"/>
          <w:szCs w:val="20"/>
          <w:color w:val="auto"/>
        </w:rPr>
      </w:pPr>
    </w:p>
    <w:p>
      <w:pPr>
        <w:jc w:val="both"/>
        <w:ind w:right="780" w:firstLine="486"/>
        <w:spacing w:after="0" w:line="271"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our Executive Vice President, Deputy General Counsel, Regulatory,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all other Managing Directors serve on the ROC. Additional members of the Company’s senior management team are also included as ex-officio members, representing the key control areas of the Company. These individuals include, but are not limited to,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182" w:lineRule="exact"/>
        <w:rPr>
          <w:sz w:val="20"/>
          <w:szCs w:val="20"/>
          <w:color w:val="auto"/>
        </w:rPr>
      </w:pPr>
    </w:p>
    <w:p>
      <w:pPr>
        <w:jc w:val="both"/>
        <w:ind w:right="120" w:firstLine="486"/>
        <w:spacing w:after="0" w:line="271"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25" w:lineRule="exact"/>
        <w:rPr>
          <w:sz w:val="20"/>
          <w:szCs w:val="20"/>
          <w:color w:val="auto"/>
        </w:rPr>
      </w:pPr>
    </w:p>
    <w:p>
      <w:pPr>
        <w:ind w:right="200" w:firstLine="486"/>
        <w:spacing w:after="0" w:line="260"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Policy Committee oversees and is responsible for management of certain material policy issues for the Company. Its membership is comprised of a subset of the Management Committee, and currently includes the President, Managing Director, Legal &amp; Government Relations, Managing Director, Chief Risk Officer, and Managing Director, Investment and Planning Solutions. The purpose of the Policy Committee is to centralize the review and decision-making process for certain material policy issues that may arise from time to time, including policy conflicts and potential conflicts that may arise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 regular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25"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We also consider the Internal Audit Department to be a control group.</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25"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Client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17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27"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quarter ended March 31, 2015 that have materially affected, or are reasonably likely to materially affect, our internal control over financial reporting.</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22"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333333"/>
        </w:rPr>
        <w:t>We are involved from time to time in routine legal proceedings occurring in the ordinary course of business. In the opinion of management, there are no matters outstanding that would have a material adverse impact on our operations or financial condition. For a discussion of legal proceedings, s</w:t>
      </w:r>
      <w:r>
        <w:rPr>
          <w:rFonts w:ascii="Arial" w:cs="Arial" w:eastAsia="Arial" w:hAnsi="Arial"/>
          <w:sz w:val="18"/>
          <w:szCs w:val="18"/>
          <w:color w:val="252525"/>
        </w:rPr>
        <w:t>ee</w:t>
      </w:r>
      <w:r>
        <w:rPr>
          <w:rFonts w:ascii="Arial" w:cs="Arial" w:eastAsia="Arial" w:hAnsi="Arial"/>
          <w:sz w:val="18"/>
          <w:szCs w:val="18"/>
          <w:color w:val="333333"/>
        </w:rPr>
        <w:t xml:space="preserve"> </w:t>
      </w:r>
      <w:r>
        <w:rPr>
          <w:rFonts w:ascii="Arial" w:cs="Arial" w:eastAsia="Arial" w:hAnsi="Arial"/>
          <w:sz w:val="18"/>
          <w:szCs w:val="18"/>
          <w:color w:val="000000"/>
        </w:rPr>
        <w:t>Note 9.</w:t>
      </w:r>
      <w:r>
        <w:rPr>
          <w:rFonts w:ascii="Arial" w:cs="Arial" w:eastAsia="Arial" w:hAnsi="Arial"/>
          <w:sz w:val="18"/>
          <w:szCs w:val="18"/>
          <w:color w:val="333333"/>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333333"/>
        </w:rPr>
        <w:t xml:space="preserve"> </w:t>
      </w:r>
      <w:r>
        <w:rPr>
          <w:rFonts w:ascii="Arial" w:cs="Arial" w:eastAsia="Arial" w:hAnsi="Arial"/>
          <w:sz w:val="18"/>
          <w:szCs w:val="18"/>
          <w:color w:val="252525"/>
        </w:rPr>
        <w:t>within the notes to unaudited condensed consolidated financial</w:t>
      </w:r>
      <w:r>
        <w:rPr>
          <w:rFonts w:ascii="Arial" w:cs="Arial" w:eastAsia="Arial" w:hAnsi="Arial"/>
          <w:sz w:val="18"/>
          <w:szCs w:val="18"/>
          <w:color w:val="333333"/>
        </w:rPr>
        <w:t xml:space="preserve"> </w:t>
      </w:r>
      <w:r>
        <w:rPr>
          <w:rFonts w:ascii="Arial" w:cs="Arial" w:eastAsia="Arial" w:hAnsi="Arial"/>
          <w:sz w:val="18"/>
          <w:szCs w:val="18"/>
          <w:color w:val="252525"/>
        </w:rPr>
        <w:t>statements for disclosure of matters related to regulatory matters.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2014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March 31,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4"/>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January 1, 2015 through January 31, 2015</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679,772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679,772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62,927,151</w:t>
            </w:r>
          </w:p>
        </w:tc>
        <w:tc>
          <w:tcPr>
            <w:tcW w:w="0" w:type="dxa"/>
            <w:vAlign w:val="bottom"/>
          </w:tcPr>
          <w:p>
            <w:pPr>
              <w:spacing w:after="0"/>
              <w:rPr>
                <w:sz w:val="1"/>
                <w:szCs w:val="1"/>
                <w:color w:val="auto"/>
              </w:rPr>
            </w:pPr>
          </w:p>
        </w:tc>
      </w:tr>
      <w:tr>
        <w:trPr>
          <w:trHeight w:val="262"/>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February 1, 2015 through February 28,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1, 2015 through March 31, 2015</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January 1, 2015 through March 31, 2015</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679,772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679,772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62,927,151</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60" w:type="dxa"/>
            <w:vAlign w:val="bottom"/>
            <w:gridSpan w:val="3"/>
            <w:vMerge w:val="continue"/>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940" w:hanging="328"/>
        <w:spacing w:after="0" w:line="26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1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520"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Amended and Restated Certificate of Incorporation (previously filed as Exhibit 3.1 to the registration statement on Form S-1</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(previously filed as Exhibit 3.1 to the</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9, 2014,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9980" w:type="dxa"/>
            <w:vAlign w:val="bottom"/>
          </w:tcPr>
          <w:p>
            <w:pPr>
              <w:ind w:left="180"/>
              <w:spacing w:after="0"/>
              <w:rPr>
                <w:sz w:val="20"/>
                <w:szCs w:val="20"/>
                <w:color w:val="auto"/>
              </w:rPr>
            </w:pPr>
            <w:r>
              <w:rPr>
                <w:rFonts w:ascii="Arial" w:cs="Arial" w:eastAsia="Arial" w:hAnsi="Arial"/>
                <w:sz w:val="18"/>
                <w:szCs w:val="18"/>
                <w:color w:val="auto"/>
              </w:rPr>
              <w:t>Fifth Amended and Restated Bylaws (previously filed as Exhibit 3.1 to the Current Report on Form 8-K (File Number 001-</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March 12, 2014 and incorporated herein by reference)</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99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Filed herewith.</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358" w:right="439" w:bottom="1440" w:gutter="0" w:footer="0" w:header="0"/>
        </w:sectPr>
      </w:pPr>
    </w:p>
    <w:bookmarkStart w:id="51" w:name="page52"/>
    <w:bookmarkEnd w:id="51"/>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5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April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Thomas Lux</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60"/>
          </w:cols>
          <w:pgMar w:left="240" w:top="358" w:right="7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Thomas Lux,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ectPr>
          <w:pgSz w:w="11900" w:h="16838" w:orient="portrait"/>
          <w:cols w:equalWidth="0" w:num="1">
            <w:col w:w="11420"/>
          </w:cols>
          <w:pgMar w:left="240" w:top="574" w:right="239" w:bottom="1440" w:gutter="0" w:footer="0" w:header="0"/>
        </w:sectPr>
      </w:pPr>
    </w:p>
    <w:bookmarkStart w:id="54" w:name="page55"/>
    <w:bookmarkEnd w:id="54"/>
    <w:p>
      <w:pPr>
        <w:ind w:left="5840"/>
        <w:spacing w:after="0"/>
        <w:rPr>
          <w:sz w:val="20"/>
          <w:szCs w:val="20"/>
          <w:color w:val="auto"/>
        </w:rPr>
      </w:pPr>
      <w:r>
        <w:rPr>
          <w:rFonts w:ascii="Arial" w:cs="Arial" w:eastAsia="Arial" w:hAnsi="Arial"/>
          <w:sz w:val="18"/>
          <w:szCs w:val="18"/>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28575</wp:posOffset>
            </wp:positionV>
            <wp:extent cx="19894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p>
      <w:pPr>
        <w:spacing w:after="0" w:line="30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Lux</w:t>
      </w:r>
    </w:p>
    <w:p>
      <w:pPr>
        <w:spacing w:after="0" w:line="52" w:lineRule="exact"/>
        <w:rPr>
          <w:sz w:val="20"/>
          <w:szCs w:val="20"/>
          <w:color w:val="auto"/>
        </w:rPr>
      </w:pPr>
    </w:p>
    <w:p>
      <w:pPr>
        <w:ind w:left="5840"/>
        <w:spacing w:after="0"/>
        <w:rPr>
          <w:sz w:val="20"/>
          <w:szCs w:val="20"/>
          <w:color w:val="auto"/>
        </w:rPr>
      </w:pPr>
      <w:r>
        <w:rPr>
          <w:rFonts w:ascii="Arial" w:cs="Arial" w:eastAsia="Arial" w:hAnsi="Arial"/>
          <w:sz w:val="17"/>
          <w:szCs w:val="17"/>
          <w:i w:val="1"/>
          <w:iCs w:val="1"/>
          <w:color w:val="auto"/>
        </w:rPr>
        <w:t>Acting Chief Financial Officer</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9019"/>
          </w:cols>
          <w:pgMar w:left="1440" w:top="738" w:right="1440"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right="8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2015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right="8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2015 as filed with the Securities and Exchange Commission (“SEC”) on the date hereof (the “Report”), I, Thomas Lux, Acting Chief Financial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Thomas Lux</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Acting Chief Financial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6"/>
    </w:lvl>
  </w:abstractNum>
  <w:abstractNum w:abstractNumId="8">
    <w:nsid w:val="6763845E"/>
    <w:multiLevelType w:val="hybridMultilevel"/>
    <w:lvl w:ilvl="0">
      <w:lvlJc w:val="left"/>
      <w:lvlText w:val="%1."/>
      <w:numFmt w:val="decimal"/>
      <w:start w:val="7"/>
    </w:lvl>
  </w:abstractNum>
  <w:abstractNum w:abstractNumId="9">
    <w:nsid w:val="75A2A8D4"/>
    <w:multiLevelType w:val="hybridMultilevel"/>
    <w:lvl w:ilvl="0">
      <w:lvlJc w:val="left"/>
      <w:lvlText w:val="%1."/>
      <w:numFmt w:val="decimal"/>
      <w:start w:val="8"/>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1"/>
    </w:lvl>
  </w:abstractNum>
  <w:abstractNum w:abstractNumId="14">
    <w:nsid w:val="189A769B"/>
    <w:multiLevelType w:val="hybridMultilevel"/>
    <w:lvl w:ilvl="0">
      <w:lvlJc w:val="left"/>
      <w:lvlText w:val="%1."/>
      <w:numFmt w:val="decimal"/>
      <w:start w:val="12"/>
    </w:lvl>
  </w:abstractNum>
  <w:abstractNum w:abstractNumId="15">
    <w:nsid w:val="54E49EB4"/>
    <w:multiLevelType w:val="hybridMultilevel"/>
    <w:lvl w:ilvl="0">
      <w:lvlJc w:val="left"/>
      <w:lvlText w:val="%1."/>
      <w:numFmt w:val="decimal"/>
      <w:start w:val="13"/>
    </w:lvl>
  </w:abstractNum>
  <w:abstractNum w:abstractNumId="16">
    <w:nsid w:val="71F32454"/>
    <w:multiLevelType w:val="hybridMultilevel"/>
    <w:lvl w:ilvl="0">
      <w:lvlJc w:val="left"/>
      <w:lvlText w:val="%1."/>
      <w:numFmt w:val="decimal"/>
      <w:start w:val="14"/>
    </w:lvl>
  </w:abstractNum>
  <w:abstractNum w:abstractNumId="17">
    <w:nsid w:val="2CA88611"/>
    <w:multiLevelType w:val="hybridMultilevel"/>
    <w:lvl w:ilvl="0">
      <w:lvlJc w:val="left"/>
      <w:lvlText w:val="%1."/>
      <w:numFmt w:val="decimal"/>
      <w:start w:val="15"/>
    </w:lvl>
  </w:abstractNum>
  <w:abstractNum w:abstractNumId="18">
    <w:nsid w:val="836C40E"/>
    <w:multiLevelType w:val="hybridMultilevel"/>
    <w:lvl w:ilvl="0">
      <w:lvlJc w:val="left"/>
      <w:lvlText w:val="%1."/>
      <w:numFmt w:val="decimal"/>
      <w:start w:val="16"/>
    </w:lvl>
  </w:abstractNum>
  <w:abstractNum w:abstractNumId="19">
    <w:nsid w:val="2901D82"/>
    <w:multiLevelType w:val="hybridMultilevel"/>
    <w:lvl w:ilvl="0">
      <w:lvlJc w:val="left"/>
      <w:lvlText w:val="%1."/>
      <w:numFmt w:val="decimal"/>
      <w:start w:val="17"/>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2"/>
    </w:lvl>
  </w:abstractNum>
  <w:abstractNum w:abstractNumId="23">
    <w:nsid w:val="7C3DBD3D"/>
    <w:multiLevelType w:val="hybridMultilevel"/>
    <w:lvl w:ilvl="0">
      <w:lvlJc w:val="left"/>
      <w:lvlText w:val="(%1)"/>
      <w:numFmt w:val="decimal"/>
      <w:start w:val="3"/>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2019-12-29T16:50:51Z</dcterms:created>
  <dcterms:modified xsi:type="dcterms:W3CDTF">2019-12-29T16:50:51Z</dcterms:modified>
</cp:coreProperties>
</file>