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17195.xml.htm"/>
      <w:bookmarkStart w:id="1" w:name="kswkform4_17894171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Reeping Katharine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899"/>
        <w:gridCol w:w="771"/>
        <w:gridCol w:w="597"/>
        <w:gridCol w:w="337"/>
        <w:gridCol w:w="992"/>
        <w:gridCol w:w="423"/>
        <w:gridCol w:w="876"/>
        <w:gridCol w:w="1376"/>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439.949</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347.88</w:t>
            </w:r>
            <w:r>
              <w:rPr>
                <w:rFonts w:ascii="Times;serif" w:hAnsi="Times;serif"/>
                <w:color w:val="008000"/>
                <w:position w:val="7"/>
                <w:sz w:val="16"/>
                <w:sz w:val="20"/>
                <w:shd w:fill="FFFFFF" w:val="clear"/>
              </w:rPr>
              <w:t>(1)</w:t>
            </w:r>
          </w:p>
        </w:tc>
        <w:tc>
          <w:tcPr>
            <w:tcW w:w="1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1,773.9567</w:t>
            </w:r>
            <w:r>
              <w:rPr>
                <w:rFonts w:ascii="Times;serif" w:hAnsi="Times;serif"/>
                <w:color w:val="008000"/>
                <w:position w:val="7"/>
                <w:sz w:val="16"/>
                <w:sz w:val="20"/>
                <w:shd w:fill="FFFFFF" w:val="clear"/>
              </w:rPr>
              <w:t>(2)</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$347.72 to 347.88, inclusive. The reporting person undertakes to provide to LPL Financial Holdings Inc., any security holder of LPL Financial Holdings Inc. or the staff of the Securities and Exchange Commission, upon request, full information regarding the number of shares sold at each separate price within the range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(i) 473.9567 shares of Common Stock; (ii) 547 restricted stock units that vest in full on February 25, 2027; (iii) 380 restricted stock units that vest ratably on each of February 25, 2027 and February 25, 2028; and (iv) 373 restricted stock units that vest ratably on each of February 25, 2027, February 25, 2028, and February 25,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Katharine Reeping pursuant to a Power of Attorney dated February 25,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598"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734</Words>
  <Characters>3941</Characters>
  <CharactersWithSpaces>4604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