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October 26, 2015 was 94,994,871.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74"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92"/>
        </w:trPr>
        <w:tc>
          <w:tcPr>
            <w:tcW w:w="105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1">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44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4"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strategies and plans, liquidity, future indebtedness, future share repurchases, and future dividends, including statements regarding future resolution of regulatory matters and related costs, income projections based on changes in interest rates, and projected savings and anticipated improvements to the Company's operating model, services, and technology as a result of its initiatives and programs,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October 29, 2015.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the fiduciary rule proposed by the U.S. Department of Labor and disciplinary actions imposed by federal and state securities regulators and self-regulatory organizations; the costs of settling and remediating issues related to pending or future regulatory matters; execution of the Company’s capital management plans, including its ability to increase its level of indebtedness, refinance a portion of its existing debt and amend certain restrictive covenants, each of which is subject to conditions in the debt capital markets and the Company’s success in renegotiating certain terms of its existing credit agreement; the price, availability of shares and trading volumes of the Company’s common stock, which will affect the timing and size of future share repurchases by the Company; execution of the Company's plans and its success in realizing the expense savings and service improvements and efficiencies expected to result from its initiatives and programs, particularly its expense plans and technological initiatives; the Company's success in negotiating and developing commercial arrangements with third-party services providers; the performance of third-party service providers on which the Company relies; the Company's ability to control operating risks, information technology systems risks, cybersecurity risks, and sourcing risks; and the other factors set forth in Part I, “Item 1A. Risk Factors” in the Company's 2014 Annual Report on Form 10-K, as may be amended or updated in the Company's Quarterly Reports on Form 10-Q. Except as required by law, the Company specifically disclaims any obligation to update any forward-looking statements as a result of deve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18" w:right="239" w:bottom="1440" w:gutter="0" w:footer="0" w:header="0"/>
        </w:sectPr>
      </w:pPr>
    </w:p>
    <w:bookmarkStart w:id="3" w:name="page4"/>
    <w:bookmarkEnd w:id="3"/>
    <w:p>
      <w:pPr>
        <w:spacing w:after="0" w:line="261" w:lineRule="auto"/>
        <w:rPr>
          <w:sz w:val="20"/>
          <w:szCs w:val="20"/>
          <w:color w:val="auto"/>
        </w:rPr>
      </w:pPr>
      <w:r>
        <w:rPr>
          <w:rFonts w:ascii="Arial" w:cs="Arial" w:eastAsia="Arial" w:hAnsi="Arial"/>
          <w:sz w:val="18"/>
          <w:szCs w:val="18"/>
          <w:color w:val="auto"/>
        </w:rPr>
        <w:t>lopments occurring after the date of this quarterly report, even if its estimates change, and you should not rely on statements contained herein as representing the Company's views as of any date subsequent to the date of this quarterly report.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40" w:top="1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9"/>
                <w:szCs w:val="19"/>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60"/>
        </w:trPr>
        <w:tc>
          <w:tcPr>
            <w:tcW w:w="5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1,513,359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1,590,139</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Advisory</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341,217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340,369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1,028,213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998,016</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369,625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354,494</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105,593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305,099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276,284</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14,279</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23,436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36,182</w:t>
            </w: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1,054,745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1,089,234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3,254,708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3,269,394</w:t>
            </w:r>
          </w:p>
        </w:tc>
        <w:tc>
          <w:tcPr>
            <w:tcW w:w="0" w:type="dxa"/>
            <w:vAlign w:val="bottom"/>
          </w:tcPr>
          <w:p>
            <w:pPr>
              <w:spacing w:after="0"/>
              <w:rPr>
                <w:sz w:val="1"/>
                <w:szCs w:val="1"/>
                <w:color w:val="auto"/>
              </w:rPr>
            </w:pPr>
          </w:p>
        </w:tc>
      </w:tr>
      <w:tr>
        <w:trPr>
          <w:trHeight w:val="254"/>
        </w:trPr>
        <w:tc>
          <w:tcPr>
            <w:tcW w:w="5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701,585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746,001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2,179,686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2,242,206</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110,494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106,290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335,111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317,459</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93,581</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26,766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24,519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79,564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70,618</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61,957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62,922</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38,174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82,736</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36,594</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charges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26,473</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16,694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86,796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51,395</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972,565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1,020,884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2,976,585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3,016,582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Non-operating interest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13,493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40,671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38,651</w:t>
            </w:r>
          </w:p>
        </w:tc>
        <w:tc>
          <w:tcPr>
            <w:tcW w:w="0" w:type="dxa"/>
            <w:vAlign w:val="bottom"/>
          </w:tcPr>
          <w:p>
            <w:pPr>
              <w:spacing w:after="0"/>
              <w:rPr>
                <w:sz w:val="1"/>
                <w:szCs w:val="1"/>
                <w:color w:val="auto"/>
              </w:rPr>
            </w:pPr>
          </w:p>
        </w:tc>
      </w:tr>
      <w:tr>
        <w:trPr>
          <w:trHeight w:val="264"/>
        </w:trPr>
        <w:tc>
          <w:tcPr>
            <w:tcW w:w="57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986,058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1,033,781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3,017,256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3,055,233</w:t>
            </w:r>
          </w:p>
        </w:tc>
        <w:tc>
          <w:tcPr>
            <w:tcW w:w="0" w:type="dxa"/>
            <w:vAlign w:val="bottom"/>
          </w:tcPr>
          <w:p>
            <w:pPr>
              <w:spacing w:after="0"/>
              <w:rPr>
                <w:sz w:val="1"/>
                <w:szCs w:val="1"/>
                <w:color w:val="auto"/>
              </w:rPr>
            </w:pPr>
          </w:p>
        </w:tc>
      </w:tr>
      <w:tr>
        <w:trPr>
          <w:trHeight w:val="247"/>
        </w:trPr>
        <w:tc>
          <w:tcPr>
            <w:tcW w:w="570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68,687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214,161</w:t>
            </w:r>
          </w:p>
        </w:tc>
        <w:tc>
          <w:tcPr>
            <w:tcW w:w="0" w:type="dxa"/>
            <w:vAlign w:val="bottom"/>
          </w:tcPr>
          <w:p>
            <w:pPr>
              <w:spacing w:after="0"/>
              <w:rPr>
                <w:sz w:val="1"/>
                <w:szCs w:val="1"/>
                <w:color w:val="auto"/>
              </w:rPr>
            </w:pPr>
          </w:p>
        </w:tc>
      </w:tr>
      <w:tr>
        <w:trPr>
          <w:trHeight w:val="273"/>
        </w:trPr>
        <w:tc>
          <w:tcPr>
            <w:tcW w:w="5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27,635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84,663</w:t>
            </w:r>
          </w:p>
        </w:tc>
        <w:tc>
          <w:tcPr>
            <w:tcW w:w="0" w:type="dxa"/>
            <w:vAlign w:val="bottom"/>
          </w:tcPr>
          <w:p>
            <w:pPr>
              <w:spacing w:after="0"/>
              <w:rPr>
                <w:sz w:val="1"/>
                <w:szCs w:val="1"/>
                <w:color w:val="auto"/>
              </w:rPr>
            </w:pPr>
          </w:p>
        </w:tc>
      </w:tr>
      <w:tr>
        <w:trPr>
          <w:trHeight w:val="264"/>
        </w:trPr>
        <w:tc>
          <w:tcPr>
            <w:tcW w:w="570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41,052</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33,272</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141,972</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129,498</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4"/>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100,519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96,472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101,834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102,384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7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gain on cash flow hedges, net of tax expense of ($98),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($63), $96, and $863 for the three and nine months ended September 30,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2015 and 2014,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w:t>
            </w: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net income, net of tax expense of $62, $85, $290, and $113 for the three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and nine months ended September 30, 2015 and 2014, respectively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250"/>
        </w:trPr>
        <w:tc>
          <w:tcPr>
            <w:tcW w:w="60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(loss) income, net of tax</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r>
      <w:tr>
        <w:trPr>
          <w:trHeight w:val="24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40,796</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141,630</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130,679</w:t>
            </w: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2014</w:t>
            </w:r>
          </w:p>
        </w:tc>
        <w:tc>
          <w:tcPr>
            <w:tcW w:w="0" w:type="dxa"/>
            <w:vAlign w:val="bottom"/>
          </w:tcPr>
          <w:p>
            <w:pPr>
              <w:spacing w:after="0"/>
              <w:rPr>
                <w:sz w:val="1"/>
                <w:szCs w:val="1"/>
                <w:color w:val="auto"/>
              </w:rPr>
            </w:pPr>
          </w:p>
        </w:tc>
      </w:tr>
      <w:tr>
        <w:trPr>
          <w:trHeight w:val="260"/>
        </w:trPr>
        <w:tc>
          <w:tcPr>
            <w:tcW w:w="8340" w:type="dxa"/>
            <w:vAlign w:val="bottom"/>
          </w:tcPr>
          <w:p>
            <w:pPr>
              <w:ind w:left="386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410,036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470,721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568,930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Clients, net of allowance of $1,337 at September 30, 2015 and $1,245 at December 31, 2014</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344,351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365,390</w:t>
            </w:r>
          </w:p>
        </w:tc>
        <w:tc>
          <w:tcPr>
            <w:tcW w:w="0" w:type="dxa"/>
            <w:vAlign w:val="bottom"/>
          </w:tcPr>
          <w:p>
            <w:pPr>
              <w:spacing w:after="0"/>
              <w:rPr>
                <w:sz w:val="1"/>
                <w:szCs w:val="1"/>
                <w:color w:val="auto"/>
              </w:rPr>
            </w:pPr>
          </w:p>
        </w:tc>
      </w:tr>
      <w:tr>
        <w:trPr>
          <w:trHeight w:val="260"/>
        </w:trPr>
        <w:tc>
          <w:tcPr>
            <w:tcW w:w="834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154,306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177,470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Others, net of allowance of $11,340 at September 30, 2015 and $8,379 at December 31, 2014</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323,238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291,449</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Held-to-maturity — at amortized cost</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10,847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8,594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17,370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$320,897 at September 30, 2015 and $288,834</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 December 31, 2014</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256,998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214,154</w:t>
            </w:r>
          </w:p>
        </w:tc>
        <w:tc>
          <w:tcPr>
            <w:tcW w:w="0" w:type="dxa"/>
            <w:vAlign w:val="bottom"/>
          </w:tcPr>
          <w:p>
            <w:pPr>
              <w:spacing w:after="0"/>
              <w:rPr>
                <w:sz w:val="1"/>
                <w:szCs w:val="1"/>
                <w:color w:val="auto"/>
              </w:rPr>
            </w:pPr>
          </w:p>
        </w:tc>
      </w:tr>
      <w:tr>
        <w:trPr>
          <w:trHeight w:val="218"/>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 of accumulated amortization of $13,922 at September 30, 2015 and $11,724 at December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00"/>
              <w:spacing w:after="0"/>
              <w:rPr>
                <w:sz w:val="20"/>
                <w:szCs w:val="20"/>
                <w:color w:val="auto"/>
              </w:rPr>
            </w:pPr>
            <w:r>
              <w:rPr>
                <w:rFonts w:ascii="Arial" w:cs="Arial" w:eastAsia="Arial" w:hAnsi="Arial"/>
                <w:sz w:val="16"/>
                <w:szCs w:val="16"/>
                <w:color w:val="auto"/>
              </w:rPr>
              <w:t>31, 2014</w:t>
            </w:r>
          </w:p>
        </w:tc>
        <w:tc>
          <w:tcPr>
            <w:tcW w:w="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13,241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18"/>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$333,207 at September 30, 2015 and $305,154 at December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00"/>
              <w:spacing w:after="0"/>
              <w:rPr>
                <w:sz w:val="20"/>
                <w:szCs w:val="20"/>
                <w:color w:val="auto"/>
              </w:rPr>
            </w:pPr>
            <w:r>
              <w:rPr>
                <w:rFonts w:ascii="Arial" w:cs="Arial" w:eastAsia="Arial" w:hAnsi="Arial"/>
                <w:sz w:val="16"/>
                <w:szCs w:val="16"/>
                <w:color w:val="auto"/>
              </w:rPr>
              <w:t>31, 2014</w:t>
            </w:r>
          </w:p>
        </w:tc>
        <w:tc>
          <w:tcPr>
            <w:tcW w:w="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401,563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430,704</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167,487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183,197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3,979,358</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3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144,307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180,099</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558,540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652,714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45,427</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132,682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146,504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308,884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289,426</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71,847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64,482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1,666,129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1,634,258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Leasehold financing obligation</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64,633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66,181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3,033,961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3,079,393</w:t>
            </w:r>
          </w:p>
        </w:tc>
        <w:tc>
          <w:tcPr>
            <w:tcW w:w="0" w:type="dxa"/>
            <w:vAlign w:val="bottom"/>
          </w:tcPr>
          <w:p>
            <w:pPr>
              <w:spacing w:after="0"/>
              <w:rPr>
                <w:sz w:val="1"/>
                <w:szCs w:val="1"/>
                <w:color w:val="auto"/>
              </w:rPr>
            </w:pPr>
          </w:p>
        </w:tc>
      </w:tr>
      <w:tr>
        <w:trPr>
          <w:trHeight w:val="254"/>
        </w:trPr>
        <w:tc>
          <w:tcPr>
            <w:tcW w:w="8340" w:type="dxa"/>
            <w:vAlign w:val="bottom"/>
          </w:tcPr>
          <w:p>
            <w:pPr>
              <w:ind w:left="7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119,238,650 shares issued at September 30,</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360"/>
              <w:spacing w:after="0"/>
              <w:rPr>
                <w:sz w:val="20"/>
                <w:szCs w:val="20"/>
                <w:color w:val="auto"/>
              </w:rPr>
            </w:pPr>
            <w:r>
              <w:rPr>
                <w:rFonts w:ascii="Arial" w:cs="Arial" w:eastAsia="Arial" w:hAnsi="Arial"/>
                <w:sz w:val="16"/>
                <w:szCs w:val="16"/>
                <w:color w:val="auto"/>
              </w:rPr>
              <w:t>2015 and 118,234,552 shares issued at December 31, 2014</w:t>
            </w:r>
          </w:p>
        </w:tc>
        <w:tc>
          <w:tcPr>
            <w:tcW w:w="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1,401,441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1,355,085</w:t>
            </w:r>
          </w:p>
        </w:tc>
        <w:tc>
          <w:tcPr>
            <w:tcW w:w="0" w:type="dxa"/>
            <w:vAlign w:val="bottom"/>
          </w:tcPr>
          <w:p>
            <w:pPr>
              <w:spacing w:after="0"/>
              <w:rPr>
                <w:sz w:val="1"/>
                <w:szCs w:val="1"/>
                <w:color w:val="auto"/>
              </w:rPr>
            </w:pPr>
          </w:p>
        </w:tc>
      </w:tr>
      <w:tr>
        <w:trPr>
          <w:trHeight w:val="218"/>
        </w:trPr>
        <w:tc>
          <w:tcPr>
            <w:tcW w:w="8340" w:type="dxa"/>
            <w:vAlign w:val="bottom"/>
          </w:tcPr>
          <w:p>
            <w:pPr>
              <w:ind w:left="200"/>
              <w:spacing w:after="0"/>
              <w:rPr>
                <w:sz w:val="20"/>
                <w:szCs w:val="20"/>
                <w:color w:val="auto"/>
              </w:rPr>
            </w:pPr>
            <w:r>
              <w:rPr>
                <w:rFonts w:ascii="Arial" w:cs="Arial" w:eastAsia="Arial" w:hAnsi="Arial"/>
                <w:sz w:val="16"/>
                <w:szCs w:val="16"/>
                <w:color w:val="auto"/>
              </w:rPr>
              <w:t>Treasury stock, at cost — 24,435,356 shares at September 30, 2015 and 21,089,882 shares at December 31,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36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(922,817)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(780,661)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466,059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396,121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945,397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971,600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3,979,358</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220"/>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3"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129,498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130,679</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(150,021)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(72,104)</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24,141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25,334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22,649</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7,537</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September 30,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1,346,701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1,063,372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141,972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141,630</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(140,835)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(140,835)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(72,056)</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22,331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22,577</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September 30, 2015</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1,401,441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945,397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79,564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70,618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22,649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2,124</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20,326</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3,339</w:t>
            </w: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93,844</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20,948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30,723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(31,195)</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(1,225)</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(8,534)</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(59,876)</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(4,842)</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(11,580)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(4,922)</w:t>
            </w:r>
          </w:p>
        </w:tc>
      </w:tr>
      <w:tr>
        <w:trPr>
          <w:trHeight w:val="273"/>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50"/>
        </w:trPr>
        <w:tc>
          <w:tcPr>
            <w:tcW w:w="858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230,429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224,251</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9"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(51,553)</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(69,830)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intangible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(75,158)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(80,114)</w:t>
            </w:r>
          </w:p>
        </w:tc>
        <w:tc>
          <w:tcPr>
            <w:tcW w:w="0" w:type="dxa"/>
            <w:vAlign w:val="bottom"/>
          </w:tcPr>
          <w:p>
            <w:pPr>
              <w:spacing w:after="0"/>
              <w:rPr>
                <w:sz w:val="1"/>
                <w:szCs w:val="1"/>
                <w:color w:val="auto"/>
              </w:rPr>
            </w:pPr>
          </w:p>
        </w:tc>
      </w:tr>
      <w:tr>
        <w:trPr>
          <w:trHeight w:val="254"/>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proceeds from revolving credit facility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(150,021)</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(72,104)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25,334</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(157,567)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(201,227)</w:t>
            </w:r>
          </w:p>
        </w:tc>
        <w:tc>
          <w:tcPr>
            <w:tcW w:w="0" w:type="dxa"/>
            <w:vAlign w:val="bottom"/>
          </w:tcPr>
          <w:p>
            <w:pPr>
              <w:spacing w:after="0"/>
              <w:rPr>
                <w:sz w:val="1"/>
                <w:szCs w:val="1"/>
                <w:color w:val="auto"/>
              </w:rPr>
            </w:pPr>
          </w:p>
        </w:tc>
      </w:tr>
      <w:tr>
        <w:trPr>
          <w:trHeight w:val="247"/>
        </w:trPr>
        <w:tc>
          <w:tcPr>
            <w:tcW w:w="8580" w:type="dxa"/>
            <w:vAlign w:val="bottom"/>
          </w:tcPr>
          <w:p>
            <w:pPr>
              <w:ind w:left="8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(57,090)</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8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410,036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459,494</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38,877</w:t>
            </w:r>
          </w:p>
        </w:tc>
        <w:tc>
          <w:tcPr>
            <w:tcW w:w="0" w:type="dxa"/>
            <w:vAlign w:val="bottom"/>
          </w:tcPr>
          <w:p>
            <w:pPr>
              <w:spacing w:after="0"/>
              <w:rPr>
                <w:sz w:val="1"/>
                <w:szCs w:val="1"/>
                <w:color w:val="auto"/>
              </w:rPr>
            </w:pPr>
          </w:p>
        </w:tc>
      </w:tr>
      <w:tr>
        <w:trPr>
          <w:trHeight w:val="22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112,899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109,805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8,114</w:t>
            </w:r>
          </w:p>
        </w:tc>
        <w:tc>
          <w:tcPr>
            <w:tcW w:w="0" w:type="dxa"/>
            <w:vAlign w:val="bottom"/>
          </w:tcPr>
          <w:p>
            <w:pPr>
              <w:spacing w:after="0"/>
              <w:rPr>
                <w:sz w:val="1"/>
                <w:szCs w:val="1"/>
                <w:color w:val="auto"/>
              </w:rPr>
            </w:pPr>
          </w:p>
        </w:tc>
      </w:tr>
      <w:tr>
        <w:trPr>
          <w:trHeight w:val="224"/>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Finance obligation related to real estate projects</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9"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9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188"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2014, contained in the Company’s Annual Report on Form 10-K as filed with the SEC.</w:t>
      </w:r>
    </w:p>
    <w:p>
      <w:pPr>
        <w:spacing w:after="0" w:line="188" w:lineRule="exact"/>
        <w:rPr>
          <w:sz w:val="20"/>
          <w:szCs w:val="20"/>
          <w:color w:val="auto"/>
        </w:rPr>
      </w:pPr>
    </w:p>
    <w:p>
      <w:pPr>
        <w:jc w:val="both"/>
        <w:ind w:right="40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Annual Report on Form 10-K for the year ended December 31, 2014. There have been no significant changes to these accounting policies during the first nine months of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Company's internal reporting is organized into two service channels: Independent Advisor Services and Institution Services. These service channels are aggregated and viewed as one operating segment, and therefore, one reportable segment due to their similar economic characteristics, products and services, production and distribution processes, and regulatory environment.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restricted for use by the Company’s captive insurance subsidiary.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September 30, 2015, the carrying amount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indebtedness was approximately $1,666.1 million and $1,658.1 million, respectively. As of December 31, 2014, the carrying amount and fair value was approximately $1,634.3 million and $1,620.8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Financing Obligation</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is involved with the construction of a building for use as office space in Fort Mill, South Carolina and has determined that it has substantially all of the risks of ownership during construction of the leased property. Accordingly, from an accounting perspective, the Company is deemed to be the owner of the construction project. As such, the Company records an asset for the amount of the total project costs and an amount related to the value attributed to the building under construction in fixed assets and the related financing obligation in leasehold financing obligations on the unaudited condensed consolidated statement of financial condition. Once construction is complete, the Company will determine if the asset qualifies for sale-leaseback accounting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There are no recently issued accounting pronouncements that would materially impact the Company's condensed consolidated statements of income, comprehensive income, financial condition, or cash flows.</w:t>
      </w:r>
    </w:p>
    <w:p>
      <w:pPr>
        <w:spacing w:after="0" w:line="2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February 2013, the Company committed to an expansion of its Service Value Commitment initiative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nine months ended September 30, 2015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4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Accrued Balance at</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September 30,</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4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Incurred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5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22,686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23,500</w:t>
            </w: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50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30,295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30,300</w:t>
            </w:r>
          </w:p>
        </w:tc>
      </w:tr>
      <w:tr>
        <w:trPr>
          <w:trHeight w:val="228"/>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3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906</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13,400</w:t>
            </w:r>
          </w:p>
        </w:tc>
      </w:tr>
      <w:tr>
        <w:trPr>
          <w:trHeight w:val="264"/>
        </w:trPr>
        <w:tc>
          <w:tcPr>
            <w:tcW w:w="34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5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842</w:t>
            </w:r>
          </w:p>
        </w:tc>
      </w:tr>
      <w:tr>
        <w:trPr>
          <w:trHeight w:val="24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1,317</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64,974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68,042</w:t>
            </w:r>
          </w:p>
        </w:tc>
      </w:tr>
      <w:tr>
        <w:trPr>
          <w:trHeight w:val="20"/>
        </w:trPr>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In February 2015, the Company committed to a course of action to restructure the business of its subsidiary, Fortigent Holdings Company, Inc. (together with its subsidiaries, “Fortigent”). The Company acquired Fortigent, which provides outsourced wealth management solutions, in April 2012. The intention of the restructuring plan is to migrate Fortigent’s operations from Rockville, Maryland to the Company’s office in Charlotte, North Carolina, simplify and improve the efficiency of Fortigent’s existing service offerings, and position Fortigent to capitalize on the Company's future technology investments and service offerings for financial institutions and advisors focused on high-net-worth clients. This restructuring is expected to be completed in 2016.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Fortigent restructuring as of and for the nine months ended September 30, 2015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September 30,</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Non-cash</w:t>
            </w:r>
          </w:p>
        </w:tc>
        <w:tc>
          <w:tcPr>
            <w:tcW w:w="300" w:type="dxa"/>
            <w:vAlign w:val="bottom"/>
          </w:tcPr>
          <w:p>
            <w:pPr>
              <w:spacing w:after="0"/>
              <w:rPr>
                <w:sz w:val="17"/>
                <w:szCs w:val="17"/>
                <w:color w:val="auto"/>
              </w:rPr>
            </w:pPr>
          </w:p>
        </w:tc>
        <w:tc>
          <w:tcPr>
            <w:tcW w:w="960" w:type="dxa"/>
            <w:vAlign w:val="bottom"/>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0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 related</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4"/>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2,900</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Relocation and related costs</w:t>
            </w:r>
          </w:p>
        </w:tc>
        <w:tc>
          <w:tcPr>
            <w:tcW w:w="1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3,600</w:t>
            </w: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restructuring charges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1,300</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1,200</w:t>
            </w:r>
          </w:p>
        </w:tc>
      </w:tr>
      <w:tr>
        <w:trPr>
          <w:trHeight w:val="24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2,238</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9,000</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80" w:firstLine="648"/>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60" w:firstLine="648"/>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nine months ended September 30, 2015.</w:t>
      </w:r>
    </w:p>
    <w:p>
      <w:pPr>
        <w:spacing w:after="0" w:line="8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2015, the Company had the following financial assets and liabilities that are measured at fair value on a recurring basis:</w:t>
      </w:r>
    </w:p>
    <w:p>
      <w:pPr>
        <w:spacing w:after="0" w:line="76" w:lineRule="exact"/>
        <w:rPr>
          <w:sz w:val="20"/>
          <w:szCs w:val="20"/>
          <w:color w:val="auto"/>
        </w:rPr>
      </w:pPr>
    </w:p>
    <w:p>
      <w:pPr>
        <w:ind w:left="500" w:right="86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54"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9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2015, the Company did not adjust prices received from the independent third-party pricing services.</w:t>
      </w:r>
    </w:p>
    <w:p>
      <w:pPr>
        <w:spacing w:after="0" w:line="80" w:lineRule="exact"/>
        <w:rPr>
          <w:sz w:val="20"/>
          <w:szCs w:val="20"/>
          <w:color w:val="auto"/>
        </w:rPr>
      </w:pPr>
    </w:p>
    <w:p>
      <w:pPr>
        <w:ind w:left="500" w:right="260"/>
        <w:spacing w:after="0" w:line="266"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w:t>
      </w:r>
    </w:p>
    <w:p>
      <w:pPr>
        <w:sectPr>
          <w:pgSz w:w="11900" w:h="16838" w:orient="portrait"/>
          <w:cols w:equalWidth="0" w:num="1">
            <w:col w:w="11420"/>
          </w:cols>
          <w:pgMar w:left="240" w:top="441"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6"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8,858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8,858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6,686</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5,266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11,345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5,266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16,611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94,096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97,943</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114,299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123,412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22,592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75,540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5,058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80,598</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116,656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2015,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10,847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10,867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To mitigate foreign currency risk arising from these annual reset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which was reclassified out of accumulated other comprehensive income and recognized in net income ratably over the 12-month period ending May 31, 2015 to match the timing of the underlying hedged item. The second cash flow hedge, with a notional amount of 560.4 million INR, or $8.1 million, settled in June 2015. The Company received a settlement of $ 0.7 million, which will be reclassified out of accumulated other comprehensive income and recognized in net income ratably over a 12-month period ending May 31, 2016 to match the timing of the underlying hedged item.</w:t>
      </w:r>
    </w:p>
    <w:p>
      <w:pPr>
        <w:spacing w:after="0" w:line="20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September 30, 2015 are as follows (in millions, except foreign exchange rate):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r>
    </w:tbl>
    <w:p>
      <w:pPr>
        <w:spacing w:after="0" w:line="3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color w:val="auto"/>
        </w:rPr>
        <w:t xml:space="preserve">The balances in 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2014 Annual Report on Form 10-K for a discussion of the components of goodwill and additional information regarding intangible assets.</w:t>
      </w:r>
    </w:p>
    <w:p>
      <w:pPr>
        <w:sectPr>
          <w:pgSz w:w="11900" w:h="16838" w:orient="portrait"/>
          <w:cols w:equalWidth="0" w:num="1">
            <w:col w:w="11420"/>
          </w:cols>
          <w:pgMar w:left="240" w:top="441"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In October 2014, the Company entered into the Second Amendment, Extension and Incremental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 Agreement (“Credit Agreement”) with its wholly owned subsidiary, LPL Holdings, Inc., and the other parties thereto. The Credit Agreement includes a term loan A (“Term Loan A”), a term loan B (“Term Loan B”), and a revolving credit facility (“Revolving Credit Facility”), which has a borrowing capacity of $400.0 million.</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as of the dates below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 2015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2014</w:t>
            </w:r>
          </w:p>
        </w:tc>
      </w:tr>
      <w:tr>
        <w:trPr>
          <w:trHeight w:val="198"/>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Rate</w:t>
            </w:r>
          </w:p>
        </w:tc>
      </w:tr>
      <w:tr>
        <w:trPr>
          <w:trHeight w:val="257"/>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Revolving Credit Facility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60"/>
        </w:trPr>
        <w:tc>
          <w:tcPr>
            <w:tcW w:w="4780" w:type="dxa"/>
            <w:vAlign w:val="bottom"/>
            <w:gridSpan w:val="2"/>
          </w:tcPr>
          <w:p>
            <w:pPr>
              <w:ind w:left="80"/>
              <w:spacing w:after="0"/>
              <w:rPr>
                <w:sz w:val="20"/>
                <w:szCs w:val="20"/>
                <w:color w:val="auto"/>
              </w:rPr>
            </w:pPr>
            <w:r>
              <w:rPr>
                <w:rFonts w:ascii="Arial" w:cs="Arial" w:eastAsia="Arial" w:hAnsi="Arial"/>
                <w:sz w:val="16"/>
                <w:szCs w:val="16"/>
                <w:color w:val="auto"/>
              </w:rPr>
              <w:t>Senior secured term loans: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Term Loan 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64"/>
        </w:trPr>
        <w:tc>
          <w:tcPr>
            <w:tcW w:w="4780" w:type="dxa"/>
            <w:vAlign w:val="bottom"/>
            <w:tcBorders>
              <w:bottom w:val="single" w:sz="8" w:color="CCEEFF"/>
            </w:tcBorders>
            <w:gridSpan w:val="2"/>
          </w:tcPr>
          <w:p>
            <w:pPr>
              <w:ind w:left="1000"/>
              <w:spacing w:after="0"/>
              <w:rPr>
                <w:sz w:val="20"/>
                <w:szCs w:val="20"/>
                <w:color w:val="auto"/>
              </w:rPr>
            </w:pPr>
            <w:r>
              <w:rPr>
                <w:rFonts w:ascii="Arial" w:cs="Arial" w:eastAsia="Arial" w:hAnsi="Arial"/>
                <w:sz w:val="16"/>
                <w:szCs w:val="16"/>
                <w:color w:val="auto"/>
              </w:rPr>
              <w:t>Term Loan B</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1,056,754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1,064,883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47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1,666,129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1,634,258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4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Less current portion</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160,839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120,839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1,505,290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1,513,419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As of September 30, 2015, the Company also had $18.0 million of irrevocable letters of credit, with an applicable interest rate margin of 2.50%, which were supported by the Revolving Credit Facility.</w:t>
      </w:r>
    </w:p>
    <w:p>
      <w:pPr>
        <w:spacing w:after="0" w:line="250"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September 30, 2015, the Company was in compliance with such covenants.</w:t>
      </w:r>
    </w:p>
    <w:p>
      <w:pPr>
        <w:spacing w:after="0" w:line="174"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$200 million limit, and allows for both collateralized and uncollateralized borrowings. One line was utilized for one day during the three months ended September 30, 2015 with an average balance outstanding of $0.6 million at a weighted-average interest rate of 1.50%. The lines were not otherwise utilized in 2015 and were not utilized in 2014. There were no balances outstanding at September 30, 2015 or December 31, 2014.</w:t>
      </w:r>
    </w:p>
    <w:p>
      <w:pPr>
        <w:spacing w:after="0" w:line="23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$ 6.2 million and $6.5 million for the three months ended September 30, 2015 and 2014, respectively, and $19.4 million and $23.5 million for the nine months ended September 30, 2015 and 2014,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310"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w:t>
      </w:r>
    </w:p>
    <w:p>
      <w:pPr>
        <w:sectPr>
          <w:pgSz w:w="11900" w:h="16838" w:orient="portrait"/>
          <w:cols w:equalWidth="0" w:num="1">
            <w:col w:w="11420"/>
          </w:cols>
          <w:pgMar w:left="240" w:top="441"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September 30, 2015.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Assessing the probability of a loss occurring and the amount of any loss related to a legal proceeding or regulatory matter is inherently difficult. The Company exercises significant and complex judgments to make certain estimates presented in its consolidated financial statements, and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The Company’s accruals at September 30, 2015 include estimated costs for regulatory matters generally relating to the adequacy of the Company’s compliance and supervisory systems and procedures and other controls, for which the Company believes losses are both probable and reasonably estimable. When it is not probable but at least reasonably possible that a loss has been incurred, a disclosure of fact is made when the underlying loss or range of losses can also be reasonably estimated. The Company estimates that, as of September 30, 2015, exposure to those losses could range from $0 to $6 million in excess of the accrued liability, if any, related to those matters. Due to the inherent unpredictability of such matters, the Company may have exposure to losses that are not yet predictable or cannot yet be reasonably estimated in addition to those amounts that have been accrued or disclosed.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maintains third-party insurance coverage for certain legal proceedings, including those involving client claims. With respect to client claims, the estimated losses on many of the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4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September 30, 2015, these self-insurance liabilities are included in accounts payable and accrued liabilities in the unaudited condensed consolidated balance sheet. Self-insurance related charges are included in other expenses in the unaudited condensed consolidated statements of income for the three and nine months ended September 30, 2015.</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As of September 30, 2015, the Company had received collateral primarily in connection with client margin loans with a market value of approximately $344.6 million, which it can re-pledge, loan, or sell. Of these securities, approximately $29.4 million were client-owned securities pledged to the Options Clearing Corporation as collateral to secure client obligations related to options positions. As of September 30, 2015 there were no restrictions that materially limited the Company's ability to re-pledge, loan, or sell the remaining $315.2 million of client collateral.</w:t>
      </w:r>
    </w:p>
    <w:p>
      <w:pPr>
        <w:spacing w:after="0" w:line="258"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$4.3 million and $4.0 million pledged to clearing organizations at September 30, 2015 and December 31, 2014, respectively.</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is involved in a build-to-suit lease arrangement in Fort Mill, South Carolina, under which it serves as the construction agent on behalf of the landlord. Under such arrangement, the Company has obligations to fund cost over-runs in its capacity as the construction agent, and accordingly has determined that under lease accounting standards it bears substantially all of the risks and rewards of ownership as measured under GAAP. The Company is therefore required to report the landlord's costs of construction on its balance sheet as a fixed asset during the construction period as if the Company owned such asset. As of September 30, 2015, the Company has recorded $43.2 million in fixed assets in connection with this arrangement and an equal and off-setting leasehold financing obligation on the unaudited condensed consolidated statement of financial condition.</w:t>
      </w:r>
    </w:p>
    <w:p>
      <w:pPr>
        <w:spacing w:after="0" w:line="29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1120" w:type="dxa"/>
            <w:vAlign w:val="bottom"/>
            <w:tcBorders>
              <w:bottom w:val="single" w:sz="8" w:color="auto"/>
            </w:tcBorders>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Total Cash</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Share</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Share</w:t>
            </w:r>
          </w:p>
        </w:tc>
        <w:tc>
          <w:tcPr>
            <w:tcW w:w="18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r>
      <w:tr>
        <w:trPr>
          <w:trHeight w:val="260"/>
        </w:trPr>
        <w:tc>
          <w:tcPr>
            <w:tcW w:w="52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24.0</w:t>
            </w:r>
          </w:p>
        </w:tc>
      </w:tr>
      <w:tr>
        <w:trPr>
          <w:trHeight w:val="28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15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For the three months ended September 30, 2015 and 2014,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jc w:val="right"/>
              <w:ind w:right="24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Paid Per</w:t>
            </w: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140" w:type="dxa"/>
            <w:vAlign w:val="bottom"/>
          </w:tcPr>
          <w:p>
            <w:pPr>
              <w:spacing w:after="0"/>
              <w:rPr>
                <w:sz w:val="14"/>
                <w:szCs w:val="14"/>
                <w:color w:val="auto"/>
              </w:rPr>
            </w:pPr>
          </w:p>
        </w:tc>
        <w:tc>
          <w:tcPr>
            <w:tcW w:w="66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9"/>
              </w:rPr>
              <w:t>Cost(1)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9"/>
              </w:rPr>
              <w:t>Cost(1)</w:t>
            </w: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531,426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April 28, 2015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593,868</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593,868</w:t>
            </w:r>
          </w:p>
        </w:tc>
        <w:tc>
          <w:tcPr>
            <w:tcW w:w="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531,426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CEEFF"/>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080" w:type="dxa"/>
            <w:vAlign w:val="bottom"/>
            <w:vMerge w:val="restart"/>
          </w:tcPr>
          <w:p>
            <w:pPr>
              <w:jc w:val="right"/>
              <w:ind w:right="1012"/>
              <w:spacing w:after="0"/>
              <w:rPr>
                <w:sz w:val="20"/>
                <w:szCs w:val="20"/>
                <w:color w:val="auto"/>
              </w:rPr>
            </w:pPr>
            <w:r>
              <w:rPr>
                <w:rFonts w:ascii="Arial" w:cs="Arial" w:eastAsia="Arial" w:hAnsi="Arial"/>
                <w:sz w:val="7"/>
                <w:szCs w:val="7"/>
                <w:color w:val="auto"/>
              </w:rPr>
              <w:t>_________________________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(1)  Included in the total cost of shares purchased is a commission fee of $0.02 per share.</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For the nine months ended September 30, 2015 and 2014,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3"/>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Remaining</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Price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Repurchase</w:t>
            </w: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rPr>
              <w:t>at September 30,</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Paid Per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Cost(1)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Total Cost(1)</w:t>
            </w: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28,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1,306,288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6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10, 2014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1,683,424</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8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2,193,262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April 28, 2015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152.2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1,131,790</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42.29</w:t>
            </w:r>
          </w:p>
        </w:tc>
        <w:tc>
          <w:tcPr>
            <w:tcW w:w="18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3,325,052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2,989,712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(1)  Included in the total cost of shares purchased is a commission fee of $0.02 per share.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details regarding the repurchase of shares from related parties in 2014.</w:t>
      </w:r>
    </w:p>
    <w:p>
      <w:pPr>
        <w:spacing w:after="0" w:line="3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30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5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November 2010, the Company adopted a 2010 Omnibus Equity Incentive Plan (as amended and restated in May 2015,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There were 20,055,945 shares authorized for grant under the 2010 Plan after the amendment and restatement of the plan in May 2015. There were 5,214,409 shares reserved for issuance upon exercise or conversion of outstanding awards granted, and 12,995,726 shares remaining available for future issuance, under the 2010 Plan as of September 30,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nine months ended September 30, 2015:</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nine months ended September 30, 2015:</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5.99</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25.92%</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11.11</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nine months ended September 30,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6,287,410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1,141,309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(523,680)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39.26</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September 30, 2015</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6,105,256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35,117</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September 30, 2015</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3,523,282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36,018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September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Outstanding</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Life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7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$18.04 - $23.02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1,082,705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21.39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1,082,705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$23.41 - $30.00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1,316,612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28.21</w:t>
            </w:r>
          </w:p>
        </w:tc>
        <w:tc>
          <w:tcPr>
            <w:tcW w:w="132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875,567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27.94</w:t>
            </w:r>
          </w:p>
        </w:tc>
      </w:tr>
      <w:tr>
        <w:trPr>
          <w:trHeight w:val="28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$31.60 - $32.33</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1,133,954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31.88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610,283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31.91</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$34.01 - $39.60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972,627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34.59</w:t>
            </w:r>
          </w:p>
        </w:tc>
        <w:tc>
          <w:tcPr>
            <w:tcW w:w="132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744,954</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34.53</w:t>
            </w:r>
          </w:p>
        </w:tc>
      </w:tr>
      <w:tr>
        <w:trPr>
          <w:trHeight w:val="273"/>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$43.74 - $54.81</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1,599,358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48.50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209,773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r>
      <w:tr>
        <w:trPr>
          <w:trHeight w:val="24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6,105,256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34.02</w:t>
            </w:r>
          </w:p>
        </w:tc>
        <w:tc>
          <w:tcPr>
            <w:tcW w:w="132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3,523,282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29.55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$4.1 million and $3.8 million during the three months ended September 30, 2015 and 2014, respectively, and $12.4 million and $11.4 million during the nine months ended September 30, 2015 and 2014, respectively, which is included in compensation and benefits expense on the unaudited condensed consolidated statements of income. As of September 30, 2015, total unrecognized compensation cost related to non-vested stock options granted to employees, officers, and directors was $13.0 million, which is expected to be recognized over a weighted-average period of 1.76 years.</w:t>
      </w:r>
    </w:p>
    <w:p>
      <w:pPr>
        <w:spacing w:after="0" w:line="207"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reporting period. The Company recognized share-based compensation of $0.1 million and $1.1 million during the three months ended September 30, 2015 and</w:t>
      </w:r>
    </w:p>
    <w:p>
      <w:pPr>
        <w:sectPr>
          <w:pgSz w:w="11900" w:h="16838" w:orient="portrait"/>
          <w:cols w:equalWidth="0" w:num="1">
            <w:col w:w="11420"/>
          </w:cols>
          <w:pgMar w:left="240" w:top="441"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1" w:right="2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2014, respectively, and $1.8 million and $ 5.9 million for during the nine months ended September 30, 2015 and 2014, respectively, related to the vesting of stock options and warrants awarded to its advisors and financial institutions, which is classified within commission and advisory expense on the unaudited condensed consolidated statements of income. As of September 30, 2015, total unrecognized compensation cost related to non-vested stock options and warrants granted to advisors and financial institutions was $3.7 million, which is expected to be recognized over a weighted-average period of 1.76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Weighted-Average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Weighted-Average</w:t>
            </w:r>
          </w:p>
        </w:tc>
      </w:tr>
      <w:tr>
        <w:trPr>
          <w:trHeight w:val="189"/>
        </w:trPr>
        <w:tc>
          <w:tcPr>
            <w:tcW w:w="4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Grant-Date</w:t>
            </w: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42.78</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546,725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43.34</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31,847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352,643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41.82</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39.53</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(82,371)</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44.44</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September 30, 2015</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46,649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644,529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based on the grant date fair value over the requisite service period of the award, which generally equals the vesting period. The Company recognized $2.0 million and $1.7 million of share-based compensation related to the vesting of these restricted stock awards and restricted stock units during the three months ended September 30, 2015 and 2014, respectively, and $6.4 million and $ 4.4 million during the nine months ended September 30, 2015 and 2014, respectively, which is included in compensation and benefits expense on the unaudited condensed consolidated statements of income. As of September 30, 2015, total unrecognized compensation cost for restricted stock awards and restricted stock units granted to employees, officers, and directors was $12.6 million, which is expected to be recognized over a weighted-average remaining period of 1.99 years.</w:t>
      </w:r>
    </w:p>
    <w:p>
      <w:pPr>
        <w:spacing w:after="0" w:line="206"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units granted to its advisors and to financial institutions based on the fair value of the awards at each reporting period. The Company recognized share-based compensation of $ 0.4 million and $0.4 million related to the vesting of these restricted stock units during the three months ended September 30, 2015 and 2014, respectively, and $1.5 million and $0.6 million during the nine months ended September 30, 2015 and 2014, respectively, which is classified within commission and advisory expense on the unaudited condensed consolidated statements of income. As of September 30, 2015, total unrecognized compensation cost for restricted stock units granted to advisors and financial institutions was $6.2 million, which is expected to be recognized over a weighted-average remaining period of 2.25 years.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4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is as follows (in thousands, except per share data):</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0" w:lineRule="exact"/>
        <w:rPr>
          <w:sz w:val="20"/>
          <w:szCs w:val="20"/>
          <w:color w:val="auto"/>
        </w:rPr>
      </w:pPr>
    </w:p>
    <w:p>
      <w:pPr>
        <w:spacing w:after="0" w:line="237" w:lineRule="exact"/>
        <w:rPr>
          <w:sz w:val="20"/>
          <w:szCs w:val="20"/>
          <w:color w:val="auto"/>
        </w:rPr>
      </w:pPr>
    </w:p>
    <w:p>
      <w:pPr>
        <w:ind w:left="40" w:right="1380"/>
        <w:spacing w:after="0" w:line="352" w:lineRule="auto"/>
        <w:rPr>
          <w:sz w:val="20"/>
          <w:szCs w:val="20"/>
          <w:color w:val="auto"/>
        </w:rPr>
      </w:pPr>
      <w:r>
        <w:rPr>
          <w:rFonts w:ascii="Arial" w:cs="Arial" w:eastAsia="Arial" w:hAnsi="Arial"/>
          <w:sz w:val="16"/>
          <w:szCs w:val="16"/>
          <w:color w:val="auto"/>
        </w:rPr>
        <w:t>Basic weighted-average number of shares outstanding Dilutive common share equivalents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weighted-average number of shares outstanding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4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3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41,052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33,272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141,972</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129,498</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62"/>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94,972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100,052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95,744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100,519</w:t>
            </w:r>
          </w:p>
        </w:tc>
      </w:tr>
      <w:tr>
        <w:trPr>
          <w:trHeight w:val="283"/>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1,865</w:t>
            </w:r>
          </w:p>
        </w:tc>
      </w:tr>
      <w:tr>
        <w:trPr>
          <w:trHeight w:val="237"/>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96,472</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101,834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102,384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-925830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-530860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-187960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441"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September 30, 2015 and 2014, stock options, warrants, and restricted stock units representing common share equivalents of 2,068,568 shares and 1,478,016 shares, respectively, were anti-dilutive. For the nine months ended September 30, 2015 and 2014, stock options, warrants, and restricted stock units representing common share equivalents of 1,975,454 shares and 1,344,782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500" w:firstLine="405"/>
        <w:spacing w:after="0" w:line="250"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40.2% and</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40.0% for the three months ended September 30, 2015 and 2014. The change between periods is due to various factors including the release of accruals for uncertain tax positions in 2014 due to completion of state tax audits.</w:t>
      </w:r>
    </w:p>
    <w:p>
      <w:pPr>
        <w:spacing w:after="0" w:line="196"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effective tax rates for the nine months ended September 30, 2015 and 2014 were 40.2% and 39.5%, respectively. The change between periods is due to the release of accruals for uncertain tax positions in 2014 due to completion of state tax audits and a decrease in the number of incentive stock options exercised in 2015 compared to the same period in 2014.</w:t>
      </w:r>
    </w:p>
    <w:p>
      <w:pPr>
        <w:spacing w:after="0" w:line="20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related party transactions with certain portfolio companies of TPG, one of the Company's significant stockholders, and the LPL Financial Foundation. During the nine months ended September 30, 2015 and 2014, the Company recognized revenue for services provided to these related parties of $0.6 million and $0.7 million, respectively. The Company incurred expenses for services provided by certain of the TPG portfolio companies and the LPL Financial Foundation of $4.2 million and $0.9 million, during the nine months ended September 30, 2015 and 2014, respectively. As of September 30, 2015 and 2014, receivables from related parties were $0 and $0.1 million, respectively, and payables to related parties were $0.2 million and less than $0.1 million, respectively.</w:t>
      </w:r>
    </w:p>
    <w:p>
      <w:pPr>
        <w:spacing w:after="0" w:line="20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 February 2014, the Company entered into a share repurchase agreement with an investment fund associated with TPG, pursuant to which the Company repurchased 1.9 million shares of its common stock at a price of $52.00 per share, for total consideration of $100.0 million.</w:t>
      </w:r>
    </w:p>
    <w:p>
      <w:pPr>
        <w:sectPr>
          <w:pgSz w:w="11900" w:h="16838" w:orient="portrait"/>
          <w:cols w:equalWidth="0" w:num="1">
            <w:col w:w="11420"/>
          </w:cols>
          <w:pgMar w:left="240" w:top="441" w:right="239" w:bottom="1440" w:gutter="0" w:footer="0" w:header="0"/>
          <w:type w:val="continuous"/>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$153.1 million with a minimum net capital requirement of $6.5 million as of September 30, 2015.</w:t>
      </w:r>
    </w:p>
    <w:p>
      <w:pPr>
        <w:spacing w:after="0" w:line="204" w:lineRule="exact"/>
        <w:rPr>
          <w:sz w:val="20"/>
          <w:szCs w:val="20"/>
          <w:color w:val="auto"/>
        </w:rPr>
      </w:pPr>
    </w:p>
    <w:p>
      <w:pPr>
        <w:ind w:right="360" w:firstLine="486"/>
        <w:spacing w:after="0" w:line="278" w:lineRule="auto"/>
        <w:rPr>
          <w:sz w:val="20"/>
          <w:szCs w:val="20"/>
          <w:color w:val="auto"/>
        </w:rPr>
      </w:pPr>
      <w:r>
        <w:rPr>
          <w:rFonts w:ascii="Arial" w:cs="Arial" w:eastAsia="Arial" w:hAnsi="Arial"/>
          <w:sz w:val="17"/>
          <w:szCs w:val="17"/>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8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As of September 30, 2015 and December 31, 2014, LPL Financial and PTC met all capital adequacy requirements to which they were subject.</w:t>
      </w:r>
    </w:p>
    <w:p>
      <w:pPr>
        <w:spacing w:after="0" w:line="22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October 25, 2015, the Board of Directors declared a cash dividend of $0.25 per share on the Company's outstanding common stock to be paid on November 24, 2015 to stockholders of record on November 12, 2015.</w:t>
      </w:r>
    </w:p>
    <w:p>
      <w:pPr>
        <w:spacing w:after="0" w:line="88"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On October 25, 2015, the Company's Board of Directors approved an increase in the Company's share repurchase plan by $347.8 million to a total of $500.0 million.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4,300 financial advisors who are affiliated and licensed with insurance companies that use our customized clearing, advisory platforms, and technology solutions.</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have the fifth-largest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experienced strong asset growth as net new advisory assets were $4.2 billion and $13.7 billion for the three and nine months ended September 30, 2015, compared to $4.8 billion and $13.5 billion in the same periods in 2014. However, reductions in market-sensitive asset valuations offset these strong asset flows, and brokerage and advisory assets served as of September 30, 2015 declined to $461.8 billion from the September 30, 2014 balance of $464.8 billion.</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of September 30, 2015, our advisory assets had grown to $179.7 billion from $169.5 billion as of September 30, 2014 and represented 39% of advisory and brokerage assets served. Assets on our platform that serves independent RIAs that conduct their advisory business through separate entities (“Hybrid RIAs”) operating pursuant to the Investment Advisers Act of 1940 or through their respective states' investment advisory licensing rules, rather than through LPL Financial, had grown to $110.0 billion as of September 30, 2015 compared to $87.4 billion as of September 30, 2014, and represented 24% of total advisory and brokerage assets served.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Growth</w:t>
      </w:r>
    </w:p>
    <w:p>
      <w:pPr>
        <w:spacing w:after="0" w:line="284"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Third quarter gross profit grew to $339.8 million, up from $331.1 million in the comparable period in 2014. Key contributors to third quarter gross profit growth included:</w:t>
      </w:r>
    </w:p>
    <w:p>
      <w:pPr>
        <w:spacing w:after="0" w:line="223" w:lineRule="exact"/>
        <w:rPr>
          <w:sz w:val="20"/>
          <w:szCs w:val="20"/>
          <w:color w:val="auto"/>
        </w:rPr>
      </w:pPr>
    </w:p>
    <w:p>
      <w:pPr>
        <w:ind w:left="720" w:hanging="2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$17.8 billion increase in net new advisory assets since September 30, 2014.</w:t>
      </w:r>
    </w:p>
    <w:p>
      <w:pPr>
        <w:spacing w:after="0" w:line="265" w:lineRule="exact"/>
        <w:rPr>
          <w:rFonts w:ascii="Arial" w:cs="Arial" w:eastAsia="Arial" w:hAnsi="Arial"/>
          <w:sz w:val="18"/>
          <w:szCs w:val="18"/>
          <w:color w:val="auto"/>
        </w:rPr>
      </w:pPr>
    </w:p>
    <w:p>
      <w:pPr>
        <w:ind w:left="720" w:hanging="2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163 net new advisors added since September 30, 2014.</w:t>
      </w:r>
    </w:p>
    <w:p>
      <w:pPr>
        <w:spacing w:after="0" w:line="265" w:lineRule="exact"/>
        <w:rPr>
          <w:rFonts w:ascii="Arial" w:cs="Arial" w:eastAsia="Arial" w:hAnsi="Arial"/>
          <w:sz w:val="18"/>
          <w:szCs w:val="18"/>
          <w:color w:val="auto"/>
        </w:rPr>
      </w:pPr>
    </w:p>
    <w:p>
      <w:pPr>
        <w:ind w:left="720" w:hanging="2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$3.7 billion increase in client cash sweep assets since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on a number of regulatory matters</w:t>
      </w:r>
    </w:p>
    <w:p>
      <w:pPr>
        <w:spacing w:after="0" w:line="28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Regulatory-related charges decreased $14.4 million and $5.4 million for the three and nine months ended September 30, 2015 compared to the comparable periods in 2014, as we reached agreements to resolve several significant regulatory matters on which we had been working.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 Activity</w:t>
      </w:r>
    </w:p>
    <w:p>
      <w:pPr>
        <w:spacing w:after="0" w:line="243"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We returned $49.0 million of capital to shareholders in the third quarter, including $ 24.0 million of dividends and $25.0 million of share buy backs. We purchased approximately 600,000 shares during the period at a weighted average price of $42.12 per share.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5" w:name="page26"/>
    <w:bookmarkEnd w:id="25"/>
    <w:p>
      <w:pPr>
        <w:ind w:right="220" w:firstLine="486"/>
        <w:spacing w:after="0" w:line="261" w:lineRule="auto"/>
        <w:rPr>
          <w:sz w:val="20"/>
          <w:szCs w:val="20"/>
          <w:color w:val="auto"/>
        </w:rPr>
      </w:pPr>
      <w:r>
        <w:rPr>
          <w:rFonts w:ascii="Arial" w:cs="Arial" w:eastAsia="Arial" w:hAnsi="Arial"/>
          <w:sz w:val="18"/>
          <w:szCs w:val="18"/>
          <w:color w:val="auto"/>
        </w:rPr>
        <w:t>The Company's Board of Directors ("Board") declared a cash dividend of $0.25 per share on our outstanding common stock to be paid on November 24, 2015 to stockholders of record on November 12,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26,000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152"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2300" w:type="dxa"/>
            <w:vAlign w:val="bottom"/>
            <w:tcBorders>
              <w:right w:val="single" w:sz="8" w:color="A5A5A5"/>
            </w:tcBorders>
          </w:tcPr>
          <w:p>
            <w:pPr>
              <w:spacing w:after="0"/>
              <w:rPr>
                <w:sz w:val="23"/>
                <w:szCs w:val="23"/>
                <w:color w:val="auto"/>
              </w:rPr>
            </w:pPr>
          </w:p>
        </w:tc>
        <w:tc>
          <w:tcPr>
            <w:tcW w:w="2800" w:type="dxa"/>
            <w:vAlign w:val="bottom"/>
            <w:tcBorders>
              <w:right w:val="single" w:sz="8" w:color="A5A5A5"/>
            </w:tcBorders>
            <w:shd w:val="clear" w:color="auto" w:fill="000000"/>
          </w:tcPr>
          <w:p>
            <w:pPr>
              <w:spacing w:after="0"/>
              <w:rPr>
                <w:sz w:val="23"/>
                <w:szCs w:val="23"/>
                <w:color w:val="auto"/>
              </w:rPr>
            </w:pPr>
          </w:p>
        </w:tc>
        <w:tc>
          <w:tcPr>
            <w:tcW w:w="2820" w:type="dxa"/>
            <w:vAlign w:val="bottom"/>
            <w:tcBorders>
              <w:right w:val="single" w:sz="8" w:color="A5A5A5"/>
            </w:tcBorders>
            <w:shd w:val="clear" w:color="auto" w:fill="000000"/>
          </w:tcPr>
          <w:p>
            <w:pPr>
              <w:spacing w:after="0"/>
              <w:rPr>
                <w:sz w:val="23"/>
                <w:szCs w:val="23"/>
                <w:color w:val="auto"/>
              </w:rPr>
            </w:pPr>
          </w:p>
        </w:tc>
        <w:tc>
          <w:tcPr>
            <w:tcW w:w="292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Nine Months Ended September 30, 2015</w:t>
            </w:r>
          </w:p>
        </w:tc>
        <w:tc>
          <w:tcPr>
            <w:tcW w:w="0" w:type="dxa"/>
            <w:vAlign w:val="bottom"/>
          </w:tcPr>
          <w:p>
            <w:pPr>
              <w:spacing w:after="0"/>
              <w:rPr>
                <w:sz w:val="1"/>
                <w:szCs w:val="1"/>
                <w:color w:val="auto"/>
              </w:rPr>
            </w:pPr>
          </w:p>
        </w:tc>
      </w:tr>
      <w:tr>
        <w:trPr>
          <w:trHeight w:val="202"/>
        </w:trPr>
        <w:tc>
          <w:tcPr>
            <w:tcW w:w="2300" w:type="dxa"/>
            <w:vAlign w:val="bottom"/>
            <w:tcBorders>
              <w:right w:val="single" w:sz="8" w:color="A5A5A5"/>
            </w:tcBorders>
          </w:tcPr>
          <w:p>
            <w:pPr>
              <w:spacing w:after="0"/>
              <w:rPr>
                <w:sz w:val="17"/>
                <w:szCs w:val="17"/>
                <w:color w:val="auto"/>
              </w:rPr>
            </w:pPr>
          </w:p>
        </w:tc>
        <w:tc>
          <w:tcPr>
            <w:tcW w:w="2800" w:type="dxa"/>
            <w:vAlign w:val="bottom"/>
            <w:tcBorders>
              <w:right w:val="single" w:sz="8" w:color="A5A5A5"/>
            </w:tcBorders>
            <w:shd w:val="clear" w:color="auto" w:fill="000000"/>
          </w:tcPr>
          <w:p>
            <w:pPr>
              <w:spacing w:after="0"/>
              <w:rPr>
                <w:sz w:val="17"/>
                <w:szCs w:val="17"/>
                <w:color w:val="auto"/>
              </w:rPr>
            </w:pPr>
          </w:p>
        </w:tc>
        <w:tc>
          <w:tcPr>
            <w:tcW w:w="2820" w:type="dxa"/>
            <w:vAlign w:val="bottom"/>
            <w:tcBorders>
              <w:right w:val="single" w:sz="8" w:color="A5A5A5"/>
            </w:tcBorders>
            <w:shd w:val="clear" w:color="auto" w:fill="000000"/>
          </w:tcPr>
          <w:p>
            <w:pPr>
              <w:spacing w:after="0"/>
              <w:rPr>
                <w:sz w:val="17"/>
                <w:szCs w:val="17"/>
                <w:color w:val="auto"/>
              </w:rPr>
            </w:pPr>
          </w:p>
        </w:tc>
        <w:tc>
          <w:tcPr>
            <w:tcW w:w="96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6"/>
              </w:rPr>
              <w:t>Total</w:t>
            </w:r>
          </w:p>
        </w:tc>
        <w:tc>
          <w:tcPr>
            <w:tcW w:w="98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 of Total Net</w:t>
            </w:r>
          </w:p>
        </w:tc>
        <w:tc>
          <w:tcPr>
            <w:tcW w:w="98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999999"/>
              <w:right w:val="single" w:sz="8" w:color="A5A5A5"/>
            </w:tcBorders>
          </w:tcPr>
          <w:p>
            <w:pPr>
              <w:spacing w:after="0"/>
              <w:rPr>
                <w:sz w:val="15"/>
                <w:szCs w:val="15"/>
                <w:color w:val="auto"/>
              </w:rPr>
            </w:pPr>
          </w:p>
        </w:tc>
        <w:tc>
          <w:tcPr>
            <w:tcW w:w="2800" w:type="dxa"/>
            <w:vAlign w:val="bottom"/>
            <w:tcBorders>
              <w:bottom w:val="single" w:sz="8" w:color="A5A5A5"/>
              <w:right w:val="single" w:sz="8" w:color="A5A5A5"/>
            </w:tcBorders>
            <w:shd w:val="clear" w:color="auto" w:fill="000000"/>
          </w:tcPr>
          <w:p>
            <w:pPr>
              <w:ind w:left="740"/>
              <w:spacing w:after="0"/>
              <w:rPr>
                <w:sz w:val="20"/>
                <w:szCs w:val="20"/>
                <w:color w:val="auto"/>
              </w:rPr>
            </w:pPr>
            <w:r>
              <w:rPr>
                <w:rFonts w:ascii="Arial" w:cs="Arial" w:eastAsia="Arial" w:hAnsi="Arial"/>
                <w:sz w:val="14"/>
                <w:szCs w:val="14"/>
                <w:color w:val="FFFFFF"/>
              </w:rPr>
              <w:t>Sources of Revenue</w:t>
            </w:r>
          </w:p>
        </w:tc>
        <w:tc>
          <w:tcPr>
            <w:tcW w:w="2820" w:type="dxa"/>
            <w:vAlign w:val="bottom"/>
            <w:tcBorders>
              <w:bottom w:val="single" w:sz="8" w:color="A5A5A5"/>
              <w:right w:val="single" w:sz="8" w:color="A5A5A5"/>
            </w:tcBorders>
            <w:shd w:val="clear" w:color="auto" w:fill="000000"/>
          </w:tcPr>
          <w:p>
            <w:pPr>
              <w:ind w:left="900"/>
              <w:spacing w:after="0"/>
              <w:rPr>
                <w:sz w:val="20"/>
                <w:szCs w:val="20"/>
                <w:color w:val="auto"/>
              </w:rPr>
            </w:pPr>
            <w:r>
              <w:rPr>
                <w:rFonts w:ascii="Arial" w:cs="Arial" w:eastAsia="Arial" w:hAnsi="Arial"/>
                <w:sz w:val="14"/>
                <w:szCs w:val="14"/>
                <w:color w:val="FFFFFF"/>
              </w:rPr>
              <w:t>Primary Drivers</w:t>
            </w:r>
          </w:p>
        </w:tc>
        <w:tc>
          <w:tcPr>
            <w:tcW w:w="96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(millions)</w:t>
            </w:r>
          </w:p>
        </w:tc>
        <w:tc>
          <w:tcPr>
            <w:tcW w:w="98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Revenue</w:t>
            </w:r>
          </w:p>
        </w:tc>
        <w:tc>
          <w:tcPr>
            <w:tcW w:w="98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Advisor-driven revenue with</w:t>
            </w: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96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$1,513</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w w:val="99"/>
              </w:rPr>
              <w:t>47%</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08"/>
        </w:trPr>
        <w:tc>
          <w:tcPr>
            <w:tcW w:w="2300" w:type="dxa"/>
            <w:vAlign w:val="bottom"/>
            <w:tcBorders>
              <w:left w:val="single" w:sz="8" w:color="999999"/>
              <w:right w:val="single" w:sz="8" w:color="A5A5A5"/>
            </w:tcBorders>
            <w:vMerge w:val="continue"/>
          </w:tcPr>
          <w:p>
            <w:pPr>
              <w:spacing w:after="0"/>
              <w:rPr>
                <w:sz w:val="9"/>
                <w:szCs w:val="9"/>
                <w:color w:val="auto"/>
              </w:rPr>
            </w:pPr>
          </w:p>
        </w:tc>
        <w:tc>
          <w:tcPr>
            <w:tcW w:w="2800" w:type="dxa"/>
            <w:vAlign w:val="bottom"/>
            <w:tcBorders>
              <w:right w:val="single" w:sz="8" w:color="A5A5A5"/>
            </w:tcBorders>
          </w:tcPr>
          <w:p>
            <w:pPr>
              <w:spacing w:after="0"/>
              <w:rPr>
                <w:sz w:val="9"/>
                <w:szCs w:val="9"/>
                <w:color w:val="auto"/>
              </w:rPr>
            </w:pP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Brokerage asset levels</w:t>
            </w:r>
          </w:p>
        </w:tc>
        <w:tc>
          <w:tcPr>
            <w:tcW w:w="960" w:type="dxa"/>
            <w:vAlign w:val="bottom"/>
            <w:tcBorders>
              <w:right w:val="single" w:sz="8" w:color="A5A5A5"/>
            </w:tcBorders>
            <w:vMerge w:val="continue"/>
          </w:tcPr>
          <w:p>
            <w:pPr>
              <w:spacing w:after="0"/>
              <w:rPr>
                <w:sz w:val="9"/>
                <w:szCs w:val="9"/>
                <w:color w:val="auto"/>
              </w:rPr>
            </w:pPr>
          </w:p>
        </w:tc>
        <w:tc>
          <w:tcPr>
            <w:tcW w:w="980" w:type="dxa"/>
            <w:vAlign w:val="bottom"/>
            <w:tcBorders>
              <w:right w:val="single" w:sz="8" w:color="A5A5A5"/>
            </w:tcBorders>
            <w:vMerge w:val="continue"/>
          </w:tcPr>
          <w:p>
            <w:pPr>
              <w:spacing w:after="0"/>
              <w:rPr>
                <w:sz w:val="9"/>
                <w:szCs w:val="9"/>
                <w:color w:val="auto"/>
              </w:rPr>
            </w:pPr>
          </w:p>
        </w:tc>
        <w:tc>
          <w:tcPr>
            <w:tcW w:w="980" w:type="dxa"/>
            <w:vAlign w:val="bottom"/>
            <w:tcBorders>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 ratio</w:t>
            </w:r>
          </w:p>
        </w:tc>
        <w:tc>
          <w:tcPr>
            <w:tcW w:w="2800" w:type="dxa"/>
            <w:vAlign w:val="bottom"/>
            <w:tcBorders>
              <w:bottom w:val="single" w:sz="8" w:color="A5A5A5"/>
              <w:right w:val="single" w:sz="8" w:color="A5A5A5"/>
            </w:tcBorders>
          </w:tcPr>
          <w:p>
            <w:pPr>
              <w:spacing w:after="0"/>
              <w:rPr>
                <w:sz w:val="6"/>
                <w:szCs w:val="6"/>
                <w:color w:val="auto"/>
              </w:rPr>
            </w:pPr>
          </w:p>
        </w:tc>
        <w:tc>
          <w:tcPr>
            <w:tcW w:w="2820" w:type="dxa"/>
            <w:vAlign w:val="bottom"/>
            <w:tcBorders>
              <w:bottom w:val="single" w:sz="8" w:color="A5A5A5"/>
              <w:right w:val="single" w:sz="8" w:color="A5A5A5"/>
            </w:tcBorders>
            <w:vMerge w:val="continue"/>
          </w:tcPr>
          <w:p>
            <w:pPr>
              <w:spacing w:after="0"/>
              <w:rPr>
                <w:sz w:val="6"/>
                <w:szCs w:val="6"/>
                <w:color w:val="auto"/>
              </w:rPr>
            </w:pPr>
          </w:p>
        </w:tc>
        <w:tc>
          <w:tcPr>
            <w:tcW w:w="960" w:type="dxa"/>
            <w:vAlign w:val="bottom"/>
            <w:tcBorders>
              <w:bottom w:val="single" w:sz="8" w:color="A5A5A5"/>
              <w:right w:val="single" w:sz="8" w:color="A5A5A5"/>
            </w:tcBorders>
          </w:tcPr>
          <w:p>
            <w:pPr>
              <w:spacing w:after="0"/>
              <w:rPr>
                <w:sz w:val="6"/>
                <w:szCs w:val="6"/>
                <w:color w:val="auto"/>
              </w:rPr>
            </w:pPr>
          </w:p>
        </w:tc>
        <w:tc>
          <w:tcPr>
            <w:tcW w:w="980" w:type="dxa"/>
            <w:vAlign w:val="bottom"/>
            <w:tcBorders>
              <w:bottom w:val="single" w:sz="8" w:color="A5A5A5"/>
              <w:right w:val="single" w:sz="8" w:color="A5A5A5"/>
            </w:tcBorders>
          </w:tcPr>
          <w:p>
            <w:pPr>
              <w:spacing w:after="0"/>
              <w:rPr>
                <w:sz w:val="6"/>
                <w:szCs w:val="6"/>
                <w:color w:val="auto"/>
              </w:rPr>
            </w:pPr>
          </w:p>
        </w:tc>
        <w:tc>
          <w:tcPr>
            <w:tcW w:w="98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300" w:type="dxa"/>
            <w:vAlign w:val="bottom"/>
            <w:tcBorders>
              <w:left w:val="single" w:sz="8" w:color="999999"/>
              <w:right w:val="single" w:sz="8" w:color="A5A5A5"/>
            </w:tcBorders>
            <w:vMerge w:val="continue"/>
          </w:tcPr>
          <w:p>
            <w:pPr>
              <w:spacing w:after="0"/>
              <w:rPr>
                <w:sz w:val="7"/>
                <w:szCs w:val="7"/>
                <w:color w:val="auto"/>
              </w:rPr>
            </w:pPr>
          </w:p>
        </w:tc>
        <w:tc>
          <w:tcPr>
            <w:tcW w:w="28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Advisory asset levels</w:t>
            </w:r>
          </w:p>
        </w:tc>
        <w:tc>
          <w:tcPr>
            <w:tcW w:w="96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$1,028</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w w:val="99"/>
              </w:rPr>
              <w:t>32%</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28"/>
        </w:trPr>
        <w:tc>
          <w:tcPr>
            <w:tcW w:w="2300" w:type="dxa"/>
            <w:vAlign w:val="bottom"/>
            <w:tcBorders>
              <w:left w:val="single" w:sz="8" w:color="999999"/>
              <w:bottom w:val="single" w:sz="8" w:color="999999"/>
              <w:right w:val="single" w:sz="8" w:color="A5A5A5"/>
            </w:tcBorders>
          </w:tcPr>
          <w:p>
            <w:pPr>
              <w:spacing w:after="0"/>
              <w:rPr>
                <w:sz w:val="11"/>
                <w:szCs w:val="11"/>
                <w:color w:val="auto"/>
              </w:rPr>
            </w:pPr>
          </w:p>
        </w:tc>
        <w:tc>
          <w:tcPr>
            <w:tcW w:w="2800" w:type="dxa"/>
            <w:vAlign w:val="bottom"/>
            <w:tcBorders>
              <w:bottom w:val="single" w:sz="8" w:color="A5A5A5"/>
              <w:right w:val="single" w:sz="8" w:color="A5A5A5"/>
            </w:tcBorders>
            <w:vMerge w:val="continue"/>
          </w:tcPr>
          <w:p>
            <w:pPr>
              <w:spacing w:after="0"/>
              <w:rPr>
                <w:sz w:val="11"/>
                <w:szCs w:val="11"/>
                <w:color w:val="auto"/>
              </w:rPr>
            </w:pPr>
          </w:p>
        </w:tc>
        <w:tc>
          <w:tcPr>
            <w:tcW w:w="2820" w:type="dxa"/>
            <w:vAlign w:val="bottom"/>
            <w:tcBorders>
              <w:bottom w:val="single" w:sz="8" w:color="A5A5A5"/>
              <w:right w:val="single" w:sz="8" w:color="A5A5A5"/>
            </w:tcBorders>
            <w:vMerge w:val="continue"/>
          </w:tcPr>
          <w:p>
            <w:pPr>
              <w:spacing w:after="0"/>
              <w:rPr>
                <w:sz w:val="11"/>
                <w:szCs w:val="11"/>
                <w:color w:val="auto"/>
              </w:rPr>
            </w:pPr>
          </w:p>
        </w:tc>
        <w:tc>
          <w:tcPr>
            <w:tcW w:w="960" w:type="dxa"/>
            <w:vAlign w:val="bottom"/>
            <w:tcBorders>
              <w:bottom w:val="single" w:sz="8" w:color="A5A5A5"/>
              <w:right w:val="single" w:sz="8" w:color="A5A5A5"/>
            </w:tcBorders>
            <w:vMerge w:val="continue"/>
          </w:tcPr>
          <w:p>
            <w:pPr>
              <w:spacing w:after="0"/>
              <w:rPr>
                <w:sz w:val="11"/>
                <w:szCs w:val="11"/>
                <w:color w:val="auto"/>
              </w:rPr>
            </w:pPr>
          </w:p>
        </w:tc>
        <w:tc>
          <w:tcPr>
            <w:tcW w:w="980" w:type="dxa"/>
            <w:vAlign w:val="bottom"/>
            <w:tcBorders>
              <w:bottom w:val="single" w:sz="8" w:color="A5A5A5"/>
              <w:right w:val="single" w:sz="8" w:color="A5A5A5"/>
            </w:tcBorders>
            <w:vMerge w:val="continue"/>
          </w:tcPr>
          <w:p>
            <w:pPr>
              <w:spacing w:after="0"/>
              <w:rPr>
                <w:sz w:val="11"/>
                <w:szCs w:val="11"/>
                <w:color w:val="auto"/>
              </w:rPr>
            </w:pPr>
          </w:p>
        </w:tc>
        <w:tc>
          <w:tcPr>
            <w:tcW w:w="980" w:type="dxa"/>
            <w:vAlign w:val="bottom"/>
            <w:tcBorders>
              <w:bottom w:val="single" w:sz="8" w:color="A5A5A5"/>
              <w:right w:val="single" w:sz="8" w:color="A5A5A5"/>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999999"/>
              <w:right w:val="single" w:sz="8" w:color="A5A5A5"/>
            </w:tcBorders>
          </w:tcPr>
          <w:p>
            <w:pPr>
              <w:spacing w:after="0"/>
              <w:rPr>
                <w:sz w:val="16"/>
                <w:szCs w:val="16"/>
                <w:color w:val="auto"/>
              </w:rPr>
            </w:pP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960" w:type="dxa"/>
            <w:vAlign w:val="bottom"/>
            <w:tcBorders>
              <w:right w:val="single" w:sz="8" w:color="A5A5A5"/>
            </w:tcBorders>
          </w:tcPr>
          <w:p>
            <w:pPr>
              <w:spacing w:after="0"/>
              <w:rPr>
                <w:sz w:val="16"/>
                <w:szCs w:val="16"/>
                <w:color w:val="auto"/>
              </w:rPr>
            </w:pPr>
          </w:p>
        </w:tc>
        <w:tc>
          <w:tcPr>
            <w:tcW w:w="980" w:type="dxa"/>
            <w:vAlign w:val="bottom"/>
            <w:tcBorders>
              <w:right w:val="single" w:sz="8" w:color="A5A5A5"/>
            </w:tcBorders>
          </w:tcPr>
          <w:p>
            <w:pPr>
              <w:spacing w:after="0"/>
              <w:rPr>
                <w:sz w:val="16"/>
                <w:szCs w:val="16"/>
                <w:color w:val="auto"/>
              </w:rPr>
            </w:pPr>
          </w:p>
        </w:tc>
        <w:tc>
          <w:tcPr>
            <w:tcW w:w="98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Borders>
              <w:left w:val="single" w:sz="8" w:color="999999"/>
              <w:right w:val="single" w:sz="8" w:color="A5A5A5"/>
            </w:tcBorders>
          </w:tcPr>
          <w:p>
            <w:pPr>
              <w:spacing w:after="0"/>
              <w:rPr>
                <w:sz w:val="14"/>
                <w:szCs w:val="14"/>
                <w:color w:val="auto"/>
              </w:rPr>
            </w:pP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Interest rates</w:t>
            </w:r>
          </w:p>
        </w:tc>
        <w:tc>
          <w:tcPr>
            <w:tcW w:w="96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Borders>
              <w:left w:val="single" w:sz="8" w:color="999999"/>
              <w:right w:val="single" w:sz="8" w:color="A5A5A5"/>
            </w:tcBorders>
          </w:tcPr>
          <w:p>
            <w:pPr>
              <w:spacing w:after="0"/>
              <w:rPr>
                <w:sz w:val="14"/>
                <w:szCs w:val="14"/>
                <w:color w:val="auto"/>
              </w:rPr>
            </w:pP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96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$370</w:t>
            </w:r>
          </w:p>
        </w:tc>
        <w:tc>
          <w:tcPr>
            <w:tcW w:w="9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11%</w:t>
            </w:r>
          </w:p>
        </w:tc>
        <w:tc>
          <w:tcPr>
            <w:tcW w:w="9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2"/>
        </w:trPr>
        <w:tc>
          <w:tcPr>
            <w:tcW w:w="2300" w:type="dxa"/>
            <w:vAlign w:val="bottom"/>
            <w:tcBorders>
              <w:left w:val="single" w:sz="8" w:color="999999"/>
              <w:right w:val="single" w:sz="8" w:color="A5A5A5"/>
            </w:tcBorders>
          </w:tcPr>
          <w:p>
            <w:pPr>
              <w:spacing w:after="0"/>
              <w:rPr>
                <w:sz w:val="14"/>
                <w:szCs w:val="14"/>
                <w:color w:val="auto"/>
              </w:rPr>
            </w:pP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96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Borders>
              <w:left w:val="single" w:sz="8" w:color="999999"/>
              <w:right w:val="single" w:sz="8" w:color="A5A5A5"/>
            </w:tcBorders>
          </w:tcPr>
          <w:p>
            <w:pPr>
              <w:spacing w:after="0"/>
              <w:rPr>
                <w:sz w:val="15"/>
                <w:szCs w:val="15"/>
                <w:color w:val="auto"/>
              </w:rPr>
            </w:pPr>
          </w:p>
        </w:tc>
        <w:tc>
          <w:tcPr>
            <w:tcW w:w="2800" w:type="dxa"/>
            <w:vAlign w:val="bottom"/>
            <w:tcBorders>
              <w:bottom w:val="single" w:sz="8" w:color="A5A5A5"/>
              <w:right w:val="single" w:sz="8" w:color="A5A5A5"/>
            </w:tcBorders>
          </w:tcPr>
          <w:p>
            <w:pPr>
              <w:spacing w:after="0"/>
              <w:rPr>
                <w:sz w:val="15"/>
                <w:szCs w:val="15"/>
                <w:color w:val="auto"/>
              </w:rPr>
            </w:pPr>
          </w:p>
        </w:tc>
        <w:tc>
          <w:tcPr>
            <w:tcW w:w="2820" w:type="dxa"/>
            <w:vAlign w:val="bottom"/>
            <w:tcBorders>
              <w:bottom w:val="single" w:sz="8" w:color="A5A5A5"/>
              <w:right w:val="single" w:sz="8" w:color="A5A5A5"/>
            </w:tcBorders>
          </w:tcPr>
          <w:p>
            <w:pPr>
              <w:spacing w:after="0"/>
              <w:rPr>
                <w:sz w:val="15"/>
                <w:szCs w:val="15"/>
                <w:color w:val="auto"/>
              </w:rPr>
            </w:pPr>
          </w:p>
        </w:tc>
        <w:tc>
          <w:tcPr>
            <w:tcW w:w="960" w:type="dxa"/>
            <w:vAlign w:val="bottom"/>
            <w:tcBorders>
              <w:bottom w:val="single" w:sz="8" w:color="A5A5A5"/>
              <w:right w:val="single" w:sz="8" w:color="A5A5A5"/>
            </w:tcBorders>
          </w:tcPr>
          <w:p>
            <w:pPr>
              <w:spacing w:after="0"/>
              <w:rPr>
                <w:sz w:val="15"/>
                <w:szCs w:val="15"/>
                <w:color w:val="auto"/>
              </w:rPr>
            </w:pPr>
          </w:p>
        </w:tc>
        <w:tc>
          <w:tcPr>
            <w:tcW w:w="980" w:type="dxa"/>
            <w:vAlign w:val="bottom"/>
            <w:tcBorders>
              <w:bottom w:val="single" w:sz="8" w:color="A5A5A5"/>
              <w:right w:val="single" w:sz="8" w:color="A5A5A5"/>
            </w:tcBorders>
          </w:tcPr>
          <w:p>
            <w:pPr>
              <w:spacing w:after="0"/>
              <w:rPr>
                <w:sz w:val="15"/>
                <w:szCs w:val="15"/>
                <w:color w:val="auto"/>
              </w:rPr>
            </w:pPr>
          </w:p>
        </w:tc>
        <w:tc>
          <w:tcPr>
            <w:tcW w:w="9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960" w:type="dxa"/>
            <w:vAlign w:val="bottom"/>
            <w:tcBorders>
              <w:right w:val="single" w:sz="8" w:color="A5A5A5"/>
            </w:tcBorders>
          </w:tcPr>
          <w:p>
            <w:pPr>
              <w:spacing w:after="0"/>
              <w:rPr>
                <w:sz w:val="16"/>
                <w:szCs w:val="16"/>
                <w:color w:val="auto"/>
              </w:rPr>
            </w:pPr>
          </w:p>
        </w:tc>
        <w:tc>
          <w:tcPr>
            <w:tcW w:w="980" w:type="dxa"/>
            <w:vAlign w:val="bottom"/>
            <w:tcBorders>
              <w:right w:val="single" w:sz="8" w:color="A5A5A5"/>
            </w:tcBorders>
          </w:tcPr>
          <w:p>
            <w:pPr>
              <w:spacing w:after="0"/>
              <w:rPr>
                <w:sz w:val="16"/>
                <w:szCs w:val="16"/>
                <w:color w:val="auto"/>
              </w:rPr>
            </w:pPr>
          </w:p>
        </w:tc>
        <w:tc>
          <w:tcPr>
            <w:tcW w:w="98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99999"/>
              <w:right w:val="single" w:sz="8" w:color="A5A5A5"/>
            </w:tcBorders>
            <w:vMerge w:val="continue"/>
          </w:tcPr>
          <w:p>
            <w:pPr>
              <w:spacing w:after="0"/>
              <w:rPr>
                <w:sz w:val="7"/>
                <w:szCs w:val="7"/>
                <w:color w:val="auto"/>
              </w:rPr>
            </w:pPr>
          </w:p>
        </w:tc>
        <w:tc>
          <w:tcPr>
            <w:tcW w:w="28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Transactions</w:t>
            </w: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clients</w:t>
            </w:r>
          </w:p>
        </w:tc>
        <w:tc>
          <w:tcPr>
            <w:tcW w:w="960" w:type="dxa"/>
            <w:vAlign w:val="bottom"/>
            <w:tcBorders>
              <w:right w:val="single" w:sz="8" w:color="A5A5A5"/>
            </w:tcBorders>
          </w:tcPr>
          <w:p>
            <w:pPr>
              <w:spacing w:after="0"/>
              <w:rPr>
                <w:sz w:val="7"/>
                <w:szCs w:val="7"/>
                <w:color w:val="auto"/>
              </w:rPr>
            </w:pPr>
          </w:p>
        </w:tc>
        <w:tc>
          <w:tcPr>
            <w:tcW w:w="980" w:type="dxa"/>
            <w:vAlign w:val="bottom"/>
            <w:tcBorders>
              <w:right w:val="single" w:sz="8" w:color="A5A5A5"/>
            </w:tcBorders>
          </w:tcPr>
          <w:p>
            <w:pPr>
              <w:spacing w:after="0"/>
              <w:rPr>
                <w:sz w:val="7"/>
                <w:szCs w:val="7"/>
                <w:color w:val="auto"/>
              </w:rPr>
            </w:pPr>
          </w:p>
        </w:tc>
        <w:tc>
          <w:tcPr>
            <w:tcW w:w="9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retained by us</w:t>
            </w:r>
          </w:p>
        </w:tc>
        <w:tc>
          <w:tcPr>
            <w:tcW w:w="2800" w:type="dxa"/>
            <w:vAlign w:val="bottom"/>
            <w:tcBorders>
              <w:right w:val="single" w:sz="8" w:color="A5A5A5"/>
            </w:tcBorders>
            <w:vMerge w:val="continue"/>
          </w:tcPr>
          <w:p>
            <w:pPr>
              <w:spacing w:after="0"/>
              <w:rPr>
                <w:sz w:val="7"/>
                <w:szCs w:val="7"/>
                <w:color w:val="auto"/>
              </w:rPr>
            </w:pPr>
          </w:p>
        </w:tc>
        <w:tc>
          <w:tcPr>
            <w:tcW w:w="2820" w:type="dxa"/>
            <w:vAlign w:val="bottom"/>
            <w:tcBorders>
              <w:right w:val="single" w:sz="8" w:color="A5A5A5"/>
            </w:tcBorders>
            <w:vMerge w:val="continue"/>
          </w:tcPr>
          <w:p>
            <w:pPr>
              <w:spacing w:after="0"/>
              <w:rPr>
                <w:sz w:val="7"/>
                <w:szCs w:val="7"/>
                <w:color w:val="auto"/>
              </w:rPr>
            </w:pPr>
          </w:p>
        </w:tc>
        <w:tc>
          <w:tcPr>
            <w:tcW w:w="960" w:type="dxa"/>
            <w:vAlign w:val="bottom"/>
            <w:tcBorders>
              <w:right w:val="single" w:sz="8" w:color="A5A5A5"/>
            </w:tcBorders>
          </w:tcPr>
          <w:p>
            <w:pPr>
              <w:spacing w:after="0"/>
              <w:rPr>
                <w:sz w:val="7"/>
                <w:szCs w:val="7"/>
                <w:color w:val="auto"/>
              </w:rPr>
            </w:pPr>
          </w:p>
        </w:tc>
        <w:tc>
          <w:tcPr>
            <w:tcW w:w="980" w:type="dxa"/>
            <w:vAlign w:val="bottom"/>
            <w:tcBorders>
              <w:right w:val="single" w:sz="8" w:color="A5A5A5"/>
            </w:tcBorders>
          </w:tcPr>
          <w:p>
            <w:pPr>
              <w:spacing w:after="0"/>
              <w:rPr>
                <w:sz w:val="7"/>
                <w:szCs w:val="7"/>
                <w:color w:val="auto"/>
              </w:rPr>
            </w:pPr>
          </w:p>
        </w:tc>
        <w:tc>
          <w:tcPr>
            <w:tcW w:w="9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00" w:type="dxa"/>
            <w:vAlign w:val="bottom"/>
            <w:tcBorders>
              <w:left w:val="single" w:sz="8" w:color="999999"/>
              <w:right w:val="single" w:sz="8" w:color="A5A5A5"/>
            </w:tcBorders>
            <w:vMerge w:val="continue"/>
          </w:tcPr>
          <w:p>
            <w:pPr>
              <w:spacing w:after="0"/>
              <w:rPr>
                <w:sz w:val="7"/>
                <w:szCs w:val="7"/>
                <w:color w:val="auto"/>
              </w:rPr>
            </w:pPr>
          </w:p>
        </w:tc>
        <w:tc>
          <w:tcPr>
            <w:tcW w:w="28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advisors</w:t>
            </w:r>
          </w:p>
        </w:tc>
        <w:tc>
          <w:tcPr>
            <w:tcW w:w="96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$305</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w w:val="98"/>
              </w:rPr>
              <w:t>9%</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1"/>
        </w:trPr>
        <w:tc>
          <w:tcPr>
            <w:tcW w:w="2300" w:type="dxa"/>
            <w:vAlign w:val="bottom"/>
            <w:tcBorders>
              <w:left w:val="single" w:sz="8" w:color="999999"/>
              <w:right w:val="single" w:sz="8" w:color="A5A5A5"/>
            </w:tcBorders>
          </w:tcPr>
          <w:p>
            <w:pPr>
              <w:spacing w:after="0"/>
              <w:rPr>
                <w:sz w:val="6"/>
                <w:szCs w:val="6"/>
                <w:color w:val="auto"/>
              </w:rPr>
            </w:pPr>
          </w:p>
        </w:tc>
        <w:tc>
          <w:tcPr>
            <w:tcW w:w="2800" w:type="dxa"/>
            <w:vAlign w:val="bottom"/>
            <w:tcBorders>
              <w:right w:val="single" w:sz="8" w:color="A5A5A5"/>
            </w:tcBorders>
            <w:vMerge w:val="continue"/>
          </w:tcPr>
          <w:p>
            <w:pPr>
              <w:spacing w:after="0"/>
              <w:rPr>
                <w:sz w:val="6"/>
                <w:szCs w:val="6"/>
                <w:color w:val="auto"/>
              </w:rPr>
            </w:pPr>
          </w:p>
        </w:tc>
        <w:tc>
          <w:tcPr>
            <w:tcW w:w="2820" w:type="dxa"/>
            <w:vAlign w:val="bottom"/>
            <w:tcBorders>
              <w:right w:val="single" w:sz="8" w:color="A5A5A5"/>
            </w:tcBorders>
            <w:vMerge w:val="continue"/>
          </w:tcPr>
          <w:p>
            <w:pPr>
              <w:spacing w:after="0"/>
              <w:rPr>
                <w:sz w:val="6"/>
                <w:szCs w:val="6"/>
                <w:color w:val="auto"/>
              </w:rPr>
            </w:pPr>
          </w:p>
        </w:tc>
        <w:tc>
          <w:tcPr>
            <w:tcW w:w="960" w:type="dxa"/>
            <w:vAlign w:val="bottom"/>
            <w:tcBorders>
              <w:right w:val="single" w:sz="8" w:color="A5A5A5"/>
            </w:tcBorders>
            <w:vMerge w:val="continue"/>
          </w:tcPr>
          <w:p>
            <w:pPr>
              <w:spacing w:after="0"/>
              <w:rPr>
                <w:sz w:val="6"/>
                <w:szCs w:val="6"/>
                <w:color w:val="auto"/>
              </w:rPr>
            </w:pPr>
          </w:p>
        </w:tc>
        <w:tc>
          <w:tcPr>
            <w:tcW w:w="980" w:type="dxa"/>
            <w:vAlign w:val="bottom"/>
            <w:tcBorders>
              <w:right w:val="single" w:sz="8" w:color="A5A5A5"/>
            </w:tcBorders>
            <w:vMerge w:val="continue"/>
          </w:tcPr>
          <w:p>
            <w:pPr>
              <w:spacing w:after="0"/>
              <w:rPr>
                <w:sz w:val="6"/>
                <w:szCs w:val="6"/>
                <w:color w:val="auto"/>
              </w:rPr>
            </w:pPr>
          </w:p>
        </w:tc>
        <w:tc>
          <w:tcPr>
            <w:tcW w:w="980" w:type="dxa"/>
            <w:vAlign w:val="bottom"/>
            <w:tcBorders>
              <w:right w:val="single" w:sz="8" w:color="A5A5A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300" w:type="dxa"/>
            <w:vAlign w:val="bottom"/>
            <w:tcBorders>
              <w:left w:val="single" w:sz="8" w:color="999999"/>
              <w:right w:val="single" w:sz="8" w:color="A5A5A5"/>
            </w:tcBorders>
          </w:tcPr>
          <w:p>
            <w:pPr>
              <w:spacing w:after="0"/>
              <w:rPr>
                <w:sz w:val="7"/>
                <w:szCs w:val="7"/>
                <w:color w:val="auto"/>
              </w:rPr>
            </w:pPr>
          </w:p>
        </w:tc>
        <w:tc>
          <w:tcPr>
            <w:tcW w:w="28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 Seat and Technology</w:t>
            </w: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accounts</w:t>
            </w:r>
          </w:p>
        </w:tc>
        <w:tc>
          <w:tcPr>
            <w:tcW w:w="960" w:type="dxa"/>
            <w:vAlign w:val="bottom"/>
            <w:tcBorders>
              <w:right w:val="single" w:sz="8" w:color="A5A5A5"/>
            </w:tcBorders>
            <w:vMerge w:val="continue"/>
          </w:tcPr>
          <w:p>
            <w:pPr>
              <w:spacing w:after="0"/>
              <w:rPr>
                <w:sz w:val="7"/>
                <w:szCs w:val="7"/>
                <w:color w:val="auto"/>
              </w:rPr>
            </w:pPr>
          </w:p>
        </w:tc>
        <w:tc>
          <w:tcPr>
            <w:tcW w:w="980" w:type="dxa"/>
            <w:vAlign w:val="bottom"/>
            <w:tcBorders>
              <w:right w:val="single" w:sz="8" w:color="A5A5A5"/>
            </w:tcBorders>
            <w:vMerge w:val="continue"/>
          </w:tcPr>
          <w:p>
            <w:pPr>
              <w:spacing w:after="0"/>
              <w:rPr>
                <w:sz w:val="7"/>
                <w:szCs w:val="7"/>
                <w:color w:val="auto"/>
              </w:rPr>
            </w:pPr>
          </w:p>
        </w:tc>
        <w:tc>
          <w:tcPr>
            <w:tcW w:w="98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00" w:type="dxa"/>
            <w:vAlign w:val="bottom"/>
            <w:tcBorders>
              <w:left w:val="single" w:sz="8" w:color="999999"/>
              <w:right w:val="single" w:sz="8" w:color="A5A5A5"/>
            </w:tcBorders>
          </w:tcPr>
          <w:p>
            <w:pPr>
              <w:spacing w:after="0"/>
              <w:rPr>
                <w:sz w:val="6"/>
                <w:szCs w:val="6"/>
                <w:color w:val="auto"/>
              </w:rPr>
            </w:pPr>
          </w:p>
        </w:tc>
        <w:tc>
          <w:tcPr>
            <w:tcW w:w="2800" w:type="dxa"/>
            <w:vAlign w:val="bottom"/>
            <w:tcBorders>
              <w:right w:val="single" w:sz="8" w:color="A5A5A5"/>
            </w:tcBorders>
            <w:vMerge w:val="continue"/>
          </w:tcPr>
          <w:p>
            <w:pPr>
              <w:spacing w:after="0"/>
              <w:rPr>
                <w:sz w:val="6"/>
                <w:szCs w:val="6"/>
                <w:color w:val="auto"/>
              </w:rPr>
            </w:pPr>
          </w:p>
        </w:tc>
        <w:tc>
          <w:tcPr>
            <w:tcW w:w="2820" w:type="dxa"/>
            <w:vAlign w:val="bottom"/>
            <w:tcBorders>
              <w:right w:val="single" w:sz="8" w:color="A5A5A5"/>
            </w:tcBorders>
            <w:vMerge w:val="continue"/>
          </w:tcPr>
          <w:p>
            <w:pPr>
              <w:spacing w:after="0"/>
              <w:rPr>
                <w:sz w:val="6"/>
                <w:szCs w:val="6"/>
                <w:color w:val="auto"/>
              </w:rPr>
            </w:pPr>
          </w:p>
        </w:tc>
        <w:tc>
          <w:tcPr>
            <w:tcW w:w="960" w:type="dxa"/>
            <w:vAlign w:val="bottom"/>
            <w:tcBorders>
              <w:right w:val="single" w:sz="8" w:color="A5A5A5"/>
            </w:tcBorders>
          </w:tcPr>
          <w:p>
            <w:pPr>
              <w:spacing w:after="0"/>
              <w:rPr>
                <w:sz w:val="6"/>
                <w:szCs w:val="6"/>
                <w:color w:val="auto"/>
              </w:rPr>
            </w:pPr>
          </w:p>
        </w:tc>
        <w:tc>
          <w:tcPr>
            <w:tcW w:w="980" w:type="dxa"/>
            <w:vAlign w:val="bottom"/>
            <w:tcBorders>
              <w:right w:val="single" w:sz="8" w:color="A5A5A5"/>
            </w:tcBorders>
          </w:tcPr>
          <w:p>
            <w:pPr>
              <w:spacing w:after="0"/>
              <w:rPr>
                <w:sz w:val="6"/>
                <w:szCs w:val="6"/>
                <w:color w:val="auto"/>
              </w:rPr>
            </w:pPr>
          </w:p>
        </w:tc>
        <w:tc>
          <w:tcPr>
            <w:tcW w:w="98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00" w:type="dxa"/>
            <w:vAlign w:val="bottom"/>
            <w:tcBorders>
              <w:left w:val="single" w:sz="8" w:color="999999"/>
              <w:right w:val="single" w:sz="8" w:color="A5A5A5"/>
            </w:tcBorders>
          </w:tcPr>
          <w:p>
            <w:pPr>
              <w:spacing w:after="0"/>
              <w:rPr>
                <w:sz w:val="14"/>
                <w:szCs w:val="14"/>
                <w:color w:val="auto"/>
              </w:rPr>
            </w:pPr>
          </w:p>
        </w:tc>
        <w:tc>
          <w:tcPr>
            <w:tcW w:w="2800" w:type="dxa"/>
            <w:vAlign w:val="bottom"/>
            <w:tcBorders>
              <w:right w:val="single" w:sz="8" w:color="A5A5A5"/>
            </w:tcBorders>
          </w:tcPr>
          <w:p>
            <w:pPr>
              <w:spacing w:after="0"/>
              <w:rPr>
                <w:sz w:val="14"/>
                <w:szCs w:val="14"/>
                <w:color w:val="auto"/>
              </w:rPr>
            </w:pP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premium technology</w:t>
            </w:r>
          </w:p>
        </w:tc>
        <w:tc>
          <w:tcPr>
            <w:tcW w:w="96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9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Borders>
              <w:left w:val="single" w:sz="8" w:color="999999"/>
              <w:right w:val="single" w:sz="8" w:color="A5A5A5"/>
            </w:tcBorders>
          </w:tcPr>
          <w:p>
            <w:pPr>
              <w:spacing w:after="0"/>
              <w:rPr>
                <w:sz w:val="15"/>
                <w:szCs w:val="15"/>
                <w:color w:val="auto"/>
              </w:rPr>
            </w:pPr>
          </w:p>
        </w:tc>
        <w:tc>
          <w:tcPr>
            <w:tcW w:w="2800" w:type="dxa"/>
            <w:vAlign w:val="bottom"/>
            <w:tcBorders>
              <w:bottom w:val="single" w:sz="8" w:color="A5A5A5"/>
              <w:right w:val="single" w:sz="8" w:color="A5A5A5"/>
            </w:tcBorders>
          </w:tcPr>
          <w:p>
            <w:pPr>
              <w:spacing w:after="0"/>
              <w:rPr>
                <w:sz w:val="15"/>
                <w:szCs w:val="15"/>
                <w:color w:val="auto"/>
              </w:rPr>
            </w:pPr>
          </w:p>
        </w:tc>
        <w:tc>
          <w:tcPr>
            <w:tcW w:w="282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4"/>
                <w:szCs w:val="14"/>
                <w:color w:val="auto"/>
              </w:rPr>
              <w:t>subscribers</w:t>
            </w:r>
          </w:p>
        </w:tc>
        <w:tc>
          <w:tcPr>
            <w:tcW w:w="960" w:type="dxa"/>
            <w:vAlign w:val="bottom"/>
            <w:tcBorders>
              <w:bottom w:val="single" w:sz="8" w:color="A5A5A5"/>
              <w:right w:val="single" w:sz="8" w:color="A5A5A5"/>
            </w:tcBorders>
          </w:tcPr>
          <w:p>
            <w:pPr>
              <w:spacing w:after="0"/>
              <w:rPr>
                <w:sz w:val="15"/>
                <w:szCs w:val="15"/>
                <w:color w:val="auto"/>
              </w:rPr>
            </w:pPr>
          </w:p>
        </w:tc>
        <w:tc>
          <w:tcPr>
            <w:tcW w:w="980" w:type="dxa"/>
            <w:vAlign w:val="bottom"/>
            <w:tcBorders>
              <w:bottom w:val="single" w:sz="8" w:color="A5A5A5"/>
              <w:right w:val="single" w:sz="8" w:color="A5A5A5"/>
            </w:tcBorders>
          </w:tcPr>
          <w:p>
            <w:pPr>
              <w:spacing w:after="0"/>
              <w:rPr>
                <w:sz w:val="15"/>
                <w:szCs w:val="15"/>
                <w:color w:val="auto"/>
              </w:rPr>
            </w:pPr>
          </w:p>
        </w:tc>
        <w:tc>
          <w:tcPr>
            <w:tcW w:w="9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999999"/>
              <w:right w:val="single" w:sz="8" w:color="A5A5A5"/>
            </w:tcBorders>
          </w:tcPr>
          <w:p>
            <w:pPr>
              <w:spacing w:after="0"/>
              <w:rPr>
                <w:sz w:val="16"/>
                <w:szCs w:val="16"/>
                <w:color w:val="auto"/>
              </w:rPr>
            </w:pPr>
          </w:p>
        </w:tc>
        <w:tc>
          <w:tcPr>
            <w:tcW w:w="280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8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96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$39</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w w:val="98"/>
              </w:rPr>
              <w:t>1%</w:t>
            </w:r>
          </w:p>
        </w:tc>
        <w:tc>
          <w:tcPr>
            <w:tcW w:w="9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91"/>
        </w:trPr>
        <w:tc>
          <w:tcPr>
            <w:tcW w:w="2300" w:type="dxa"/>
            <w:vAlign w:val="bottom"/>
            <w:tcBorders>
              <w:left w:val="single" w:sz="8" w:color="999999"/>
              <w:right w:val="single" w:sz="8" w:color="A5A5A5"/>
            </w:tcBorders>
          </w:tcPr>
          <w:p>
            <w:pPr>
              <w:spacing w:after="0"/>
              <w:rPr>
                <w:sz w:val="7"/>
                <w:szCs w:val="7"/>
                <w:color w:val="auto"/>
              </w:rPr>
            </w:pPr>
          </w:p>
        </w:tc>
        <w:tc>
          <w:tcPr>
            <w:tcW w:w="2800" w:type="dxa"/>
            <w:vAlign w:val="bottom"/>
            <w:tcBorders>
              <w:right w:val="single" w:sz="8" w:color="A5A5A5"/>
            </w:tcBorders>
          </w:tcPr>
          <w:p>
            <w:pPr>
              <w:spacing w:after="0"/>
              <w:rPr>
                <w:sz w:val="7"/>
                <w:szCs w:val="7"/>
                <w:color w:val="auto"/>
              </w:rPr>
            </w:pPr>
          </w:p>
        </w:tc>
        <w:tc>
          <w:tcPr>
            <w:tcW w:w="28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 transactions</w:t>
            </w:r>
          </w:p>
        </w:tc>
        <w:tc>
          <w:tcPr>
            <w:tcW w:w="960" w:type="dxa"/>
            <w:vAlign w:val="bottom"/>
            <w:tcBorders>
              <w:right w:val="single" w:sz="8" w:color="A5A5A5"/>
            </w:tcBorders>
            <w:vMerge w:val="continue"/>
          </w:tcPr>
          <w:p>
            <w:pPr>
              <w:spacing w:after="0"/>
              <w:rPr>
                <w:sz w:val="7"/>
                <w:szCs w:val="7"/>
                <w:color w:val="auto"/>
              </w:rPr>
            </w:pPr>
          </w:p>
        </w:tc>
        <w:tc>
          <w:tcPr>
            <w:tcW w:w="980" w:type="dxa"/>
            <w:vAlign w:val="bottom"/>
            <w:tcBorders>
              <w:right w:val="single" w:sz="8" w:color="A5A5A5"/>
            </w:tcBorders>
            <w:vMerge w:val="continue"/>
          </w:tcPr>
          <w:p>
            <w:pPr>
              <w:spacing w:after="0"/>
              <w:rPr>
                <w:sz w:val="7"/>
                <w:szCs w:val="7"/>
                <w:color w:val="auto"/>
              </w:rPr>
            </w:pPr>
          </w:p>
        </w:tc>
        <w:tc>
          <w:tcPr>
            <w:tcW w:w="98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tcBorders>
              <w:left w:val="single" w:sz="8" w:color="999999"/>
              <w:bottom w:val="single" w:sz="8" w:color="999999"/>
              <w:right w:val="single" w:sz="8" w:color="A5A5A5"/>
            </w:tcBorders>
          </w:tcPr>
          <w:p>
            <w:pPr>
              <w:spacing w:after="0"/>
              <w:rPr>
                <w:sz w:val="7"/>
                <w:szCs w:val="7"/>
                <w:color w:val="auto"/>
              </w:rPr>
            </w:pPr>
          </w:p>
        </w:tc>
        <w:tc>
          <w:tcPr>
            <w:tcW w:w="2800" w:type="dxa"/>
            <w:vAlign w:val="bottom"/>
            <w:tcBorders>
              <w:bottom w:val="single" w:sz="8" w:color="A5A5A5"/>
              <w:right w:val="single" w:sz="8" w:color="A5A5A5"/>
            </w:tcBorders>
          </w:tcPr>
          <w:p>
            <w:pPr>
              <w:spacing w:after="0"/>
              <w:rPr>
                <w:sz w:val="7"/>
                <w:szCs w:val="7"/>
                <w:color w:val="auto"/>
              </w:rPr>
            </w:pPr>
          </w:p>
        </w:tc>
        <w:tc>
          <w:tcPr>
            <w:tcW w:w="2820" w:type="dxa"/>
            <w:vAlign w:val="bottom"/>
            <w:tcBorders>
              <w:bottom w:val="single" w:sz="8" w:color="A5A5A5"/>
              <w:right w:val="single" w:sz="8" w:color="A5A5A5"/>
            </w:tcBorders>
            <w:vMerge w:val="continue"/>
          </w:tcPr>
          <w:p>
            <w:pPr>
              <w:spacing w:after="0"/>
              <w:rPr>
                <w:sz w:val="7"/>
                <w:szCs w:val="7"/>
                <w:color w:val="auto"/>
              </w:rPr>
            </w:pPr>
          </w:p>
        </w:tc>
        <w:tc>
          <w:tcPr>
            <w:tcW w:w="960" w:type="dxa"/>
            <w:vAlign w:val="bottom"/>
            <w:tcBorders>
              <w:bottom w:val="single" w:sz="8" w:color="A5A5A5"/>
              <w:right w:val="single" w:sz="8" w:color="A5A5A5"/>
            </w:tcBorders>
          </w:tcPr>
          <w:p>
            <w:pPr>
              <w:spacing w:after="0"/>
              <w:rPr>
                <w:sz w:val="7"/>
                <w:szCs w:val="7"/>
                <w:color w:val="auto"/>
              </w:rPr>
            </w:pPr>
          </w:p>
        </w:tc>
        <w:tc>
          <w:tcPr>
            <w:tcW w:w="980" w:type="dxa"/>
            <w:vAlign w:val="bottom"/>
            <w:tcBorders>
              <w:bottom w:val="single" w:sz="8" w:color="A5A5A5"/>
              <w:right w:val="single" w:sz="8" w:color="A5A5A5"/>
            </w:tcBorders>
          </w:tcPr>
          <w:p>
            <w:pPr>
              <w:spacing w:after="0"/>
              <w:rPr>
                <w:sz w:val="7"/>
                <w:szCs w:val="7"/>
                <w:color w:val="auto"/>
              </w:rPr>
            </w:pPr>
          </w:p>
        </w:tc>
        <w:tc>
          <w:tcPr>
            <w:tcW w:w="98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300" w:type="dxa"/>
            <w:vAlign w:val="bottom"/>
            <w:tcBorders>
              <w:right w:val="single" w:sz="8" w:color="A5A5A5"/>
            </w:tcBorders>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820" w:type="dxa"/>
            <w:vAlign w:val="bottom"/>
            <w:tcBorders>
              <w:right w:val="single" w:sz="8" w:color="A5A5A5"/>
            </w:tcBorders>
          </w:tcPr>
          <w:p>
            <w:pPr>
              <w:spacing w:after="0"/>
              <w:rPr>
                <w:sz w:val="20"/>
                <w:szCs w:val="20"/>
                <w:color w:val="auto"/>
              </w:rPr>
            </w:pPr>
          </w:p>
        </w:tc>
        <w:tc>
          <w:tcPr>
            <w:tcW w:w="96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$3,255</w:t>
            </w:r>
          </w:p>
        </w:tc>
        <w:tc>
          <w:tcPr>
            <w:tcW w:w="9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300" w:type="dxa"/>
            <w:vAlign w:val="bottom"/>
            <w:tcBorders>
              <w:right w:val="single" w:sz="8" w:color="A5A5A5"/>
            </w:tcBorders>
          </w:tcPr>
          <w:p>
            <w:pPr>
              <w:spacing w:after="0"/>
              <w:rPr>
                <w:sz w:val="3"/>
                <w:szCs w:val="3"/>
                <w:color w:val="auto"/>
              </w:rPr>
            </w:pPr>
          </w:p>
        </w:tc>
        <w:tc>
          <w:tcPr>
            <w:tcW w:w="2800" w:type="dxa"/>
            <w:vAlign w:val="bottom"/>
            <w:tcBorders>
              <w:bottom w:val="single" w:sz="8" w:color="A5A5A5"/>
            </w:tcBorders>
          </w:tcPr>
          <w:p>
            <w:pPr>
              <w:spacing w:after="0"/>
              <w:rPr>
                <w:sz w:val="3"/>
                <w:szCs w:val="3"/>
                <w:color w:val="auto"/>
              </w:rPr>
            </w:pPr>
          </w:p>
        </w:tc>
        <w:tc>
          <w:tcPr>
            <w:tcW w:w="2820" w:type="dxa"/>
            <w:vAlign w:val="bottom"/>
            <w:tcBorders>
              <w:bottom w:val="single" w:sz="8" w:color="A5A5A5"/>
              <w:right w:val="single" w:sz="8" w:color="A5A5A5"/>
            </w:tcBorders>
          </w:tcPr>
          <w:p>
            <w:pPr>
              <w:spacing w:after="0"/>
              <w:rPr>
                <w:sz w:val="3"/>
                <w:szCs w:val="3"/>
                <w:color w:val="auto"/>
              </w:rPr>
            </w:pPr>
          </w:p>
        </w:tc>
        <w:tc>
          <w:tcPr>
            <w:tcW w:w="960" w:type="dxa"/>
            <w:vAlign w:val="bottom"/>
            <w:tcBorders>
              <w:bottom w:val="single" w:sz="8" w:color="A5A5A5"/>
              <w:right w:val="single" w:sz="8" w:color="A5A5A5"/>
            </w:tcBorders>
          </w:tcPr>
          <w:p>
            <w:pPr>
              <w:spacing w:after="0"/>
              <w:rPr>
                <w:sz w:val="3"/>
                <w:szCs w:val="3"/>
                <w:color w:val="auto"/>
              </w:rPr>
            </w:pPr>
          </w:p>
        </w:tc>
        <w:tc>
          <w:tcPr>
            <w:tcW w:w="980" w:type="dxa"/>
            <w:vAlign w:val="bottom"/>
            <w:tcBorders>
              <w:bottom w:val="single" w:sz="8" w:color="A5A5A5"/>
              <w:right w:val="single" w:sz="8" w:color="A5A5A5"/>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tcBorders>
              <w:right w:val="single" w:sz="8" w:color="A5A5A5"/>
            </w:tcBorders>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820" w:type="dxa"/>
            <w:vAlign w:val="bottom"/>
            <w:tcBorders>
              <w:right w:val="single" w:sz="8" w:color="A5A5A5"/>
            </w:tcBorders>
          </w:tcPr>
          <w:p>
            <w:pPr>
              <w:spacing w:after="0"/>
              <w:rPr>
                <w:sz w:val="19"/>
                <w:szCs w:val="19"/>
                <w:color w:val="auto"/>
              </w:rPr>
            </w:pPr>
          </w:p>
        </w:tc>
        <w:tc>
          <w:tcPr>
            <w:tcW w:w="96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$2,313</w:t>
            </w:r>
          </w:p>
        </w:tc>
        <w:tc>
          <w:tcPr>
            <w:tcW w:w="9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71%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00" w:type="dxa"/>
            <w:vAlign w:val="bottom"/>
            <w:tcBorders>
              <w:right w:val="single" w:sz="8" w:color="A5A5A5"/>
            </w:tcBorders>
          </w:tcPr>
          <w:p>
            <w:pPr>
              <w:spacing w:after="0"/>
              <w:rPr>
                <w:sz w:val="3"/>
                <w:szCs w:val="3"/>
                <w:color w:val="auto"/>
              </w:rPr>
            </w:pPr>
          </w:p>
        </w:tc>
        <w:tc>
          <w:tcPr>
            <w:tcW w:w="2800" w:type="dxa"/>
            <w:vAlign w:val="bottom"/>
            <w:tcBorders>
              <w:bottom w:val="single" w:sz="8" w:color="A5A5A5"/>
            </w:tcBorders>
          </w:tcPr>
          <w:p>
            <w:pPr>
              <w:spacing w:after="0"/>
              <w:rPr>
                <w:sz w:val="3"/>
                <w:szCs w:val="3"/>
                <w:color w:val="auto"/>
              </w:rPr>
            </w:pPr>
          </w:p>
        </w:tc>
        <w:tc>
          <w:tcPr>
            <w:tcW w:w="2820" w:type="dxa"/>
            <w:vAlign w:val="bottom"/>
            <w:tcBorders>
              <w:bottom w:val="single" w:sz="8" w:color="A5A5A5"/>
              <w:right w:val="single" w:sz="8" w:color="A5A5A5"/>
            </w:tcBorders>
          </w:tcPr>
          <w:p>
            <w:pPr>
              <w:spacing w:after="0"/>
              <w:rPr>
                <w:sz w:val="3"/>
                <w:szCs w:val="3"/>
                <w:color w:val="auto"/>
              </w:rPr>
            </w:pPr>
          </w:p>
        </w:tc>
        <w:tc>
          <w:tcPr>
            <w:tcW w:w="960" w:type="dxa"/>
            <w:vAlign w:val="bottom"/>
            <w:tcBorders>
              <w:bottom w:val="single" w:sz="8" w:color="A5A5A5"/>
              <w:right w:val="single" w:sz="8" w:color="A5A5A5"/>
            </w:tcBorders>
          </w:tcPr>
          <w:p>
            <w:pPr>
              <w:spacing w:after="0"/>
              <w:rPr>
                <w:sz w:val="3"/>
                <w:szCs w:val="3"/>
                <w:color w:val="auto"/>
              </w:rPr>
            </w:pPr>
          </w:p>
        </w:tc>
        <w:tc>
          <w:tcPr>
            <w:tcW w:w="980" w:type="dxa"/>
            <w:vAlign w:val="bottom"/>
            <w:tcBorders>
              <w:bottom w:val="single" w:sz="8" w:color="A5A5A5"/>
              <w:right w:val="single" w:sz="8" w:color="A5A5A5"/>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-368300</wp:posOffset>
            </wp:positionV>
            <wp:extent cx="62611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188595"/>
                    </a:xfrm>
                    <a:prstGeom prst="rect">
                      <a:avLst/>
                    </a:prstGeom>
                    <a:noFill/>
                  </pic:spPr>
                </pic:pic>
              </a:graphicData>
            </a:graphic>
          </wp:anchor>
        </w:drawing>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9"/>
                <w:szCs w:val="19"/>
                <w:color w:val="auto"/>
              </w:rPr>
            </w:pPr>
          </w:p>
        </w:tc>
      </w:tr>
      <w:tr>
        <w:trPr>
          <w:trHeight w:val="264"/>
        </w:trPr>
        <w:tc>
          <w:tcPr>
            <w:tcW w:w="70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14,073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13,910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billions)(2)</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461.8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464.8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63"/>
        </w:trPr>
        <w:tc>
          <w:tcPr>
            <w:tcW w:w="70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77"/>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billions)(2)</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51"/>
        </w:trPr>
        <w:tc>
          <w:tcPr>
            <w:tcW w:w="70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billions)(2)</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15.5 %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3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60"/>
        </w:trPr>
        <w:tc>
          <w:tcPr>
            <w:tcW w:w="536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(decrease) increase from prior period</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72.4 %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71.1 %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129.5</w:t>
            </w: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1.26</w:t>
            </w:r>
          </w:p>
        </w:tc>
      </w:tr>
      <w:tr>
        <w:trPr>
          <w:trHeight w:val="280"/>
        </w:trPr>
        <w:tc>
          <w:tcPr>
            <w:tcW w:w="5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Gross profit (in millions)(5)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339.8</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1,035.3</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990.6</w:t>
            </w: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growth from prior period</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Gross profit as a % of net revenue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(in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378.6</w:t>
            </w: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Adjusted EBITDA as a % of net revenue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gross profit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60"/>
        </w:trPr>
        <w:tc>
          <w:tcPr>
            <w:tcW w:w="5360" w:type="dxa"/>
            <w:vAlign w:val="bottom"/>
          </w:tcPr>
          <w:p>
            <w:pPr>
              <w:ind w:left="200"/>
              <w:spacing w:after="0"/>
              <w:rPr>
                <w:sz w:val="20"/>
                <w:szCs w:val="20"/>
                <w:color w:val="auto"/>
              </w:rPr>
            </w:pPr>
            <w:r>
              <w:rPr>
                <w:rFonts w:ascii="Arial" w:cs="Arial" w:eastAsia="Arial" w:hAnsi="Arial"/>
                <w:sz w:val="16"/>
                <w:szCs w:val="16"/>
                <w:color w:val="auto"/>
              </w:rPr>
              <w:t>Adjusted Earnings (in millions)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181.6</w:t>
            </w:r>
          </w:p>
        </w:tc>
      </w:tr>
      <w:tr>
        <w:trPr>
          <w:trHeight w:val="280"/>
        </w:trPr>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per share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w:t>
            </w:r>
          </w:p>
        </w:tc>
      </w:tr>
    </w:tbl>
    <w:p>
      <w:pPr>
        <w:spacing w:after="0"/>
        <w:rPr>
          <w:sz w:val="20"/>
          <w:szCs w:val="20"/>
          <w:color w:val="auto"/>
        </w:rPr>
      </w:pPr>
      <w:r>
        <w:rPr>
          <w:rFonts w:ascii="Arial" w:cs="Arial" w:eastAsia="Arial" w:hAnsi="Arial"/>
          <w:sz w:val="7"/>
          <w:szCs w:val="7"/>
          <w:color w:val="auto"/>
        </w:rPr>
        <w:t>________________________________</w:t>
      </w:r>
    </w:p>
    <w:p>
      <w:pPr>
        <w:ind w:left="660" w:right="48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our broker-dealer subsidiary.</w:t>
      </w:r>
    </w:p>
    <w:p>
      <w:pPr>
        <w:spacing w:after="0" w:line="88"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Insured cash account and money market account balances are also included in advisory and brokerage assets. Set forth below are other client assets at September 30, 2015 and 2014, including retirement plan assets and certain trust and high-net-worth assets, that are custodied with third-party providers and therefore excluded from advisory and brokerage assets (in billions):</w:t>
      </w:r>
    </w:p>
    <w:p>
      <w:pPr>
        <w:spacing w:after="0" w:line="269"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20" w:hanging="324"/>
        <w:spacing w:after="0" w:line="25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September 30, 2015 and 2014, our retirement plan assets represent assets that are custodied with various third-party providers of retirement plan administrative services who provide reporting feeds. We estimate the total assets in retirement plans supported to be between $115.0 billion and $125.0 billion at September 30, 2015 and between $110.0 billion and $120.0 billion at September 30, 2014. If we receive reporting feeds in the future from providers for whom we do not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27" w:name="page28"/>
    <w:bookmarkEnd w:id="27"/>
    <w:p>
      <w:pPr>
        <w:ind w:left="980" w:right="760"/>
        <w:spacing w:after="0" w:line="309" w:lineRule="auto"/>
        <w:rPr>
          <w:sz w:val="20"/>
          <w:szCs w:val="20"/>
          <w:color w:val="auto"/>
        </w:rPr>
      </w:pPr>
      <w:r>
        <w:rPr>
          <w:rFonts w:ascii="Arial" w:cs="Arial" w:eastAsia="Arial" w:hAnsi="Arial"/>
          <w:sz w:val="18"/>
          <w:szCs w:val="18"/>
          <w:color w:val="auto"/>
        </w:rPr>
        <w:t>currently receive feeds, we intend to include and identify such additional assets in this metric. Such additional feeds since September 30, 2014, accounted for $3.6 billion of the $4.6 billion increase in retirement plan assets.</w:t>
      </w:r>
    </w:p>
    <w:p>
      <w:pPr>
        <w:spacing w:after="0" w:line="169" w:lineRule="exact"/>
        <w:rPr>
          <w:sz w:val="20"/>
          <w:szCs w:val="20"/>
          <w:color w:val="auto"/>
        </w:rPr>
      </w:pPr>
    </w:p>
    <w:p>
      <w:pPr>
        <w:ind w:left="660" w:right="140" w:hanging="328"/>
        <w:spacing w:after="0" w:line="29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174"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net new advisory assets for the nine months ended September 30, 2015 and 2014 consisting of funds from new accounts and additional funds deposited into existing advisory accounts that are custodied in our fee-based advisory platforms.</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Because our gross profit amounts do not include any depreciation and amortization expense, we consider our gross profit amounts to be non-GAAP measures that may not be comparable to those of others in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financial results under GAAP, provides useful information to investors regarding our performance and overall results of operations for the following reasons:</w:t>
      </w:r>
    </w:p>
    <w:p>
      <w:pPr>
        <w:spacing w:after="0" w:line="196" w:lineRule="exact"/>
        <w:rPr>
          <w:sz w:val="20"/>
          <w:szCs w:val="20"/>
          <w:color w:val="auto"/>
        </w:rPr>
      </w:pPr>
    </w:p>
    <w:p>
      <w:pPr>
        <w:ind w:left="520" w:right="80" w:hanging="120"/>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jc w:val="both"/>
        <w:ind w:left="520" w:right="40" w:hanging="120"/>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communications with our Board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02"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00" w:hanging="120"/>
        <w:spacing w:after="0" w:line="262"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376" w:lineRule="exact"/>
        <w:rPr>
          <w:sz w:val="20"/>
          <w:szCs w:val="20"/>
          <w:color w:val="auto"/>
        </w:rPr>
      </w:pPr>
    </w:p>
    <w:p>
      <w:pPr>
        <w:ind w:left="520" w:right="300" w:hanging="120"/>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ectPr>
          <w:pgSz w:w="11900" w:h="16838" w:orient="portrait"/>
          <w:cols w:equalWidth="0" w:num="1">
            <w:col w:w="11380"/>
          </w:cols>
          <w:pgMar w:left="240" w:top="166" w:right="279" w:bottom="1440" w:gutter="0" w:footer="0" w:header="0"/>
        </w:sectPr>
      </w:pPr>
    </w:p>
    <w:bookmarkStart w:id="28" w:name="page29"/>
    <w:bookmarkEnd w:id="28"/>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13,493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12,897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40,671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38,651</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95,480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84,663</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9,534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28,707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29,046</w:t>
            </w: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50,856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41,572</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108,945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92,869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357,686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323,430</w:t>
            </w:r>
          </w:p>
        </w:tc>
      </w:tr>
      <w:tr>
        <w:trPr>
          <w:trHeight w:val="27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16,087</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26,606</w:t>
            </w:r>
          </w:p>
        </w:tc>
      </w:tr>
      <w:tr>
        <w:trPr>
          <w:trHeight w:val="27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Other(4)</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11,667</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16,009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31,160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55,124</w:t>
            </w:r>
          </w:p>
        </w:tc>
      </w:tr>
      <w:tr>
        <w:trPr>
          <w:trHeight w:val="240"/>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118,352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108,878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388,846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w:t>
      </w:r>
    </w:p>
    <w:p>
      <w:pPr>
        <w:spacing w:after="0" w:line="88"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 initiative. Results for the three and nine months ended September 30, 2015 also include charges related to the restructuring of the business of our subsidiary, Fortigent Holdings Company, Inc. (together with its subsidiaries, "Fortigent").</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for the three and nine months ended September 30, 2014 include approximately $0.6 million and $9.8 million, respectively, in parallel rent, property tax, fixed asset disposals, and common area maintenance expenses incurred in connection with our relocation to our San Diego office building.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jc w:val="both"/>
        <w:ind w:right="560" w:firstLine="486"/>
        <w:spacing w:after="0" w:line="256"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financial results under GAAP, provide useful information to investors regarding our performance and overall results of operations for the following reasons: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376" w:lineRule="exact"/>
        <w:rPr>
          <w:sz w:val="20"/>
          <w:szCs w:val="20"/>
          <w:color w:val="auto"/>
        </w:rPr>
      </w:pPr>
    </w:p>
    <w:p>
      <w:pPr>
        <w:ind w:left="520" w:right="12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22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80" w:hanging="120"/>
        <w:spacing w:after="0" w:line="25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ectPr>
          <w:pgSz w:w="11900" w:h="16838" w:orient="portrait"/>
          <w:cols w:equalWidth="0" w:num="1">
            <w:col w:w="11420"/>
          </w:cols>
          <w:pgMar w:left="240" w:top="247" w:right="239" w:bottom="686" w:gutter="0" w:footer="0" w:header="0"/>
        </w:sectPr>
      </w:pPr>
    </w:p>
    <w:bookmarkStart w:id="29" w:name="page30"/>
    <w:bookmarkEnd w:id="29"/>
    <w:p>
      <w:pPr>
        <w:ind w:right="6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20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8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4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and nine months ended September 30, 2015 and 2014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After-Tax:</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10,778</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16,336</w:t>
            </w:r>
          </w:p>
        </w:tc>
      </w:tr>
      <w:tr>
        <w:trPr>
          <w:trHeight w:val="27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7,164</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34,245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17,626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17,834</w:t>
            </w:r>
          </w:p>
        </w:tc>
      </w:tr>
      <w:tr>
        <w:trPr>
          <w:trHeight w:val="28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52,772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48,773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179,190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181,577</w:t>
            </w:r>
          </w:p>
        </w:tc>
      </w:tr>
      <w:tr>
        <w:trPr>
          <w:trHeight w:val="224"/>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3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wp:posOffset>
            </wp:positionV>
            <wp:extent cx="368744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322" w:lineRule="exact"/>
        <w:rPr>
          <w:sz w:val="20"/>
          <w:szCs w:val="20"/>
          <w:color w:val="auto"/>
        </w:rPr>
      </w:pPr>
    </w:p>
    <w:p>
      <w:pPr>
        <w:ind w:left="660" w:right="38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 net of the federal tax benefit, for the periods ended September 30, 2015 and 2014, respectively, except for the impact of incentive stock options granted to employees that qualify for preferential tax treatment and conversely for which we do not receive a tax deduction.</w:t>
      </w:r>
    </w:p>
    <w:p>
      <w:pPr>
        <w:spacing w:after="0" w:line="96"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ectPr>
          <w:pgSz w:w="11900" w:h="16838" w:orient="portrait"/>
          <w:cols w:equalWidth="0" w:num="1">
            <w:col w:w="11420"/>
          </w:cols>
          <w:pgMar w:left="240" w:top="247" w:right="239" w:bottom="1440" w:gutter="0" w:footer="0" w:header="0"/>
        </w:sectPr>
      </w:pPr>
    </w:p>
    <w:bookmarkStart w:id="30" w:name="page31"/>
    <w:bookmarkEnd w:id="30"/>
    <w:tbl>
      <w:tblPr>
        <w:tblLayout w:type="fixed"/>
        <w:tblInd w:w="66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2840" w:type="dxa"/>
            <w:vAlign w:val="bottom"/>
            <w:gridSpan w:val="7"/>
          </w:tcPr>
          <w:p>
            <w:pPr>
              <w:ind w:left="140"/>
              <w:spacing w:after="0"/>
              <w:rPr>
                <w:sz w:val="20"/>
                <w:szCs w:val="20"/>
                <w:color w:val="auto"/>
              </w:rPr>
            </w:pPr>
            <w:r>
              <w:rPr>
                <w:rFonts w:ascii="Arial" w:cs="Arial" w:eastAsia="Arial" w:hAnsi="Arial"/>
                <w:sz w:val="16"/>
                <w:szCs w:val="16"/>
                <w:b w:val="1"/>
                <w:bCs w:val="1"/>
                <w:color w:val="auto"/>
              </w:rPr>
              <w:t>Three Months Ended September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4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4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7"/>
        </w:trPr>
        <w:tc>
          <w:tcPr>
            <w:tcW w:w="4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After-Tax:</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EBITDA Adjustments per share</w:t>
            </w: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r>
      <w:tr>
        <w:trPr>
          <w:trHeight w:val="264"/>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Amortization of intangible assets per share</w:t>
            </w:r>
          </w:p>
        </w:tc>
        <w:tc>
          <w:tcPr>
            <w:tcW w:w="8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r>
      <w:tr>
        <w:trPr>
          <w:trHeight w:val="24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Earnings per share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ongoing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Our ability to estimate such costs may vary based on the current stage of evaluation and status of discussion with regulators, as applicable.</w:t>
      </w:r>
    </w:p>
    <w:p>
      <w:pPr>
        <w:spacing w:after="0" w:line="21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accruals at September 30, 2015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 September 30, 2015 includes an estimate for the loss we expect to incur in resolving this matter including if we were to repurchase certain affected securities at their original sales prices.</w:t>
      </w:r>
    </w:p>
    <w:p>
      <w:pPr>
        <w:spacing w:after="0" w:line="206"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which could have a material adverse effect on our business, results of operations, cash flows, or financial condition. For more information on management’s loss contingency policies,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the unaudited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 Value Commitment Initiative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43"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Service Value Commitment initiative (the “Program”) is a multi-year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to reposition our labor force and invest in technology, human capital, marketing, and other key areas to enable future growth.</w:t>
      </w:r>
    </w:p>
    <w:p>
      <w:pPr>
        <w:spacing w:after="0" w:line="204"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 xml:space="preserve">As of September 30, 2015, we have incurred $65.0 million of costs related to outsourcing and other related costs, technology transformation costs, employee severance obligations, and other related costs, as well as non-cash charges for impairment of certain fixed assets related to internally developed software. The Program is expected to be completed in 2015, and we estimate total charges to be approximately $68.0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the unaudited condensed consolidated financial statements for additional information regarding the Program.</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conjunction with the Program,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78" w:lineRule="exact"/>
        <w:rPr>
          <w:sz w:val="20"/>
          <w:szCs w:val="20"/>
          <w:color w:val="auto"/>
        </w:rPr>
      </w:pPr>
    </w:p>
    <w:p>
      <w:pPr>
        <w:ind w:right="780" w:firstLine="486"/>
        <w:spacing w:after="0" w:line="28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the unaudited condensed consolidated financial statements for additional information regarding our derivative financial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nine months ended September 30, 2015. See our 2014 Annual Report on Form 10-K for 2014 activity.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30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financial markets, particularly in the United States. In the U.S., economic growth has remained steady despite headwinds from slowing growth in manufacturing, largely attributable to decreasing capital expenditures on energy projects; a strong dollar, which has weighed on exports; and concern in international markets, especially heavy commodity exporters and China. On the positive side, the job market has continued to heal, which has supported consumer spending; services sector growth remained strong; and housing markets have shown signs of strength. According to the most recent estimates by the Bureau of Economic Analysis, real gross domestic product ("GDP") in the U.S. grew at an annual rate of 3.9% in the second quarter of 2015, following 0.6% growth in the first quarter slowed by unusually harsh winter weather and West Coast port strikes. Based on preliminary third quarter data reviewed, the economy continued to expand at a moderate pace in the third quarter.</w:t>
      </w:r>
    </w:p>
    <w:p>
      <w:pPr>
        <w:spacing w:after="0" w:line="206"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While U.S. growth has been steady, concerns about international growth and low commodity prices, as well as uncertainty about the timetable for Federal Reserve interest rate hikes, have caused increased uncertainty in some financial markets. The S&amp;P 500 failed to produce a positive quarter for the first time since 2011, posting a negative total return of 6.4%. The quarter began on a positive note as second quarter earnings showed profit growth in the non-energy sectors of the economy, particularly financials and retail. However, August proved to be a particularly volatile month as investor sentiment turned more negative on concerns over a weakening Chinese economy and declining commodity prices. Weakness in stocks pushed benchmark Treasury rates lower during the quarter and flattened the yield curve, supporting performance by longer-duration quality bonds. More economically sensitive sectors, such as high-yield, were hurt by global growth concerns and underperformed the broad fixed income market. Despite quality bonds benefiting from increased investor risk aversion during the quarter, low rates and the prospect of future Federal Reserve interest rate hikes have continued to have an impact on demand for fixed and variable annuity products.</w:t>
      </w:r>
    </w:p>
    <w:p>
      <w:pPr>
        <w:spacing w:after="0" w:line="104" w:lineRule="exact"/>
        <w:rPr>
          <w:sz w:val="20"/>
          <w:szCs w:val="20"/>
          <w:color w:val="auto"/>
        </w:rPr>
      </w:pPr>
    </w:p>
    <w:p>
      <w:pPr>
        <w:ind w:right="120" w:firstLine="486"/>
        <w:spacing w:after="0" w:line="274" w:lineRule="auto"/>
        <w:rPr>
          <w:sz w:val="20"/>
          <w:szCs w:val="20"/>
          <w:color w:val="auto"/>
        </w:rPr>
      </w:pPr>
      <w:r>
        <w:rPr>
          <w:rFonts w:ascii="Arial" w:cs="Arial" w:eastAsia="Arial" w:hAnsi="Arial"/>
          <w:sz w:val="17"/>
          <w:szCs w:val="17"/>
          <w:color w:val="auto"/>
        </w:rPr>
        <w:t>Our business is also sensitive to current and expected short-term interest rates, which are largely driven by Federal Reserve policy. Low short-term rates can weigh on the profitability of our cash sweep program, due to the fee compression needed to keep our rates competitive. Expectations of the timing of the Federal Reserve’s first rate hike of the current cycle were pushed back by weaker than expected jobs growth in September, still low inflation pressured by commodity prices and dollar strength, and the most recent policy guidance from the Federal</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2" w:name="page33"/>
    <w:bookmarkEnd w:id="32"/>
    <w:p>
      <w:pPr>
        <w:spacing w:after="0" w:line="252" w:lineRule="auto"/>
        <w:rPr>
          <w:sz w:val="20"/>
          <w:szCs w:val="20"/>
          <w:color w:val="auto"/>
        </w:rPr>
      </w:pPr>
      <w:r>
        <w:rPr>
          <w:rFonts w:ascii="Arial" w:cs="Arial" w:eastAsia="Arial" w:hAnsi="Arial"/>
          <w:sz w:val="18"/>
          <w:szCs w:val="18"/>
          <w:color w:val="auto"/>
        </w:rPr>
        <w:t>Reserve’s policy arm, the Federal Open Market Committee ("FOMC"), following its October 27-28, 2015 meeting. The policy statement released at the conclusion of the FOMC's meeting included an affirmation of its view that the current 0 to 1/4 percent target range for the federal funds rate remains appropriate. In determining whether it will be appropriate to raise the target range at its next meeting, the FOMC indicated that it will assess its progress - both realized and expected - toward its objectives of maximum employment and 2 percent inflation. The FOMC stated that its assessment will take into account a wide range of information, including measures of labor market conditions, indicators of inflation pressures and inflation expectations, and readings on financial and international developments. The FOMC also stated that it anticipates that raising the target range for the federal funds rate would be appropriate when it has determined that the labor market is further improved and is reasonably confident that inflation will move back to 2 percent over the medium term.</w:t>
      </w:r>
    </w:p>
    <w:p>
      <w:pPr>
        <w:spacing w:after="0" w:line="3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140" w:right="5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following table and discussion below presents an analysis of our results of operations for the three and nine months ended September 30, 2015 and 2014.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Pr>
          <w:p>
            <w:pPr>
              <w:spacing w:after="0"/>
              <w:rPr>
                <w:sz w:val="19"/>
                <w:szCs w:val="19"/>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360" w:type="dxa"/>
            <w:vAlign w:val="bottom"/>
          </w:tcPr>
          <w:p>
            <w:pPr>
              <w:spacing w:after="0"/>
              <w:rPr>
                <w:sz w:val="19"/>
                <w:szCs w:val="19"/>
                <w:color w:val="auto"/>
              </w:rPr>
            </w:pPr>
          </w:p>
        </w:tc>
      </w:tr>
      <w:tr>
        <w:trPr>
          <w:trHeight w:val="264"/>
        </w:trPr>
        <w:tc>
          <w:tcPr>
            <w:tcW w:w="3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20" w:type="dxa"/>
            <w:vAlign w:val="bottom"/>
            <w:gridSpan w:val="4"/>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1,513,359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1,590,139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Advisory</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341,217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340,369</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0.2 %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1,028,213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998,016</w:t>
            </w:r>
          </w:p>
        </w:tc>
        <w:tc>
          <w:tcPr>
            <w:tcW w:w="13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121,283</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369,625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354,494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105,593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94,674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11.5 %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305,099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276,284</w:t>
            </w:r>
          </w:p>
        </w:tc>
        <w:tc>
          <w:tcPr>
            <w:tcW w:w="136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(70.1)%</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38,412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50,461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1,054,745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1,089,234</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3,254,708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3,269,394</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714,988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758,091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2,219,366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2,278,800</w:t>
            </w: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110,494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106,290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335,111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317,459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117,246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122,056</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331,057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323,232</w:t>
            </w:r>
          </w:p>
        </w:tc>
        <w:tc>
          <w:tcPr>
            <w:tcW w:w="136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24,519</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79,564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70,618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4"/>
        </w:trPr>
        <w:tc>
          <w:tcPr>
            <w:tcW w:w="30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9,928</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(69.1)%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26,473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(56.6)%</w:t>
            </w:r>
          </w:p>
        </w:tc>
      </w:tr>
      <w:tr>
        <w:trPr>
          <w:trHeight w:val="250"/>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972,565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1,020,884</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2,976,585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3,016,582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0"/>
        </w:trPr>
        <w:tc>
          <w:tcPr>
            <w:tcW w:w="30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13,493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12,897</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4.6 %</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40,671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38,651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5.2 %</w:t>
            </w:r>
          </w:p>
        </w:tc>
      </w:tr>
      <w:tr>
        <w:trPr>
          <w:trHeight w:val="257"/>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986,058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1,033,781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3,017,256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3,055,233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8"/>
        </w:trPr>
        <w:tc>
          <w:tcPr>
            <w:tcW w:w="3000" w:type="dxa"/>
            <w:vAlign w:val="bottom"/>
          </w:tcPr>
          <w:p>
            <w:pPr>
              <w:ind w:left="20"/>
              <w:spacing w:after="0"/>
              <w:rPr>
                <w:sz w:val="20"/>
                <w:szCs w:val="20"/>
                <w:color w:val="auto"/>
              </w:rPr>
            </w:pPr>
            <w:r>
              <w:rPr>
                <w:rFonts w:ascii="Arial" w:cs="Arial" w:eastAsia="Arial" w:hAnsi="Arial"/>
                <w:sz w:val="16"/>
                <w:szCs w:val="16"/>
                <w:color w:val="auto"/>
              </w:rPr>
              <w:t>Income before provision for income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3000" w:type="dxa"/>
            <w:vAlign w:val="bottom"/>
          </w:tcPr>
          <w:p>
            <w:pPr>
              <w:ind w:left="220"/>
              <w:spacing w:after="0"/>
              <w:rPr>
                <w:sz w:val="20"/>
                <w:szCs w:val="20"/>
                <w:color w:val="auto"/>
              </w:rPr>
            </w:pPr>
            <w:r>
              <w:rPr>
                <w:rFonts w:ascii="Arial" w:cs="Arial" w:eastAsia="Arial" w:hAnsi="Arial"/>
                <w:sz w:val="16"/>
                <w:szCs w:val="16"/>
                <w:color w:val="auto"/>
              </w:rPr>
              <w:t>taxes</w:t>
            </w: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68,687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55,453</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23.9 %</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237,452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214,161</w:t>
            </w:r>
          </w:p>
        </w:tc>
        <w:tc>
          <w:tcPr>
            <w:tcW w:w="136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28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27,635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24.6 %</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95,480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84,663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r>
      <w:tr>
        <w:trPr>
          <w:trHeight w:val="261"/>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41,052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23.4 %</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141,972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129,498</w:t>
            </w:r>
          </w:p>
        </w:tc>
        <w:tc>
          <w:tcPr>
            <w:tcW w:w="136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0"/>
        </w:trPr>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generate two types of commission revenues: transaction-based sales commissions and trailing commissions. Transaction-based sales commission revenues, which occur whenever clients trade securities or purchase various types of investment products, primarily represent gross commissions generated by our advisors. The levels of transaction-based sales commission revenues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 revenues are recurring in nature and are earned based on the market value of investment holdings in trail-eligible assets.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9" w:right="239" w:bottom="1440" w:gutter="0" w:footer="0" w:header="0"/>
        </w:sectPr>
      </w:pPr>
    </w:p>
    <w:bookmarkStart w:id="34" w:name="page35"/>
    <w:bookmarkEnd w:id="34"/>
    <w:p>
      <w:pPr>
        <w:ind w:right="860" w:firstLine="486"/>
        <w:spacing w:after="0" w:line="261"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September 30, 2015 and 2014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206,382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144,441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153,875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(9,434)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42,417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36,631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5,786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15.8 %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21,778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21,165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13,350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(11.8)%</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4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480,271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(40,117)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(7.7)%</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244,041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236,230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decrease in commission revenue for the three months ended September 30, 2015 compared with the same period in 2014, was primarily due to a decrease in sales-based activity for alternative investments, variable annuities, and mutual funds. Significant market volatility and investor uncertainty in the low interest rate environment led to a decline in demand for variable annuities and mutual funds. Alternative investment sales commissions were challenged by a mature real estate market.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5" w:name="page36"/>
    <w:bookmarkEnd w:id="35"/>
    <w:p>
      <w:pPr>
        <w:ind w:right="860" w:firstLine="486"/>
        <w:spacing w:after="0" w:line="261"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nine months ended September 30, 2015 and 2014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585,354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611,286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453,658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456,839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116,793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148,285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113,616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(12,571)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69,836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65,591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4,245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6.5 %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57,615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37,160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41,571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1,513,359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1,590,139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(76,780)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790,300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893,628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723,059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696,511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26,548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3.8 %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1,513,359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1,590,139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(76,780)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decrease in commission revenue for the nine months ended September 30, 2015 compared with the same period in 2014, was primarily due to a decrease in sales-based activity for alternative investments, fixed and variable annuities, and mutual funds. Alternative investment sales commissions were challenged by a mature real estate market. Significant market volatility and investor uncertainty in the low interest rate environment led to a decline in demand for fixed and variable annuities and mutual funds.</w:t>
      </w:r>
    </w:p>
    <w:p>
      <w:pPr>
        <w:spacing w:after="0" w:line="96" w:lineRule="exact"/>
        <w:rPr>
          <w:sz w:val="20"/>
          <w:szCs w:val="20"/>
          <w:color w:val="auto"/>
        </w:rPr>
      </w:pPr>
    </w:p>
    <w:p>
      <w:pPr>
        <w:ind w:right="600" w:firstLine="486"/>
        <w:spacing w:after="0" w:line="291" w:lineRule="auto"/>
        <w:rPr>
          <w:sz w:val="20"/>
          <w:szCs w:val="20"/>
          <w:color w:val="auto"/>
        </w:rPr>
      </w:pPr>
      <w:r>
        <w:rPr>
          <w:rFonts w:ascii="Arial" w:cs="Arial" w:eastAsia="Arial" w:hAnsi="Arial"/>
          <w:sz w:val="17"/>
          <w:szCs w:val="17"/>
          <w:color w:val="auto"/>
        </w:rPr>
        <w:t>Increases in trailing revenues primarily for mutual funds and variable annuities reflect improved investor engagement and stronger market conditions in the nine months ended September 30, 2015, resulting in the increase in the value of the underlying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generally average 1.1% of the underlying assets, and can range anywhere from 0.5% to 3.0%.</w:t>
      </w:r>
    </w:p>
    <w:p>
      <w:pPr>
        <w:spacing w:after="0" w:line="209" w:lineRule="exact"/>
        <w:rPr>
          <w:sz w:val="20"/>
          <w:szCs w:val="20"/>
          <w:color w:val="auto"/>
        </w:rPr>
      </w:pPr>
    </w:p>
    <w:p>
      <w:pPr>
        <w:ind w:right="280" w:firstLine="486"/>
        <w:spacing w:after="0" w:line="251" w:lineRule="auto"/>
        <w:rPr>
          <w:sz w:val="20"/>
          <w:szCs w:val="20"/>
          <w:color w:val="auto"/>
        </w:rPr>
      </w:pPr>
      <w:r>
        <w:rPr>
          <w:rFonts w:ascii="Arial" w:cs="Arial" w:eastAsia="Arial" w:hAnsi="Arial"/>
          <w:sz w:val="18"/>
          <w:szCs w:val="18"/>
          <w:color w:val="auto"/>
        </w:rPr>
        <w:t>In addition, we support Hybrid RIAs, which engage us for technology, clearing, compliance-related, and custody services, as well as access to certain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advisory and brokerage assets, net new advisory assets, and advisory assets under custody metrics. However, the advisory revenue generated by a Hybrid RIA is earned by the Hybrid RIA, and accordingly is not included in our advisory revenue. We charge administrative fees to Hybrid RIAs for technology, clearing, compliance-related, and custody services based on the value of assets within these advisory accounts. The administrative fees collected on our Hybrid RIA platform vary and can reach a maximum of 0.6% of the underlying assets.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6" w:name="page37"/>
    <w:bookmarkEnd w:id="36"/>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8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nine months ended September 30, 2015 and 2014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186.8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179.7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169.5</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Net new advisory assets for the three and nine months ended September 30, 2015 and 2014 had a limited impact on advisory fee revenue for those respective periods. Rather, net new advisory assets are a primary driver of future advisory fee revenue and have resulted from recruiting of new Hybrid RIAs and the continued shift by our existing advisors from brokerage towards more advisory business. Advisory revenue for a particular quarter is predominately driven by the prior quarter-end advisory assets under management. The growth in advisory revenue for the three and nine months ended September 30, 2015 compared with the same period in 2014 is due to net new advisory assets resulting from our recruiting efforts and strong advisor productivity, as well as market gains as represented by higher levels of the S&amp;P 500 index, particularly in the first half of 2015.</w:t>
      </w:r>
    </w:p>
    <w:p>
      <w:pPr>
        <w:spacing w:after="0" w:line="3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Adoption of our Hybrid RIA platform has continued to grow rapidly as advisors seek the freedom to run their businesses in a manner that they believe best enables them to meet their clients' needs. This continued shift of advisors to the Hybrid RIA platform (for which we custody assets but do not earn advisory revenues for managing those assets) has caused the rate of revenue growth of advisory assets under management to lag behind the rate of growth of advisory assets under custody. Our advisory revenues include administrative fees collected on our Hybrid RIA platform, but do not include fees for advisory services charged by Hybrid RIA advisors to their clients.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September 30, 2015 and 2014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30.6 %</w:t>
            </w:r>
          </w:p>
        </w:tc>
      </w:tr>
      <w:tr>
        <w:trPr>
          <w:trHeight w:val="24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Asset-based revenues are comprised of fees from cash sweep programs, our sponsorship programs 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Revenues from product sponsors and for record-keeping services, which are largely based on the underlying asset values, increased in the three months ended September 30, 2015 compared with the same period in 2014 due to the impact of the higher average market indices on the value of those underlying assets and net new sales of eligible assets. Asset-based revenues also include revenues from our cash sweep programs, which decreased by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47" w:right="239" w:bottom="1440" w:gutter="0" w:footer="0" w:header="0"/>
        </w:sectPr>
      </w:pPr>
    </w:p>
    <w:bookmarkStart w:id="37" w:name="page38"/>
    <w:bookmarkEnd w:id="37"/>
    <w:p>
      <w:pPr>
        <w:ind w:right="300"/>
        <w:spacing w:after="0" w:line="256" w:lineRule="auto"/>
        <w:rPr>
          <w:sz w:val="20"/>
          <w:szCs w:val="20"/>
          <w:color w:val="auto"/>
        </w:rPr>
      </w:pPr>
      <w:r>
        <w:rPr>
          <w:rFonts w:ascii="Arial" w:cs="Arial" w:eastAsia="Arial" w:hAnsi="Arial"/>
          <w:sz w:val="18"/>
          <w:szCs w:val="18"/>
          <w:color w:val="auto"/>
        </w:rPr>
        <w:t>$1.2 million, or 4.8%, to $24.0 million for the three months ended September 30, 2015 from $ 25.2 million for the three months ended September 30, 2014. The decrease is due to fee reduction that resulted from the repricing of certain contracts that underlie our cash sweep programs.</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for product sponsors and record-keeping services increased in the nine months ended September 30, 2015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2014 due to the impact of the higher average market indices on the value of such underlying assets and net new sales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eligible assets. Asset-based revenues also include revenues from our cash sweep programs, which decreased by $5.8 million, or 7.8%,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$68.1 million for the nine months ended September 30, 2015 from $73.9 million for the nine months ended September 30, 2014. The decrease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due to fee reduction that resulted from the repricing of certain contracts that underlie our cash sweep programs.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Revenues earned from transactions and fees primarily consist of transaction 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20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Transaction and fee revenues increased for the three and nine months ended September 30, 2015 compared with the same periods in 2014, primarily due to higher trade volumes in certain advisory accounts that generate transaction based revenue. An additional contributing factor was the increase in our average number of advisors of 1.7% and 2.3% for the three and nine months ended September 30, 2015,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Other revenues include marketing allowances received from certain financial product manufacturers, primarily those who offer alternative investments, such as non-traded real estate investment trusts and business development companies, mark-to-market gains and losses on assets held by us for the advisor non-qualified deferred compensation plan and our model research portfolios, revenues from our Retirement Partners program, interest income from client margin accounts and cash equivalents, net of operating interest expense, and other items.</w:t>
      </w:r>
    </w:p>
    <w:p>
      <w:pPr>
        <w:spacing w:after="0" w:line="188" w:lineRule="exact"/>
        <w:rPr>
          <w:sz w:val="20"/>
          <w:szCs w:val="20"/>
          <w:color w:val="auto"/>
        </w:rPr>
      </w:pPr>
    </w:p>
    <w:p>
      <w:pPr>
        <w:ind w:right="280" w:firstLine="486"/>
        <w:spacing w:after="0" w:line="291" w:lineRule="auto"/>
        <w:rPr>
          <w:sz w:val="20"/>
          <w:szCs w:val="20"/>
          <w:color w:val="auto"/>
        </w:rPr>
      </w:pPr>
      <w:r>
        <w:rPr>
          <w:rFonts w:ascii="Arial" w:cs="Arial" w:eastAsia="Arial" w:hAnsi="Arial"/>
          <w:sz w:val="17"/>
          <w:szCs w:val="17"/>
          <w:color w:val="auto"/>
        </w:rPr>
        <w:t>Other revenues decreased for the three and nine months ended September 30, 2015 compared to the same periods in 2014 primarily due to mark-to-market losses on assets related to the advisor non-qualified deferred compensation plan and our model research portfolios.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based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 correlated either to market movement or to the value of</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47" w:right="279" w:bottom="1440" w:gutter="0" w:footer="0" w:header="0"/>
        </w:sectPr>
      </w:pPr>
    </w:p>
    <w:bookmarkStart w:id="38" w:name="page39"/>
    <w:bookmarkEnd w:id="38"/>
    <w:p>
      <w:pPr>
        <w:ind w:right="240"/>
        <w:spacing w:after="0" w:line="262" w:lineRule="auto"/>
        <w:rPr>
          <w:sz w:val="20"/>
          <w:szCs w:val="20"/>
          <w:color w:val="auto"/>
        </w:rPr>
      </w:pPr>
      <w:r>
        <w:rPr>
          <w:rFonts w:ascii="Arial" w:cs="Arial" w:eastAsia="Arial" w:hAnsi="Arial"/>
          <w:sz w:val="18"/>
          <w:szCs w:val="18"/>
          <w:color w:val="auto"/>
        </w:rPr>
        <w:t>our stock. We believe that discussion of production payout, viewed in addition to, and not in lieu of, our production expenses, provides useful information to investors regarding our payouts to advisors.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nine months ended September 30, 2015 and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6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Nine Months Ended September</w:t>
            </w:r>
          </w:p>
        </w:tc>
        <w:tc>
          <w:tcPr>
            <w:tcW w:w="900" w:type="dxa"/>
            <w:vAlign w:val="bottom"/>
          </w:tcPr>
          <w:p>
            <w:pPr>
              <w:spacing w:after="0"/>
              <w:rPr>
                <w:sz w:val="16"/>
                <w:szCs w:val="16"/>
                <w:color w:val="auto"/>
              </w:rPr>
            </w:pPr>
          </w:p>
        </w:tc>
      </w:tr>
      <w:tr>
        <w:trPr>
          <w:trHeight w:val="228"/>
        </w:trPr>
        <w:tc>
          <w:tcPr>
            <w:tcW w:w="400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83.17 %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83.50 %</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(33 bps)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(51 bps)</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3.18 %</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 bps)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 bps</w:t>
            </w:r>
          </w:p>
        </w:tc>
      </w:tr>
      <w:tr>
        <w:trPr>
          <w:trHeight w:val="257"/>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86.29 %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86.68 %</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(39 bps)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(43 bps)</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(88 bps)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(49 bps)</w:t>
            </w:r>
          </w:p>
        </w:tc>
      </w:tr>
      <w:tr>
        <w:trPr>
          <w:trHeight w:val="240"/>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86.67 %</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(127 bps)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(92 bps)</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Production expenses for the three months ended September 30, 2015 compared with the same period in 2014 decreased, which correlates with the changes in our commission and advisory revenues during the same period. The change in non-GDC sensitive payout is attributable to decreased advisor share-based compensation, which is correlated to market movement in our stock as measured at the end of each quarter in the periods presented and the advisor non-qualified deferred compensation plan.</w:t>
      </w:r>
    </w:p>
    <w:p>
      <w:pPr>
        <w:spacing w:after="0" w:line="31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Production expenses for the nine months ended September 30, 2015 compared with the same period in 2014 decreased, which correlates with the changes in our commission and advisory revenues during the same period. The change in non-GDC sensitive payout ratio is attributable to decreased advisor share-based compensation correlating to market movement in our stock as measured at the end of each quarter in the periods presented and the advisor non-qualified deferred compensation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96" w:lineRule="exact"/>
        <w:rPr>
          <w:sz w:val="20"/>
          <w:szCs w:val="20"/>
          <w:color w:val="auto"/>
        </w:rPr>
      </w:pPr>
    </w:p>
    <w:p>
      <w:pPr>
        <w:jc w:val="both"/>
        <w:ind w:right="80" w:firstLine="486"/>
        <w:spacing w:after="0" w:line="254" w:lineRule="auto"/>
        <w:rPr>
          <w:sz w:val="20"/>
          <w:szCs w:val="20"/>
          <w:color w:val="auto"/>
        </w:rPr>
      </w:pPr>
      <w:r>
        <w:rPr>
          <w:rFonts w:ascii="Arial" w:cs="Arial" w:eastAsia="Arial" w:hAnsi="Arial"/>
          <w:sz w:val="18"/>
          <w:szCs w:val="18"/>
          <w:color w:val="auto"/>
        </w:rPr>
        <w:t>The increase in compensation and benefits expense for the three months ended September 30, 2015 compared with the same period in 2014 was primarily driven by increases in salary that reflect our annual merit pay increase cycle and health care costs. The average number of full-time employees was consistent, at 3,394 for the three months ended September 30, 2015 compared to 3,386 for the three months ended September 30, 2014.</w:t>
      </w:r>
    </w:p>
    <w:p>
      <w:pPr>
        <w:spacing w:after="0" w:line="25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increase in compensation and benefits expense for the nine months ended September 30, 2015 compared with the same period in 2014 was primarily driven by increases in salary that reflect our annual merit pay increase cycle, increases in health care costs, and a 1.5% increase in our average number of full-time employees from 3,320 for the nine months ended September 30, 2014 to 3,369 for the nine months ended September 30,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General and administrative expenses include promotional, occupancy and equipment, professional services, communications and data processing, and other expenses. Promotional expenses include costs related to our hosting of certain advisor conferences that serve as training, sales, and marketing events, as well as recruiting costs such as transition assistance and amortization related to forgivable loans issued to advisors. Included in other expenses are the estimated costs of the investigation, settlement, and resolution of regulatory matters.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general and administrative expenses for the three months ended September 30, 2015 compared with the same period in</w:t>
      </w:r>
    </w:p>
    <w:p>
      <w:pPr>
        <w:spacing w:after="0" w:line="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2014 was primarily driven by decreases in charges related to estimated costs for the investigation, settlement, and resolution of regulatory matters.</w:t>
      </w:r>
    </w:p>
    <w:p>
      <w:pPr>
        <w:spacing w:after="0" w:line="25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increase in general and administrative expenses for the nine months ended September 30, 2015 compared with the same period in 2014 was primarily driven by promotional expenses, offset by a decrease in charges related to estimated costs for the investigation, settlement, and resolution of regulatory matters.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4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intangible assets established through our acquisitions, as well as fixed assets, which include internally developed software, hardware, leasehold improvements, and other equipment.</w:t>
      </w:r>
    </w:p>
    <w:p>
      <w:pPr>
        <w:spacing w:after="0" w:line="202"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increase in depreciation and amortization for the three and nine months ended September 30, 2015 compared with the same periods in 2014 was due to the increased levels of capital expenditures in 2014 related to the relocation of our San Diego office building and the continuing development of capitalized software.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Restructuring charges primarily represent expenses incurred as a result of our expansion of our Service Value Commitment initiative. These charges relate primarily to consulting fees paid to support our technology transformation as well as employee severance obligations and other related costs and non-cash charges for impairment. Also included in the restructuring charges are expenses incurred as part of our Fortigent restructuring.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the unaudited condensed consolidated financial statements for further detail.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Period over period variances correspond to changes in the level of outstanding indebtedness relating to these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right="660" w:firstLine="405"/>
        <w:spacing w:after="0" w:line="262" w:lineRule="auto"/>
        <w:rPr>
          <w:sz w:val="20"/>
          <w:szCs w:val="20"/>
          <w:color w:val="auto"/>
        </w:rPr>
      </w:pPr>
      <w:r>
        <w:rPr>
          <w:rFonts w:ascii="Arial" w:cs="Arial" w:eastAsia="Arial" w:hAnsi="Arial"/>
          <w:sz w:val="18"/>
          <w:szCs w:val="18"/>
          <w:color w:val="auto"/>
        </w:rPr>
        <w:t>Our effective tax rate was 40.2% and 40.0% for the three months ended September 30, 2015 and 2014, respectively. The change between periods is due to the release of accruals for uncertain tax positions in 2014 due to the completion of state tax audits.</w:t>
      </w:r>
    </w:p>
    <w:p>
      <w:pPr>
        <w:spacing w:after="0" w:line="19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effective tax rate was 40.2% and 39.5% for the nine months ended September 30, 2015 and 2014, respectively. The change between periods is due to the release of accruals for uncertain tax positions in 2014 due to the completion of state tax audits and a decrease in the number of incentive stock options exercised in 2015 compared to the same period in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 On October 29, 2015, we announced planned changes in our capital management strategies related to our overall level of indebtedness and share repurchases, which are expected to affect our liquidity and capital resources beginning in the fourth quarter of 2015.</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3" w:right="299" w:bottom="1440" w:gutter="0" w:footer="0" w:header="0"/>
        </w:sectPr>
      </w:pPr>
    </w:p>
    <w:bookmarkStart w:id="40" w:name="page41"/>
    <w:bookmarkEnd w:id="40"/>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230,429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224,251</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(75,158)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(80,114)</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(157,567)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(201,227)</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(57,090)</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410,036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459,494</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 and liability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drivers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change in cash flows provided by operating activities for the nine months ended September 30, 2015 compared to the same period in 2014 was primarily due to increases in accounts payable and accrued liabilities relating to advisor deferred compensation and self-insurance, and increases in unearned revenues and deferred commissions, partially offset by uses of cash in receivables from others associated with advisor loans.</w:t>
      </w:r>
    </w:p>
    <w:p>
      <w:pPr>
        <w:spacing w:after="0" w:line="20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Changes in cash flows used in investing activities for the nine months ended September 30, 2015 as compared to the same period in 2014 were due primarily to the deposits of restricted cash relating to our captive insurance subsidiary, which was not established until the first quarter of 2015.</w:t>
      </w:r>
    </w:p>
    <w:p>
      <w:pPr>
        <w:spacing w:after="0" w:line="202"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Changes in the cash flows used in financing activities for the nine months ended September 30, 2015 compared to the same period in 2014 were due to an increase in proceeds from our revolving credit facility.</w:t>
      </w:r>
    </w:p>
    <w:p>
      <w:pPr>
        <w:spacing w:after="0" w:line="19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related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and business opportunities, contractual restrictions, the availability of refinancing on attractive terms, and general market conditions. On October 29, 2015, we announced an intention to increase our level of indebtedness and refinance a portion of our existing debt, which we expect to occur in the fourth quarter of 2015 subject to conditions in the debt capital markets and our ability to renegotiate certain terms of our existing credit agreement. See the Risks Related to our Debt section within Part I, “Item 1A. Risk Factors” in our 2014 Annual Report on Form 10-K for more information about the risks associated with our debt obligations and their potential effect on our liquidity.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Board of Directors has historically approved several share repurchase programs pursuant to which we may repurchase issued and outstanding shares of our common stock. On October 29, 2015, we announced that the Board of Directors had authorized an increase to our current share repurchase program, which enables us to repurchase up to $ 500 million of our shares from time to time. We also announced our intention to effectuate these purchases as quickly as practicable consistent with best execution, our general operating needs and applicable constraints under our credit agreement. These purchases may be effected in open market or privately negotiated transactions, which may include accelerated share repurchase programs or transactions with our affiliates, with the timing of purchases and the amount of stock purchased generally determined at our discretion. See Note 10.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47" w:right="239" w:bottom="1440" w:gutter="0" w:footer="0" w:header="0"/>
        </w:sectPr>
      </w:pPr>
    </w:p>
    <w:bookmarkStart w:id="41" w:name="page42"/>
    <w:bookmarkEnd w:id="41"/>
    <w:p>
      <w:pPr>
        <w:ind w:right="20"/>
        <w:spacing w:after="0" w:line="282" w:lineRule="auto"/>
        <w:rPr>
          <w:sz w:val="20"/>
          <w:szCs w:val="20"/>
          <w:color w:val="auto"/>
        </w:rPr>
      </w:pP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the notes to the unaudited condensed consolidated financial statements for additional information regarding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repurchases.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dividends. On October 25, 2015, the Board of Directors declared a cash dividend of $0.25 per share on the Company's outstanding common stock to be paid on November 24, 2015 to stockholders of record on November 12, 2015.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maintain at clearing organizations to support these clients’ trading activities. We have several sources of funds that enable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to meet increases in working capital requirements that relate to increases in client margin activities and balances. These sources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on hand, cash and securities segregated under federal and other regulations, and proceeds from re-pledging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client securities in margin accounts. When a client purchases securities on margin or uses securities as collateral to borrow from us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we are permitted, pursuant to the applicable securities industry regulations, to repledge, loan, or sell securities that collateralize those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accounts. As of September 30, 2015, we had received collateral primarily in connection with client margin loans with a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$344.6 million, which we can re-pledge, loan, or sell. Of these securities, approximately $29.4 million were client-owned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pledged to the Options Clearing Corporation as collateral to secure client obligations related to options positions.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there were no restrictions that materially limited our ability to re-pledge, loan, or sell the remaining $315.2 million of client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w:t>
      </w:r>
    </w:p>
    <w:p>
      <w:pPr>
        <w:spacing w:after="0" w:line="225"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September 30, 2015, LPL Financial's excess net capital was $146.6 million.</w:t>
      </w:r>
    </w:p>
    <w:p>
      <w:pPr>
        <w:spacing w:after="0" w:line="204" w:lineRule="exact"/>
        <w:rPr>
          <w:sz w:val="20"/>
          <w:szCs w:val="20"/>
          <w:color w:val="auto"/>
        </w:rPr>
      </w:pPr>
    </w:p>
    <w:p>
      <w:pPr>
        <w:ind w:right="54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is subject to prior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20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2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Debt and Related Covenants</w:t>
      </w:r>
    </w:p>
    <w:p>
      <w:pPr>
        <w:spacing w:after="0" w:line="301" w:lineRule="exact"/>
        <w:rPr>
          <w:sz w:val="20"/>
          <w:szCs w:val="20"/>
          <w:color w:val="auto"/>
        </w:rPr>
      </w:pPr>
    </w:p>
    <w:p>
      <w:pPr>
        <w:ind w:right="1000" w:firstLine="486"/>
        <w:spacing w:after="0" w:line="291" w:lineRule="auto"/>
        <w:rPr>
          <w:sz w:val="20"/>
          <w:szCs w:val="20"/>
          <w:color w:val="auto"/>
        </w:rPr>
      </w:pPr>
      <w:r>
        <w:rPr>
          <w:rFonts w:ascii="Arial" w:cs="Arial" w:eastAsia="Arial" w:hAnsi="Arial"/>
          <w:sz w:val="17"/>
          <w:szCs w:val="17"/>
          <w:color w:val="auto"/>
        </w:rPr>
        <w:t>We are party to a debt agreement with our wholly-owned subsidiary, LPL Holdings, Inc., and other parties thereto (the "Credit Agreement"). See Note 8</w:t>
      </w:r>
      <w:r>
        <w:rPr>
          <w:rFonts w:ascii="Arial" w:cs="Arial" w:eastAsia="Arial" w:hAnsi="Arial"/>
          <w:sz w:val="17"/>
          <w:szCs w:val="17"/>
          <w:i w:val="1"/>
          <w:iCs w:val="1"/>
          <w:color w:val="auto"/>
        </w:rPr>
        <w:t>. Debt,</w:t>
      </w:r>
      <w:r>
        <w:rPr>
          <w:rFonts w:ascii="Arial" w:cs="Arial" w:eastAsia="Arial" w:hAnsi="Arial"/>
          <w:sz w:val="17"/>
          <w:szCs w:val="17"/>
          <w:color w:val="auto"/>
        </w:rPr>
        <w:t xml:space="preserve"> within the notes to the unaudited condensed consolidated financial statements for further detail.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an adjusted EBITDA reflecting financial covenants in our Credit Agreement to exceed certain prescribed levels set forth in the Credit Agreement. Under our interest coverage ratio test, we covenant not to allow the ratio of our Credit Agreement Adjusted EBITDA to our consolidated interest expense (as defined in the Credit Agreement) to be less than certain prescribed levels set forth in the Credit Agreement. Each of our financial ratios is measured at the end of each fiscal quarter.</w:t>
      </w:r>
    </w:p>
    <w:p>
      <w:pPr>
        <w:spacing w:after="0" w:line="20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As of September 30, 2015 we were in compliance with all of our covenant requirements. Our covenant requirements and actual ratios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September 30, 2015</w:t>
            </w:r>
          </w:p>
        </w:tc>
      </w:tr>
      <w:tr>
        <w:trPr>
          <w:trHeight w:val="198"/>
        </w:trPr>
        <w:tc>
          <w:tcPr>
            <w:tcW w:w="29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Actual</w:t>
            </w:r>
          </w:p>
        </w:tc>
      </w:tr>
      <w:tr>
        <w:trPr>
          <w:trHeight w:val="22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Ratio</w:t>
            </w:r>
          </w:p>
        </w:tc>
        <w:tc>
          <w:tcPr>
            <w:tcW w:w="53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Ratio</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Coverage (Minimum)</w:t>
            </w: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10.50</w:t>
            </w:r>
          </w:p>
        </w:tc>
      </w:tr>
    </w:tbl>
    <w:p>
      <w:pPr>
        <w:spacing w:after="0" w:line="127"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On October 29, 2015, we announced our intention to amend the Credit Agreement to provide for incremental upsizing of our credit facilities by up to $700 million, extension of the maturity of certain or all currently outstanding term B loans (from March 2019 to March 2021), and modification of restrictive covenants to enable additional levels of indebtedness and execution of the full amount of the increased share repurchase authorization that was concurrently announced. We also announced an intention to maintain a leverage to net debt ratio of approximately four times adjusted EBITDA.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16.</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involved in a build-to-suit lease arrangement in Fort Mill, South Carolina, under which we serve as the construction agent on behalf of the landlord. Under such arrangement, we have obligations to fund cost over-runs in our capacity as the construction agent, and accordingly have determined that under lease accounting standards we bear substantially all of the risks and rewards of ownership as measured under GAAP. We are therefore required to report the landlord's costs of construction on our balance sheet as a fixed asset during the construction period as if we owned such asset. As of September 30, 2015, we have recorded $43.2 million in fixed assets in connection with this arrangement and an equal and off-setting leasehold financing obligation on the unaudited condensed consolidated statement of financial condition. 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unaudited condensed consolidated financial statements for further detail as well as Risks Related to Our Business Generally section within Part I, "Item 1A. Risk Factors" in our 2014 Annual Report on Form 10-K for more information about the risks associated with this real estate development project.</w:t>
      </w:r>
    </w:p>
    <w:p>
      <w:pPr>
        <w:spacing w:after="0" w:line="26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 xml:space="preserve">In the three months ended September 30, 2015 there have been no material changes in our contractual obligations, other than in the ordinary course of business or as noted above, from those disclosed in our 2014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the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2014 Annual Report on Form 10-K, for further detail on operating lease obligations and obligations under noncancelable service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At September 30, 2015,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2014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2014 Annual Report on Form 10-K. The accounting principles used in preparing our unaudited condensed consolidated financial statements conform in all material respects to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jc w:val="both"/>
        <w:ind w:right="180" w:firstLine="486"/>
        <w:spacing w:after="0" w:line="266"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condensed consolidated financial statements for a discussion of recent accounting pronouncements or changes in accounting pronouncements that are of significance, or potential significance, to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Service, Trading,</w:t>
      </w:r>
    </w:p>
    <w:p>
      <w:pPr>
        <w:sectPr>
          <w:pgSz w:w="11900" w:h="16838" w:orient="portrait"/>
          <w:cols w:equalWidth="0" w:num="1">
            <w:col w:w="11420"/>
          </w:cols>
          <w:pgMar w:left="240" w:top="279"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79" w:right="239" w:bottom="1440" w:gutter="0" w:footer="0" w:header="0"/>
          <w:type w:val="continuous"/>
        </w:sectPr>
      </w:pPr>
    </w:p>
    <w:bookmarkStart w:id="44" w:name="page45"/>
    <w:bookmarkEnd w:id="44"/>
    <w:p>
      <w:pPr>
        <w:ind w:right="60"/>
        <w:spacing w:after="0" w:line="252" w:lineRule="auto"/>
        <w:rPr>
          <w:sz w:val="20"/>
          <w:szCs w:val="20"/>
          <w:color w:val="auto"/>
        </w:rPr>
      </w:pPr>
      <w:r>
        <w:rPr>
          <w:rFonts w:ascii="Arial" w:cs="Arial" w:eastAsia="Arial" w:hAnsi="Arial"/>
          <w:sz w:val="18"/>
          <w:szCs w:val="18"/>
          <w:color w:val="auto"/>
        </w:rPr>
        <w:t>and Operations (formerly known as Client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Service, Trading, and Operations department. Our research department develops model portfolios that are used by advisors in developing client portfolios. We currently maintain approximately 194 accounts based on model portfolios. At the time a portfolio is developed, we purchase securities in the same weighting as we would for a client account. Account minimums vary by product and can range from $5,000 to $250,000 per model. We utilize these positions to track the performance of the research department. The limits on this activity are based at the inception of each new model.</w:t>
      </w:r>
    </w:p>
    <w:p>
      <w:pPr>
        <w:spacing w:after="0" w:line="206"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At September 30, 2015, the fair value of our trading securities owned were $16.6 million. Securities sold, but not yet purchased were immaterial at September 30, 2015. The fair value of securities included within other assets were $97.9 million at September 30, 2015. See Note</w:t>
      </w:r>
    </w:p>
    <w:p>
      <w:pPr>
        <w:spacing w:after="0" w:line="1" w:lineRule="exact"/>
        <w:rPr>
          <w:sz w:val="20"/>
          <w:szCs w:val="20"/>
          <w:color w:val="auto"/>
        </w:rPr>
      </w:pPr>
    </w:p>
    <w:p>
      <w:pPr>
        <w:jc w:val="both"/>
        <w:ind w:right="20" w:firstLine="8"/>
        <w:spacing w:after="0" w:line="254"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within the notes to the unaudited condensed consolidated financial statements for information regarding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of trading 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the unaudited condensed consolidated financial statements for information regarding the fair value 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September 30, 2015, all of the outstanding debt under our Credit Agreement, $1.7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pacing w:after="0" w:line="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September 30, 2015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3"/>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1,056,754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1,666,129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the unaudited condensed consolidated financial statements for additional information.</w:t>
      </w:r>
    </w:p>
    <w:p>
      <w:pPr>
        <w:spacing w:after="0" w:line="20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47" w:right="239" w:bottom="1440" w:gutter="0" w:footer="0" w:header="0"/>
        </w:sectPr>
      </w:pPr>
    </w:p>
    <w:bookmarkStart w:id="45" w:name="page46"/>
    <w:bookmarkEnd w:id="45"/>
    <w:p>
      <w:pPr>
        <w:ind w:right="200" w:firstLine="486"/>
        <w:spacing w:after="0" w:line="254" w:lineRule="auto"/>
        <w:rPr>
          <w:sz w:val="20"/>
          <w:szCs w:val="20"/>
          <w:color w:val="auto"/>
        </w:rPr>
      </w:pPr>
      <w:r>
        <w:rPr>
          <w:rFonts w:ascii="Arial" w:cs="Arial" w:eastAsia="Arial" w:hAnsi="Arial"/>
          <w:sz w:val="18"/>
          <w:szCs w:val="18"/>
          <w:color w:val="auto"/>
        </w:rPr>
        <w:t>The average Federal Reserve effective federal funds rate (“FFER”) for the three months ended September 30, 2015 was 0.14%. The following table reflects the approximate annual impact to asset-based revenues on our insured cash programs (assuming that client balances at September 30, 2015 remain unchanged) of an upward or downward change in short-term interest rates of one basis point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right"/>
              <w:ind w:right="1354"/>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right"/>
              <w:ind w:right="1734"/>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1.26% - 2.80%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bl>
    <w:p>
      <w:pPr>
        <w:spacing w:after="0" w:line="161" w:lineRule="exact"/>
        <w:rPr>
          <w:sz w:val="20"/>
          <w:szCs w:val="20"/>
          <w:color w:val="auto"/>
        </w:rPr>
      </w:pPr>
    </w:p>
    <w:p>
      <w:pPr>
        <w:jc w:val="both"/>
        <w:ind w:right="5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2.8%, may vary depending on the FRS committee's strategy in response to a change in interest rate levels, the significance of a change, and actual balances at the time of such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of our advisors to support margin lending or derivative trading is insufficient to meet such client’s contractual obligations to LPL Financial. We bear credit risk on the activities of our advisors’ clients, including the execution, settlement and financing of various transactions on behalf of these clients.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clients' accounts is insufficient to fully cover losses from such investments, and our advisors fail to reimburse us for such losses. Our losses on margin accounts were immaterial and did not exceed $0.1 million during the nine months ended September 30, 2015 and 2014.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assist in the mitigation and control of operational risk, we have an Operational Risk Management department and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47" w:right="239" w:bottom="1440" w:gutter="0" w:footer="0" w:header="0"/>
        </w:sectPr>
      </w:pPr>
    </w:p>
    <w:bookmarkStart w:id="46" w:name="page47"/>
    <w:bookmarkEnd w:id="46"/>
    <w:p>
      <w:pPr>
        <w:spacing w:after="0" w:line="278" w:lineRule="auto"/>
        <w:rPr>
          <w:sz w:val="20"/>
          <w:szCs w:val="20"/>
          <w:color w:val="auto"/>
        </w:rPr>
      </w:pPr>
      <w:r>
        <w:rPr>
          <w:rFonts w:ascii="Arial" w:cs="Arial" w:eastAsia="Arial" w:hAnsi="Arial"/>
          <w:sz w:val="17"/>
          <w:szCs w:val="17"/>
          <w:color w:val="auto"/>
        </w:rPr>
        <w:t>followed and that our employees and advisors operate within established corporate policies and limits. Notwithstanding the foregoing, please consult the Risks Related to our Technology section within Part I, “Item 1A. Risk Factors” in our 2014 Annual Report on Form 10-K for more information about the risks associated with our technology, including risks related to security, and the potential related effects on our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2014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2014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risk management governance approach includes the Board and certain of its committees; the Management Committee and business line management of our broker-dealer subsidiary LPL Financial; the Risk Oversight Committee (the “ROC”) of LPL Financial and its subcommittees; the Internal Audit Department of LPL Financial; and the Governance, Risk, and Compliance (“GRC”) Department of LPL Financial.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8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our Executive Vice President, Deputy General Counsel, Regulatory Counseling,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all other Managing Directors serve on the ROC. Additional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212"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4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We also consider the Internal Audit Department to be a control group.</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Service, Trading, and Operations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 and Advisor Policies</w:t>
      </w:r>
    </w:p>
    <w:p>
      <w:pPr>
        <w:spacing w:after="0" w:line="247" w:lineRule="exact"/>
        <w:rPr>
          <w:sz w:val="20"/>
          <w:szCs w:val="20"/>
          <w:color w:val="auto"/>
        </w:rPr>
      </w:pPr>
    </w:p>
    <w:p>
      <w:pPr>
        <w:ind w:right="300" w:firstLine="486"/>
        <w:spacing w:after="0" w:line="251" w:lineRule="auto"/>
        <w:rPr>
          <w:sz w:val="20"/>
          <w:szCs w:val="20"/>
          <w:color w:val="auto"/>
        </w:rPr>
      </w:pPr>
      <w:r>
        <w:rPr>
          <w:rFonts w:ascii="Arial" w:cs="Arial" w:eastAsia="Arial" w:hAnsi="Arial"/>
          <w:sz w:val="18"/>
          <w:szCs w:val="18"/>
          <w:color w:val="auto"/>
        </w:rPr>
        <w:t>In addition to the ERM framework, the Management Committee of LPL Financial has established a Policy Committee to provide a centralized decision-making process for material policy issues that may arise on an ad hoc basis. The membership of the Policy Committee consists of a subset of the Management Committee and currently includes: the President, who serves as chair of the Policy Committee; the Managing Director, Legal &amp; Government Relations; the Managing Director, Chief Risk Officer; and the Managing Director, Investment and Planning Solutions. Among other issues, the Policy Committee addresses policy conflicts and potential conflicts that may arise from time to time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an ad hoc basis.</w:t>
      </w:r>
    </w:p>
    <w:p>
      <w:pPr>
        <w:spacing w:after="0" w:line="213"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9"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third quarter ended September 30, 2015 that have materially affected, or are reasonably likely to materially affect, our internal control over financial reporting.</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279" w:right="4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500" w:firstLine="486"/>
        <w:spacing w:after="0" w:line="254" w:lineRule="auto"/>
        <w:rPr>
          <w:sz w:val="20"/>
          <w:szCs w:val="20"/>
          <w:color w:val="auto"/>
        </w:rPr>
      </w:pPr>
      <w:r>
        <w:rPr>
          <w:rFonts w:ascii="Arial" w:cs="Arial" w:eastAsia="Arial" w:hAnsi="Arial"/>
          <w:sz w:val="18"/>
          <w:szCs w:val="18"/>
          <w:color w:val="333333"/>
        </w:rPr>
        <w:t>We are involved from time to time in routine legal proceedings occurring in the ordinary course of business. In the opinion of management, there are no matters outstanding that would have a material adverse impact on our operations or financial condition. For a discussion of legal proceedings, s</w:t>
      </w:r>
      <w:r>
        <w:rPr>
          <w:rFonts w:ascii="Arial" w:cs="Arial" w:eastAsia="Arial" w:hAnsi="Arial"/>
          <w:sz w:val="18"/>
          <w:szCs w:val="18"/>
          <w:color w:val="252525"/>
        </w:rPr>
        <w:t>ee</w:t>
      </w:r>
      <w:r>
        <w:rPr>
          <w:rFonts w:ascii="Arial" w:cs="Arial" w:eastAsia="Arial" w:hAnsi="Arial"/>
          <w:sz w:val="18"/>
          <w:szCs w:val="18"/>
          <w:color w:val="333333"/>
        </w:rPr>
        <w:t xml:space="preserve"> </w:t>
      </w:r>
      <w:r>
        <w:rPr>
          <w:rFonts w:ascii="Arial" w:cs="Arial" w:eastAsia="Arial" w:hAnsi="Arial"/>
          <w:sz w:val="18"/>
          <w:szCs w:val="18"/>
          <w:color w:val="000000"/>
        </w:rPr>
        <w:t>Note 9.</w:t>
      </w:r>
      <w:r>
        <w:rPr>
          <w:rFonts w:ascii="Arial" w:cs="Arial" w:eastAsia="Arial" w:hAnsi="Arial"/>
          <w:sz w:val="18"/>
          <w:szCs w:val="18"/>
          <w:color w:val="333333"/>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333333"/>
        </w:rPr>
        <w:t xml:space="preserve"> </w:t>
      </w:r>
      <w:r>
        <w:rPr>
          <w:rFonts w:ascii="Arial" w:cs="Arial" w:eastAsia="Arial" w:hAnsi="Arial"/>
          <w:sz w:val="18"/>
          <w:szCs w:val="18"/>
          <w:color w:val="252525"/>
        </w:rPr>
        <w:t>within the notes to the unaudited condensed consolidated</w:t>
      </w:r>
      <w:r>
        <w:rPr>
          <w:rFonts w:ascii="Arial" w:cs="Arial" w:eastAsia="Arial" w:hAnsi="Arial"/>
          <w:sz w:val="18"/>
          <w:szCs w:val="18"/>
          <w:color w:val="333333"/>
        </w:rPr>
        <w:t xml:space="preserve"> </w:t>
      </w:r>
      <w:r>
        <w:rPr>
          <w:rFonts w:ascii="Arial" w:cs="Arial" w:eastAsia="Arial" w:hAnsi="Arial"/>
          <w:sz w:val="18"/>
          <w:szCs w:val="18"/>
          <w:color w:val="252525"/>
        </w:rPr>
        <w:t>financial statements for disclosure of matters related to regulatory matters.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2014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September 30,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July 1, 2015 through July 31, 2015</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177,158,921</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August 1, 2015 through August 31,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593,868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593,868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152,158,982</w:t>
            </w:r>
          </w:p>
        </w:tc>
        <w:tc>
          <w:tcPr>
            <w:tcW w:w="0" w:type="dxa"/>
            <w:vAlign w:val="bottom"/>
          </w:tcPr>
          <w:p>
            <w:pPr>
              <w:spacing w:after="0"/>
              <w:rPr>
                <w:sz w:val="1"/>
                <w:szCs w:val="1"/>
                <w:color w:val="auto"/>
              </w:rPr>
            </w:pPr>
          </w:p>
        </w:tc>
      </w:tr>
      <w:tr>
        <w:trPr>
          <w:trHeight w:val="273"/>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1, 2015 through September 30, 2015</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152,158,982</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July 1, 2015 through September 30, 2015</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593,868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593,868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152,158,982</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6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64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279"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(previously filed as Exhibit 3.1 to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9, 2014,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9980" w:type="dxa"/>
            <w:vAlign w:val="bottom"/>
          </w:tcPr>
          <w:p>
            <w:pPr>
              <w:ind w:left="180"/>
              <w:spacing w:after="0"/>
              <w:rPr>
                <w:sz w:val="20"/>
                <w:szCs w:val="20"/>
                <w:color w:val="auto"/>
              </w:rPr>
            </w:pPr>
            <w:r>
              <w:rPr>
                <w:rFonts w:ascii="Arial" w:cs="Arial" w:eastAsia="Arial" w:hAnsi="Arial"/>
                <w:sz w:val="18"/>
                <w:szCs w:val="18"/>
                <w:color w:val="auto"/>
              </w:rPr>
              <w:t>Fifth Amended and Restated Bylaws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March 12, 2014 and incorporated herein by reference)</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6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99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Filed herewith.</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118" w:right="439" w:bottom="1440" w:gutter="0" w:footer="0" w:header="0"/>
        </w:sectPr>
      </w:pPr>
    </w:p>
    <w:bookmarkStart w:id="52" w:name="page53"/>
    <w:bookmarkEnd w:id="5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J. Audette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60"/>
          </w:cols>
          <w:pgMar w:left="240" w:top="118" w:right="7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2015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2015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decimal"/>
      <w:start w:val="12"/>
    </w:lvl>
  </w:abstractNum>
  <w:abstractNum w:abstractNumId="14">
    <w:nsid w:val="189A769B"/>
    <w:multiLevelType w:val="hybridMultilevel"/>
    <w:lvl w:ilvl="0">
      <w:lvlJc w:val="left"/>
      <w:lvlText w:val="%1."/>
      <w:numFmt w:val="decimal"/>
      <w:start w:val="13"/>
    </w:lvl>
  </w:abstractNum>
  <w:abstractNum w:abstractNumId="15">
    <w:nsid w:val="54E49EB4"/>
    <w:multiLevelType w:val="hybridMultilevel"/>
    <w:lvl w:ilvl="0">
      <w:lvlJc w:val="left"/>
      <w:lvlText w:val="%1."/>
      <w:numFmt w:val="decimal"/>
      <w:start w:val="14"/>
    </w:lvl>
  </w:abstractNum>
  <w:abstractNum w:abstractNumId="16">
    <w:nsid w:val="71F32454"/>
    <w:multiLevelType w:val="hybridMultilevel"/>
    <w:lvl w:ilvl="0">
      <w:lvlJc w:val="left"/>
      <w:lvlText w:val="%1."/>
      <w:numFmt w:val="decimal"/>
      <w:start w:val="15"/>
    </w:lvl>
  </w:abstractNum>
  <w:abstractNum w:abstractNumId="17">
    <w:nsid w:val="2CA88611"/>
    <w:multiLevelType w:val="hybridMultilevel"/>
    <w:lvl w:ilvl="0">
      <w:lvlJc w:val="left"/>
      <w:lvlText w:val="%1."/>
      <w:numFmt w:val="decimal"/>
      <w:start w:val="16"/>
    </w:lvl>
  </w:abstractNum>
  <w:abstractNum w:abstractNumId="18">
    <w:nsid w:val="836C40E"/>
    <w:multiLevelType w:val="hybridMultilevel"/>
    <w:lvl w:ilvl="0">
      <w:lvlJc w:val="left"/>
      <w:lvlText w:val="%1."/>
      <w:numFmt w:val="decimal"/>
      <w:start w:val="17"/>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decimal"/>
      <w:start w:val="3"/>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4"/>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2019-12-29T15:42:28Z</dcterms:created>
  <dcterms:modified xsi:type="dcterms:W3CDTF">2019-12-29T15:42:28Z</dcterms:modified>
</cp:coreProperties>
</file>