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ind w:left="1380" w:right="1920" w:hanging="1048"/>
        <w:spacing w:after="0" w:line="251"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2" w:lineRule="exact"/>
        <w:rPr>
          <w:rFonts w:ascii="MS PGothic" w:cs="MS PGothic" w:eastAsia="MS PGothic" w:hAnsi="MS PGothic"/>
          <w:sz w:val="18"/>
          <w:szCs w:val="18"/>
          <w:color w:val="auto"/>
        </w:rPr>
      </w:pPr>
    </w:p>
    <w:p>
      <w:pPr>
        <w:ind w:left="1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2011</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0"/>
          <w:szCs w:val="20"/>
          <w:color w:val="auto"/>
        </w:rPr>
      </w:pPr>
    </w:p>
    <w:p>
      <w:pPr>
        <w:ind w:left="1380" w:right="1920" w:hanging="1012"/>
        <w:spacing w:after="0" w:line="271"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60"/>
          </w:cols>
          <w:pgMar w:left="240" w:top="122" w:right="299" w:bottom="1440" w:gutter="0" w:footer="0" w:header="0"/>
        </w:sectPr>
      </w:pPr>
    </w:p>
    <w:p>
      <w:pPr>
        <w:spacing w:after="0" w:line="46" w:lineRule="exact"/>
        <w:rPr>
          <w:sz w:val="20"/>
          <w:szCs w:val="20"/>
          <w:color w:val="auto"/>
        </w:rPr>
      </w:pPr>
    </w:p>
    <w:p>
      <w:pPr>
        <w:ind w:left="1380"/>
        <w:spacing w:after="0"/>
        <w:tabs>
          <w:tab w:leader="none" w:pos="4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04"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Commission File Number: 001-34963</w:t>
      </w:r>
    </w:p>
    <w:p>
      <w:pPr>
        <w:sectPr>
          <w:pgSz w:w="11900" w:h="16838" w:orient="portrait"/>
          <w:cols w:equalWidth="0" w:num="1">
            <w:col w:w="11360"/>
          </w:cols>
          <w:pgMar w:left="240" w:top="122" w:right="299" w:bottom="1440" w:gutter="0" w:footer="0" w:header="0"/>
          <w:type w:val="continuous"/>
        </w:sectPr>
      </w:pP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LPL Investment Holdings Inc.</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5"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4160" w:type="dxa"/>
            <w:vAlign w:val="bottom"/>
          </w:tcPr>
          <w:p>
            <w:pPr>
              <w:jc w:val="center"/>
              <w:ind w:right="1710"/>
              <w:spacing w:after="0"/>
              <w:rPr>
                <w:sz w:val="20"/>
                <w:szCs w:val="20"/>
                <w:color w:val="auto"/>
              </w:rPr>
            </w:pPr>
            <w:r>
              <w:rPr>
                <w:rFonts w:ascii="Arial" w:cs="Arial" w:eastAsia="Arial" w:hAnsi="Arial"/>
                <w:sz w:val="18"/>
                <w:szCs w:val="18"/>
                <w:b w:val="1"/>
                <w:bCs w:val="1"/>
                <w:color w:val="auto"/>
              </w:rPr>
              <w:t>Delaware</w:t>
            </w:r>
          </w:p>
        </w:tc>
        <w:tc>
          <w:tcPr>
            <w:tcW w:w="322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20-3717839</w:t>
            </w:r>
          </w:p>
        </w:tc>
      </w:tr>
      <w:tr>
        <w:trPr>
          <w:trHeight w:val="203"/>
        </w:trPr>
        <w:tc>
          <w:tcPr>
            <w:tcW w:w="4160" w:type="dxa"/>
            <w:vAlign w:val="bottom"/>
          </w:tcPr>
          <w:p>
            <w:pPr>
              <w:jc w:val="center"/>
              <w:ind w:right="1710"/>
              <w:spacing w:after="0" w:line="202" w:lineRule="exact"/>
              <w:rPr>
                <w:sz w:val="20"/>
                <w:szCs w:val="20"/>
                <w:color w:val="auto"/>
              </w:rPr>
            </w:pPr>
            <w:r>
              <w:rPr>
                <w:rFonts w:ascii="Arial" w:cs="Arial" w:eastAsia="Arial" w:hAnsi="Arial"/>
                <w:sz w:val="18"/>
                <w:szCs w:val="18"/>
                <w:i w:val="1"/>
                <w:iCs w:val="1"/>
                <w:color w:val="auto"/>
                <w:w w:val="99"/>
              </w:rPr>
              <w:t>(State or other jurisdiction of</w:t>
            </w:r>
          </w:p>
        </w:tc>
        <w:tc>
          <w:tcPr>
            <w:tcW w:w="3220" w:type="dxa"/>
            <w:vAlign w:val="bottom"/>
          </w:tcPr>
          <w:p>
            <w:pPr>
              <w:jc w:val="center"/>
              <w:ind w:left="1730"/>
              <w:spacing w:after="0" w:line="202" w:lineRule="exact"/>
              <w:rPr>
                <w:sz w:val="20"/>
                <w:szCs w:val="20"/>
                <w:color w:val="auto"/>
              </w:rPr>
            </w:pPr>
            <w:r>
              <w:rPr>
                <w:rFonts w:ascii="Arial" w:cs="Arial" w:eastAsia="Arial" w:hAnsi="Arial"/>
                <w:sz w:val="18"/>
                <w:szCs w:val="18"/>
                <w:i w:val="1"/>
                <w:iCs w:val="1"/>
                <w:color w:val="auto"/>
                <w:w w:val="99"/>
              </w:rPr>
              <w:t>(I.R.S. Employer</w:t>
            </w:r>
          </w:p>
        </w:tc>
      </w:tr>
      <w:tr>
        <w:trPr>
          <w:trHeight w:val="235"/>
        </w:trPr>
        <w:tc>
          <w:tcPr>
            <w:tcW w:w="4160" w:type="dxa"/>
            <w:vAlign w:val="bottom"/>
          </w:tcPr>
          <w:p>
            <w:pPr>
              <w:jc w:val="center"/>
              <w:ind w:right="1730"/>
              <w:spacing w:after="0"/>
              <w:rPr>
                <w:sz w:val="20"/>
                <w:szCs w:val="20"/>
                <w:color w:val="auto"/>
              </w:rPr>
            </w:pPr>
            <w:r>
              <w:rPr>
                <w:rFonts w:ascii="Arial" w:cs="Arial" w:eastAsia="Arial" w:hAnsi="Arial"/>
                <w:sz w:val="18"/>
                <w:szCs w:val="18"/>
                <w:i w:val="1"/>
                <w:iCs w:val="1"/>
                <w:color w:val="auto"/>
                <w:w w:val="99"/>
              </w:rPr>
              <w:t>incorporation or organization)</w:t>
            </w:r>
          </w:p>
        </w:tc>
        <w:tc>
          <w:tcPr>
            <w:tcW w:w="3220" w:type="dxa"/>
            <w:vAlign w:val="bottom"/>
          </w:tcPr>
          <w:p>
            <w:pPr>
              <w:jc w:val="center"/>
              <w:ind w:left="17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Beacon Street, Boston, MA 02108</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31" w:lineRule="exact"/>
        <w:rPr>
          <w:sz w:val="20"/>
          <w:szCs w:val="20"/>
          <w:color w:val="auto"/>
        </w:rPr>
      </w:pPr>
    </w:p>
    <w:p>
      <w:pPr>
        <w:jc w:val="both"/>
        <w:ind w:right="80" w:firstLine="25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28" w:lineRule="exact"/>
        <w:rPr>
          <w:sz w:val="20"/>
          <w:szCs w:val="20"/>
          <w:color w:val="auto"/>
        </w:rPr>
      </w:pPr>
    </w:p>
    <w:p>
      <w:pPr>
        <w:ind w:right="300" w:firstLine="250"/>
        <w:spacing w:after="0" w:line="23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2" w:lineRule="exact"/>
        <w:rPr>
          <w:sz w:val="20"/>
          <w:szCs w:val="20"/>
          <w:color w:val="auto"/>
        </w:rPr>
      </w:pPr>
    </w:p>
    <w:p>
      <w:pPr>
        <w:spacing w:after="0" w:line="207" w:lineRule="exact"/>
        <w:tabs>
          <w:tab w:leader="none" w:pos="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7"/>
          <w:szCs w:val="17"/>
          <w:color w:val="auto"/>
        </w:rPr>
        <w:t>o No</w:t>
      </w:r>
    </w:p>
    <w:p>
      <w:pPr>
        <w:spacing w:after="0" w:line="158" w:lineRule="exact"/>
        <w:rPr>
          <w:sz w:val="20"/>
          <w:szCs w:val="20"/>
          <w:color w:val="auto"/>
        </w:rPr>
      </w:pPr>
    </w:p>
    <w:p>
      <w:pPr>
        <w:jc w:val="both"/>
        <w:ind w:firstLine="25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7" w:lineRule="exact"/>
        <w:rPr>
          <w:sz w:val="20"/>
          <w:szCs w:val="20"/>
          <w:color w:val="auto"/>
        </w:rPr>
      </w:pPr>
    </w:p>
    <w:p>
      <w:pPr>
        <w:ind w:left="3520" w:right="280" w:hanging="5551"/>
        <w:spacing w:after="0" w:line="193" w:lineRule="exact"/>
        <w:tabs>
          <w:tab w:leader="none" w:pos="350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o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o (Do not check if a smaller reporting company)</w:t>
      </w:r>
    </w:p>
    <w:p>
      <w:pPr>
        <w:spacing w:after="0" w:line="298" w:lineRule="exact"/>
        <w:rPr>
          <w:sz w:val="20"/>
          <w:szCs w:val="20"/>
          <w:color w:val="auto"/>
        </w:rPr>
      </w:pPr>
    </w:p>
    <w:p>
      <w:pPr>
        <w:ind w:right="2100" w:firstLine="25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$0.001 per share, outstanding as of July 26, 2011 was 107,828,819.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60" w:type="dxa"/>
            <w:vAlign w:val="bottom"/>
            <w:gridSpan w:val="24"/>
          </w:tcPr>
          <w:p>
            <w:pPr>
              <w:spacing w:after="0"/>
              <w:rPr>
                <w:sz w:val="20"/>
                <w:szCs w:val="20"/>
                <w:color w:val="auto"/>
              </w:rPr>
            </w:pPr>
            <w:r>
              <w:rPr>
                <w:rFonts w:ascii="Arial" w:cs="Arial" w:eastAsia="Arial" w:hAnsi="Arial"/>
                <w:sz w:val="14"/>
                <w:szCs w:val="14"/>
                <w:b w:val="1"/>
                <w:bCs w:val="1"/>
                <w:color w:val="auto"/>
              </w:rPr>
              <w:t>Item Number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7"/>
        </w:trPr>
        <w:tc>
          <w:tcPr>
            <w:tcW w:w="10860" w:type="dxa"/>
            <w:vAlign w:val="bottom"/>
            <w:gridSpan w:val="2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440" w:type="dxa"/>
            <w:vAlign w:val="bottom"/>
          </w:tcPr>
          <w:p>
            <w:pPr>
              <w:spacing w:after="0"/>
              <w:rPr>
                <w:sz w:val="24"/>
                <w:szCs w:val="24"/>
                <w:color w:val="auto"/>
              </w:rPr>
            </w:pPr>
          </w:p>
        </w:tc>
      </w:tr>
      <w:tr>
        <w:trPr>
          <w:trHeight w:val="358"/>
        </w:trPr>
        <w:tc>
          <w:tcPr>
            <w:tcW w:w="1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1.</w:t>
              </w:r>
            </w:hyperlink>
          </w:p>
        </w:tc>
        <w:tc>
          <w:tcPr>
            <w:tcW w:w="2960" w:type="dxa"/>
            <w:vAlign w:val="bottom"/>
            <w:tcBorders>
              <w:top w:val="single" w:sz="8" w:color="0000EE"/>
            </w:tcBorders>
            <w:gridSpan w:val="13"/>
          </w:tcPr>
          <w:p>
            <w:pPr>
              <w:ind w:lef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w:t>
              </w:r>
            </w:hyperlink>
          </w:p>
        </w:tc>
        <w:tc>
          <w:tcPr>
            <w:tcW w:w="772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 (unaudited)</w:t>
              </w:r>
            </w:hyperlink>
          </w:p>
        </w:tc>
        <w:tc>
          <w:tcPr>
            <w:tcW w:w="506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Financial Condition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5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(unaudited)</w:t>
              </w:r>
            </w:hyperlink>
          </w:p>
        </w:tc>
        <w:tc>
          <w:tcPr>
            <w:tcW w:w="680" w:type="dxa"/>
            <w:vAlign w:val="bottom"/>
            <w:tcBorders>
              <w:top w:val="single" w:sz="8" w:color="0000EE"/>
            </w:tcBorders>
            <w:gridSpan w:val="3"/>
          </w:tcPr>
          <w:p>
            <w:pPr>
              <w:spacing w:after="0"/>
              <w:rPr>
                <w:sz w:val="24"/>
                <w:szCs w:val="24"/>
                <w:color w:val="auto"/>
              </w:rPr>
            </w:pPr>
          </w:p>
        </w:tc>
        <w:tc>
          <w:tcPr>
            <w:tcW w:w="432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5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Condensed Consolidated Financial Statements (unaudited)</w:t>
              </w:r>
            </w:hyperlink>
          </w:p>
        </w:tc>
        <w:tc>
          <w:tcPr>
            <w:tcW w:w="470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58"/>
        </w:trPr>
        <w:tc>
          <w:tcPr>
            <w:tcW w:w="18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w:t>
              </w:r>
            </w:hyperlink>
          </w:p>
        </w:tc>
        <w:tc>
          <w:tcPr>
            <w:tcW w:w="7680" w:type="dxa"/>
            <w:vAlign w:val="bottom"/>
            <w:tcBorders>
              <w:bottom w:val="single" w:sz="8" w:color="0000EE"/>
            </w:tcBorders>
            <w:gridSpan w:val="21"/>
          </w:tcPr>
          <w:p>
            <w:pPr>
              <w:ind w:left="20"/>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Management’s Discussion and Analysis of Financial Condition and Results of Operations</w:t>
              </w:r>
            </w:hyperlink>
          </w:p>
        </w:tc>
        <w:tc>
          <w:tcPr>
            <w:tcW w:w="3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58"/>
        </w:trPr>
        <w:tc>
          <w:tcPr>
            <w:tcW w:w="180" w:type="dxa"/>
            <w:vAlign w:val="bottom"/>
            <w:gridSpan w:val="2"/>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3.</w:t>
              </w:r>
            </w:hyperlink>
          </w:p>
        </w:tc>
        <w:tc>
          <w:tcPr>
            <w:tcW w:w="10680" w:type="dxa"/>
            <w:vAlign w:val="bottom"/>
            <w:gridSpan w:val="22"/>
          </w:tcPr>
          <w:p>
            <w:pPr>
              <w:ind w:left="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58"/>
        </w:trPr>
        <w:tc>
          <w:tcPr>
            <w:tcW w:w="1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4.</w:t>
              </w:r>
            </w:hyperlink>
          </w:p>
        </w:tc>
        <w:tc>
          <w:tcPr>
            <w:tcW w:w="2180" w:type="dxa"/>
            <w:vAlign w:val="bottom"/>
            <w:tcBorders>
              <w:top w:val="single" w:sz="8" w:color="0000EE"/>
              <w:bottom w:val="single" w:sz="8" w:color="0000EE"/>
            </w:tcBorders>
            <w:gridSpan w:val="10"/>
          </w:tcPr>
          <w:p>
            <w:pPr>
              <w:ind w:left="20"/>
              <w:spacing w:after="0"/>
              <w:rPr>
                <w:rFonts w:ascii="Arial" w:cs="Arial" w:eastAsia="Arial" w:hAnsi="Arial"/>
                <w:sz w:val="18"/>
                <w:szCs w:val="18"/>
                <w:b w:val="1"/>
                <w:bCs w:val="1"/>
                <w:color w:val="0000EE"/>
                <w:w w:val="99"/>
              </w:rPr>
            </w:pPr>
            <w:hyperlink w:anchor="page53">
              <w:r>
                <w:rPr>
                  <w:rFonts w:ascii="Arial" w:cs="Arial" w:eastAsia="Arial" w:hAnsi="Arial"/>
                  <w:sz w:val="18"/>
                  <w:szCs w:val="18"/>
                  <w:b w:val="1"/>
                  <w:bCs w:val="1"/>
                  <w:color w:val="0000EE"/>
                  <w:w w:val="99"/>
                </w:rPr>
                <w:t>Controls and Procedures</w:t>
              </w:r>
            </w:hyperlink>
          </w:p>
        </w:tc>
        <w:tc>
          <w:tcPr>
            <w:tcW w:w="2920" w:type="dxa"/>
            <w:vAlign w:val="bottom"/>
            <w:tcBorders>
              <w:top w:val="single" w:sz="8" w:color="0000EE"/>
            </w:tcBorders>
            <w:gridSpan w:val="4"/>
          </w:tcPr>
          <w:p>
            <w:pPr>
              <w:spacing w:after="0"/>
              <w:rPr>
                <w:sz w:val="24"/>
                <w:szCs w:val="24"/>
                <w:color w:val="auto"/>
              </w:rPr>
            </w:pPr>
          </w:p>
        </w:tc>
        <w:tc>
          <w:tcPr>
            <w:tcW w:w="55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58"/>
        </w:trPr>
        <w:tc>
          <w:tcPr>
            <w:tcW w:w="2860" w:type="dxa"/>
            <w:vAlign w:val="bottom"/>
            <w:tcBorders>
              <w:bottom w:val="single" w:sz="8" w:color="0000EE"/>
            </w:tcBorders>
            <w:gridSpan w:val="13"/>
          </w:tcPr>
          <w:p>
            <w:pPr>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PART II — OTHER INFORMATION</w:t>
              </w:r>
            </w:hyperlink>
          </w:p>
        </w:tc>
        <w:tc>
          <w:tcPr>
            <w:tcW w:w="800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180" w:type="dxa"/>
            <w:vAlign w:val="bottom"/>
            <w:gridSpan w:val="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1.</w:t>
              </w:r>
            </w:hyperlink>
          </w:p>
        </w:tc>
        <w:tc>
          <w:tcPr>
            <w:tcW w:w="10680" w:type="dxa"/>
            <w:vAlign w:val="bottom"/>
            <w:gridSpan w:val="22"/>
          </w:tcPr>
          <w:p>
            <w:pPr>
              <w:ind w:lef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142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1A. Risk Factors</w:t>
              </w:r>
            </w:hyperlink>
          </w:p>
        </w:tc>
        <w:tc>
          <w:tcPr>
            <w:tcW w:w="380" w:type="dxa"/>
            <w:vAlign w:val="bottom"/>
            <w:tcBorders>
              <w:top w:val="single" w:sz="8" w:color="0000EE"/>
            </w:tcBorders>
            <w:gridSpan w:val="2"/>
          </w:tcPr>
          <w:p>
            <w:pPr>
              <w:spacing w:after="0"/>
              <w:rPr>
                <w:sz w:val="24"/>
                <w:szCs w:val="24"/>
                <w:color w:val="auto"/>
              </w:rPr>
            </w:pPr>
          </w:p>
        </w:tc>
        <w:tc>
          <w:tcPr>
            <w:tcW w:w="906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18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2.</w:t>
              </w:r>
            </w:hyperlink>
          </w:p>
        </w:tc>
        <w:tc>
          <w:tcPr>
            <w:tcW w:w="5220" w:type="dxa"/>
            <w:vAlign w:val="bottom"/>
            <w:tcBorders>
              <w:bottom w:val="single" w:sz="8" w:color="0000EE"/>
            </w:tcBorders>
            <w:gridSpan w:val="15"/>
          </w:tcPr>
          <w:p>
            <w:pPr>
              <w:ind w:left="20"/>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Unregistered Sales of Equity Securities and Use of Proceeds</w:t>
              </w:r>
            </w:hyperlink>
          </w:p>
        </w:tc>
        <w:tc>
          <w:tcPr>
            <w:tcW w:w="546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180" w:type="dxa"/>
            <w:vAlign w:val="bottom"/>
            <w:gridSpan w:val="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3.</w:t>
              </w:r>
            </w:hyperlink>
          </w:p>
        </w:tc>
        <w:tc>
          <w:tcPr>
            <w:tcW w:w="10680" w:type="dxa"/>
            <w:vAlign w:val="bottom"/>
            <w:gridSpan w:val="22"/>
          </w:tcPr>
          <w:p>
            <w:pPr>
              <w:ind w:lef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29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4. Removed and Reserved</w:t>
              </w:r>
            </w:hyperlink>
          </w:p>
        </w:tc>
        <w:tc>
          <w:tcPr>
            <w:tcW w:w="792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1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w:t>
              </w:r>
            </w:hyperlink>
          </w:p>
        </w:tc>
        <w:tc>
          <w:tcPr>
            <w:tcW w:w="2060" w:type="dxa"/>
            <w:vAlign w:val="bottom"/>
            <w:tcBorders>
              <w:top w:val="single" w:sz="8" w:color="0000EE"/>
            </w:tcBorders>
            <w:gridSpan w:val="9"/>
          </w:tcPr>
          <w:p>
            <w:pPr>
              <w:ind w:lef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Other Information</w:t>
              </w:r>
            </w:hyperlink>
          </w:p>
        </w:tc>
        <w:tc>
          <w:tcPr>
            <w:tcW w:w="86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58"/>
        </w:trPr>
        <w:tc>
          <w:tcPr>
            <w:tcW w:w="1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6.</w:t>
              </w:r>
            </w:hyperlink>
          </w:p>
        </w:tc>
        <w:tc>
          <w:tcPr>
            <w:tcW w:w="1540" w:type="dxa"/>
            <w:vAlign w:val="bottom"/>
            <w:tcBorders>
              <w:top w:val="single" w:sz="8" w:color="0000EE"/>
            </w:tcBorders>
            <w:gridSpan w:val="6"/>
          </w:tcPr>
          <w:p>
            <w:pPr>
              <w:ind w:lef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Exhibits</w:t>
              </w:r>
            </w:hyperlink>
          </w:p>
        </w:tc>
        <w:tc>
          <w:tcPr>
            <w:tcW w:w="914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18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SIGNATURES</w:t>
              </w:r>
            </w:hyperlink>
          </w:p>
        </w:tc>
        <w:tc>
          <w:tcPr>
            <w:tcW w:w="9680" w:type="dxa"/>
            <w:vAlign w:val="bottom"/>
            <w:gridSpan w:val="1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83"/>
        </w:trPr>
        <w:tc>
          <w:tcPr>
            <w:tcW w:w="6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EX-31.1</w:t>
            </w:r>
          </w:p>
        </w:tc>
        <w:tc>
          <w:tcPr>
            <w:tcW w:w="10160" w:type="dxa"/>
            <w:vAlign w:val="bottom"/>
            <w:gridSpan w:val="21"/>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EX-31.2</w:t>
            </w:r>
          </w:p>
        </w:tc>
        <w:tc>
          <w:tcPr>
            <w:tcW w:w="10160" w:type="dxa"/>
            <w:vAlign w:val="bottom"/>
            <w:gridSpan w:val="21"/>
          </w:tcPr>
          <w:p>
            <w:pPr>
              <w:spacing w:after="0"/>
              <w:rPr>
                <w:sz w:val="15"/>
                <w:szCs w:val="15"/>
                <w:color w:val="auto"/>
              </w:rPr>
            </w:pPr>
          </w:p>
        </w:tc>
        <w:tc>
          <w:tcPr>
            <w:tcW w:w="440" w:type="dxa"/>
            <w:vAlign w:val="bottom"/>
          </w:tcPr>
          <w:p>
            <w:pPr>
              <w:spacing w:after="0"/>
              <w:rPr>
                <w:sz w:val="15"/>
                <w:szCs w:val="15"/>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ind w:left="60"/>
        <w:spacing w:after="0" w:line="234" w:lineRule="auto"/>
        <w:rPr>
          <w:sz w:val="20"/>
          <w:szCs w:val="20"/>
          <w:color w:val="auto"/>
        </w:rPr>
      </w:pPr>
      <w:r>
        <w:rPr>
          <w:rFonts w:ascii="Arial" w:cs="Arial" w:eastAsia="Arial" w:hAnsi="Arial"/>
          <w:sz w:val="18"/>
          <w:szCs w:val="18"/>
          <w:u w:val="single" w:color="auto"/>
          <w:color w:val="0000EE"/>
        </w:rPr>
        <w:t>EX-32.2</w:t>
      </w:r>
    </w:p>
    <w:p>
      <w:pPr>
        <w:ind w:left="60"/>
        <w:spacing w:after="0" w:line="235" w:lineRule="auto"/>
        <w:rPr>
          <w:sz w:val="20"/>
          <w:szCs w:val="20"/>
          <w:color w:val="auto"/>
        </w:rPr>
      </w:pPr>
      <w:r>
        <w:rPr>
          <w:rFonts w:ascii="Arial" w:cs="Arial" w:eastAsia="Arial" w:hAnsi="Arial"/>
          <w:sz w:val="18"/>
          <w:szCs w:val="18"/>
          <w:u w:val="single" w:color="auto"/>
          <w:color w:val="0000EE"/>
        </w:rPr>
        <w:t>EX-101 INSTANCE DOCUMENT</w:t>
      </w:r>
    </w:p>
    <w:p>
      <w:pPr>
        <w:ind w:left="60"/>
        <w:spacing w:after="0" w:line="235" w:lineRule="auto"/>
        <w:rPr>
          <w:sz w:val="20"/>
          <w:szCs w:val="20"/>
          <w:color w:val="auto"/>
        </w:rPr>
      </w:pPr>
      <w:r>
        <w:rPr>
          <w:rFonts w:ascii="Arial" w:cs="Arial" w:eastAsia="Arial" w:hAnsi="Arial"/>
          <w:sz w:val="18"/>
          <w:szCs w:val="18"/>
          <w:u w:val="single" w:color="auto"/>
          <w:color w:val="0000EE"/>
        </w:rPr>
        <w:t>EX-101 SCHEMA DOCUMENT</w:t>
      </w:r>
    </w:p>
    <w:p>
      <w:pPr>
        <w:ind w:left="60"/>
        <w:spacing w:after="0" w:line="235" w:lineRule="auto"/>
        <w:rPr>
          <w:sz w:val="20"/>
          <w:szCs w:val="20"/>
          <w:color w:val="auto"/>
        </w:rPr>
      </w:pPr>
      <w:r>
        <w:rPr>
          <w:rFonts w:ascii="Arial" w:cs="Arial" w:eastAsia="Arial" w:hAnsi="Arial"/>
          <w:sz w:val="18"/>
          <w:szCs w:val="18"/>
          <w:u w:val="single" w:color="auto"/>
          <w:color w:val="0000EE"/>
        </w:rPr>
        <w:t>EX-101 CALCULATION LINKBASE DOCUMENT</w:t>
      </w:r>
    </w:p>
    <w:p>
      <w:pPr>
        <w:ind w:left="60"/>
        <w:spacing w:after="0" w:line="235" w:lineRule="auto"/>
        <w:rPr>
          <w:sz w:val="20"/>
          <w:szCs w:val="20"/>
          <w:color w:val="auto"/>
        </w:rPr>
      </w:pPr>
      <w:r>
        <w:rPr>
          <w:rFonts w:ascii="Arial" w:cs="Arial" w:eastAsia="Arial" w:hAnsi="Arial"/>
          <w:sz w:val="18"/>
          <w:szCs w:val="18"/>
          <w:u w:val="single" w:color="auto"/>
          <w:color w:val="0000EE"/>
        </w:rPr>
        <w:t>EX-101 LABELS LINKBASE DOCUMENT</w:t>
      </w:r>
    </w:p>
    <w:p>
      <w:pPr>
        <w:ind w:left="60"/>
        <w:spacing w:after="0" w:line="235" w:lineRule="auto"/>
        <w:rPr>
          <w:sz w:val="20"/>
          <w:szCs w:val="20"/>
          <w:color w:val="auto"/>
        </w:rPr>
      </w:pPr>
      <w:r>
        <w:rPr>
          <w:rFonts w:ascii="Arial" w:cs="Arial" w:eastAsia="Arial" w:hAnsi="Arial"/>
          <w:sz w:val="18"/>
          <w:szCs w:val="18"/>
          <w:u w:val="single" w:color="auto"/>
          <w:color w:val="0000EE"/>
        </w:rPr>
        <w:t>EX-101 PRESENTATION LINKBASE DOCUMENT</w:t>
      </w: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4"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7"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color w:val="auto"/>
        </w:rPr>
        <w:t xml:space="preserve">We are required to file annual, quarterly and current reports and other information required by the Securities Exchange Act of 1934, as amended (the “Exchange Act”), with the Securities and Exchange Commission, or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w:t>
      </w:r>
    </w:p>
    <w:p>
      <w:pPr>
        <w:spacing w:after="0" w:line="162" w:lineRule="exact"/>
        <w:rPr>
          <w:sz w:val="20"/>
          <w:szCs w:val="20"/>
          <w:color w:val="auto"/>
        </w:rPr>
      </w:pPr>
    </w:p>
    <w:p>
      <w:pPr>
        <w:ind w:right="160" w:firstLine="250"/>
        <w:spacing w:after="0" w:line="237"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recent filings as soon as reasonably practicable after they are electronically filed with or furnished to the SEC: our annual reports on Form 10-K,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One Beacon Street, 22nd Floor, Boston, MA 02108). The information contained or incorporated on our website is not a part of this Quarterly Report on Form 10-Q.</w:t>
      </w:r>
    </w:p>
    <w:p>
      <w:pPr>
        <w:spacing w:after="0" w:line="147" w:lineRule="exact"/>
        <w:rPr>
          <w:sz w:val="20"/>
          <w:szCs w:val="20"/>
          <w:color w:val="auto"/>
        </w:rPr>
      </w:pPr>
    </w:p>
    <w:p>
      <w:pPr>
        <w:ind w:firstLine="250"/>
        <w:spacing w:after="0" w:line="267" w:lineRule="auto"/>
        <w:rPr>
          <w:sz w:val="20"/>
          <w:szCs w:val="20"/>
          <w:color w:val="auto"/>
        </w:rPr>
      </w:pPr>
      <w:r>
        <w:rPr>
          <w:rFonts w:ascii="Arial" w:cs="Arial" w:eastAsia="Arial" w:hAnsi="Arial"/>
          <w:sz w:val="18"/>
          <w:szCs w:val="18"/>
          <w:i w:val="1"/>
          <w:iCs w:val="1"/>
          <w:color w:val="auto"/>
        </w:rPr>
        <w:t>When we use the terms “LPLIH”, “we”, “us”, “our”, and the “Company” we mean LPL Investment Holdings Inc., a Delaware corporation, and its consolidated subsidiaries, taken as a whole, unless the context otherwise indicates.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Item 2 — “Management’s Discussion and Analysis of Financial Condition and Results of Operations” and other sections of this Quarterly Report on Form 10-Q contain forward-looking statements (regarding future financial position, budgets, business strategy, projected costs, plans, objectives of management for future operations, and other similar matters) that involve risks and uncertainties. Forward-looking statements can be identified by words such as “anticipates”, “expects”, “believes”, “plans”, “predicts”, and similar terms. Forward-looking statements are not guarantees of future performance and there are important factors that could cause our actual results, level of activity, performance or achievements to differ materially from the results, level of activity, performance or achievements expressed or implied by the forward-looking statements including, but not limited to, changes in general economic and financial market conditions, fluctuations in the value of assets under management, effects of competition in the financial services industry, changes in the number of our financial advisors and institutions and their ability to effectively market financial products and services, the effect of current, pending and future legislation and regulation and regulatory actions. In particular, you should consider the numerous risks outlined in Part I, Item IA— “Risk Factors” in our 2010 Annual Report on Form 10-K filed with the SEC.</w:t>
      </w:r>
    </w:p>
    <w:p>
      <w:pPr>
        <w:spacing w:after="0" w:line="165" w:lineRule="exact"/>
        <w:rPr>
          <w:sz w:val="20"/>
          <w:szCs w:val="20"/>
          <w:color w:val="auto"/>
        </w:rPr>
      </w:pPr>
    </w:p>
    <w:p>
      <w:pPr>
        <w:ind w:right="20" w:firstLine="240"/>
        <w:spacing w:after="0" w:line="23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You should not rely upon forward-looking statements as predictions of future events. Unless required by law,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Commissions</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459,882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420,169</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911,759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809,141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Advisory fees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264,289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215,146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508,376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421,476</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Asset-based fees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90,504</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77,436</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180,327</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148,886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Transaction and other fees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68,755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68,132</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142,504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135,495</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net of operating interest expense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5,110</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4,906</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10,252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9,777</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14,647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8,792</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Net revenues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893,996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790,161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1,767,865</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1,533,567</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Commissions and advisory fees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624,687</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547,296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9"/>
              </w:rPr>
              <w:t>1,219,365</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1,052,158</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Compensation and benefits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81,410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74,822</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165,552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148,397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Promotional</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14,789</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11,294</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34,325</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25,644</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18,407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22,110</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36,572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47,700</w:t>
            </w: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Occupancy and equipment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12,394</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11,745</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27,919</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23,763</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13,468</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22,653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23,267</w:t>
            </w: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Brokerage, clearing and exchange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9,401</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9,242</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19,050</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17,582</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Communications and data processing</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8,906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8,290</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17,588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16,816</w:t>
            </w: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Regulatory fees and expenses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6,372</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6,529</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12,944</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12,677</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Travel and entertainment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3,218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3,224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7,021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5,620</w:t>
            </w: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charges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4,814</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4,622</w:t>
            </w: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5,351</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8,571</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6,162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8,030</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800,363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715,871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1,574,502</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1,390,225</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Non-operating interest expense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18,154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27,683</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36,326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52,019</w:t>
            </w: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37,979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37,979</w:t>
            </w: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expenses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818,517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781,533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9"/>
              </w:rPr>
              <w:t>1,610,828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1,480,223</w:t>
            </w:r>
          </w:p>
        </w:tc>
      </w:tr>
      <w:tr>
        <w:trPr>
          <w:trHeight w:val="20"/>
        </w:trPr>
        <w:tc>
          <w:tcPr>
            <w:tcW w:w="5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157,037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53,344</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29,972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62,531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19,790</w:t>
            </w:r>
          </w:p>
        </w:tc>
      </w:tr>
      <w:tr>
        <w:trPr>
          <w:trHeight w:val="20"/>
        </w:trPr>
        <w:tc>
          <w:tcPr>
            <w:tcW w:w="5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45,507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94,506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33,554</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 (Note 13):</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0.41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0.09</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0.86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80" w:type="dxa"/>
            <w:vAlign w:val="bottom"/>
            <w:shd w:val="clear" w:color="auto" w:fill="CCEEFF"/>
          </w:tcPr>
          <w:p>
            <w:pPr>
              <w:jc w:val="center"/>
              <w:ind w:right="1510"/>
              <w:spacing w:after="0" w:line="196" w:lineRule="exact"/>
              <w:rPr>
                <w:sz w:val="20"/>
                <w:szCs w:val="20"/>
                <w:color w:val="auto"/>
              </w:rPr>
            </w:pPr>
            <w:r>
              <w:rPr>
                <w:rFonts w:ascii="Arial" w:cs="Arial" w:eastAsia="Arial" w:hAnsi="Arial"/>
                <w:sz w:val="18"/>
                <w:szCs w:val="18"/>
                <w:b w:val="1"/>
                <w:bCs w:val="1"/>
                <w:color w:val="auto"/>
                <w:w w:val="99"/>
              </w:rPr>
              <w:t>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681,471</w:t>
            </w:r>
          </w:p>
        </w:tc>
        <w:tc>
          <w:tcPr>
            <w:tcW w:w="34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419,208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securities segregated under federal and other regulations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225,888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373,634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Receivables from:</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Clients, net of allowance of $656 at June 30, 2011 and $655 at December 31, 2010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288,185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271,051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Product sponsors, broker-dealers and clearing organizations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160,345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203,332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Others, net of allowances of $7,356 at June 30, 2011 and $6,796 at December 31, 2010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187,285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169,391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Securities owned: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Trading(1)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9,740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Held-to-maturity</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11,651</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Securities borrowed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11,550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18,060</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144,041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Fixed assets, net of accumulated depreciation and amortization of $292,384 at June 30, 2011 and $276,501 at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December 31, 2010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81,274</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78,671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1,329,234</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1,293,366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$191,949 at June 30, 2011 and $172,726 at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December 31, 2010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558,488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560,077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spacing w:after="0" w:line="201" w:lineRule="exact"/>
              <w:rPr>
                <w:sz w:val="20"/>
                <w:szCs w:val="20"/>
                <w:color w:val="auto"/>
              </w:rPr>
            </w:pPr>
            <w:r>
              <w:rPr>
                <w:rFonts w:ascii="Arial" w:cs="Arial" w:eastAsia="Arial" w:hAnsi="Arial"/>
                <w:sz w:val="18"/>
                <w:szCs w:val="18"/>
                <w:color w:val="auto"/>
              </w:rPr>
              <w:t>Debt issuance costs, net of accumulated amortization of $16,652 at June 30, 2011 and $14,106 at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December 31, 2010</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21,165</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78,453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82,472</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3,662,789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3,646,167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80" w:type="dxa"/>
            <w:vAlign w:val="bottom"/>
            <w:shd w:val="clear" w:color="auto" w:fill="CCEEFF"/>
          </w:tcPr>
          <w:p>
            <w:pPr>
              <w:jc w:val="center"/>
              <w:ind w:right="1510"/>
              <w:spacing w:after="0" w:line="196" w:lineRule="exact"/>
              <w:rPr>
                <w:sz w:val="20"/>
                <w:szCs w:val="20"/>
                <w:color w:val="auto"/>
              </w:rPr>
            </w:pPr>
            <w:r>
              <w:rPr>
                <w:rFonts w:ascii="Arial" w:cs="Arial" w:eastAsia="Arial" w:hAnsi="Arial"/>
                <w:sz w:val="18"/>
                <w:szCs w:val="18"/>
                <w:b w:val="1"/>
                <w:bCs w:val="1"/>
                <w:color w:val="auto"/>
                <w:w w:val="99"/>
              </w:rPr>
              <w:t>LIABILITIES AND STOCKHOLDERS’ EQUITY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Drafts payable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137,787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Payables to clients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414,808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383,289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37,139</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Accrued commissions and advisory fees payable</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111,336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130,408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161,676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Unearned revenue</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64,078</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53,618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2,836</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Securities sold but not yet purchased — at fair value</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4,061</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credit facilities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1,339,653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1,386,639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taxes — net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125,959</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2,399,333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2,472,412</w:t>
            </w:r>
          </w:p>
        </w:tc>
        <w:tc>
          <w:tcPr>
            <w:tcW w:w="0" w:type="dxa"/>
            <w:vAlign w:val="bottom"/>
          </w:tcPr>
          <w:p>
            <w:pPr>
              <w:spacing w:after="0"/>
              <w:rPr>
                <w:sz w:val="1"/>
                <w:szCs w:val="1"/>
                <w:color w:val="auto"/>
              </w:rPr>
            </w:pPr>
          </w:p>
        </w:tc>
      </w:tr>
      <w:tr>
        <w:trPr>
          <w:trHeight w:val="210"/>
        </w:trPr>
        <w:tc>
          <w:tcPr>
            <w:tcW w:w="90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600,000,000 shares authorized; 110,125,404 shares issued at June 30, 2011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and 108,714,757 shares issued and outstanding at December 31, 2010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7"/>
              </w:rPr>
              <w:t>1,123,739</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1,051,722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Treasury stock, at cost — 2,283,854 shares at June 30, 2011 and 0 shares at December 31, 2010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(79,568)</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(1,751)</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220,926</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1,263,456</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1,173,755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3,662,789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3,646,167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940" w:right="1920" w:hanging="2932"/>
        <w:spacing w:after="0" w:line="464" w:lineRule="auto"/>
        <w:tabs>
          <w:tab w:leader="none" w:pos="271"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$900 and $1,010 pledged to clearing organizations at June 30, 2011 and December 31, 2010, respectively. See notes to unaudited condensed consolidated financial statements.</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8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vMerge w:val="restart"/>
          </w:tcPr>
          <w:p>
            <w:pPr>
              <w:jc w:val="right"/>
              <w:ind w:right="11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2"/>
                <w:szCs w:val="12"/>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1420" w:type="dxa"/>
            <w:vAlign w:val="bottom"/>
            <w:gridSpan w:val="8"/>
            <w:vMerge w:val="restart"/>
          </w:tcPr>
          <w:p>
            <w:pPr>
              <w:jc w:val="right"/>
              <w:ind w:right="36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2"/>
                <w:szCs w:val="12"/>
                <w:color w:val="auto"/>
              </w:rPr>
            </w:pPr>
          </w:p>
        </w:tc>
        <w:tc>
          <w:tcPr>
            <w:tcW w:w="142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Stockholder</w:t>
            </w:r>
          </w:p>
        </w:tc>
        <w:tc>
          <w:tcPr>
            <w:tcW w:w="80" w:type="dxa"/>
            <w:vAlign w:val="bottom"/>
          </w:tcPr>
          <w:p>
            <w:pPr>
              <w:spacing w:after="0"/>
              <w:rPr>
                <w:sz w:val="12"/>
                <w:szCs w:val="12"/>
                <w:color w:val="auto"/>
              </w:rPr>
            </w:pPr>
          </w:p>
        </w:tc>
        <w:tc>
          <w:tcPr>
            <w:tcW w:w="112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line="144" w:lineRule="exact"/>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2"/>
                <w:szCs w:val="12"/>
                <w:color w:val="auto"/>
              </w:rPr>
            </w:pPr>
          </w:p>
        </w:tc>
        <w:tc>
          <w:tcPr>
            <w:tcW w:w="102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80" w:type="dxa"/>
            <w:vAlign w:val="bottom"/>
            <w:tcBorders>
              <w:top w:val="single" w:sz="8" w:color="auto"/>
            </w:tcBorders>
            <w:gridSpan w:val="4"/>
          </w:tcPr>
          <w:p>
            <w:pPr>
              <w:jc w:val="right"/>
              <w:ind w:right="140"/>
              <w:spacing w:after="0" w:line="129"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6"/>
              </w:rPr>
              <w:t>Capital</w:t>
            </w:r>
          </w:p>
        </w:tc>
        <w:tc>
          <w:tcPr>
            <w:tcW w:w="700" w:type="dxa"/>
            <w:vAlign w:val="bottom"/>
            <w:tcBorders>
              <w:top w:val="single" w:sz="8" w:color="auto"/>
            </w:tcBorders>
            <w:gridSpan w:val="4"/>
          </w:tcPr>
          <w:p>
            <w:pPr>
              <w:jc w:val="right"/>
              <w:ind w:right="20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Loans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right"/>
              <w:ind w:right="160"/>
              <w:spacing w:after="0" w:line="129" w:lineRule="exact"/>
              <w:rPr>
                <w:sz w:val="20"/>
                <w:szCs w:val="20"/>
                <w:color w:val="auto"/>
              </w:rPr>
            </w:pPr>
            <w:r>
              <w:rPr>
                <w:rFonts w:ascii="Arial" w:cs="Arial" w:eastAsia="Arial" w:hAnsi="Arial"/>
                <w:sz w:val="13"/>
                <w:szCs w:val="13"/>
                <w:b w:val="1"/>
                <w:bCs w:val="1"/>
                <w:color w:val="auto"/>
                <w:w w:val="93"/>
              </w:rPr>
              <w:t>Earnings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 December 31, 2009</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94,215</w:t>
            </w:r>
          </w:p>
        </w:tc>
        <w:tc>
          <w:tcPr>
            <w:tcW w:w="320" w:type="dxa"/>
            <w:vAlign w:val="bottom"/>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3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rPr>
              <w:t>679,277</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(499)</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(11,272)</w:t>
            </w:r>
          </w:p>
        </w:tc>
        <w:tc>
          <w:tcPr>
            <w:tcW w:w="24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183,282</w:t>
            </w:r>
          </w:p>
        </w:tc>
        <w:tc>
          <w:tcPr>
            <w:tcW w:w="280" w:type="dxa"/>
            <w:vAlign w:val="bottom"/>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850,875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Comprehensive income: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33,554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33,554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ind w:left="200"/>
              <w:spacing w:after="0" w:line="129" w:lineRule="exact"/>
              <w:rPr>
                <w:sz w:val="20"/>
                <w:szCs w:val="20"/>
                <w:color w:val="auto"/>
              </w:rPr>
            </w:pPr>
            <w:r>
              <w:rPr>
                <w:rFonts w:ascii="Arial" w:cs="Arial" w:eastAsia="Arial" w:hAnsi="Arial"/>
                <w:sz w:val="13"/>
                <w:szCs w:val="13"/>
                <w:color w:val="auto"/>
              </w:rPr>
              <w:t>Unrealized gain on interest rate swaps, net of tax</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ind w:left="400"/>
              <w:spacing w:after="0" w:line="141" w:lineRule="exact"/>
              <w:rPr>
                <w:sz w:val="20"/>
                <w:szCs w:val="20"/>
                <w:color w:val="auto"/>
              </w:rPr>
            </w:pPr>
            <w:r>
              <w:rPr>
                <w:rFonts w:ascii="Arial" w:cs="Arial" w:eastAsia="Arial" w:hAnsi="Arial"/>
                <w:sz w:val="13"/>
                <w:szCs w:val="13"/>
                <w:color w:val="auto"/>
              </w:rPr>
              <w:t>expense of $1,761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4,673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4,673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Total comprehensive income</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38,227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Exercise of stock options</w:t>
            </w:r>
          </w:p>
        </w:tc>
        <w:tc>
          <w:tcPr>
            <w:tcW w:w="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Excess tax benefits from share-based</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20" w:type="dxa"/>
            <w:vAlign w:val="bottom"/>
            <w:shd w:val="clear" w:color="auto" w:fill="CCEEFF"/>
          </w:tcPr>
          <w:p>
            <w:pPr>
              <w:ind w:left="280"/>
              <w:spacing w:after="0" w:line="141" w:lineRule="exact"/>
              <w:rPr>
                <w:sz w:val="20"/>
                <w:szCs w:val="20"/>
                <w:color w:val="auto"/>
              </w:rPr>
            </w:pPr>
            <w:r>
              <w:rPr>
                <w:rFonts w:ascii="Arial" w:cs="Arial" w:eastAsia="Arial" w:hAnsi="Arial"/>
                <w:sz w:val="13"/>
                <w:szCs w:val="13"/>
                <w:color w:val="auto"/>
              </w:rPr>
              <w:t>compensation</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Stockholder loans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7,568</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Issuance of common stock</w:t>
            </w:r>
          </w:p>
        </w:tc>
        <w:tc>
          <w:tcPr>
            <w:tcW w:w="46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 June 30, 2010</w:t>
            </w:r>
          </w:p>
        </w:tc>
        <w:tc>
          <w:tcPr>
            <w:tcW w:w="580" w:type="dxa"/>
            <w:vAlign w:val="bottom"/>
            <w:gridSpan w:val="4"/>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94,261</w:t>
            </w:r>
          </w:p>
        </w:tc>
        <w:tc>
          <w:tcPr>
            <w:tcW w:w="32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687,590</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(6,599)</w:t>
            </w:r>
          </w:p>
        </w:tc>
        <w:tc>
          <w:tcPr>
            <w:tcW w:w="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216,836</w:t>
            </w:r>
          </w:p>
        </w:tc>
        <w:tc>
          <w:tcPr>
            <w:tcW w:w="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897,863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3"/>
                <w:szCs w:val="13"/>
                <w:color w:val="auto"/>
              </w:rPr>
              <w:t>BALANCE — December 31, 2010</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tcPr>
          <w:p>
            <w:pPr>
              <w:spacing w:after="0"/>
              <w:rPr>
                <w:sz w:val="11"/>
                <w:szCs w:val="11"/>
                <w:color w:val="auto"/>
              </w:rPr>
            </w:pPr>
          </w:p>
        </w:tc>
        <w:tc>
          <w:tcPr>
            <w:tcW w:w="460" w:type="dxa"/>
            <w:vAlign w:val="bottom"/>
            <w:gridSpan w:val="3"/>
          </w:tcPr>
          <w:p>
            <w:pPr>
              <w:jc w:val="right"/>
              <w:spacing w:after="0" w:line="129" w:lineRule="exact"/>
              <w:rPr>
                <w:sz w:val="20"/>
                <w:szCs w:val="20"/>
                <w:color w:val="auto"/>
              </w:rPr>
            </w:pPr>
            <w:r>
              <w:rPr>
                <w:rFonts w:ascii="Arial" w:cs="Arial" w:eastAsia="Arial" w:hAnsi="Arial"/>
                <w:sz w:val="13"/>
                <w:szCs w:val="13"/>
                <w:color w:val="auto"/>
                <w:w w:val="93"/>
              </w:rPr>
              <w:t>108,715</w:t>
            </w:r>
          </w:p>
        </w:tc>
        <w:tc>
          <w:tcPr>
            <w:tcW w:w="120" w:type="dxa"/>
            <w:vAlign w:val="bottom"/>
          </w:tcPr>
          <w:p>
            <w:pPr>
              <w:spacing w:after="0"/>
              <w:rPr>
                <w:sz w:val="11"/>
                <w:szCs w:val="11"/>
                <w:color w:val="auto"/>
              </w:rPr>
            </w:pPr>
          </w:p>
        </w:tc>
        <w:tc>
          <w:tcPr>
            <w:tcW w:w="320" w:type="dxa"/>
            <w:vAlign w:val="bottom"/>
            <w:gridSpan w:val="2"/>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109</w:t>
            </w:r>
          </w:p>
        </w:tc>
        <w:tc>
          <w:tcPr>
            <w:tcW w:w="3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1,051,722</w:t>
            </w:r>
          </w:p>
        </w:tc>
        <w:tc>
          <w:tcPr>
            <w:tcW w:w="80" w:type="dxa"/>
            <w:vAlign w:val="bottom"/>
          </w:tcPr>
          <w:p>
            <w:pPr>
              <w:spacing w:after="0"/>
              <w:rPr>
                <w:sz w:val="11"/>
                <w:szCs w:val="11"/>
                <w:color w:val="auto"/>
              </w:rPr>
            </w:pPr>
          </w:p>
        </w:tc>
        <w:tc>
          <w:tcPr>
            <w:tcW w:w="620" w:type="dxa"/>
            <w:vAlign w:val="bottom"/>
            <w:gridSpan w:val="3"/>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220" w:type="dxa"/>
            <w:vAlign w:val="bottom"/>
            <w:gridSpan w:val="2"/>
          </w:tcPr>
          <w:p>
            <w:pPr>
              <w:ind w:left="80"/>
              <w:spacing w:after="0" w:line="129"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(4,496)</w:t>
            </w:r>
          </w:p>
        </w:tc>
        <w:tc>
          <w:tcPr>
            <w:tcW w:w="24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20"/>
              <w:spacing w:after="0" w:line="129" w:lineRule="exact"/>
              <w:rPr>
                <w:sz w:val="20"/>
                <w:szCs w:val="20"/>
                <w:color w:val="auto"/>
              </w:rPr>
            </w:pPr>
            <w:r>
              <w:rPr>
                <w:rFonts w:ascii="Arial" w:cs="Arial" w:eastAsia="Arial" w:hAnsi="Arial"/>
                <w:sz w:val="13"/>
                <w:szCs w:val="13"/>
                <w:color w:val="auto"/>
              </w:rPr>
              <w:t>126,420</w:t>
            </w:r>
          </w:p>
        </w:tc>
        <w:tc>
          <w:tcPr>
            <w:tcW w:w="280" w:type="dxa"/>
            <w:vAlign w:val="bottom"/>
            <w:gridSpan w:val="2"/>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1,173,755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Comprehensive income:</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200"/>
              <w:spacing w:after="0" w:line="135" w:lineRule="exact"/>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94,506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94,506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Unrealized gain on interest rate swaps, net of tax</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20" w:type="dxa"/>
            <w:vAlign w:val="bottom"/>
            <w:shd w:val="clear" w:color="auto" w:fill="CCEEFF"/>
          </w:tcPr>
          <w:p>
            <w:pPr>
              <w:ind w:left="400"/>
              <w:spacing w:after="0" w:line="141" w:lineRule="exact"/>
              <w:rPr>
                <w:sz w:val="20"/>
                <w:szCs w:val="20"/>
                <w:color w:val="auto"/>
              </w:rPr>
            </w:pPr>
            <w:r>
              <w:rPr>
                <w:rFonts w:ascii="Arial" w:cs="Arial" w:eastAsia="Arial" w:hAnsi="Arial"/>
                <w:sz w:val="13"/>
                <w:szCs w:val="13"/>
                <w:color w:val="auto"/>
              </w:rPr>
              <w:t>expense of $1,700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2,745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2,745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ind w:left="80"/>
              <w:spacing w:after="0" w:line="143" w:lineRule="exact"/>
              <w:rPr>
                <w:sz w:val="20"/>
                <w:szCs w:val="20"/>
                <w:color w:val="auto"/>
              </w:rPr>
            </w:pPr>
            <w:r>
              <w:rPr>
                <w:rFonts w:ascii="Arial" w:cs="Arial" w:eastAsia="Arial" w:hAnsi="Arial"/>
                <w:sz w:val="13"/>
                <w:szCs w:val="13"/>
                <w:color w:val="auto"/>
              </w:rPr>
              <w:t>Total comprehensive income</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97,251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Treasury stock purchases</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(2,284)</w:t>
            </w: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(79,568)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(79,568)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Exercise of stock options</w:t>
            </w:r>
          </w:p>
        </w:tc>
        <w:tc>
          <w:tcPr>
            <w:tcW w:w="58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1,410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6,971</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6,972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Excess tax benefits from share-based</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20" w:type="dxa"/>
            <w:vAlign w:val="bottom"/>
            <w:shd w:val="clear" w:color="auto" w:fill="CCEEFF"/>
          </w:tcPr>
          <w:p>
            <w:pPr>
              <w:ind w:left="280"/>
              <w:spacing w:after="0" w:line="141" w:lineRule="exact"/>
              <w:rPr>
                <w:sz w:val="20"/>
                <w:szCs w:val="20"/>
                <w:color w:val="auto"/>
              </w:rPr>
            </w:pPr>
            <w:r>
              <w:rPr>
                <w:rFonts w:ascii="Arial" w:cs="Arial" w:eastAsia="Arial" w:hAnsi="Arial"/>
                <w:sz w:val="13"/>
                <w:szCs w:val="13"/>
                <w:color w:val="auto"/>
              </w:rPr>
              <w:t>compensation</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55,847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55,847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9,199</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 June 30, 2011</w:t>
            </w:r>
          </w:p>
        </w:tc>
        <w:tc>
          <w:tcPr>
            <w:tcW w:w="4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110,125</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1,123,739</w:t>
            </w:r>
          </w:p>
        </w:tc>
        <w:tc>
          <w:tcPr>
            <w:tcW w:w="70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(2,284)</w:t>
            </w:r>
          </w:p>
        </w:tc>
        <w:tc>
          <w:tcPr>
            <w:tcW w:w="20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(79,568)</w:t>
            </w:r>
          </w:p>
        </w:tc>
        <w:tc>
          <w:tcPr>
            <w:tcW w:w="2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(1,751)</w:t>
            </w:r>
          </w:p>
        </w:tc>
        <w:tc>
          <w:tcPr>
            <w:tcW w:w="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220,926</w:t>
            </w:r>
          </w:p>
        </w:tc>
        <w:tc>
          <w:tcPr>
            <w:tcW w:w="2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1,263,456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8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2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  94,506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33,554</w:t>
            </w:r>
          </w:p>
        </w:tc>
      </w:tr>
      <w:tr>
        <w:trPr>
          <w:trHeight w:val="203"/>
        </w:trPr>
        <w:tc>
          <w:tcPr>
            <w:tcW w:w="8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80" w:type="dxa"/>
            <w:vAlign w:val="bottom"/>
          </w:tcPr>
          <w:p>
            <w:pPr>
              <w:ind w:left="420"/>
              <w:spacing w:after="0" w:line="202" w:lineRule="exact"/>
              <w:rPr>
                <w:sz w:val="20"/>
                <w:szCs w:val="20"/>
                <w:color w:val="auto"/>
              </w:rPr>
            </w:pPr>
            <w:r>
              <w:rPr>
                <w:rFonts w:ascii="Arial" w:cs="Arial" w:eastAsia="Arial" w:hAnsi="Arial"/>
                <w:sz w:val="18"/>
                <w:szCs w:val="18"/>
                <w:color w:val="auto"/>
              </w:rPr>
              <w:t>Noncash items:</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Depreciation and amortization</w:t>
            </w:r>
          </w:p>
        </w:tc>
        <w:tc>
          <w:tcPr>
            <w:tcW w:w="2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36,572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47,700</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Amortization of debt issuance costs</w:t>
            </w:r>
          </w:p>
        </w:tc>
        <w:tc>
          <w:tcPr>
            <w:tcW w:w="2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2,546</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2,350</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Excess tax benefits from share-based compensation</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(55,847)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(226)</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Share-based compensation</w:t>
            </w:r>
          </w:p>
        </w:tc>
        <w:tc>
          <w:tcPr>
            <w:tcW w:w="2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9,199</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7,568</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Impairment of fixed assets</w:t>
            </w:r>
          </w:p>
        </w:tc>
        <w:tc>
          <w:tcPr>
            <w:tcW w:w="1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7"/>
                <w:szCs w:val="17"/>
                <w:color w:val="auto"/>
              </w:rPr>
            </w:pP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Loss on extinguishment of debt</w:t>
            </w:r>
          </w:p>
        </w:tc>
        <w:tc>
          <w:tcPr>
            <w:tcW w:w="13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37,979</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Provision for bad debts</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7"/>
                <w:szCs w:val="17"/>
                <w:color w:val="auto"/>
              </w:rPr>
            </w:pP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Deferred income tax provision</w:t>
            </w:r>
          </w:p>
        </w:tc>
        <w:tc>
          <w:tcPr>
            <w:tcW w:w="2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(5,952)</w:t>
            </w: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(17,519)</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Impairment of intangible assets</w:t>
            </w:r>
          </w:p>
        </w:tc>
        <w:tc>
          <w:tcPr>
            <w:tcW w:w="2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1,716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Lease abandonment</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Loan forgiveness</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2,788</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Other</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120" w:type="dxa"/>
            <w:vAlign w:val="bottom"/>
          </w:tcPr>
          <w:p>
            <w:pPr>
              <w:spacing w:after="0"/>
              <w:rPr>
                <w:sz w:val="17"/>
                <w:szCs w:val="17"/>
                <w:color w:val="auto"/>
              </w:rPr>
            </w:pPr>
          </w:p>
        </w:tc>
      </w:tr>
      <w:tr>
        <w:trPr>
          <w:trHeight w:val="203"/>
        </w:trPr>
        <w:tc>
          <w:tcPr>
            <w:tcW w:w="81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Cash and securities segregated under federal and other regulations</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147,746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31,358</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Receivables from clients</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(17,135)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(8,558)</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Receivables from product sponsors, broker-dealers and clearing organizations</w:t>
            </w:r>
          </w:p>
        </w:tc>
        <w:tc>
          <w:tcPr>
            <w:tcW w:w="2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42,987</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1,692</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Receivables from others</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(18,675)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(9,759)</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Securities owned</w:t>
            </w:r>
          </w:p>
        </w:tc>
        <w:tc>
          <w:tcPr>
            <w:tcW w:w="2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(231)</w:t>
            </w: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(3,250)</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Securities borrowed</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(3,159)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3,297</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Other assets</w:t>
            </w:r>
          </w:p>
        </w:tc>
        <w:tc>
          <w:tcPr>
            <w:tcW w:w="2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(17,397)</w:t>
            </w: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(5,877)</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Drafts payable</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(44,702)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6,471</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Payables to clients</w:t>
            </w:r>
          </w:p>
        </w:tc>
        <w:tc>
          <w:tcPr>
            <w:tcW w:w="2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31,519</w:t>
            </w: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(76,140)</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Payables to broker-dealers and clearing organizations</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6,664</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Accrued commissions and advisory fees payable</w:t>
            </w:r>
          </w:p>
        </w:tc>
        <w:tc>
          <w:tcPr>
            <w:tcW w:w="2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(19,072)</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11,191</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(26,716)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(9,057)</w:t>
            </w:r>
          </w:p>
        </w:tc>
      </w:tr>
      <w:tr>
        <w:trPr>
          <w:trHeight w:val="203"/>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Unearned revenue</w:t>
            </w:r>
          </w:p>
        </w:tc>
        <w:tc>
          <w:tcPr>
            <w:tcW w:w="23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10,460</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9,090</w:t>
            </w:r>
          </w:p>
        </w:tc>
      </w:tr>
      <w:tr>
        <w:trPr>
          <w:trHeight w:val="203"/>
        </w:trPr>
        <w:tc>
          <w:tcPr>
            <w:tcW w:w="81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Income taxes receivable/payable</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181,828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(18,553)</w:t>
            </w:r>
          </w:p>
        </w:tc>
      </w:tr>
      <w:tr>
        <w:trPr>
          <w:trHeight w:val="210"/>
        </w:trPr>
        <w:tc>
          <w:tcPr>
            <w:tcW w:w="8180" w:type="dxa"/>
            <w:vAlign w:val="bottom"/>
          </w:tcPr>
          <w:p>
            <w:pPr>
              <w:ind w:left="620"/>
              <w:spacing w:after="0" w:line="202" w:lineRule="exact"/>
              <w:rPr>
                <w:sz w:val="20"/>
                <w:szCs w:val="20"/>
                <w:color w:val="auto"/>
              </w:rPr>
            </w:pPr>
            <w:r>
              <w:rPr>
                <w:rFonts w:ascii="Arial" w:cs="Arial" w:eastAsia="Arial" w:hAnsi="Arial"/>
                <w:sz w:val="18"/>
                <w:szCs w:val="18"/>
                <w:color w:val="auto"/>
              </w:rPr>
              <w:t>Securities sold but not yet purchased</w:t>
            </w:r>
          </w:p>
        </w:tc>
        <w:tc>
          <w:tcPr>
            <w:tcW w:w="1320" w:type="dxa"/>
            <w:vAlign w:val="bottom"/>
          </w:tcPr>
          <w:p>
            <w:pPr>
              <w:spacing w:after="0"/>
              <w:rPr>
                <w:sz w:val="18"/>
                <w:szCs w:val="18"/>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(1,412)</w:t>
            </w:r>
          </w:p>
        </w:tc>
      </w:tr>
      <w:tr>
        <w:trPr>
          <w:trHeight w:val="203"/>
        </w:trPr>
        <w:tc>
          <w:tcPr>
            <w:tcW w:w="818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349,716</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53,024</w:t>
            </w:r>
          </w:p>
        </w:tc>
        <w:tc>
          <w:tcPr>
            <w:tcW w:w="12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8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(12,500)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Purchase of securities classified as held-to-maturity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Proceeds from maturity of securities classified as held-to-maturity</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Acquisitions (Note 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(37,184)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Deposits of restricted cash</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Release of restricted cash</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Repayment of senior credit facilities</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Proceeds from senior credit facilities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566,700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Redemption of subordinated notes</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(579,563)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Payment of debt issuance costs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Payment of deferred transaction costs</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(66,976)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Proceeds from stock options exercised</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Excess tax benefits from share-based compensation</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55,847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262,263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419,208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378,594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CASH AND CASH EQUIVALENTS — End of period</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681,471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402,741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ind w:left="400"/>
              <w:spacing w:after="0" w:line="202" w:lineRule="exact"/>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36,362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29,870</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56,201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200"/>
              <w:spacing w:after="0"/>
              <w:rPr>
                <w:sz w:val="20"/>
                <w:szCs w:val="20"/>
                <w:color w:val="auto"/>
              </w:rPr>
            </w:pPr>
            <w:r>
              <w:rPr>
                <w:rFonts w:ascii="Arial" w:cs="Arial" w:eastAsia="Arial" w:hAnsi="Arial"/>
                <w:sz w:val="18"/>
                <w:szCs w:val="18"/>
                <w:color w:val="auto"/>
              </w:rPr>
              <w:t>NONCASH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Pending settlement of treasury stock purchases</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0" w:type="dxa"/>
            <w:vAlign w:val="bottom"/>
          </w:tcPr>
          <w:p>
            <w:pPr>
              <w:ind w:left="400"/>
              <w:spacing w:after="0" w:line="196" w:lineRule="exact"/>
              <w:rPr>
                <w:sz w:val="20"/>
                <w:szCs w:val="20"/>
                <w:color w:val="auto"/>
              </w:rPr>
            </w:pPr>
            <w:r>
              <w:rPr>
                <w:rFonts w:ascii="Arial" w:cs="Arial" w:eastAsia="Arial" w:hAnsi="Arial"/>
                <w:sz w:val="18"/>
                <w:szCs w:val="18"/>
                <w:color w:val="auto"/>
              </w:rPr>
              <w:t>Capital expenditures purchased through short-term credit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3,506</w:t>
            </w:r>
          </w:p>
        </w:tc>
        <w:tc>
          <w:tcPr>
            <w:tcW w:w="16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Increase in unrealized gain on interest rate swaps, net of tax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0" w:type="dxa"/>
            <w:vAlign w:val="bottom"/>
          </w:tcPr>
          <w:p>
            <w:pPr>
              <w:ind w:left="400"/>
              <w:spacing w:after="0" w:line="196" w:lineRule="exact"/>
              <w:rPr>
                <w:sz w:val="20"/>
                <w:szCs w:val="20"/>
                <w:color w:val="auto"/>
              </w:rPr>
            </w:pPr>
            <w:r>
              <w:rPr>
                <w:rFonts w:ascii="Arial" w:cs="Arial" w:eastAsia="Arial" w:hAnsi="Arial"/>
                <w:sz w:val="18"/>
                <w:szCs w:val="18"/>
                <w:color w:val="auto"/>
              </w:rPr>
              <w:t>Discount on proceeds from senior credit facilities recorded as debt issuance costs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8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the Company</w:t>
      </w:r>
    </w:p>
    <w:p>
      <w:pPr>
        <w:spacing w:after="0" w:line="193" w:lineRule="exact"/>
        <w:rPr>
          <w:sz w:val="20"/>
          <w:szCs w:val="20"/>
          <w:color w:val="auto"/>
        </w:rPr>
      </w:pPr>
    </w:p>
    <w:p>
      <w:pPr>
        <w:ind w:right="100" w:firstLine="250"/>
        <w:spacing w:after="0" w:line="238" w:lineRule="auto"/>
        <w:rPr>
          <w:sz w:val="20"/>
          <w:szCs w:val="20"/>
          <w:color w:val="auto"/>
        </w:rPr>
      </w:pPr>
      <w:r>
        <w:rPr>
          <w:rFonts w:ascii="Arial" w:cs="Arial" w:eastAsia="Arial" w:hAnsi="Arial"/>
          <w:sz w:val="18"/>
          <w:szCs w:val="18"/>
          <w:color w:val="auto"/>
        </w:rPr>
        <w:t>LPL Investment Holdings Inc. (“LPLIH”), a Delaware holding corporation, together with its consolidated subsidiaries (collectively, the “Company”) provides an integrated platform of proprietary technology, brokerage and investment advisory services to independent financial advisors and financial advisors at financial institutions (collectively “advisors”) in the United States. Through its proprietary technology, custody and clearing platforms, the Company provides access to diversified financial products and services enabling its advisors to offer independent financial advice and brokerage services to retail investors (their “clients”).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1" w:lineRule="exact"/>
        <w:rPr>
          <w:sz w:val="20"/>
          <w:szCs w:val="20"/>
          <w:color w:val="auto"/>
        </w:rPr>
      </w:pPr>
    </w:p>
    <w:p>
      <w:pPr>
        <w:ind w:right="120" w:firstLine="250"/>
        <w:spacing w:after="0" w:line="242" w:lineRule="auto"/>
        <w:rPr>
          <w:sz w:val="20"/>
          <w:szCs w:val="20"/>
          <w:color w:val="auto"/>
        </w:rPr>
      </w:pPr>
      <w:r>
        <w:rPr>
          <w:rFonts w:ascii="Arial" w:cs="Arial" w:eastAsia="Arial" w:hAnsi="Arial"/>
          <w:sz w:val="18"/>
          <w:szCs w:val="18"/>
          <w:b w:val="1"/>
          <w:bCs w:val="1"/>
          <w:i w:val="1"/>
          <w:iCs w:val="1"/>
          <w:color w:val="auto"/>
        </w:rPr>
        <w:t xml:space="preserve">Quarterly Reporting </w:t>
      </w:r>
      <w:r>
        <w:rPr>
          <w:rFonts w:ascii="Arial" w:cs="Arial" w:eastAsia="Arial" w:hAnsi="Arial"/>
          <w:sz w:val="18"/>
          <w:szCs w:val="18"/>
          <w:color w:val="auto"/>
        </w:rPr>
        <w:t>— The unaudited condensed consolidated financial statements have been prepared pursuant to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161" w:lineRule="exact"/>
        <w:rPr>
          <w:sz w:val="20"/>
          <w:szCs w:val="20"/>
          <w:color w:val="auto"/>
        </w:rPr>
      </w:pPr>
    </w:p>
    <w:p>
      <w:pPr>
        <w:ind w:right="100" w:firstLine="247"/>
        <w:spacing w:after="0" w:line="237"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operations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2010, contained in the Company’s Annual Report on Form 10-K as filed with the SEC. The Company has evaluated subsequent events up to and including the date these unaudited condensed consolidated financial statements were issued.</w:t>
      </w:r>
    </w:p>
    <w:p>
      <w:pPr>
        <w:spacing w:after="0" w:line="156" w:lineRule="exact"/>
        <w:rPr>
          <w:sz w:val="20"/>
          <w:szCs w:val="20"/>
          <w:color w:val="auto"/>
        </w:rPr>
      </w:pPr>
    </w:p>
    <w:p>
      <w:pPr>
        <w:ind w:right="260" w:firstLine="250"/>
        <w:spacing w:after="0" w:line="253"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LPLIH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29"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contingencies and litigation, valuation and recognition of share-based payments and income taxes. These accounting policies are stated in the notes to the audited consolidated financial statements for the year ended December 31, 2010,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144" w:lineRule="exact"/>
        <w:rPr>
          <w:sz w:val="20"/>
          <w:szCs w:val="20"/>
          <w:color w:val="auto"/>
        </w:rPr>
      </w:pPr>
    </w:p>
    <w:p>
      <w:pPr>
        <w:ind w:right="40" w:firstLine="250"/>
        <w:spacing w:after="0" w:line="244"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firstLine="250"/>
        <w:spacing w:after="0" w:line="242"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 because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short-term nature, approximate current fair value, with the exception of its indebtedness. The Company carries its indebtedness at amortized cost and measures the implied fair value of its debt instruments using trading levels obtained from a third-party service provider. As of June 30, 2011, the carrying amount and fair value of the Company’s indebtedness was approximately $1,340 million and $1,342 million, respectively. As of December 31, 2010, the carrying amount and fair value were approximately $1,387 million and $1,390 million, respectively. See Note 5 for additional detail regarding the Company’s fair value measurements.</w:t>
      </w:r>
    </w:p>
    <w:p>
      <w:pPr>
        <w:spacing w:after="0" w:line="152" w:lineRule="exact"/>
        <w:rPr>
          <w:sz w:val="20"/>
          <w:szCs w:val="20"/>
          <w:color w:val="auto"/>
        </w:rPr>
      </w:pPr>
    </w:p>
    <w:p>
      <w:pPr>
        <w:ind w:right="80" w:firstLine="250"/>
        <w:spacing w:after="0" w:line="253"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 The Company accounts for acquisitions as business combinations, and recognizes, separately from goodwill,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and liabilities assumed at their respective fair values as of the acquisition date. Goodwill as of the acquisition date is measured as the excess of consideration transferred and the net of the acquisition date fair values of the assets acquired and the liabilities assumed.</w:t>
      </w:r>
    </w:p>
    <w:p>
      <w:pPr>
        <w:spacing w:after="0" w:line="129" w:lineRule="exact"/>
        <w:rPr>
          <w:sz w:val="20"/>
          <w:szCs w:val="20"/>
          <w:color w:val="auto"/>
        </w:rPr>
      </w:pPr>
    </w:p>
    <w:p>
      <w:pPr>
        <w:jc w:val="both"/>
        <w:ind w:right="80" w:firstLine="250"/>
        <w:spacing w:after="0" w:line="253"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Recent accounting pronouncements or changes in accounting pronouncements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2011, as compared to the recent accounting pronouncements described in the Company’s 2010 Annual Report on Form 10-K, that are of significance, or potential significance, to the Company are discussed below.</w:t>
      </w:r>
    </w:p>
    <w:p>
      <w:pPr>
        <w:spacing w:after="0" w:line="133"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 xml:space="preserve">In May 2011, the Financial Accounting Standards Board (“FASB”) issued Accounting Standards Update (“ASU”) No. 2011-04,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820)—Amendments to Achieve Common Fair Value Measurement and Disclosure Requirements in U.S. GAAP and IFRSs </w:t>
      </w:r>
      <w:r>
        <w:rPr>
          <w:rFonts w:ascii="Arial" w:cs="Arial" w:eastAsia="Arial" w:hAnsi="Arial"/>
          <w:sz w:val="18"/>
          <w:szCs w:val="18"/>
          <w:color w:val="auto"/>
        </w:rPr>
        <w:t>(“ASU 2011-04”), which clarifies the wording and disclosures required in Accounting Standards Codification (“ASC”) Topic 820,</w:t>
      </w:r>
      <w:r>
        <w:rPr>
          <w:rFonts w:ascii="Arial" w:cs="Arial" w:eastAsia="Arial" w:hAnsi="Arial"/>
          <w:sz w:val="18"/>
          <w:szCs w:val="18"/>
          <w:i w:val="1"/>
          <w:iCs w:val="1"/>
          <w:color w:val="auto"/>
        </w:rPr>
        <w:t xml:space="preserve"> Fair Value Measurement </w:t>
      </w:r>
      <w:r>
        <w:rPr>
          <w:rFonts w:ascii="Arial" w:cs="Arial" w:eastAsia="Arial" w:hAnsi="Arial"/>
          <w:sz w:val="18"/>
          <w:szCs w:val="18"/>
          <w:color w:val="auto"/>
        </w:rPr>
        <w:t>(“ASC 820”), to converge with those used in International Financial Reporting Standards. The update explains how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and disclose fair value under ASC 820. However, the FASB does not expect the changes in this standard’s update to alter the current application of the requirements in ASC 820. The provisions of ASU 2011-04 are effective for public entities prospectively for interim and annual periods beginning after December 15, 2011, and early adoption is prohibited. Therefore, ASU 2011-04 is effective for the Company during the first quarter of fiscal 2012. The Company does not expect ASU 2011-04 to have a material effect on its results of operations, financial condition, and cash flows.</w:t>
      </w:r>
    </w:p>
    <w:p>
      <w:pPr>
        <w:spacing w:after="0" w:line="157" w:lineRule="exact"/>
        <w:rPr>
          <w:sz w:val="20"/>
          <w:szCs w:val="20"/>
          <w:color w:val="auto"/>
        </w:rPr>
      </w:pPr>
    </w:p>
    <w:p>
      <w:pPr>
        <w:ind w:right="60" w:firstLine="250"/>
        <w:spacing w:after="0"/>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(ASC Topic 220)—Presentation of Comprehensive Income</w:t>
      </w:r>
      <w:r>
        <w:rPr>
          <w:rFonts w:ascii="Arial" w:cs="Arial" w:eastAsia="Arial" w:hAnsi="Arial"/>
          <w:sz w:val="18"/>
          <w:szCs w:val="18"/>
          <w:color w:val="auto"/>
        </w:rPr>
        <w:t xml:space="preserve"> (“ASU 2011-05”), which amends current comprehensive income guidance by eliminating the option to present the components of other comprehensive income as part of the statement of stockholders’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The Company does not anticipate the adoption of ASU 2011-05 to have an impact on its results of operations, financial condition, or cash flows as the only requirement is a change in the format of the current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National Retirement Partners, Inc.</w:t>
      </w:r>
    </w:p>
    <w:p>
      <w:pPr>
        <w:spacing w:after="0" w:line="207" w:lineRule="exact"/>
        <w:rPr>
          <w:sz w:val="20"/>
          <w:szCs w:val="20"/>
          <w:color w:val="auto"/>
        </w:rPr>
      </w:pPr>
    </w:p>
    <w:p>
      <w:pPr>
        <w:ind w:right="100" w:firstLine="250"/>
        <w:spacing w:after="0" w:line="239" w:lineRule="auto"/>
        <w:rPr>
          <w:sz w:val="20"/>
          <w:szCs w:val="20"/>
          <w:color w:val="auto"/>
        </w:rPr>
      </w:pPr>
      <w:r>
        <w:rPr>
          <w:rFonts w:ascii="Arial" w:cs="Arial" w:eastAsia="Arial" w:hAnsi="Arial"/>
          <w:sz w:val="18"/>
          <w:szCs w:val="18"/>
          <w:color w:val="auto"/>
        </w:rPr>
        <w:t>On July 14, 2010, the Company announced a definitive agreement pursuant to which it would acquire certain assets of National Retirement Partners, Inc. (“NRP”). NRP’s advisors offer products and consulting, design and investment services to retirement plan sponsors and participants and comprehensive financial services to high net worth individuals. This strategic acquisition further enhances the capabilities and presence of the Company in the group retirement space.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February 9, 2011, the transaction closed. The Company paid $17.2 million at the closing of the transaction. As of June 30, 2011,</w:t>
      </w:r>
    </w:p>
    <w:p>
      <w:pPr>
        <w:spacing w:after="0" w:line="234" w:lineRule="auto"/>
        <w:rPr>
          <w:sz w:val="20"/>
          <w:szCs w:val="20"/>
          <w:color w:val="auto"/>
        </w:rPr>
      </w:pPr>
      <w:r>
        <w:rPr>
          <w:rFonts w:ascii="Arial" w:cs="Arial" w:eastAsia="Arial" w:hAnsi="Arial"/>
          <w:sz w:val="18"/>
          <w:szCs w:val="18"/>
          <w:color w:val="auto"/>
        </w:rPr>
        <w:t>$3.7 million remains in an escrow account subject to adjustment pursuant to the terms of the asset purchase agreement. Such amount has</w:t>
      </w:r>
    </w:p>
    <w:p>
      <w:pPr>
        <w:spacing w:after="0" w:line="235" w:lineRule="auto"/>
        <w:rPr>
          <w:sz w:val="20"/>
          <w:szCs w:val="20"/>
          <w:color w:val="auto"/>
        </w:rPr>
      </w:pPr>
      <w:r>
        <w:rPr>
          <w:rFonts w:ascii="Arial" w:cs="Arial" w:eastAsia="Arial" w:hAnsi="Arial"/>
          <w:sz w:val="18"/>
          <w:szCs w:val="18"/>
          <w:color w:val="auto"/>
        </w:rPr>
        <w:t>been classified by the Company as restricted cash and is included in other assets on the unaudited condensed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171" w:lineRule="exact"/>
        <w:rPr>
          <w:sz w:val="20"/>
          <w:szCs w:val="20"/>
          <w:color w:val="auto"/>
        </w:rPr>
      </w:pPr>
    </w:p>
    <w:p>
      <w:pPr>
        <w:ind w:right="580" w:firstLine="247"/>
        <w:spacing w:after="0"/>
        <w:rPr>
          <w:sz w:val="20"/>
          <w:szCs w:val="20"/>
          <w:color w:val="auto"/>
        </w:rPr>
      </w:pPr>
      <w:r>
        <w:rPr>
          <w:rFonts w:ascii="Arial" w:cs="Arial" w:eastAsia="Arial" w:hAnsi="Arial"/>
          <w:sz w:val="18"/>
          <w:szCs w:val="18"/>
          <w:color w:val="auto"/>
        </w:rPr>
        <w:t>The Company may be required to pay future consideration to former shareholders of NRP that is contingent upon the achievement of certain revenue-based milestones in the third year following the acquisition. There is no maximum amount of contingent consideration; however, as of the acquisition date, the Company estimates the total fair value of contingent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consideration to be $5.3 million. At the acquisition date, $2.0 million of the contingent liability had been paid in advance and the remainder of $3.3 million was recorded within accounts payable and accrued liabilities on the unaudited condensed consolidated statements of financial condition. Including the provisional contingent consideration, the total consideration for the acquisition was $24.2 million. Transaction costs associated with the Company’s acquisition of NRP totaling $ 4.3 million were expensed as incurred through other expense in the unaudited condensed consolidated statements of operations. Of these transaction costs, $2.0 million were incurred during the six months ending June 30, 2011.</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Concord Capital Partners, Inc.</w:t>
      </w:r>
    </w:p>
    <w:p>
      <w:pPr>
        <w:spacing w:after="0" w:line="193" w:lineRule="exact"/>
        <w:rPr>
          <w:sz w:val="20"/>
          <w:szCs w:val="20"/>
          <w:color w:val="auto"/>
        </w:rPr>
      </w:pPr>
    </w:p>
    <w:p>
      <w:pPr>
        <w:ind w:right="100" w:firstLine="250"/>
        <w:spacing w:after="0" w:line="237" w:lineRule="auto"/>
        <w:rPr>
          <w:sz w:val="20"/>
          <w:szCs w:val="20"/>
          <w:color w:val="auto"/>
        </w:rPr>
      </w:pPr>
      <w:r>
        <w:rPr>
          <w:rFonts w:ascii="Arial" w:cs="Arial" w:eastAsia="Arial" w:hAnsi="Arial"/>
          <w:sz w:val="18"/>
          <w:szCs w:val="18"/>
          <w:color w:val="auto"/>
        </w:rPr>
        <w:t>On April 20, 2011, the Company announced its intent to acquire all of the outstanding common stock of Concord Capital Partners, Inc. (“Concord Wealth Management” or “CCP”) and certain of its subsidiaries. Concord Wealth Management is an industry leader in providing technology and open architecture investment management solutions for trust departments of financial institutions. Through this acquisition, the Company will have the ability to support both the brokerage and trust business lines of current and prospective financial institutions. The acquisition will also create new expansion opportunities such as giving the Company the ability to custody personal trust assets within banks across the country.</w:t>
      </w:r>
    </w:p>
    <w:p>
      <w:pPr>
        <w:spacing w:after="0" w:line="165" w:lineRule="exact"/>
        <w:rPr>
          <w:sz w:val="20"/>
          <w:szCs w:val="20"/>
          <w:color w:val="auto"/>
        </w:rPr>
      </w:pPr>
    </w:p>
    <w:p>
      <w:pPr>
        <w:ind w:right="160" w:firstLine="250"/>
        <w:spacing w:after="0" w:line="239" w:lineRule="auto"/>
        <w:rPr>
          <w:sz w:val="20"/>
          <w:szCs w:val="20"/>
          <w:color w:val="auto"/>
        </w:rPr>
      </w:pPr>
      <w:r>
        <w:rPr>
          <w:rFonts w:ascii="Arial" w:cs="Arial" w:eastAsia="Arial" w:hAnsi="Arial"/>
          <w:sz w:val="18"/>
          <w:szCs w:val="18"/>
          <w:color w:val="auto"/>
        </w:rPr>
        <w:t>On June 22, 2011, the transaction closed. The Company paid $20.0 million at the closing of the transaction, net of cash acquired. As of June 30, 2011, $ 2.3 million remains in an escrow account to be paid to former shareholders of Concord Wealth Management in accordance with the terms of the stock purchase agreement. Such amount has been classified by the Company as restricted cash and is included in other assets on the unaudited condensed consolidated statements of financial condition.</w:t>
      </w:r>
    </w:p>
    <w:p>
      <w:pPr>
        <w:spacing w:after="0" w:line="175" w:lineRule="exact"/>
        <w:rPr>
          <w:sz w:val="20"/>
          <w:szCs w:val="20"/>
          <w:color w:val="auto"/>
        </w:rPr>
      </w:pPr>
    </w:p>
    <w:p>
      <w:pPr>
        <w:ind w:right="20" w:firstLine="247"/>
        <w:spacing w:after="0" w:line="237" w:lineRule="auto"/>
        <w:rPr>
          <w:sz w:val="20"/>
          <w:szCs w:val="20"/>
          <w:color w:val="auto"/>
        </w:rPr>
      </w:pPr>
      <w:r>
        <w:rPr>
          <w:rFonts w:ascii="Arial" w:cs="Arial" w:eastAsia="Arial" w:hAnsi="Arial"/>
          <w:sz w:val="18"/>
          <w:szCs w:val="18"/>
          <w:color w:val="auto"/>
        </w:rPr>
        <w:t>The Company may be required to pay future consideration that is contingent upon the achievement of certain gross margin-based milestones for the year ended December 31, 2013. The maximum amount of contingent consideration is $ 15.0 million. The Company estimates the total fair value of the contingent consideration as $11.5 million at the acquisition date, which has been recorded within accounts payable and accrued liabilities on the unaudited condensed consolidated statements of financial condition. Including the provisional contingent consideration, the total consideration for the acquisition was approximately $33.8 million. During the six months ending June 30, 2011, the Company incurred transaction costs associated with its acquisition of Concord Wealth Management totaling $0.4 million which were recorded as other expense in the unaudited condensed consolidated statements of operations.</w:t>
      </w:r>
    </w:p>
    <w:p>
      <w:pPr>
        <w:spacing w:after="0" w:line="163" w:lineRule="exact"/>
        <w:rPr>
          <w:sz w:val="20"/>
          <w:szCs w:val="20"/>
          <w:color w:val="auto"/>
        </w:rPr>
      </w:pPr>
    </w:p>
    <w:p>
      <w:pPr>
        <w:ind w:right="800" w:firstLine="247"/>
        <w:spacing w:after="0" w:line="246" w:lineRule="auto"/>
        <w:rPr>
          <w:sz w:val="20"/>
          <w:szCs w:val="20"/>
          <w:color w:val="auto"/>
        </w:rPr>
      </w:pPr>
      <w:r>
        <w:rPr>
          <w:rFonts w:ascii="Arial" w:cs="Arial" w:eastAsia="Arial" w:hAnsi="Arial"/>
          <w:sz w:val="18"/>
          <w:szCs w:val="18"/>
          <w:color w:val="auto"/>
        </w:rPr>
        <w:t>The Company is in the process of finalizing the purchase allocations and the value of contingent considerations for NRP and CCP; therefore, the provisional measures of goodwill, intangibles, fixed assets, and contingent consideration are subject to change.</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Set forth below is a reconciliation of assets acquired and liabilities assumed during the six months ended June 30, 2011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CCP</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NRP</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2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23,294</w:t>
            </w: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12,574</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35,868</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770</w:t>
            </w: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Intangibles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19,350</w:t>
            </w: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assets(1)</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3,950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liabilities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(2,183)</w:t>
            </w:r>
          </w:p>
        </w:tc>
      </w:tr>
      <w:tr>
        <w:trPr>
          <w:trHeight w:val="27"/>
        </w:trPr>
        <w:tc>
          <w:tcPr>
            <w:tcW w:w="5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5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assets acquired</w:t>
            </w:r>
          </w:p>
        </w:tc>
        <w:tc>
          <w:tcPr>
            <w:tcW w:w="2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33,761</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24,184</w:t>
            </w:r>
          </w:p>
        </w:tc>
        <w:tc>
          <w:tcPr>
            <w:tcW w:w="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57,945</w:t>
            </w:r>
          </w:p>
        </w:tc>
      </w:tr>
      <w:tr>
        <w:trPr>
          <w:trHeight w:val="20"/>
        </w:trPr>
        <w:tc>
          <w:tcPr>
            <w:tcW w:w="5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3" w:lineRule="exact"/>
        <w:rPr>
          <w:sz w:val="20"/>
          <w:szCs w:val="20"/>
          <w:color w:val="auto"/>
        </w:rPr>
      </w:pPr>
    </w:p>
    <w:p>
      <w:pPr>
        <w:ind w:left="260" w:right="2200" w:hanging="252"/>
        <w:spacing w:after="0" w:line="467" w:lineRule="auto"/>
        <w:tabs>
          <w:tab w:leader="none" w:pos="348" w:val="left"/>
        </w:tabs>
        <w:numPr>
          <w:ilvl w:val="0"/>
          <w:numId w:val="4"/>
        </w:numPr>
        <w:rPr>
          <w:rFonts w:ascii="Arial" w:cs="Arial" w:eastAsia="Arial" w:hAnsi="Arial"/>
          <w:sz w:val="17"/>
          <w:szCs w:val="17"/>
          <w:color w:val="auto"/>
        </w:rPr>
      </w:pPr>
      <w:r>
        <w:rPr>
          <w:rFonts w:ascii="Arial" w:cs="Arial" w:eastAsia="Arial" w:hAnsi="Arial"/>
          <w:sz w:val="17"/>
          <w:szCs w:val="17"/>
          <w:color w:val="auto"/>
        </w:rPr>
        <w:t>Fixed assets acquired from CCP relate primarily to internally developed software, which amortizes over 5 years. Set forth below is supplemental cash flow information for the six months ended June 30, 2011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CCP</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NRP</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payments, net of cash acquired</w:t>
            </w:r>
          </w:p>
        </w:tc>
        <w:tc>
          <w:tcPr>
            <w:tcW w:w="4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19,969</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17,215</w:t>
            </w: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Cash placed in escrow</w:t>
            </w: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4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14,842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4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33,761</w:t>
            </w:r>
          </w:p>
        </w:tc>
        <w:tc>
          <w:tcPr>
            <w:tcW w:w="1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24,184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57,945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140" w:type="dxa"/>
            <w:vAlign w:val="bottom"/>
            <w:vMerge w:val="restart"/>
          </w:tcPr>
          <w:p>
            <w:pPr>
              <w:jc w:val="right"/>
              <w:ind w:right="261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2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247"/>
        <w:spacing w:after="0" w:line="246" w:lineRule="auto"/>
        <w:rPr>
          <w:sz w:val="20"/>
          <w:szCs w:val="20"/>
          <w:color w:val="auto"/>
        </w:rPr>
      </w:pPr>
      <w:r>
        <w:rPr>
          <w:rFonts w:ascii="Arial" w:cs="Arial" w:eastAsia="Arial" w:hAnsi="Arial"/>
          <w:sz w:val="18"/>
          <w:szCs w:val="18"/>
          <w:color w:val="auto"/>
        </w:rPr>
        <w:t>The Company preliminarily allocated the estimated purchase price to specific amortizable intangible asset categories as follows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20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Assigned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CCP</w:t>
            </w:r>
          </w:p>
        </w:tc>
        <w:tc>
          <w:tcPr>
            <w:tcW w:w="1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Client relationships</w:t>
            </w:r>
          </w:p>
        </w:tc>
        <w:tc>
          <w:tcPr>
            <w:tcW w:w="20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15.0 years</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vMerge w:val="restart"/>
          </w:tcPr>
          <w:p>
            <w:pPr>
              <w:spacing w:after="0"/>
              <w:rPr>
                <w:sz w:val="4"/>
                <w:szCs w:val="4"/>
                <w:color w:val="auto"/>
              </w:rPr>
            </w:pPr>
          </w:p>
        </w:tc>
        <w:tc>
          <w:tcPr>
            <w:tcW w:w="7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NRP</w:t>
            </w:r>
          </w:p>
        </w:tc>
        <w:tc>
          <w:tcPr>
            <w:tcW w:w="1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Client relationships</w:t>
            </w:r>
          </w:p>
        </w:tc>
        <w:tc>
          <w:tcPr>
            <w:tcW w:w="20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11.0 years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Advisor relationships</w:t>
            </w:r>
          </w:p>
        </w:tc>
        <w:tc>
          <w:tcPr>
            <w:tcW w:w="20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9.0 years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Product sponsor relationships</w:t>
            </w:r>
          </w:p>
        </w:tc>
        <w:tc>
          <w:tcPr>
            <w:tcW w:w="20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4.0 years</w:t>
            </w: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intangible assets acquired from NRP</w:t>
            </w:r>
          </w:p>
        </w:tc>
        <w:tc>
          <w:tcPr>
            <w:tcW w:w="1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60" w:firstLine="250"/>
        <w:spacing w:after="0" w:line="246" w:lineRule="auto"/>
        <w:rPr>
          <w:sz w:val="20"/>
          <w:szCs w:val="20"/>
          <w:color w:val="auto"/>
        </w:rPr>
      </w:pPr>
      <w:r>
        <w:rPr>
          <w:rFonts w:ascii="Arial" w:cs="Arial" w:eastAsia="Arial" w:hAnsi="Arial"/>
          <w:sz w:val="18"/>
          <w:szCs w:val="18"/>
          <w:color w:val="auto"/>
        </w:rPr>
        <w:t>Pro-forma information related to the acquisitions was not included because the impact on the Company’s unaudited condensed consolidated statements of operations, financial condition and cash flows was not considered to be material.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Financial Services Group, Inc. (“UVEST”) with LPL Financial LLC, (“LPL Financial”). The restructuring plan was effected to enhance the Company’s service offering, while also generating efficiencies. In connection with the consolidation, certain registered representatives currently associated with UVEST will move to LPL Financial through a transfer of their licenses. The transfers are expected to commence in the third quarter of 2011 and to be completed in December 2011. Following the transfer of registered representatives and client accounts to LPL Financial, all registered representatives and client accounts that transferred shall be associated with LPL Financial and all of the Company’s security business will be done through a single broker-dealer. In addition, UVEST will terminate its clearing relationship with a third-party clearing firm.</w:t>
      </w:r>
    </w:p>
    <w:p>
      <w:pPr>
        <w:spacing w:after="0" w:line="163" w:lineRule="exact"/>
        <w:rPr>
          <w:sz w:val="20"/>
          <w:szCs w:val="20"/>
          <w:color w:val="auto"/>
        </w:rPr>
      </w:pPr>
    </w:p>
    <w:p>
      <w:pPr>
        <w:ind w:right="380" w:firstLine="247"/>
        <w:spacing w:after="0" w:line="239" w:lineRule="auto"/>
        <w:rPr>
          <w:sz w:val="20"/>
          <w:szCs w:val="20"/>
          <w:color w:val="auto"/>
        </w:rPr>
      </w:pPr>
      <w:r>
        <w:rPr>
          <w:rFonts w:ascii="Arial" w:cs="Arial" w:eastAsia="Arial" w:hAnsi="Arial"/>
          <w:sz w:val="18"/>
          <w:szCs w:val="18"/>
          <w:color w:val="auto"/>
        </w:rPr>
        <w:t>The Company estimates total expenditures associated with the initiative to be approximately $52.7 million over of the course of the restructuring plan. These expenditures are comprised of advisor retention and related benefits, contract termination fees,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161" w:lineRule="exact"/>
        <w:rPr>
          <w:sz w:val="20"/>
          <w:szCs w:val="20"/>
          <w:color w:val="auto"/>
        </w:rPr>
      </w:pPr>
    </w:p>
    <w:p>
      <w:pPr>
        <w:ind w:right="380" w:firstLine="247"/>
        <w:spacing w:after="0" w:line="246"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six months ended June 30, 2011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Accrued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Accrued</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Balance at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Incurred(1)</w:t>
            </w:r>
          </w:p>
        </w:tc>
        <w:tc>
          <w:tcPr>
            <w:tcW w:w="240" w:type="dxa"/>
            <w:vAlign w:val="bottom"/>
          </w:tcPr>
          <w:p>
            <w:pPr>
              <w:spacing w:after="0"/>
              <w:rPr>
                <w:sz w:val="15"/>
                <w:szCs w:val="15"/>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Payments</w:t>
            </w:r>
          </w:p>
        </w:tc>
        <w:tc>
          <w:tcPr>
            <w:tcW w:w="500" w:type="dxa"/>
            <w:vAlign w:val="bottom"/>
          </w:tcPr>
          <w:p>
            <w:pPr>
              <w:spacing w:after="0"/>
              <w:rPr>
                <w:sz w:val="15"/>
                <w:szCs w:val="15"/>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Non-cash</w:t>
            </w:r>
          </w:p>
        </w:tc>
        <w:tc>
          <w:tcPr>
            <w:tcW w:w="380" w:type="dxa"/>
            <w:vAlign w:val="bottom"/>
          </w:tcPr>
          <w:p>
            <w:pPr>
              <w:spacing w:after="0"/>
              <w:rPr>
                <w:sz w:val="15"/>
                <w:szCs w:val="15"/>
                <w:color w:val="auto"/>
              </w:rPr>
            </w:pPr>
          </w:p>
        </w:tc>
        <w:tc>
          <w:tcPr>
            <w:tcW w:w="72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and transfer costs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$2,544</w:t>
            </w:r>
          </w:p>
        </w:tc>
        <w:tc>
          <w:tcPr>
            <w:tcW w:w="90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$(2,114)</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$ 430</w:t>
            </w:r>
          </w:p>
        </w:tc>
        <w:tc>
          <w:tcPr>
            <w:tcW w:w="14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$ 28,650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Contract termination fees</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394</w:t>
            </w:r>
          </w:p>
        </w:tc>
        <w:tc>
          <w:tcPr>
            <w:tcW w:w="174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 retention and related benefits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1,716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(1,716)</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4,979</w:t>
            </w: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(2,419)</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(1,736)</w:t>
            </w:r>
          </w:p>
        </w:tc>
        <w:tc>
          <w:tcPr>
            <w:tcW w:w="136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$ 824</w:t>
            </w:r>
          </w:p>
        </w:tc>
        <w:tc>
          <w:tcPr>
            <w:tcW w:w="14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$ 52,650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 At June 30, 2011, costs incurred represent the total cumulative costs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93" w:lineRule="exact"/>
        <w:rPr>
          <w:sz w:val="20"/>
          <w:szCs w:val="20"/>
          <w:color w:val="auto"/>
        </w:rPr>
      </w:pPr>
    </w:p>
    <w:p>
      <w:pPr>
        <w:jc w:val="both"/>
        <w:ind w:right="40" w:firstLine="250"/>
        <w:spacing w:after="0"/>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hierarchy. This hierarchy requires entities to maximize the use of observable inputs and minimize the use of unobservable inputs. The three levels of inputs used to measure fair value are as follows:</w:t>
      </w:r>
    </w:p>
    <w:p>
      <w:pPr>
        <w:spacing w:after="0" w:line="14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71" w:lineRule="exact"/>
        <w:rPr>
          <w:rFonts w:ascii="Arial" w:cs="Arial" w:eastAsia="Arial" w:hAnsi="Arial"/>
          <w:sz w:val="18"/>
          <w:szCs w:val="18"/>
          <w:b w:val="1"/>
          <w:bCs w:val="1"/>
          <w:color w:val="auto"/>
        </w:rPr>
      </w:pPr>
    </w:p>
    <w:p>
      <w:pPr>
        <w:jc w:val="both"/>
        <w:ind w:left="300" w:right="140" w:hanging="292"/>
        <w:spacing w:after="0" w:line="253"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quoted prices for identical or similar assets and liabilities in markets that are not active; or other inputs that are observable or can be corroborated by observable market data.</w:t>
      </w:r>
    </w:p>
    <w:p>
      <w:pPr>
        <w:spacing w:after="0" w:line="128" w:lineRule="exact"/>
        <w:rPr>
          <w:rFonts w:ascii="Arial" w:cs="Arial" w:eastAsia="Arial" w:hAnsi="Arial"/>
          <w:sz w:val="18"/>
          <w:szCs w:val="18"/>
          <w:b w:val="1"/>
          <w:bCs w:val="1"/>
          <w:color w:val="auto"/>
        </w:rPr>
      </w:pPr>
    </w:p>
    <w:p>
      <w:pPr>
        <w:ind w:left="300" w:right="380" w:hanging="292"/>
        <w:spacing w:after="0" w:line="253"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64" w:lineRule="exact"/>
        <w:rPr>
          <w:sz w:val="20"/>
          <w:szCs w:val="20"/>
          <w:color w:val="auto"/>
        </w:rPr>
      </w:pPr>
    </w:p>
    <w:p>
      <w:pPr>
        <w:jc w:val="both"/>
        <w:ind w:right="140" w:firstLine="247"/>
        <w:spacing w:after="0"/>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June 30, 2011, the Company had the following financial assets and liabilities that are measured at fair value on a recurring basis:</w:t>
      </w:r>
    </w:p>
    <w:p>
      <w:pPr>
        <w:spacing w:after="0" w:line="140" w:lineRule="exact"/>
        <w:rPr>
          <w:sz w:val="20"/>
          <w:szCs w:val="20"/>
          <w:color w:val="auto"/>
        </w:rPr>
      </w:pPr>
    </w:p>
    <w:p>
      <w:pPr>
        <w:ind w:right="980" w:firstLine="250"/>
        <w:spacing w:after="0" w:line="271"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113" w:lineRule="exact"/>
        <w:rPr>
          <w:sz w:val="20"/>
          <w:szCs w:val="20"/>
          <w:color w:val="auto"/>
        </w:rPr>
      </w:pPr>
    </w:p>
    <w:p>
      <w:pPr>
        <w:ind w:right="400" w:firstLine="250"/>
        <w:spacing w:after="0" w:line="247"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treasuries, mutual funds, certificates of deposit, traded equity securities and debt securities.</w:t>
      </w:r>
    </w:p>
    <w:p>
      <w:pPr>
        <w:spacing w:after="0" w:line="169"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June 30, 2011, the Company did not adjust prices received from the independent third-party pricing services.</w:t>
      </w:r>
    </w:p>
    <w:p>
      <w:pPr>
        <w:spacing w:after="0" w:line="146" w:lineRule="exact"/>
        <w:rPr>
          <w:sz w:val="20"/>
          <w:szCs w:val="20"/>
          <w:color w:val="auto"/>
        </w:rPr>
      </w:pPr>
    </w:p>
    <w:p>
      <w:pPr>
        <w:ind w:right="380" w:firstLine="250"/>
        <w:spacing w:after="0" w:line="271"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113" w:lineRule="exact"/>
        <w:rPr>
          <w:sz w:val="20"/>
          <w:szCs w:val="20"/>
          <w:color w:val="auto"/>
        </w:rPr>
      </w:pPr>
    </w:p>
    <w:p>
      <w:pPr>
        <w:ind w:right="200" w:firstLine="250"/>
        <w:spacing w:after="0" w:line="271"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its acquisitions. See Note 3 for more information regarding the acquisitions and related contingent consideration.</w:t>
      </w:r>
    </w:p>
    <w:p>
      <w:pPr>
        <w:spacing w:after="0" w:line="127" w:lineRule="exact"/>
        <w:rPr>
          <w:sz w:val="20"/>
          <w:szCs w:val="20"/>
          <w:color w:val="auto"/>
        </w:rPr>
      </w:pPr>
    </w:p>
    <w:p>
      <w:pPr>
        <w:ind w:right="20" w:firstLine="250"/>
        <w:spacing w:after="0" w:line="253"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Company’s interest rate swaps are not traded on a market exchange; therefore, the fair values are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models which include assumptions about the London Interbank Offered Rate (“LIBOR”) yield curve at interim reporting dates as well as counterparty credit risk and the Company’s own non-performance risk.</w:t>
      </w:r>
    </w:p>
    <w:p>
      <w:pPr>
        <w:spacing w:after="0" w:line="151" w:lineRule="exact"/>
        <w:rPr>
          <w:sz w:val="20"/>
          <w:szCs w:val="20"/>
          <w:color w:val="auto"/>
        </w:rPr>
      </w:pPr>
    </w:p>
    <w:p>
      <w:pPr>
        <w:ind w:right="200" w:firstLine="247"/>
        <w:spacing w:after="0" w:line="246"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six months ended June 30, 2011.</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rPr>
          <w:sz w:val="20"/>
          <w:szCs w:val="20"/>
          <w:color w:val="auto"/>
        </w:rPr>
      </w:pPr>
      <w:r>
        <w:rPr>
          <w:rFonts w:ascii="Arial" w:cs="Arial" w:eastAsia="Arial" w:hAnsi="Arial"/>
          <w:sz w:val="18"/>
          <w:szCs w:val="18"/>
          <w:color w:val="auto"/>
        </w:rPr>
        <w:t>June 30, 2011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Active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 for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Identical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Measurements</w:t>
            </w:r>
          </w:p>
        </w:tc>
      </w:tr>
      <w:tr>
        <w:trPr>
          <w:trHeight w:val="183"/>
        </w:trPr>
        <w:tc>
          <w:tcPr>
            <w:tcW w:w="54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At June 30, 2011: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89"/>
        </w:trPr>
        <w:tc>
          <w:tcPr>
            <w:tcW w:w="54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516,357</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516,357</w:t>
            </w:r>
          </w:p>
        </w:tc>
        <w:tc>
          <w:tcPr>
            <w:tcW w:w="200" w:type="dxa"/>
            <w:vAlign w:val="bottom"/>
            <w:shd w:val="clear" w:color="auto" w:fill="CCEEFF"/>
          </w:tcPr>
          <w:p>
            <w:pPr>
              <w:spacing w:after="0"/>
              <w:rPr>
                <w:sz w:val="16"/>
                <w:szCs w:val="16"/>
                <w:color w:val="auto"/>
              </w:rPr>
            </w:pPr>
          </w:p>
        </w:tc>
      </w:tr>
      <w:tr>
        <w:trPr>
          <w:trHeight w:val="189"/>
        </w:trPr>
        <w:tc>
          <w:tcPr>
            <w:tcW w:w="5480" w:type="dxa"/>
            <w:vAlign w:val="bottom"/>
          </w:tcPr>
          <w:p>
            <w:pPr>
              <w:ind w:left="220"/>
              <w:spacing w:after="0"/>
              <w:rPr>
                <w:sz w:val="20"/>
                <w:szCs w:val="20"/>
                <w:color w:val="auto"/>
              </w:rPr>
            </w:pPr>
            <w:r>
              <w:rPr>
                <w:rFonts w:ascii="Arial" w:cs="Arial" w:eastAsia="Arial" w:hAnsi="Arial"/>
                <w:sz w:val="16"/>
                <w:szCs w:val="16"/>
                <w:color w:val="auto"/>
              </w:rPr>
              <w:t>Securities owned — trading: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529</w:t>
            </w:r>
          </w:p>
        </w:tc>
      </w:tr>
      <w:tr>
        <w:trPr>
          <w:trHeight w:val="189"/>
        </w:trPr>
        <w:tc>
          <w:tcPr>
            <w:tcW w:w="548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7,399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7,399</w:t>
            </w:r>
          </w:p>
        </w:tc>
      </w:tr>
      <w:tr>
        <w:trPr>
          <w:trHeight w:val="189"/>
        </w:trPr>
        <w:tc>
          <w:tcPr>
            <w:tcW w:w="5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securities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w:t>
            </w:r>
          </w:p>
        </w:tc>
      </w:tr>
      <w:tr>
        <w:trPr>
          <w:trHeight w:val="189"/>
        </w:trPr>
        <w:tc>
          <w:tcPr>
            <w:tcW w:w="5480" w:type="dxa"/>
            <w:vAlign w:val="bottom"/>
          </w:tcPr>
          <w:p>
            <w:pPr>
              <w:ind w:left="420"/>
              <w:spacing w:after="0"/>
              <w:rPr>
                <w:sz w:val="20"/>
                <w:szCs w:val="20"/>
                <w:color w:val="auto"/>
              </w:rPr>
            </w:pPr>
            <w:r>
              <w:rPr>
                <w:rFonts w:ascii="Arial" w:cs="Arial" w:eastAsia="Arial" w:hAnsi="Arial"/>
                <w:sz w:val="16"/>
                <w:szCs w:val="16"/>
                <w:color w:val="auto"/>
              </w:rPr>
              <w:t>Debt securities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838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838</w:t>
            </w:r>
          </w:p>
        </w:tc>
      </w:tr>
      <w:tr>
        <w:trPr>
          <w:trHeight w:val="189"/>
        </w:trPr>
        <w:tc>
          <w:tcPr>
            <w:tcW w:w="5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U.S. treasury obligations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900</w:t>
            </w:r>
          </w:p>
        </w:tc>
      </w:tr>
      <w:tr>
        <w:trPr>
          <w:trHeight w:val="189"/>
        </w:trPr>
        <w:tc>
          <w:tcPr>
            <w:tcW w:w="5480" w:type="dxa"/>
            <w:vAlign w:val="bottom"/>
          </w:tcPr>
          <w:p>
            <w:pPr>
              <w:ind w:left="220"/>
              <w:spacing w:after="0"/>
              <w:rPr>
                <w:sz w:val="20"/>
                <w:szCs w:val="20"/>
                <w:color w:val="auto"/>
              </w:rPr>
            </w:pPr>
            <w:r>
              <w:rPr>
                <w:rFonts w:ascii="Arial" w:cs="Arial" w:eastAsia="Arial" w:hAnsi="Arial"/>
                <w:sz w:val="16"/>
                <w:szCs w:val="16"/>
                <w:color w:val="auto"/>
              </w:rPr>
              <w:t>Total securities owned — trading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838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9,740</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22,819</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22,819</w:t>
            </w:r>
          </w:p>
        </w:tc>
        <w:tc>
          <w:tcPr>
            <w:tcW w:w="200" w:type="dxa"/>
            <w:vAlign w:val="bottom"/>
            <w:shd w:val="clear" w:color="auto" w:fill="CCEEFF"/>
          </w:tcPr>
          <w:p>
            <w:pPr>
              <w:spacing w:after="0"/>
              <w:rPr>
                <w:sz w:val="16"/>
                <w:szCs w:val="16"/>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480" w:type="dxa"/>
            <w:vAlign w:val="bottom"/>
          </w:tcPr>
          <w:p>
            <w:pPr>
              <w:ind w:left="420"/>
              <w:spacing w:after="0"/>
              <w:rPr>
                <w:sz w:val="20"/>
                <w:szCs w:val="20"/>
                <w:color w:val="auto"/>
              </w:rPr>
            </w:pPr>
            <w:r>
              <w:rPr>
                <w:rFonts w:ascii="Arial" w:cs="Arial" w:eastAsia="Arial" w:hAnsi="Arial"/>
                <w:sz w:val="16"/>
                <w:szCs w:val="16"/>
                <w:color w:val="auto"/>
              </w:rPr>
              <w:t>Total assets at fair value</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548,078</w:t>
            </w:r>
          </w:p>
        </w:tc>
        <w:tc>
          <w:tcPr>
            <w:tcW w:w="26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838</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548,916</w:t>
            </w: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91"/>
        </w:trPr>
        <w:tc>
          <w:tcPr>
            <w:tcW w:w="5480" w:type="dxa"/>
            <w:vAlign w:val="bottom"/>
          </w:tcPr>
          <w:p>
            <w:pPr>
              <w:ind w:left="220"/>
              <w:spacing w:after="0"/>
              <w:rPr>
                <w:sz w:val="20"/>
                <w:szCs w:val="20"/>
                <w:color w:val="auto"/>
              </w:rPr>
            </w:pPr>
            <w:r>
              <w:rPr>
                <w:rFonts w:ascii="Arial" w:cs="Arial" w:eastAsia="Arial" w:hAnsi="Arial"/>
                <w:sz w:val="16"/>
                <w:szCs w:val="16"/>
                <w:color w:val="auto"/>
              </w:rPr>
              <w:t>Securities sold but not yet purchased: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7"/>
        </w:trPr>
        <w:tc>
          <w:tcPr>
            <w:tcW w:w="548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3,313</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3,313</w:t>
            </w:r>
          </w:p>
        </w:tc>
      </w:tr>
      <w:tr>
        <w:trPr>
          <w:trHeight w:val="189"/>
        </w:trPr>
        <w:tc>
          <w:tcPr>
            <w:tcW w:w="5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securities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162</w:t>
            </w:r>
          </w:p>
        </w:tc>
      </w:tr>
      <w:tr>
        <w:trPr>
          <w:trHeight w:val="189"/>
        </w:trPr>
        <w:tc>
          <w:tcPr>
            <w:tcW w:w="5480" w:type="dxa"/>
            <w:vAlign w:val="bottom"/>
          </w:tcPr>
          <w:p>
            <w:pPr>
              <w:ind w:left="420"/>
              <w:spacing w:after="0"/>
              <w:rPr>
                <w:sz w:val="20"/>
                <w:szCs w:val="20"/>
                <w:color w:val="auto"/>
              </w:rPr>
            </w:pPr>
            <w:r>
              <w:rPr>
                <w:rFonts w:ascii="Arial" w:cs="Arial" w:eastAsia="Arial" w:hAnsi="Arial"/>
                <w:sz w:val="16"/>
                <w:szCs w:val="16"/>
                <w:color w:val="auto"/>
              </w:rPr>
              <w:t>Debt securities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135</w:t>
            </w:r>
          </w:p>
        </w:tc>
      </w:tr>
      <w:tr>
        <w:trPr>
          <w:trHeight w:val="189"/>
        </w:trPr>
        <w:tc>
          <w:tcPr>
            <w:tcW w:w="5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Certificates of deposit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451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w:t>
            </w: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480" w:type="dxa"/>
            <w:vAlign w:val="bottom"/>
          </w:tcPr>
          <w:p>
            <w:pPr>
              <w:ind w:left="220"/>
              <w:spacing w:after="0"/>
              <w:rPr>
                <w:sz w:val="20"/>
                <w:szCs w:val="20"/>
                <w:color w:val="auto"/>
              </w:rPr>
            </w:pPr>
            <w:r>
              <w:rPr>
                <w:rFonts w:ascii="Arial" w:cs="Arial" w:eastAsia="Arial" w:hAnsi="Arial"/>
                <w:sz w:val="16"/>
                <w:szCs w:val="16"/>
                <w:color w:val="auto"/>
              </w:rPr>
              <w:t>Total securities sold but not yet purchased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586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4,061</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2,836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2,836</w:t>
            </w:r>
          </w:p>
        </w:tc>
      </w:tr>
      <w:tr>
        <w:trPr>
          <w:trHeight w:val="189"/>
        </w:trPr>
        <w:tc>
          <w:tcPr>
            <w:tcW w:w="548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15,111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15,111</w:t>
            </w:r>
          </w:p>
        </w:tc>
        <w:tc>
          <w:tcPr>
            <w:tcW w:w="200" w:type="dxa"/>
            <w:vAlign w:val="bottom"/>
          </w:tcPr>
          <w:p>
            <w:pPr>
              <w:spacing w:after="0"/>
              <w:rPr>
                <w:sz w:val="16"/>
                <w:szCs w:val="16"/>
                <w:color w:val="auto"/>
              </w:rPr>
            </w:pP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54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3,475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3,422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15,111</w:t>
            </w:r>
          </w:p>
        </w:tc>
        <w:tc>
          <w:tcPr>
            <w:tcW w:w="3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22,008</w:t>
            </w:r>
          </w:p>
        </w:tc>
        <w:tc>
          <w:tcPr>
            <w:tcW w:w="200" w:type="dxa"/>
            <w:vAlign w:val="bottom"/>
            <w:shd w:val="clear" w:color="auto" w:fill="CCEEFF"/>
          </w:tcPr>
          <w:p>
            <w:pPr>
              <w:spacing w:after="0"/>
              <w:rPr>
                <w:sz w:val="16"/>
                <w:szCs w:val="16"/>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second quarter of 2011, the Company recorded an asset impairment charge of $ 1.7 million for certain intangible assets that were determined to have no estimated fair value (See Note 7). The fair value was determined based on the loss of future expected cash flows for institutional relationships that were not retained as a result of the Company’s ongoing consolidation of UVEST with LPL Financial. The Company has determined that the impairment qualifies as a Level 3 measurement under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93"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color w:val="auto"/>
        </w:rPr>
        <w:t>Set forth below is a reconciliation of contingent consideration classified as accounts payable and accrued liabilities on the unaudited condensed consolidated statements of financial condition and measured at fair value on a recurring basis using significant unobservable inputs (Level 3). Contingent consideration is measured by discounting, to present value, the contingent payments expected to be made based on the Company’s estimates of certain financial targets expected to result from the acquisitions.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20"/>
                <w:szCs w:val="20"/>
                <w:color w:val="auto"/>
              </w:rPr>
            </w:pPr>
            <w:r>
              <w:rPr>
                <w:rFonts w:ascii="Arial" w:cs="Arial" w:eastAsia="Arial" w:hAnsi="Arial"/>
                <w:sz w:val="14"/>
                <w:szCs w:val="14"/>
                <w:b w:val="1"/>
                <w:bCs w:val="1"/>
                <w:color w:val="auto"/>
              </w:rPr>
              <w:t xml:space="preserve">Six Months Ended June 30, 2011 </w:t>
            </w:r>
            <w:r>
              <w:rPr>
                <w:rFonts w:ascii="Arial" w:cs="Arial" w:eastAsia="Arial" w:hAnsi="Arial"/>
                <w:sz w:val="14"/>
                <w:szCs w:val="14"/>
                <w:color w:val="auto"/>
              </w:rPr>
              <w:t>(in thousands):</w:t>
            </w: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Fair value at December 31, 2010</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Issuances of contingent consideration</w:t>
            </w: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16,842</w:t>
            </w:r>
          </w:p>
        </w:tc>
        <w:tc>
          <w:tcPr>
            <w:tcW w:w="100" w:type="dxa"/>
            <w:vAlign w:val="bottom"/>
          </w:tcPr>
          <w:p>
            <w:pPr>
              <w:spacing w:after="0"/>
              <w:rPr>
                <w:sz w:val="16"/>
                <w:szCs w:val="16"/>
                <w:color w:val="auto"/>
              </w:rPr>
            </w:pPr>
          </w:p>
        </w:tc>
      </w:tr>
      <w:tr>
        <w:trPr>
          <w:trHeight w:val="18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Total unrealized losses included in earnings</w:t>
            </w:r>
          </w:p>
        </w:tc>
        <w:tc>
          <w:tcPr>
            <w:tcW w:w="3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Payments</w:t>
            </w: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(2,000)</w:t>
            </w:r>
          </w:p>
        </w:tc>
      </w:tr>
      <w:tr>
        <w:trPr>
          <w:trHeight w:val="27"/>
        </w:trPr>
        <w:tc>
          <w:tcPr>
            <w:tcW w:w="68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Fair value at June 30, 2011</w:t>
            </w:r>
          </w:p>
        </w:tc>
        <w:tc>
          <w:tcPr>
            <w:tcW w:w="3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15,111</w:t>
            </w:r>
          </w:p>
        </w:tc>
        <w:tc>
          <w:tcPr>
            <w:tcW w:w="100" w:type="dxa"/>
            <w:vAlign w:val="bottom"/>
            <w:shd w:val="clear" w:color="auto" w:fill="CCEEFF"/>
          </w:tcPr>
          <w:p>
            <w:pPr>
              <w:spacing w:after="0"/>
              <w:rPr>
                <w:sz w:val="16"/>
                <w:szCs w:val="16"/>
                <w:color w:val="auto"/>
              </w:rPr>
            </w:pPr>
          </w:p>
        </w:tc>
      </w:tr>
      <w:tr>
        <w:trPr>
          <w:trHeight w:val="20"/>
        </w:trPr>
        <w:tc>
          <w:tcPr>
            <w:tcW w:w="6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rPr>
          <w:sz w:val="20"/>
          <w:szCs w:val="20"/>
          <w:color w:val="auto"/>
        </w:rPr>
      </w:pPr>
      <w:r>
        <w:rPr>
          <w:rFonts w:ascii="Arial" w:cs="Arial" w:eastAsia="Arial" w:hAnsi="Arial"/>
          <w:sz w:val="18"/>
          <w:szCs w:val="18"/>
          <w:color w:val="auto"/>
        </w:rPr>
        <w:t>December 31, 2010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Quoted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Prices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Active</w:t>
            </w: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Markets for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Identical</w:t>
            </w: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Observable</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Measurements</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At December 31, 2010:</w:t>
            </w: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279,048</w:t>
            </w:r>
          </w:p>
        </w:tc>
        <w:tc>
          <w:tcPr>
            <w:tcW w:w="2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279,048</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6"/>
                <w:szCs w:val="16"/>
                <w:color w:val="auto"/>
              </w:rPr>
              <w:t>Securities owned — trading:</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89"/>
        </w:trPr>
        <w:tc>
          <w:tcPr>
            <w:tcW w:w="562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7,300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securities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5620" w:type="dxa"/>
            <w:vAlign w:val="bottom"/>
          </w:tcPr>
          <w:p>
            <w:pPr>
              <w:ind w:left="420"/>
              <w:spacing w:after="0"/>
              <w:rPr>
                <w:sz w:val="20"/>
                <w:szCs w:val="20"/>
                <w:color w:val="auto"/>
              </w:rPr>
            </w:pPr>
            <w:r>
              <w:rPr>
                <w:rFonts w:ascii="Arial" w:cs="Arial" w:eastAsia="Arial" w:hAnsi="Arial"/>
                <w:sz w:val="16"/>
                <w:szCs w:val="16"/>
                <w:color w:val="auto"/>
              </w:rPr>
              <w:t>Debt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U.S. treasury obligations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189"/>
        </w:trPr>
        <w:tc>
          <w:tcPr>
            <w:tcW w:w="5620" w:type="dxa"/>
            <w:vAlign w:val="bottom"/>
          </w:tcPr>
          <w:p>
            <w:pPr>
              <w:ind w:left="42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securities owned — trading</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8,643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17,175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17,175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assets at fair value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304,866</w:t>
            </w:r>
          </w:p>
        </w:tc>
        <w:tc>
          <w:tcPr>
            <w:tcW w:w="2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305,482</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Securities sold but not yet purchased: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4,563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5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Equity securities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9"/>
        </w:trPr>
        <w:tc>
          <w:tcPr>
            <w:tcW w:w="5620" w:type="dxa"/>
            <w:vAlign w:val="bottom"/>
          </w:tcPr>
          <w:p>
            <w:pPr>
              <w:ind w:left="420"/>
              <w:spacing w:after="0"/>
              <w:rPr>
                <w:sz w:val="20"/>
                <w:szCs w:val="20"/>
                <w:color w:val="auto"/>
              </w:rPr>
            </w:pPr>
            <w:r>
              <w:rPr>
                <w:rFonts w:ascii="Arial" w:cs="Arial" w:eastAsia="Arial" w:hAnsi="Arial"/>
                <w:sz w:val="16"/>
                <w:szCs w:val="16"/>
                <w:color w:val="auto"/>
              </w:rPr>
              <w:t>Debt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securities sold but not yet purchased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4,767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7,281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7,281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liabilities at fair value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4,767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7,335</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87"/>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Held-to-Maturity Securities</w:t>
      </w:r>
    </w:p>
    <w:p>
      <w:pPr>
        <w:spacing w:after="0" w:line="193" w:lineRule="exact"/>
        <w:rPr>
          <w:sz w:val="20"/>
          <w:szCs w:val="20"/>
          <w:color w:val="auto"/>
        </w:rPr>
      </w:pPr>
    </w:p>
    <w:p>
      <w:pPr>
        <w:jc w:val="both"/>
        <w:ind w:right="60" w:firstLine="247"/>
        <w:spacing w:after="0" w:line="239" w:lineRule="auto"/>
        <w:rPr>
          <w:sz w:val="20"/>
          <w:szCs w:val="20"/>
          <w:color w:val="auto"/>
        </w:rPr>
      </w:pPr>
      <w:r>
        <w:rPr>
          <w:rFonts w:ascii="Arial" w:cs="Arial" w:eastAsia="Arial" w:hAnsi="Arial"/>
          <w:sz w:val="18"/>
          <w:szCs w:val="18"/>
          <w:color w:val="auto"/>
        </w:rPr>
        <w:t>The Company holds certain investments in securities including U.S. government notes. The Company has both the intent and the ability to hold these investments to maturity and classifies them as such. Interest income is accrued as earned. Premiums and discounts are amortized using a method that approximates the effective yield method over the term of the security and are recorded as an adjustment to the investment yield.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10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tcPr>
          <w:p>
            <w:pPr>
              <w:ind w:left="3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At June 30, 2011:</w:t>
            </w: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U.S. government notes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11,651</w:t>
            </w:r>
          </w:p>
        </w:tc>
        <w:tc>
          <w:tcPr>
            <w:tcW w:w="240" w:type="dxa"/>
            <w:vAlign w:val="bottom"/>
          </w:tcPr>
          <w:p>
            <w:pPr>
              <w:spacing w:after="0"/>
              <w:rPr>
                <w:sz w:val="16"/>
                <w:szCs w:val="16"/>
                <w:color w:val="auto"/>
              </w:rPr>
            </w:pPr>
          </w:p>
        </w:tc>
        <w:tc>
          <w:tcPr>
            <w:tcW w:w="5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50</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11,701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December 31, 2010:</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U.S. government notes</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9,563</w:t>
            </w:r>
          </w:p>
        </w:tc>
        <w:tc>
          <w:tcPr>
            <w:tcW w:w="240" w:type="dxa"/>
            <w:vAlign w:val="bottom"/>
          </w:tcPr>
          <w:p>
            <w:pPr>
              <w:spacing w:after="0"/>
              <w:rPr>
                <w:sz w:val="16"/>
                <w:szCs w:val="16"/>
                <w:color w:val="auto"/>
              </w:rPr>
            </w:pPr>
          </w:p>
        </w:tc>
        <w:tc>
          <w:tcPr>
            <w:tcW w:w="5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69</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maturities of securities held-to-maturity at June 30, 2011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32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Within 1 Year</w:t>
            </w:r>
          </w:p>
        </w:tc>
        <w:tc>
          <w:tcPr>
            <w:tcW w:w="220" w:type="dxa"/>
            <w:vAlign w:val="bottom"/>
          </w:tcPr>
          <w:p>
            <w:pPr>
              <w:spacing w:after="0"/>
              <w:rPr>
                <w:sz w:val="18"/>
                <w:szCs w:val="18"/>
                <w:color w:val="auto"/>
              </w:rPr>
            </w:pPr>
          </w:p>
        </w:tc>
        <w:tc>
          <w:tcPr>
            <w:tcW w:w="11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183"/>
        </w:trPr>
        <w:tc>
          <w:tcPr>
            <w:tcW w:w="7480" w:type="dxa"/>
            <w:vAlign w:val="bottom"/>
          </w:tcPr>
          <w:p>
            <w:pPr>
              <w:spacing w:after="0" w:line="183" w:lineRule="exact"/>
              <w:rPr>
                <w:sz w:val="20"/>
                <w:szCs w:val="20"/>
                <w:color w:val="auto"/>
              </w:rPr>
            </w:pPr>
            <w:r>
              <w:rPr>
                <w:rFonts w:ascii="Arial" w:cs="Arial" w:eastAsia="Arial" w:hAnsi="Arial"/>
                <w:sz w:val="16"/>
                <w:szCs w:val="16"/>
                <w:color w:val="auto"/>
              </w:rPr>
              <w:t>U.S. government notes — at amortized cost</w:t>
            </w:r>
          </w:p>
        </w:tc>
        <w:tc>
          <w:tcPr>
            <w:tcW w:w="300" w:type="dxa"/>
            <w:vAlign w:val="bottom"/>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83" w:lineRule="exact"/>
              <w:rPr>
                <w:sz w:val="20"/>
                <w:szCs w:val="20"/>
                <w:color w:val="auto"/>
              </w:rPr>
            </w:pPr>
            <w:r>
              <w:rPr>
                <w:rFonts w:ascii="Arial" w:cs="Arial" w:eastAsia="Arial" w:hAnsi="Arial"/>
                <w:sz w:val="16"/>
                <w:szCs w:val="16"/>
                <w:color w:val="auto"/>
              </w:rPr>
              <w:t>7,373</w:t>
            </w:r>
          </w:p>
        </w:tc>
        <w:tc>
          <w:tcPr>
            <w:tcW w:w="30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4,278</w:t>
            </w:r>
          </w:p>
        </w:tc>
        <w:tc>
          <w:tcPr>
            <w:tcW w:w="4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11,651</w:t>
            </w: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80" w:type="dxa"/>
            <w:vAlign w:val="bottom"/>
          </w:tcPr>
          <w:p>
            <w:pPr>
              <w:spacing w:after="0"/>
              <w:rPr>
                <w:sz w:val="20"/>
                <w:szCs w:val="20"/>
                <w:color w:val="auto"/>
              </w:rPr>
            </w:pPr>
            <w:r>
              <w:rPr>
                <w:rFonts w:ascii="Arial" w:cs="Arial" w:eastAsia="Arial" w:hAnsi="Arial"/>
                <w:sz w:val="16"/>
                <w:szCs w:val="16"/>
                <w:color w:val="auto"/>
              </w:rPr>
              <w:t>U.S. government notes — at fair value</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7,394</w:t>
            </w:r>
          </w:p>
        </w:tc>
        <w:tc>
          <w:tcPr>
            <w:tcW w:w="300" w:type="dxa"/>
            <w:vAlign w:val="bottom"/>
          </w:tcPr>
          <w:p>
            <w:pPr>
              <w:spacing w:after="0"/>
              <w:rPr>
                <w:sz w:val="15"/>
                <w:szCs w:val="15"/>
                <w:color w:val="auto"/>
              </w:rPr>
            </w:pPr>
          </w:p>
        </w:tc>
        <w:tc>
          <w:tcPr>
            <w:tcW w:w="6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4,307</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11,701</w:t>
            </w: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900" w:type="dxa"/>
            <w:vAlign w:val="bottom"/>
            <w:gridSpan w:val="3"/>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1,293,366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Acquisition of CCP (Note 3)</w:t>
            </w:r>
          </w:p>
        </w:tc>
        <w:tc>
          <w:tcPr>
            <w:tcW w:w="30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Acquisition of NRP (Note 3)</w:t>
            </w:r>
          </w:p>
        </w:tc>
        <w:tc>
          <w:tcPr>
            <w:tcW w:w="3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12,574(1)</w:t>
            </w:r>
          </w:p>
        </w:tc>
        <w:tc>
          <w:tcPr>
            <w:tcW w:w="0" w:type="dxa"/>
            <w:vAlign w:val="bottom"/>
          </w:tcPr>
          <w:p>
            <w:pPr>
              <w:spacing w:after="0"/>
              <w:rPr>
                <w:sz w:val="1"/>
                <w:szCs w:val="1"/>
                <w:color w:val="auto"/>
              </w:rPr>
            </w:pPr>
          </w:p>
        </w:tc>
      </w:tr>
      <w:tr>
        <w:trPr>
          <w:trHeight w:val="210"/>
        </w:trPr>
        <w:tc>
          <w:tcPr>
            <w:tcW w:w="9900" w:type="dxa"/>
            <w:vAlign w:val="bottom"/>
            <w:gridSpan w:val="3"/>
          </w:tcPr>
          <w:p>
            <w:pPr>
              <w:spacing w:after="0"/>
              <w:rPr>
                <w:sz w:val="20"/>
                <w:szCs w:val="20"/>
                <w:color w:val="auto"/>
              </w:rPr>
            </w:pPr>
            <w:r>
              <w:rPr>
                <w:rFonts w:ascii="Arial" w:cs="Arial" w:eastAsia="Arial" w:hAnsi="Arial"/>
                <w:sz w:val="18"/>
                <w:szCs w:val="18"/>
                <w:color w:val="auto"/>
              </w:rPr>
              <w:t>Balance at June 30, 2011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1,329,234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  This is a provisional amount and is subject to change (see Note 3).</w:t>
      </w:r>
    </w:p>
    <w:p>
      <w:pPr>
        <w:spacing w:after="0" w:line="171" w:lineRule="exact"/>
        <w:rPr>
          <w:sz w:val="20"/>
          <w:szCs w:val="20"/>
          <w:color w:val="auto"/>
        </w:rPr>
      </w:pPr>
    </w:p>
    <w:p>
      <w:pPr>
        <w:ind w:right="80" w:firstLine="250"/>
        <w:spacing w:after="0" w:line="238" w:lineRule="auto"/>
        <w:rPr>
          <w:sz w:val="20"/>
          <w:szCs w:val="20"/>
          <w:color w:val="auto"/>
        </w:rPr>
      </w:pPr>
      <w:r>
        <w:rPr>
          <w:rFonts w:ascii="Arial" w:cs="Arial" w:eastAsia="Arial" w:hAnsi="Arial"/>
          <w:sz w:val="18"/>
          <w:szCs w:val="18"/>
          <w:color w:val="auto"/>
        </w:rPr>
        <w:t>During the second quarter ended June 30, 2011, and in conjunction with the corporate restructuring plan to consolidate UVEST, certain institutional relationships were determined to have no future economic benefit. Accordingly, the Company has recorded an intangible asset impairment charge of $1.7 million. The impairment was determined based upon the attrition of institutions and their related revenue streams during the period of consolidation. The Company has recorded the intangible asset impairment as a restructuring charge (See Note 4) and has classified as such on the unaudited condensed consolidated statements of operations.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intangible assets as of June 30, 2011 and December 31, 2010 are as follows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 Life</w:t>
            </w:r>
          </w:p>
        </w:tc>
        <w:tc>
          <w:tcPr>
            <w:tcW w:w="3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2011:</w:t>
            </w: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Definite-lived intangible assets: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Advisor and financial institution relationships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13.8</w:t>
            </w:r>
          </w:p>
        </w:tc>
        <w:tc>
          <w:tcPr>
            <w:tcW w:w="13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$ 460,788</w:t>
            </w:r>
          </w:p>
        </w:tc>
        <w:tc>
          <w:tcPr>
            <w:tcW w:w="4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(129,410)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$ 331,378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Product sponsor relationships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6"/>
              </w:rPr>
              <w:t>14.4</w:t>
            </w:r>
          </w:p>
        </w:tc>
        <w:tc>
          <w:tcPr>
            <w:tcW w:w="13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234,920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(61,453)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173,467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Client relationships</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13.4</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(1,086)</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ind w:left="420"/>
              <w:spacing w:after="0"/>
              <w:rPr>
                <w:sz w:val="20"/>
                <w:szCs w:val="20"/>
                <w:color w:val="auto"/>
              </w:rPr>
            </w:pPr>
            <w:r>
              <w:rPr>
                <w:rFonts w:ascii="Arial" w:cs="Arial" w:eastAsia="Arial" w:hAnsi="Arial"/>
                <w:sz w:val="18"/>
                <w:szCs w:val="18"/>
                <w:color w:val="auto"/>
              </w:rPr>
              <w:t>Total definite-lived intangible assets</w:t>
            </w:r>
          </w:p>
        </w:tc>
        <w:tc>
          <w:tcPr>
            <w:tcW w:w="102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$ 710,618</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(191,949)</w:t>
            </w:r>
          </w:p>
        </w:tc>
        <w:tc>
          <w:tcPr>
            <w:tcW w:w="840" w:type="dxa"/>
            <w:vAlign w:val="bottom"/>
          </w:tcPr>
          <w:p>
            <w:pPr>
              <w:jc w:val="right"/>
              <w:spacing w:after="0"/>
              <w:rPr>
                <w:sz w:val="20"/>
                <w:szCs w:val="20"/>
                <w:color w:val="auto"/>
              </w:rPr>
            </w:pPr>
            <w:r>
              <w:rPr>
                <w:rFonts w:ascii="Arial" w:cs="Arial" w:eastAsia="Arial" w:hAnsi="Arial"/>
                <w:sz w:val="18"/>
                <w:szCs w:val="18"/>
                <w:color w:val="auto"/>
              </w:rPr>
              <w:t>$ 518,669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Trademark and trade name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intangible assets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$ 558,488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2010:</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Definite-lived intangible assets: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Advisor and financial institution relationships</w:t>
            </w:r>
          </w:p>
        </w:tc>
        <w:tc>
          <w:tcPr>
            <w:tcW w:w="1020" w:type="dxa"/>
            <w:vAlign w:val="bottom"/>
          </w:tcPr>
          <w:p>
            <w:pPr>
              <w:spacing w:after="0"/>
              <w:rPr>
                <w:sz w:val="17"/>
                <w:szCs w:val="17"/>
                <w:color w:val="auto"/>
              </w:rPr>
            </w:pPr>
          </w:p>
        </w:tc>
        <w:tc>
          <w:tcPr>
            <w:tcW w:w="13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$ 458,424</w:t>
            </w:r>
          </w:p>
        </w:tc>
        <w:tc>
          <w:tcPr>
            <w:tcW w:w="4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(116,687)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$ 341,737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Product sponsor relationships</w:t>
            </w:r>
          </w:p>
        </w:tc>
        <w:tc>
          <w:tcPr>
            <w:tcW w:w="10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231,930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(55,255)</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Client relationships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(784)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definite-lived intangible assets</w:t>
            </w:r>
          </w:p>
        </w:tc>
        <w:tc>
          <w:tcPr>
            <w:tcW w:w="10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$ 692,984</w:t>
            </w:r>
          </w:p>
        </w:tc>
        <w:tc>
          <w:tcPr>
            <w:tcW w:w="4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(172,726)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$ 520,258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 and trade name</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10"/>
        </w:trPr>
        <w:tc>
          <w:tcPr>
            <w:tcW w:w="6520" w:type="dxa"/>
            <w:vAlign w:val="bottom"/>
          </w:tcPr>
          <w:p>
            <w:pPr>
              <w:ind w:left="420"/>
              <w:spacing w:after="0"/>
              <w:rPr>
                <w:sz w:val="20"/>
                <w:szCs w:val="20"/>
                <w:color w:val="auto"/>
              </w:rPr>
            </w:pPr>
            <w:r>
              <w:rPr>
                <w:rFonts w:ascii="Arial" w:cs="Arial" w:eastAsia="Arial" w:hAnsi="Arial"/>
                <w:sz w:val="18"/>
                <w:szCs w:val="18"/>
                <w:color w:val="auto"/>
              </w:rPr>
              <w:t>Total intangible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$ 560,077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420" w:firstLine="247"/>
        <w:spacing w:after="0"/>
        <w:rPr>
          <w:sz w:val="20"/>
          <w:szCs w:val="20"/>
          <w:color w:val="auto"/>
        </w:rPr>
      </w:pPr>
      <w:r>
        <w:rPr>
          <w:rFonts w:ascii="Arial" w:cs="Arial" w:eastAsia="Arial" w:hAnsi="Arial"/>
          <w:sz w:val="18"/>
          <w:szCs w:val="18"/>
          <w:color w:val="auto"/>
        </w:rPr>
        <w:t>Total amortization expense of intangible assets was $9.7 million and $9.3 million for the three months ended June 30, 2011, and 2010, respectively, and $19.2 million and $18.5 million for the six months ended June 30, 2011, and 2010, respectively. Amortization expense for each of the fiscal years ended December 31, 2011 (remainder) through 2015 and thereafter is estimated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2011 — remainder</w:t>
            </w:r>
          </w:p>
        </w:tc>
        <w:tc>
          <w:tcPr>
            <w:tcW w:w="7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6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6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6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518,669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920" w:type="dxa"/>
            <w:vAlign w:val="bottom"/>
            <w:vMerge w:val="restart"/>
          </w:tcPr>
          <w:p>
            <w:pPr>
              <w:jc w:val="right"/>
              <w:ind w:right="457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69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7" w:lineRule="exact"/>
        <w:rPr>
          <w:sz w:val="20"/>
          <w:szCs w:val="20"/>
          <w:color w:val="auto"/>
        </w:rPr>
      </w:pPr>
    </w:p>
    <w:p>
      <w:pPr>
        <w:ind w:right="260" w:firstLine="247"/>
        <w:spacing w:after="0" w:line="238" w:lineRule="auto"/>
        <w:rPr>
          <w:sz w:val="20"/>
          <w:szCs w:val="20"/>
          <w:color w:val="auto"/>
        </w:rPr>
      </w:pPr>
      <w:r>
        <w:rPr>
          <w:rFonts w:ascii="Arial" w:cs="Arial" w:eastAsia="Arial" w:hAnsi="Arial"/>
          <w:sz w:val="18"/>
          <w:szCs w:val="18"/>
          <w:color w:val="auto"/>
        </w:rPr>
        <w:t>The Company’s effective income tax rate differs from the federal corporate tax rate of 35%, primarily as a result of state taxes, settlement contingencies and expenses that are not deductible for tax purposes. These items resulted in effective tax rates of 39.7% and 7.3% for the three months ended June 30, 2011 and 2010, respectively, and 39.8% and 37.1% for the six months ended June 30, 2011 and 2010, respectively. The reduction in the Company’s effective tax rate for the three months ended June 30, 2010 is primarily related to a change in California’s income sourcing rules that took effect on January 1, 2011.</w:t>
      </w:r>
    </w:p>
    <w:p>
      <w:pPr>
        <w:spacing w:after="0" w:line="162"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 xml:space="preserve">Deferred income taxes reflect the net tax effects of temporary differences between the carrying amounts of assets and liabilities for financial reporting purposes and the amounts used for income tax purposes. As a result of certain realization requirements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deferred tax assets and liabilities exclude certain federal and state net operating loss carryforwards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federal credit carryforwards that arose directly from tax deductions related to equity compensation in excess of share-based compensation recognized for financial reporting. During the six months ended June 30, 2011, the Company recorded an increase in additional paid-in capital of $42.8 million, as some of these tax carryforwards were used to reduce income taxes payable. To the extent that the Company utilizes the remaining tax attributes in the future to reduce income taxes payable, the Company will record an increase to additional paid-in capital of $12.4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Indebtedness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Term Loans </w:t>
      </w:r>
      <w:r>
        <w:rPr>
          <w:rFonts w:ascii="Arial" w:cs="Arial" w:eastAsia="Arial" w:hAnsi="Arial"/>
          <w:sz w:val="18"/>
          <w:szCs w:val="18"/>
          <w:color w:val="auto"/>
        </w:rPr>
        <w:t>— On May 24, 2010, the Company entered into a Third Amended and Restated Credit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Agreement (the “Amended Credit Agreement”). The Amended Credit Agreement amended and restated the Company’s Second Amended and</w:t>
      </w:r>
    </w:p>
    <w:p>
      <w:pPr>
        <w:spacing w:after="0" w:line="234" w:lineRule="auto"/>
        <w:rPr>
          <w:sz w:val="20"/>
          <w:szCs w:val="20"/>
          <w:color w:val="auto"/>
        </w:rPr>
      </w:pPr>
      <w:r>
        <w:rPr>
          <w:rFonts w:ascii="Arial" w:cs="Arial" w:eastAsia="Arial" w:hAnsi="Arial"/>
          <w:sz w:val="18"/>
          <w:szCs w:val="18"/>
          <w:color w:val="auto"/>
        </w:rPr>
        <w:t>Restated Credit Agreement, dated as of June 18, 2007. Pursuant to the Amended Credit Agreement, the Company established a new term</w:t>
      </w:r>
    </w:p>
    <w:p>
      <w:pPr>
        <w:spacing w:after="0" w:line="235" w:lineRule="auto"/>
        <w:rPr>
          <w:sz w:val="20"/>
          <w:szCs w:val="20"/>
          <w:color w:val="auto"/>
        </w:rPr>
      </w:pPr>
      <w:r>
        <w:rPr>
          <w:rFonts w:ascii="Arial" w:cs="Arial" w:eastAsia="Arial" w:hAnsi="Arial"/>
          <w:sz w:val="18"/>
          <w:szCs w:val="18"/>
          <w:color w:val="auto"/>
        </w:rPr>
        <w:t>loan tranche of $580.0 million maturing on June 28, 2017 (the “2017 Term Loans”) and recorded $16.6 million in debt issuance costs that are</w:t>
      </w:r>
    </w:p>
    <w:p>
      <w:pPr>
        <w:spacing w:after="0" w:line="235" w:lineRule="auto"/>
        <w:rPr>
          <w:sz w:val="20"/>
          <w:szCs w:val="20"/>
          <w:color w:val="auto"/>
        </w:rPr>
      </w:pPr>
      <w:r>
        <w:rPr>
          <w:rFonts w:ascii="Arial" w:cs="Arial" w:eastAsia="Arial" w:hAnsi="Arial"/>
          <w:sz w:val="18"/>
          <w:szCs w:val="18"/>
          <w:color w:val="auto"/>
        </w:rPr>
        <w:t>capitalized in the unaudited condensed consolidated statements of financial condition. The Company also extended the maturity of a</w:t>
      </w:r>
    </w:p>
    <w:p>
      <w:pPr>
        <w:spacing w:after="0" w:line="235" w:lineRule="auto"/>
        <w:rPr>
          <w:sz w:val="20"/>
          <w:szCs w:val="20"/>
          <w:color w:val="auto"/>
        </w:rPr>
      </w:pPr>
      <w:r>
        <w:rPr>
          <w:rFonts w:ascii="Arial" w:cs="Arial" w:eastAsia="Arial" w:hAnsi="Arial"/>
          <w:sz w:val="18"/>
          <w:szCs w:val="18"/>
          <w:color w:val="auto"/>
        </w:rPr>
        <w:t>$500.0 million tranche of its term loan facility to June 25, 2015 (the “2015 Term Loans”), with the remaining $317.1 million tranche of the term</w:t>
      </w:r>
    </w:p>
    <w:p>
      <w:pPr>
        <w:spacing w:after="0"/>
        <w:rPr>
          <w:sz w:val="20"/>
          <w:szCs w:val="20"/>
          <w:color w:val="auto"/>
        </w:rPr>
      </w:pPr>
      <w:r>
        <w:rPr>
          <w:rFonts w:ascii="Arial" w:cs="Arial" w:eastAsia="Arial" w:hAnsi="Arial"/>
          <w:sz w:val="18"/>
          <w:szCs w:val="18"/>
          <w:color w:val="auto"/>
        </w:rPr>
        <w:t>loan facility maturing on the original maturity date of June 28, 2013 (the “2013 Term Loans”).</w:t>
      </w:r>
    </w:p>
    <w:p>
      <w:pPr>
        <w:spacing w:after="0" w:line="171" w:lineRule="exact"/>
        <w:rPr>
          <w:sz w:val="20"/>
          <w:szCs w:val="20"/>
          <w:color w:val="auto"/>
        </w:rPr>
      </w:pPr>
    </w:p>
    <w:p>
      <w:pPr>
        <w:ind w:right="320" w:firstLine="247"/>
        <w:spacing w:after="0" w:line="239" w:lineRule="auto"/>
        <w:rPr>
          <w:sz w:val="20"/>
          <w:szCs w:val="20"/>
          <w:color w:val="auto"/>
        </w:rPr>
      </w:pPr>
      <w:r>
        <w:rPr>
          <w:rFonts w:ascii="Arial" w:cs="Arial" w:eastAsia="Arial" w:hAnsi="Arial"/>
          <w:sz w:val="18"/>
          <w:szCs w:val="18"/>
          <w:color w:val="auto"/>
        </w:rPr>
        <w:t>The applicable margin for borrowings with respect to the (a) 2013 Term Loans is currently 0.75% for base rate borrowings and 1.75% for LIBOR borrowings and could change depending on the Company’s credit rating; (b) 2015 Term Loans is currently 1.75% for base rate borrowings and 2.75% for LIBOR borrowings, and (c) 2017 Term Loans is currently 2.75% for base rate borrowings and 3.75% for LIBOR borrowings. The LIBOR Rate with respect to the 2015 Term Loans and the 2017 Term Loans shall in no event be less than 1.50%.</w:t>
      </w:r>
    </w:p>
    <w:p>
      <w:pPr>
        <w:spacing w:after="0" w:line="161"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Borrowings under the Company’s senior secured term loan facilities bear interest at a base rate equal to either one, two, three, six, nine or twelve-month LIBOR plus the applicable margin, or an alternative base rate (“ABR”) plus the applicable margin. The ABR is equal to the greater of the prime rate or the effective federal funds rate plus 1/2 of 1.00% for the 2013 Term Loans and the greater of the prime rate, effective federal funds rate plus 1/2 of 1.00%, or 2.50% for the 2015 Term Loans and the 2017 Term Loans. The senior secured credit facilities are subject to certain financial and nonfinancial covenants. As of June 30, 2011 and December 31, 2010, the Company was in compliance with such covenants. The Company may voluntarily repay outstanding loans under its senior secured credit facilities at any time without premium or penalty, other than customary “breakage” costs with respect to LIBOR loans.</w:t>
      </w:r>
    </w:p>
    <w:p>
      <w:pPr>
        <w:spacing w:after="0" w:line="176" w:lineRule="exact"/>
        <w:rPr>
          <w:sz w:val="20"/>
          <w:szCs w:val="20"/>
          <w:color w:val="auto"/>
        </w:rPr>
      </w:pPr>
    </w:p>
    <w:p>
      <w:pPr>
        <w:ind w:right="140" w:firstLine="250"/>
        <w:spacing w:after="0" w:line="246" w:lineRule="auto"/>
        <w:rPr>
          <w:sz w:val="20"/>
          <w:szCs w:val="20"/>
          <w:color w:val="auto"/>
        </w:rPr>
      </w:pPr>
      <w:r>
        <w:rPr>
          <w:rFonts w:ascii="Arial" w:cs="Arial" w:eastAsia="Arial" w:hAnsi="Arial"/>
          <w:sz w:val="18"/>
          <w:szCs w:val="18"/>
          <w:color w:val="auto"/>
        </w:rPr>
        <w:t>On January 31, 2011, the Company repaid $40.0 million of term loans under its senior secured credit facilities using net proceeds received in its initial public offering, which was completed in the fourth quarter of 2010, as well as other cash on hand.</w:t>
      </w:r>
    </w:p>
    <w:p>
      <w:pPr>
        <w:spacing w:after="0" w:line="134" w:lineRule="exact"/>
        <w:rPr>
          <w:sz w:val="20"/>
          <w:szCs w:val="20"/>
          <w:color w:val="auto"/>
        </w:rPr>
      </w:pPr>
    </w:p>
    <w:p>
      <w:pPr>
        <w:ind w:firstLine="250"/>
        <w:spacing w:after="0" w:line="242" w:lineRule="auto"/>
        <w:rPr>
          <w:sz w:val="20"/>
          <w:szCs w:val="20"/>
          <w:color w:val="auto"/>
        </w:rPr>
      </w:pPr>
      <w:r>
        <w:rPr>
          <w:rFonts w:ascii="Arial" w:cs="Arial" w:eastAsia="Arial" w:hAnsi="Arial"/>
          <w:sz w:val="18"/>
          <w:szCs w:val="18"/>
          <w:b w:val="1"/>
          <w:bCs w:val="1"/>
          <w:i w:val="1"/>
          <w:iCs w:val="1"/>
          <w:color w:val="auto"/>
        </w:rPr>
        <w:t xml:space="preserve">Senior Secured Credit Facilities — Revolving Line of Credit </w:t>
      </w:r>
      <w:r>
        <w:rPr>
          <w:rFonts w:ascii="Arial" w:cs="Arial" w:eastAsia="Arial" w:hAnsi="Arial"/>
          <w:sz w:val="18"/>
          <w:szCs w:val="18"/>
          <w:color w:val="auto"/>
        </w:rPr>
        <w:t>— On January 25, 2010, the Company amended its senior secured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to increase the revolving credit facility from $100.0 million to $ 218.2 million, $10.0 million of which is being used to support the issuance of an irrevocable letter of credit for its subsidiary, The Private Trust Company, N.A. (“PTC”). As a result of the amendment, the Company paid $2.8 million in debt issuance costs, which have been capitalized within the unaudited condensed consolidated statements of financial condition and are being amortized as additional interest expense over the expected term of the related debt agreement. The Company also extended the maturity of a $163.5 million tranche of the revolving credit facility to June 28, 2013, while the remaining $54.7 million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tranche retains its original maturity date of December 28, 2011. The tranche maturing in 2013 is priced at LIBOR + 3.50% with a commitment fee of 0.75%. The tranche maturing in 2011 maintains its previous pricing of LIBOR + 2.00% with a commitment fee of 0.375%. There was no outstanding balance on the revolving facility at June 30, 2011 or December 31, 2010.</w:t>
      </w:r>
    </w:p>
    <w:p>
      <w:pPr>
        <w:spacing w:after="0" w:line="154" w:lineRule="exact"/>
        <w:rPr>
          <w:sz w:val="20"/>
          <w:szCs w:val="20"/>
          <w:color w:val="auto"/>
        </w:rPr>
      </w:pPr>
    </w:p>
    <w:p>
      <w:pPr>
        <w:ind w:right="440" w:firstLine="250"/>
        <w:spacing w:after="0" w:line="247"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an unspecified limit,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$ 150.0 million limit and allows for both collateralized and uncollateralized borrowings. The lines were utilized in 2011 and 2010; however, there were no balances outstanding at June 30, 2011 or December 31, 2010.</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outstanding borrowings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June 30, 2011</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right"/>
              <w:ind w:right="348"/>
              <w:spacing w:after="0" w:line="143" w:lineRule="exact"/>
              <w:rPr>
                <w:sz w:val="20"/>
                <w:szCs w:val="20"/>
                <w:color w:val="auto"/>
              </w:rPr>
            </w:pPr>
            <w:r>
              <w:rPr>
                <w:rFonts w:ascii="Arial" w:cs="Arial" w:eastAsia="Arial" w:hAnsi="Arial"/>
                <w:sz w:val="14"/>
                <w:szCs w:val="14"/>
                <w:b w:val="1"/>
                <w:bCs w:val="1"/>
                <w:color w:val="auto"/>
              </w:rPr>
              <w:t>Interest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288"/>
              <w:spacing w:after="0" w:line="143"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5"/>
                <w:szCs w:val="15"/>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5"/>
                <w:szCs w:val="15"/>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secured term loan:</w:t>
            </w: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Hedged with interest rate swaps</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9"/>
              </w:rPr>
              <w:t>6/28/2013</w:t>
            </w:r>
          </w:p>
        </w:tc>
        <w:tc>
          <w:tcPr>
            <w:tcW w:w="2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65,000</w:t>
            </w:r>
          </w:p>
        </w:tc>
        <w:tc>
          <w:tcPr>
            <w:tcW w:w="16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2.00%(1)</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210,000</w:t>
            </w:r>
          </w:p>
        </w:tc>
        <w:tc>
          <w:tcPr>
            <w:tcW w:w="12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Unhedged:</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2013 Term Loans</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9"/>
              </w:rPr>
              <w:t>6/28/2013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239,074</w:t>
            </w:r>
          </w:p>
        </w:tc>
        <w:tc>
          <w:tcPr>
            <w:tcW w:w="16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1.94%(2)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104,739</w:t>
            </w:r>
          </w:p>
        </w:tc>
        <w:tc>
          <w:tcPr>
            <w:tcW w:w="12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2015 Term Loans</w:t>
            </w: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6/25/2015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479,435</w:t>
            </w:r>
          </w:p>
        </w:tc>
        <w:tc>
          <w:tcPr>
            <w:tcW w:w="166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4.25%(3)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496,250</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2017 Term Loans</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9"/>
              </w:rPr>
              <w:t>6/28/2017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556,144</w:t>
            </w:r>
          </w:p>
        </w:tc>
        <w:tc>
          <w:tcPr>
            <w:tcW w:w="16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5.25%(4)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575,650</w:t>
            </w:r>
          </w:p>
        </w:tc>
        <w:tc>
          <w:tcPr>
            <w:tcW w:w="12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borrowings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1,339,653</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1,386,639</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Less current borrowings (maturities within 12</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200"/>
              <w:spacing w:after="0" w:line="203" w:lineRule="exact"/>
              <w:rPr>
                <w:sz w:val="20"/>
                <w:szCs w:val="20"/>
                <w:color w:val="auto"/>
              </w:rPr>
            </w:pPr>
            <w:r>
              <w:rPr>
                <w:rFonts w:ascii="Arial" w:cs="Arial" w:eastAsia="Arial" w:hAnsi="Arial"/>
                <w:sz w:val="18"/>
                <w:szCs w:val="18"/>
                <w:color w:val="auto"/>
              </w:rPr>
              <w:t>months)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13,971</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13,971</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borrowings — net of current portion</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1,325,682</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1,372,668</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360" w:right="60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2011, the variable interest rate for the hedged portion of the 2013 Term Loans is based on the three-month LIBOR of 0.25%, plus the applicable interest rate margin of 1.75%.</w:t>
      </w:r>
    </w:p>
    <w:p>
      <w:pPr>
        <w:spacing w:after="0" w:line="183" w:lineRule="exact"/>
        <w:rPr>
          <w:rFonts w:ascii="Arial" w:cs="Arial" w:eastAsia="Arial" w:hAnsi="Arial"/>
          <w:sz w:val="18"/>
          <w:szCs w:val="18"/>
          <w:color w:val="auto"/>
        </w:rPr>
      </w:pPr>
    </w:p>
    <w:p>
      <w:pPr>
        <w:ind w:left="360" w:right="50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2011, the variable interest rate for the unhedged portion of the 2013 Term Loans is based on the one-month LIBOR of 0.19%, plus the applicable interest rate margin of 1.75%.</w:t>
      </w:r>
    </w:p>
    <w:p>
      <w:pPr>
        <w:spacing w:after="0" w:line="183" w:lineRule="exact"/>
        <w:rPr>
          <w:rFonts w:ascii="Arial" w:cs="Arial" w:eastAsia="Arial" w:hAnsi="Arial"/>
          <w:sz w:val="18"/>
          <w:szCs w:val="18"/>
          <w:color w:val="auto"/>
        </w:rPr>
      </w:pPr>
    </w:p>
    <w:p>
      <w:pPr>
        <w:ind w:left="360" w:right="18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2011, the variable interest rate for the unhedged portion of the 2015 Term Loans is based on the greater of the one-month LIBOR of 0.19% or 1.50%, plus the applicable interest rate margin of 2.75%.</w:t>
      </w:r>
    </w:p>
    <w:p>
      <w:pPr>
        <w:spacing w:after="0" w:line="183" w:lineRule="exact"/>
        <w:rPr>
          <w:rFonts w:ascii="Arial" w:cs="Arial" w:eastAsia="Arial" w:hAnsi="Arial"/>
          <w:sz w:val="18"/>
          <w:szCs w:val="18"/>
          <w:color w:val="auto"/>
        </w:rPr>
      </w:pPr>
    </w:p>
    <w:p>
      <w:pPr>
        <w:ind w:left="360" w:right="18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2011, the variable interest rate for the unhedged portion of the 2017 Term Loans is based on the greater of the one-month LIBOR of 0.19% or 1.50%, plus the applicable interest rate margin of 3.75%.</w:t>
      </w:r>
    </w:p>
    <w:p>
      <w:pPr>
        <w:spacing w:after="0" w:line="183" w:lineRule="exact"/>
        <w:rPr>
          <w:rFonts w:ascii="Arial" w:cs="Arial" w:eastAsia="Arial" w:hAnsi="Arial"/>
          <w:sz w:val="18"/>
          <w:szCs w:val="18"/>
          <w:color w:val="auto"/>
        </w:rPr>
      </w:pPr>
    </w:p>
    <w:p>
      <w:pPr>
        <w:ind w:left="360" w:right="16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hedged portion of the 2013 Term Loans is based on the three-month LIBOR of 0.30%, plus the applicable interest rate margin of 1.75%.</w:t>
      </w:r>
    </w:p>
    <w:p>
      <w:pPr>
        <w:spacing w:after="0" w:line="183" w:lineRule="exact"/>
        <w:rPr>
          <w:rFonts w:ascii="Arial" w:cs="Arial" w:eastAsia="Arial" w:hAnsi="Arial"/>
          <w:sz w:val="18"/>
          <w:szCs w:val="18"/>
          <w:color w:val="auto"/>
        </w:rPr>
      </w:pPr>
    </w:p>
    <w:p>
      <w:pPr>
        <w:ind w:left="360" w:right="6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2013 Term Loans is based on the one-month LIBOR of 0.26%, plus the applicable interest rate margin of 1.75%.</w:t>
      </w:r>
    </w:p>
    <w:p>
      <w:pPr>
        <w:spacing w:after="0" w:line="183" w:lineRule="exact"/>
        <w:rPr>
          <w:rFonts w:ascii="Arial" w:cs="Arial" w:eastAsia="Arial" w:hAnsi="Arial"/>
          <w:sz w:val="18"/>
          <w:szCs w:val="18"/>
          <w:color w:val="auto"/>
        </w:rPr>
      </w:pPr>
    </w:p>
    <w:p>
      <w:pPr>
        <w:ind w:left="360" w:right="24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2015 Term Loans is based on the greater of the one-month LIBOR of 0.26% or 1.50%, plus the applicable interest rate margin of 2.75%.</w:t>
      </w:r>
    </w:p>
    <w:p>
      <w:pPr>
        <w:spacing w:after="0" w:line="183" w:lineRule="exact"/>
        <w:rPr>
          <w:rFonts w:ascii="Arial" w:cs="Arial" w:eastAsia="Arial" w:hAnsi="Arial"/>
          <w:sz w:val="18"/>
          <w:szCs w:val="18"/>
          <w:color w:val="auto"/>
        </w:rPr>
      </w:pPr>
    </w:p>
    <w:p>
      <w:pPr>
        <w:ind w:left="360" w:right="240" w:hanging="352"/>
        <w:spacing w:after="0" w:line="24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2017 Term Loans is based on the greater of the one-month LIBOR of 0.26% or 1.50%, plus the applicable interest rate margin of 3.75%.</w:t>
      </w:r>
    </w:p>
    <w:p>
      <w:pPr>
        <w:spacing w:after="0" w:line="170" w:lineRule="exact"/>
        <w:rPr>
          <w:sz w:val="20"/>
          <w:szCs w:val="20"/>
          <w:color w:val="auto"/>
        </w:rPr>
      </w:pPr>
    </w:p>
    <w:p>
      <w:pPr>
        <w:ind w:right="60" w:firstLine="247"/>
        <w:spacing w:after="0" w:line="239" w:lineRule="auto"/>
        <w:rPr>
          <w:sz w:val="20"/>
          <w:szCs w:val="20"/>
          <w:color w:val="auto"/>
        </w:rPr>
      </w:pPr>
      <w:r>
        <w:rPr>
          <w:rFonts w:ascii="Arial" w:cs="Arial" w:eastAsia="Arial" w:hAnsi="Arial"/>
          <w:sz w:val="18"/>
          <w:szCs w:val="18"/>
          <w:color w:val="auto"/>
        </w:rPr>
        <w:t>The average balance outstanding in the revolving and uncommitted line of credit facilities was approximately six thousand dollars and forty thousand dollars for the three months ended June 30, 2011 and 2010, respectively, and approximately six thousand dollars and $4.1 million for the six months ended June 30, 2011 and 2010, respectively. The weighted-average interest rate was 0.82% and 1.50% for the three months ended June 30, 2011, and 2010, respectively, and 1.16% and 1.16% for the six months ended June 30, 2011, and 2010,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minimum calendar year payments and maturities of the senior secured borrowings as of June 30, 2011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2011 — remainder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w:t>
            </w:r>
          </w:p>
        </w:tc>
      </w:tr>
      <w:tr>
        <w:trPr>
          <w:trHeight w:val="203"/>
        </w:trPr>
        <w:tc>
          <w:tcPr>
            <w:tcW w:w="20" w:type="dxa"/>
            <w:vAlign w:val="bottom"/>
          </w:tcPr>
          <w:p>
            <w:pPr>
              <w:spacing w:after="0"/>
              <w:rPr>
                <w:sz w:val="17"/>
                <w:szCs w:val="17"/>
                <w:color w:val="auto"/>
              </w:rPr>
            </w:pPr>
          </w:p>
        </w:tc>
        <w:tc>
          <w:tcPr>
            <w:tcW w:w="103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13,971</w:t>
            </w: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310,117</w:t>
            </w:r>
          </w:p>
        </w:tc>
      </w:tr>
      <w:tr>
        <w:trPr>
          <w:trHeight w:val="203"/>
        </w:trPr>
        <w:tc>
          <w:tcPr>
            <w:tcW w:w="20" w:type="dxa"/>
            <w:vAlign w:val="bottom"/>
          </w:tcPr>
          <w:p>
            <w:pPr>
              <w:spacing w:after="0"/>
              <w:rPr>
                <w:sz w:val="17"/>
                <w:szCs w:val="17"/>
                <w:color w:val="auto"/>
              </w:rPr>
            </w:pPr>
          </w:p>
        </w:tc>
        <w:tc>
          <w:tcPr>
            <w:tcW w:w="103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467,735</w:t>
            </w:r>
          </w:p>
        </w:tc>
      </w:tr>
      <w:tr>
        <w:trPr>
          <w:trHeight w:val="210"/>
        </w:trPr>
        <w:tc>
          <w:tcPr>
            <w:tcW w:w="20" w:type="dxa"/>
            <w:vAlign w:val="bottom"/>
          </w:tcPr>
          <w:p>
            <w:pPr>
              <w:spacing w:after="0"/>
              <w:rPr>
                <w:sz w:val="18"/>
                <w:szCs w:val="18"/>
                <w:color w:val="auto"/>
              </w:rPr>
            </w:pPr>
          </w:p>
        </w:tc>
        <w:tc>
          <w:tcPr>
            <w:tcW w:w="103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530,044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1,339,653</w:t>
            </w: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193" w:lineRule="exact"/>
        <w:rPr>
          <w:sz w:val="20"/>
          <w:szCs w:val="20"/>
          <w:color w:val="auto"/>
        </w:rPr>
      </w:pPr>
    </w:p>
    <w:p>
      <w:pPr>
        <w:ind w:right="80" w:firstLine="240"/>
        <w:spacing w:after="0" w:line="239"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The Company uses interest rate swaps to hedge the variability on its floating rate senior secured term loan. The Company is required to pay the counterparty to the agreement fixed interest payments on a notional balance and in turn, receives variable interest payments on that notional balance. Payments are settled quarterly on a net basis.</w:t>
      </w:r>
    </w:p>
    <w:p>
      <w:pPr>
        <w:spacing w:after="0" w:line="161" w:lineRule="exact"/>
        <w:rPr>
          <w:sz w:val="20"/>
          <w:szCs w:val="20"/>
          <w:color w:val="auto"/>
        </w:rPr>
      </w:pPr>
    </w:p>
    <w:p>
      <w:pPr>
        <w:ind w:right="60" w:firstLine="240"/>
        <w:spacing w:after="0" w:line="239" w:lineRule="auto"/>
        <w:rPr>
          <w:sz w:val="20"/>
          <w:szCs w:val="20"/>
          <w:color w:val="auto"/>
        </w:rPr>
      </w:pPr>
      <w:r>
        <w:rPr>
          <w:rFonts w:ascii="Arial" w:cs="Arial" w:eastAsia="Arial" w:hAnsi="Arial"/>
          <w:sz w:val="18"/>
          <w:szCs w:val="18"/>
          <w:color w:val="auto"/>
        </w:rPr>
        <w:t>At June 30, 2011, the Company has an interest rate swap with a notional balance of $65.0 million and a fair value of $2.8 million that carries a fixed pay rate of 4.85% and has a variable receive rate of 0.25%, with a maturity date of June 30, 2012. The effective rate from March 31, 2011 through June 29, 2011 was 0.31%, and the rate resets on the last day of the period. The Company had another interest rate swap with a notional balance of $145.0 million that matured on June 30, 2011.</w:t>
      </w:r>
    </w:p>
    <w:p>
      <w:pPr>
        <w:spacing w:after="0" w:line="175" w:lineRule="exact"/>
        <w:rPr>
          <w:sz w:val="20"/>
          <w:szCs w:val="20"/>
          <w:color w:val="auto"/>
        </w:rPr>
      </w:pPr>
    </w:p>
    <w:p>
      <w:pPr>
        <w:ind w:right="120" w:firstLine="247"/>
        <w:spacing w:after="0" w:line="236" w:lineRule="auto"/>
        <w:rPr>
          <w:sz w:val="20"/>
          <w:szCs w:val="20"/>
          <w:color w:val="auto"/>
        </w:rPr>
      </w:pPr>
      <w:r>
        <w:rPr>
          <w:rFonts w:ascii="Arial" w:cs="Arial" w:eastAsia="Arial" w:hAnsi="Arial"/>
          <w:sz w:val="18"/>
          <w:szCs w:val="18"/>
          <w:color w:val="auto"/>
        </w:rPr>
        <w:t>The interest rate swap qualifies for hedge accounting and has been designated by the Company as a cash flow hedge against specific payments due on its senior secured term loan. As of June 30, 2011, the Company assessed the interest rate swap as being highly effective and expects it to continue to be highly effective. Accordingly, the changes in fair value of the interest rate swap have been recorded as other comprehensive loss, with the fair value included as a liability on the Company’s unaudited condensed consolidated statements of financial condition. The Company has recorded net unrealized gains of $4.4 million and $6.4 million for the three months ended June 30, 2011 and 2010, respectively, and $6.6 million and $9.5 million for the six months ended June 30, 2011 and 2010, respectively, to accumulated other comprehensive loss related to the change in fair value. The Company has reclassified $ 2.4 million and $4.3 million to interest expense from accumulated other comprehensive loss for the three months ended June 30, 2011, and 2010, respectively. For the six months ended June 30, 2011, and 2010, respectively, the Company reclassified $4.8 million and $8.7 million to interest expense from accumulated other comprehensive loss. Based on current interest rate assumptions and assuming no additional interest rate swap agreements are entered into, the Company expects to reclassify $3.0 million or $1.8 million after tax, from other comprehensive loss as additional interest expense over the next 12 months.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1" w:lineRule="exact"/>
        <w:rPr>
          <w:sz w:val="20"/>
          <w:szCs w:val="20"/>
          <w:color w:val="auto"/>
        </w:rPr>
      </w:pPr>
    </w:p>
    <w:p>
      <w:pPr>
        <w:jc w:val="both"/>
        <w:ind w:right="80" w:firstLine="250"/>
        <w:spacing w:after="0" w:line="253"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at its headquarter and other locations under various operating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leases are generally subject to scheduled base rent and maintenance cost increases, which are recognized on a straight-line basis over the period of the leases.</w:t>
      </w:r>
    </w:p>
    <w:p>
      <w:pPr>
        <w:spacing w:after="0" w:line="142" w:lineRule="exact"/>
        <w:rPr>
          <w:sz w:val="20"/>
          <w:szCs w:val="20"/>
          <w:color w:val="auto"/>
        </w:rPr>
      </w:pPr>
    </w:p>
    <w:p>
      <w:pPr>
        <w:ind w:right="420" w:firstLine="250"/>
        <w:spacing w:after="0" w:line="253"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 One agreement, for clearing services, contains no minimum annual purchase commitment, but the agreement provides for certain penalties should the Company fail to maintain a certain threshold of client accounts.</w:t>
      </w:r>
    </w:p>
    <w:p>
      <w:pPr>
        <w:spacing w:after="0" w:line="151"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June 30, 2011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2011 — remainder</w:t>
            </w:r>
          </w:p>
        </w:tc>
        <w:tc>
          <w:tcPr>
            <w:tcW w:w="5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$ 15,348</w:t>
            </w: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53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25,049</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5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15,948</w:t>
            </w: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53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9,304</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5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7,030</w:t>
            </w:r>
          </w:p>
        </w:tc>
      </w:tr>
      <w:tr>
        <w:trPr>
          <w:trHeight w:val="210"/>
        </w:trPr>
        <w:tc>
          <w:tcPr>
            <w:tcW w:w="20" w:type="dxa"/>
            <w:vAlign w:val="bottom"/>
          </w:tcPr>
          <w:p>
            <w:pPr>
              <w:spacing w:after="0"/>
              <w:rPr>
                <w:sz w:val="18"/>
                <w:szCs w:val="18"/>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7,693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Total(1)</w:t>
            </w:r>
          </w:p>
        </w:tc>
        <w:tc>
          <w:tcPr>
            <w:tcW w:w="53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$ 80,372</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340" w:right="420" w:hanging="332"/>
        <w:spacing w:after="0" w:line="24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$6.4 million due in the future under noncancellable subleases.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0" w:firstLine="247"/>
        <w:spacing w:after="0" w:line="246" w:lineRule="auto"/>
        <w:rPr>
          <w:sz w:val="20"/>
          <w:szCs w:val="20"/>
          <w:color w:val="auto"/>
        </w:rPr>
      </w:pPr>
      <w:r>
        <w:rPr>
          <w:rFonts w:ascii="Arial" w:cs="Arial" w:eastAsia="Arial" w:hAnsi="Arial"/>
          <w:sz w:val="18"/>
          <w:szCs w:val="18"/>
          <w:color w:val="auto"/>
        </w:rPr>
        <w:t>Total rental expense for all operating leases was $4.5 million and $4.1 million for the three months ended June 30, 2011 and 2010, respectively, and $8.6 million and $8.5 million for the six months ended June 30, 2011 and 2010, respectively.</w:t>
      </w:r>
    </w:p>
    <w:p>
      <w:pPr>
        <w:spacing w:after="0" w:line="148" w:lineRule="exact"/>
        <w:rPr>
          <w:sz w:val="20"/>
          <w:szCs w:val="20"/>
          <w:color w:val="auto"/>
        </w:rPr>
      </w:pPr>
    </w:p>
    <w:p>
      <w:pPr>
        <w:ind w:right="320" w:firstLine="250"/>
        <w:spacing w:after="0" w:line="253"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51"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Through its subsidiary LPL Financial, the Company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143" w:lineRule="exact"/>
        <w:rPr>
          <w:sz w:val="20"/>
          <w:szCs w:val="20"/>
          <w:color w:val="auto"/>
        </w:rPr>
      </w:pPr>
    </w:p>
    <w:p>
      <w:pPr>
        <w:jc w:val="both"/>
        <w:ind w:right="120" w:firstLine="250"/>
        <w:spacing w:after="0" w:line="247"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the Company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Due to timing differences, the Company may make commitments to issue such loans prior to actually funding them. These commitments are generally contingent upon certain events occurring, including but not limited to the advisor joining the Company, and may be forgivable. The Company had no significant unfunded commitments at June 30, 2011.</w:t>
      </w:r>
    </w:p>
    <w:p>
      <w:pPr>
        <w:spacing w:after="0" w:line="147" w:lineRule="exact"/>
        <w:rPr>
          <w:sz w:val="20"/>
          <w:szCs w:val="20"/>
          <w:color w:val="auto"/>
        </w:rPr>
      </w:pPr>
    </w:p>
    <w:p>
      <w:pPr>
        <w:ind w:right="80" w:firstLine="250"/>
        <w:spacing w:after="0" w:line="242"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or respondent in various legal actions, including arbitrations. In 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 difficulty of predicting the outcome of such matters, particularly in cases in which claimants seek substantial or indeterminate damages, the Company is unable to predict what the eventual loss or range of loss related to such matters will be. The Company recognizes a legal liability when it believes it is probable a liability has occurred and the amount can be reasonably estimated. Defense costs are expensed as incurred and classified as professional services within the unaudited condensed consolidated statements of operations. When there is indemnification or insurance for legal actions, the Company may defend or settle such matters and subsequently seek reimbursement.</w:t>
      </w:r>
    </w:p>
    <w:p>
      <w:pPr>
        <w:spacing w:after="0" w:line="161" w:lineRule="exact"/>
        <w:rPr>
          <w:sz w:val="20"/>
          <w:szCs w:val="20"/>
          <w:color w:val="auto"/>
        </w:rPr>
      </w:pPr>
    </w:p>
    <w:p>
      <w:pPr>
        <w:jc w:val="center"/>
        <w:ind w:right="600"/>
        <w:spacing w:after="0" w:line="275" w:lineRule="auto"/>
        <w:rPr>
          <w:sz w:val="20"/>
          <w:szCs w:val="20"/>
          <w:color w:val="auto"/>
        </w:rPr>
      </w:pPr>
      <w:r>
        <w:rPr>
          <w:rFonts w:ascii="Arial" w:cs="Arial" w:eastAsia="Arial" w:hAnsi="Arial"/>
          <w:sz w:val="17"/>
          <w:szCs w:val="17"/>
          <w:color w:val="auto"/>
        </w:rPr>
        <w:t>In connection with various acquisitions, and pursuant to the purchase and sale agreements, the Company has received third-party indemnification for certain legal proceedings and claims. These matters have been defended and paid directly by the indemnifying party.</w:t>
      </w:r>
    </w:p>
    <w:p>
      <w:pPr>
        <w:spacing w:after="0" w:line="133"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On October 1, 2009, the Company’s subsidiary, LPL Holdings, Inc. (“LPLH”), received written notice from a third-party indemnitor under a certain purchase and sale agreement asserting that it is no longer obligated to indemnify the Company for certain claims under the provisions of the purchase and sale agreement. The Company believed that this assertion was without merit and commenced litigation to enforce its indemnity rights. On March 31, 2011, the court entered judgment granting the Company’s motion for summary judgment in all respects, denied all counterclaims by the third party indemnitor and awarded attorney fees to the Company. On May 2, 2011, the third party indemnitor filed a notice of appeal.</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third quarter of 2010, the Company settled two arbitrations that involve activities covered under the third-party indemnification</w:t>
      </w:r>
    </w:p>
    <w:p>
      <w:pPr>
        <w:spacing w:after="0" w:line="234" w:lineRule="auto"/>
        <w:rPr>
          <w:sz w:val="20"/>
          <w:szCs w:val="20"/>
          <w:color w:val="auto"/>
        </w:rPr>
      </w:pPr>
      <w:r>
        <w:rPr>
          <w:rFonts w:ascii="Arial" w:cs="Arial" w:eastAsia="Arial" w:hAnsi="Arial"/>
          <w:sz w:val="18"/>
          <w:szCs w:val="18"/>
          <w:color w:val="auto"/>
        </w:rPr>
        <w:t>agreement described above. In connection with these settlements, the Company recorded a receivable from the indemnifying party of</w:t>
      </w:r>
    </w:p>
    <w:p>
      <w:pPr>
        <w:spacing w:after="0" w:line="235" w:lineRule="auto"/>
        <w:rPr>
          <w:sz w:val="20"/>
          <w:szCs w:val="20"/>
          <w:color w:val="auto"/>
        </w:rPr>
      </w:pPr>
      <w:r>
        <w:rPr>
          <w:rFonts w:ascii="Arial" w:cs="Arial" w:eastAsia="Arial" w:hAnsi="Arial"/>
          <w:sz w:val="18"/>
          <w:szCs w:val="18"/>
          <w:color w:val="auto"/>
        </w:rPr>
        <w:t>$8.9 million that has been fully reserved pending resolution of the litigation described above. The remaining claims outstanding for which the</w:t>
      </w:r>
    </w:p>
    <w:p>
      <w:pPr>
        <w:spacing w:after="0" w:line="235" w:lineRule="auto"/>
        <w:rPr>
          <w:sz w:val="20"/>
          <w:szCs w:val="20"/>
          <w:color w:val="auto"/>
        </w:rPr>
      </w:pPr>
      <w:r>
        <w:rPr>
          <w:rFonts w:ascii="Arial" w:cs="Arial" w:eastAsia="Arial" w:hAnsi="Arial"/>
          <w:sz w:val="18"/>
          <w:szCs w:val="18"/>
          <w:color w:val="auto"/>
        </w:rPr>
        <w:t>indemnifying party is disputing its obligation involve alleged damages that are not material to the Company’s unaudited condensed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condition, operations or cash flows.</w:t>
      </w:r>
    </w:p>
    <w:p>
      <w:pPr>
        <w:spacing w:after="0" w:line="171" w:lineRule="exact"/>
        <w:rPr>
          <w:sz w:val="20"/>
          <w:szCs w:val="20"/>
          <w:color w:val="auto"/>
        </w:rPr>
      </w:pPr>
    </w:p>
    <w:p>
      <w:pPr>
        <w:ind w:right="280" w:firstLine="247"/>
        <w:spacing w:after="0" w:line="246"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notwithstanding the assertions by an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indemnifying party noted in the preceding paragraphs, that the outcomes will not have a material adverse impact on unaudited condensed consolidated statements of financial condition, operations or cash flows.</w:t>
      </w:r>
    </w:p>
    <w:p>
      <w:pPr>
        <w:spacing w:after="0" w:line="148" w:lineRule="exact"/>
        <w:rPr>
          <w:sz w:val="20"/>
          <w:szCs w:val="20"/>
          <w:color w:val="auto"/>
        </w:rPr>
      </w:pPr>
    </w:p>
    <w:p>
      <w:pPr>
        <w:ind w:right="20" w:firstLine="250"/>
        <w:spacing w:after="0"/>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June 30, 2011, the Company had received collateral primarily in connection with client margin loans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approximately $352.8 million, which it can sell or repledge. Of this amount, approximately $171.5 million has been pledged or sold as of June 30, 2011; $140.8 million was pledged to banks in connection with unutilized secured margin lines of credit, $14.6 million was pledged to the Options Clearing Corporation, and $16.1 million was loaned to the Depository Trust Company (“DTC”) through participation in its Stock Borrow Program. As of December 31, 2010, the Company had received collateral primarily in connection with client margin loans with a market value of approximately $326.9 million, which it can sell or repledge. Of this amount, approximately $167.4 million has been pledged or sold as of December 31, 2010; $145.8 million was pledged to banks in connection with unutilized secured margin lines of credit, $13.5 million was pledged to the Options Clearing Corporation, and $8.1 million was loaned to the DTC through participation in its Stock Borrow Program.</w:t>
      </w:r>
    </w:p>
    <w:p>
      <w:pPr>
        <w:spacing w:after="0" w:line="162" w:lineRule="exact"/>
        <w:rPr>
          <w:sz w:val="20"/>
          <w:szCs w:val="20"/>
          <w:color w:val="auto"/>
        </w:rPr>
      </w:pPr>
    </w:p>
    <w:p>
      <w:pPr>
        <w:ind w:right="80" w:firstLine="250"/>
        <w:spacing w:after="0" w:line="239" w:lineRule="auto"/>
        <w:rPr>
          <w:sz w:val="20"/>
          <w:szCs w:val="20"/>
          <w:color w:val="auto"/>
        </w:rPr>
      </w:pPr>
      <w:r>
        <w:rPr>
          <w:rFonts w:ascii="Arial" w:cs="Arial" w:eastAsia="Arial" w:hAnsi="Arial"/>
          <w:sz w:val="18"/>
          <w:szCs w:val="18"/>
          <w:color w:val="auto"/>
        </w:rPr>
        <w:t>LPL Financial provides a large global insurance company with brokerage, clearing and custody services on a fully disclosed basis; offers its investment advisory programs and platforms; and provides technology and additional processing and related services to its advisors and their clients. The agreements were entered into in 2006 with five year terms, subject to additional 24-month extensions upon mutual agreement by the parties. Termination fees may be payable by a terminating or breaching party depending on the specific cause of termination.</w:t>
      </w:r>
    </w:p>
    <w:p>
      <w:pPr>
        <w:spacing w:after="0" w:line="139" w:lineRule="exact"/>
        <w:rPr>
          <w:sz w:val="20"/>
          <w:szCs w:val="20"/>
          <w:color w:val="auto"/>
        </w:rPr>
      </w:pPr>
    </w:p>
    <w:p>
      <w:pPr>
        <w:jc w:val="right"/>
        <w:ind w:right="8720"/>
        <w:spacing w:after="0"/>
        <w:rPr>
          <w:sz w:val="20"/>
          <w:szCs w:val="20"/>
          <w:color w:val="auto"/>
        </w:rPr>
      </w:pPr>
      <w:r>
        <w:rPr>
          <w:rFonts w:ascii="Arial" w:cs="Arial" w:eastAsia="Arial" w:hAnsi="Arial"/>
          <w:sz w:val="17"/>
          <w:szCs w:val="17"/>
          <w:b w:val="1"/>
          <w:bCs w:val="1"/>
          <w:color w:val="auto"/>
        </w:rPr>
        <w:t>12. Share-Based Compensation</w:t>
      </w:r>
    </w:p>
    <w:p>
      <w:pPr>
        <w:spacing w:after="0" w:line="196" w:lineRule="exact"/>
        <w:rPr>
          <w:sz w:val="20"/>
          <w:szCs w:val="20"/>
          <w:color w:val="auto"/>
        </w:rPr>
      </w:pPr>
    </w:p>
    <w:p>
      <w:pPr>
        <w:jc w:val="right"/>
        <w:ind w:right="8740"/>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93"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Certain employees, advisors, institutions, officers and directors who contribute to the success of the Company participate in the 2010 Omnibus Equity Incentive Plan. Stock options and warrants generally vest in equal increments over a five-year period and expire on the 10th anniversary following the date of grant.</w:t>
      </w:r>
    </w:p>
    <w:p>
      <w:pPr>
        <w:spacing w:after="0" w:line="162"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Company recognizes share-based compensation expense related to employee stock option awards based on the grant date fair value over the requisite service period of the award, which generally equals the vesting period. The Company recognized share-based compensation related to the vesting of employee stock option awards of $3.3 million and $2.3 million during the three months ended June 30, 2011 and 2010, respectively, and $ 7.1 million and $4.8 million during the six months ended June 30, 2011 and 2010, respectively, which is included in compensation and benefits on the unaudited condensed consolidated statements of operations. As of June 30, 2011, total unrecognized compensation cost related to non-vested share-based compensation arrangements granted was $46.2 million, which is expected to be recognized over a weighted-average period of 3.77 years.</w:t>
      </w:r>
    </w:p>
    <w:p>
      <w:pPr>
        <w:spacing w:after="0" w:line="176" w:lineRule="exact"/>
        <w:rPr>
          <w:sz w:val="20"/>
          <w:szCs w:val="20"/>
          <w:color w:val="auto"/>
        </w:rPr>
      </w:pPr>
    </w:p>
    <w:p>
      <w:pPr>
        <w:ind w:right="380" w:firstLine="247"/>
        <w:spacing w:after="0" w:line="246" w:lineRule="auto"/>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employee stock options with the Black-Scholes valuation model that have been granted during the six months ended June 30, 2011 and 2010: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20" w:type="dxa"/>
            <w:vAlign w:val="bottom"/>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2010</w:t>
            </w:r>
          </w:p>
        </w:tc>
      </w:tr>
      <w:tr>
        <w:trPr>
          <w:trHeight w:val="196"/>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life (in years)</w:t>
            </w:r>
          </w:p>
        </w:tc>
        <w:tc>
          <w:tcPr>
            <w:tcW w:w="90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6.50</w:t>
            </w:r>
          </w:p>
        </w:tc>
        <w:tc>
          <w:tcPr>
            <w:tcW w:w="1100" w:type="dxa"/>
            <w:vAlign w:val="bottom"/>
            <w:gridSpan w:val="2"/>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6.50</w:t>
            </w: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48.61%</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50.30%</w:t>
            </w: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Fair value of options</w:t>
            </w:r>
          </w:p>
        </w:tc>
        <w:tc>
          <w:tcPr>
            <w:tcW w:w="9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  17.54</w:t>
            </w:r>
          </w:p>
        </w:tc>
        <w:tc>
          <w:tcPr>
            <w:tcW w:w="11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$ 12.31</w:t>
            </w: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r>
    </w:tbl>
    <w:p>
      <w:pPr>
        <w:spacing w:after="0" w:line="175" w:lineRule="exact"/>
        <w:rPr>
          <w:sz w:val="20"/>
          <w:szCs w:val="20"/>
          <w:color w:val="auto"/>
        </w:rPr>
      </w:pPr>
    </w:p>
    <w:p>
      <w:pPr>
        <w:ind w:right="740" w:firstLine="247"/>
        <w:spacing w:after="0" w:line="234"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awards at each interim reporting period. The Company recognized share-based compensation of</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$0.9 million and $ 2.2 million during the three months ended June 30, 2011, and 2010, respectively, and $1.9 million and $2.8 million during the six months ended June 30, 2011 and 2010, respectively, related to the vesting of stock options and warrants awarded to its advisors and financial institutions, which is classified within commission and advisory fees on the unaudited condensed consolidated statements of operations. As of June 30, 2011, total unrecognized compensation cost related to non-vested share-based compensation arrangements granted was $17.1 million for advisors and financial institutions, which is based on the fair value of the awards as of June 30, 2011, and is expected to be recognized over a weighted-average period of 3.64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247"/>
        <w:spacing w:after="0"/>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advisor stock options and financial institution warrants with the Black-Scholes valuation model that have been granted during the six months ended June 30, 2011 and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20" w:type="dxa"/>
            <w:vAlign w:val="bottom"/>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2010</w:t>
            </w:r>
          </w:p>
        </w:tc>
      </w:tr>
      <w:tr>
        <w:trPr>
          <w:trHeight w:val="196"/>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life (in years)</w:t>
            </w:r>
          </w:p>
        </w:tc>
        <w:tc>
          <w:tcPr>
            <w:tcW w:w="90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9.82</w:t>
            </w:r>
          </w:p>
        </w:tc>
        <w:tc>
          <w:tcPr>
            <w:tcW w:w="1100" w:type="dxa"/>
            <w:vAlign w:val="bottom"/>
            <w:gridSpan w:val="2"/>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9.70</w:t>
            </w: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49.54%</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53.18%</w:t>
            </w: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Fair value of options</w:t>
            </w:r>
          </w:p>
        </w:tc>
        <w:tc>
          <w:tcPr>
            <w:tcW w:w="9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  23.09</w:t>
            </w:r>
          </w:p>
        </w:tc>
        <w:tc>
          <w:tcPr>
            <w:tcW w:w="11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$ 25.40</w:t>
            </w:r>
          </w:p>
        </w:tc>
      </w:tr>
      <w:tr>
        <w:trPr>
          <w:trHeight w:val="203"/>
        </w:trPr>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r>
    </w:tbl>
    <w:p>
      <w:pPr>
        <w:spacing w:after="0" w:line="188"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The dividend yield of zero is based on the fact that the Company has no present intention to pay cash dividends. The Company estimates the expected term for its employee option awards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the Company does not have sufficient relevant historical information to develop reasonable expectations about future exercise patterns. The Company estimates the expected term for stock options and warrants awarded to advisors and financial institutions using the contractual term. Expected volatility is calculated based on companies of similar growth and maturity and the Company’s peer group in the industry in which the Company does business because the Company does not have sufficient historical volatility data. The Company will continue to use peer group volatility information until historical volatility of the Company is available to measure expected volatility for future grants. In the future, as the Company gains historical data for volatility of its own stock and the actual term over which stock options and warrants are held, expected volatility and the expected term may change, which could substantially change the grant-date fair value of future awards of stock options and warrants and, ultimately, compensation recorded on future grants.</w:t>
      </w:r>
    </w:p>
    <w:p>
      <w:pPr>
        <w:spacing w:after="0" w:line="164" w:lineRule="exact"/>
        <w:rPr>
          <w:sz w:val="20"/>
          <w:szCs w:val="20"/>
          <w:color w:val="auto"/>
        </w:rPr>
      </w:pPr>
    </w:p>
    <w:p>
      <w:pPr>
        <w:ind w:right="180" w:firstLine="247"/>
        <w:spacing w:after="0" w:line="239" w:lineRule="auto"/>
        <w:rPr>
          <w:sz w:val="20"/>
          <w:szCs w:val="20"/>
          <w:color w:val="auto"/>
        </w:rPr>
      </w:pPr>
      <w:r>
        <w:rPr>
          <w:rFonts w:ascii="Arial" w:cs="Arial" w:eastAsia="Arial" w:hAnsi="Arial"/>
          <w:sz w:val="18"/>
          <w:szCs w:val="18"/>
          <w:color w:val="auto"/>
        </w:rPr>
        <w:t>The Company has assumed an annualized forfeiture rate for its stock options and warrants based on a combined review of industry, employee and advisor turnover data, as well as an analytical review performed of historical pre-vesting forfeitures occurring over the previous year. The Company records additional expense if the actual forfeiture rate is lower than estimated and records a recovery of prior expense if the actual forfeiture is higher than estimated.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activity in its stock option and warrant plans for the six months ended June 30,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 December 31, 2010</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10,279,052</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603,312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34.10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(1,401,211)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Forfeited and expired</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26.29</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 June 30, 2011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9,157,156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20.94</w:t>
            </w:r>
          </w:p>
        </w:tc>
        <w:tc>
          <w:tcPr>
            <w:tcW w:w="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121,558</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gridSpan w:val="2"/>
          </w:tcPr>
          <w:p>
            <w:pPr>
              <w:spacing w:after="0" w:line="196" w:lineRule="exact"/>
              <w:rPr>
                <w:sz w:val="20"/>
                <w:szCs w:val="20"/>
                <w:color w:val="auto"/>
              </w:rPr>
            </w:pPr>
            <w:r>
              <w:rPr>
                <w:rFonts w:ascii="Arial" w:cs="Arial" w:eastAsia="Arial" w:hAnsi="Arial"/>
                <w:sz w:val="18"/>
                <w:szCs w:val="18"/>
                <w:color w:val="auto"/>
              </w:rPr>
              <w:t>Exercisable — June 30, 2011</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3,957,985</w:t>
            </w:r>
          </w:p>
        </w:tc>
        <w:tc>
          <w:tcPr>
            <w:tcW w:w="1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12.03</w:t>
            </w:r>
          </w:p>
        </w:tc>
        <w:tc>
          <w:tcPr>
            <w:tcW w:w="9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4.59</w:t>
            </w:r>
          </w:p>
        </w:tc>
        <w:tc>
          <w:tcPr>
            <w:tcW w:w="1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61"/>
              <w:spacing w:after="0" w:line="196" w:lineRule="exact"/>
              <w:rPr>
                <w:sz w:val="20"/>
                <w:szCs w:val="20"/>
                <w:color w:val="auto"/>
              </w:rPr>
            </w:pPr>
            <w:r>
              <w:rPr>
                <w:rFonts w:ascii="Arial" w:cs="Arial" w:eastAsia="Arial" w:hAnsi="Arial"/>
                <w:sz w:val="18"/>
                <w:szCs w:val="18"/>
                <w:color w:val="auto"/>
              </w:rPr>
              <w:t>87,788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about outstanding stock options and warrants: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Borders>
              <w:bottom w:val="single" w:sz="8" w:color="auto"/>
            </w:tcBorders>
            <w:gridSpan w:val="5"/>
          </w:tcPr>
          <w:p>
            <w:pPr>
              <w:jc w:val="right"/>
              <w:ind w:right="736"/>
              <w:spacing w:after="0"/>
              <w:rPr>
                <w:sz w:val="20"/>
                <w:szCs w:val="20"/>
                <w:color w:val="auto"/>
              </w:rPr>
            </w:pPr>
            <w:r>
              <w:rPr>
                <w:rFonts w:ascii="Arial" w:cs="Arial" w:eastAsia="Arial" w:hAnsi="Arial"/>
                <w:sz w:val="14"/>
                <w:szCs w:val="14"/>
                <w:b w:val="1"/>
                <w:bCs w:val="1"/>
                <w:color w:val="auto"/>
              </w:rPr>
              <w:t>Exercisable</w:t>
            </w: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10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56"/>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176"/>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56"/>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176"/>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20" w:type="dxa"/>
            <w:vAlign w:val="bottom"/>
          </w:tcPr>
          <w:p>
            <w:pPr>
              <w:spacing w:after="0"/>
              <w:rPr>
                <w:sz w:val="15"/>
                <w:szCs w:val="15"/>
                <w:color w:val="auto"/>
              </w:rPr>
            </w:pPr>
          </w:p>
        </w:tc>
        <w:tc>
          <w:tcPr>
            <w:tcW w:w="490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Range of Exercise Prices</w:t>
            </w:r>
          </w:p>
        </w:tc>
        <w:tc>
          <w:tcPr>
            <w:tcW w:w="200" w:type="dxa"/>
            <w:vAlign w:val="bottom"/>
          </w:tcPr>
          <w:p>
            <w:pPr>
              <w:spacing w:after="0"/>
              <w:rPr>
                <w:sz w:val="15"/>
                <w:szCs w:val="15"/>
                <w:color w:val="auto"/>
              </w:rPr>
            </w:pPr>
          </w:p>
        </w:tc>
        <w:tc>
          <w:tcPr>
            <w:tcW w:w="10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Price</w:t>
            </w:r>
          </w:p>
        </w:tc>
      </w:tr>
      <w:tr>
        <w:trPr>
          <w:trHeight w:val="196"/>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At June 30, 2011: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$1.35 — $ 2.38</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2,142,833</w:t>
            </w:r>
          </w:p>
        </w:tc>
        <w:tc>
          <w:tcPr>
            <w:tcW w:w="128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rPr>
              <w:t>2.56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2,142,833</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1.68</w:t>
            </w:r>
          </w:p>
        </w:tc>
      </w:tr>
      <w:tr>
        <w:trPr>
          <w:trHeight w:val="203"/>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$10.30 — $19.74</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797,549</w:t>
            </w:r>
          </w:p>
        </w:tc>
        <w:tc>
          <w:tcPr>
            <w:tcW w:w="12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w w:val="97"/>
              </w:rPr>
              <w:t>18.46</w:t>
            </w: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261,337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w w:val="97"/>
              </w:rPr>
              <w:t>17.58</w:t>
            </w:r>
          </w:p>
        </w:tc>
      </w:tr>
      <w:tr>
        <w:trPr>
          <w:trHeight w:val="203"/>
        </w:trPr>
        <w:tc>
          <w:tcPr>
            <w:tcW w:w="20" w:type="dxa"/>
            <w:vAlign w:val="bottom"/>
          </w:tcPr>
          <w:p>
            <w:pPr>
              <w:spacing w:after="0"/>
              <w:rPr>
                <w:sz w:val="17"/>
                <w:szCs w:val="17"/>
                <w:color w:val="auto"/>
              </w:rPr>
            </w:pPr>
          </w:p>
        </w:tc>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$21.60 — $22.08</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1,926,425</w:t>
            </w:r>
          </w:p>
        </w:tc>
        <w:tc>
          <w:tcPr>
            <w:tcW w:w="128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rPr>
              <w:t>7.92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6"/>
              <w:spacing w:after="0" w:line="202" w:lineRule="exact"/>
              <w:rPr>
                <w:sz w:val="20"/>
                <w:szCs w:val="20"/>
                <w:color w:val="auto"/>
              </w:rPr>
            </w:pPr>
            <w:r>
              <w:rPr>
                <w:rFonts w:ascii="Arial" w:cs="Arial" w:eastAsia="Arial" w:hAnsi="Arial"/>
                <w:sz w:val="18"/>
                <w:szCs w:val="18"/>
                <w:color w:val="auto"/>
                <w:w w:val="97"/>
              </w:rPr>
              <w:t>22.02</w:t>
            </w:r>
          </w:p>
        </w:tc>
        <w:tc>
          <w:tcPr>
            <w:tcW w:w="13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522,195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6"/>
              <w:spacing w:after="0" w:line="202" w:lineRule="exact"/>
              <w:rPr>
                <w:sz w:val="20"/>
                <w:szCs w:val="20"/>
                <w:color w:val="auto"/>
              </w:rPr>
            </w:pPr>
            <w:r>
              <w:rPr>
                <w:rFonts w:ascii="Arial" w:cs="Arial" w:eastAsia="Arial" w:hAnsi="Arial"/>
                <w:sz w:val="18"/>
                <w:szCs w:val="18"/>
                <w:color w:val="auto"/>
                <w:w w:val="97"/>
              </w:rPr>
              <w:t>21.90</w:t>
            </w:r>
          </w:p>
        </w:tc>
      </w:tr>
      <w:tr>
        <w:trPr>
          <w:trHeight w:val="203"/>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$23.02 — $27.80</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2,049,769</w:t>
            </w:r>
          </w:p>
        </w:tc>
        <w:tc>
          <w:tcPr>
            <w:tcW w:w="12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7.07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w w:val="97"/>
              </w:rPr>
              <w:t>26.52</w:t>
            </w: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1,031,620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w w:val="97"/>
              </w:rPr>
              <w:t>27.11</w:t>
            </w:r>
          </w:p>
        </w:tc>
      </w:tr>
      <w:tr>
        <w:trPr>
          <w:trHeight w:val="203"/>
        </w:trPr>
        <w:tc>
          <w:tcPr>
            <w:tcW w:w="20" w:type="dxa"/>
            <w:vAlign w:val="bottom"/>
          </w:tcPr>
          <w:p>
            <w:pPr>
              <w:spacing w:after="0"/>
              <w:rPr>
                <w:sz w:val="17"/>
                <w:szCs w:val="17"/>
                <w:color w:val="auto"/>
              </w:rPr>
            </w:pPr>
          </w:p>
        </w:tc>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$30.00 — $34.79</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2,240,580</w:t>
            </w:r>
          </w:p>
        </w:tc>
        <w:tc>
          <w:tcPr>
            <w:tcW w:w="100" w:type="dxa"/>
            <w:vAlign w:val="bottom"/>
          </w:tcPr>
          <w:p>
            <w:pPr>
              <w:spacing w:after="0"/>
              <w:rPr>
                <w:sz w:val="17"/>
                <w:szCs w:val="17"/>
                <w:color w:val="auto"/>
              </w:rPr>
            </w:pPr>
          </w:p>
        </w:tc>
        <w:tc>
          <w:tcPr>
            <w:tcW w:w="128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rPr>
              <w:t>9.52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6"/>
              <w:spacing w:after="0" w:line="202" w:lineRule="exact"/>
              <w:rPr>
                <w:sz w:val="20"/>
                <w:szCs w:val="20"/>
                <w:color w:val="auto"/>
              </w:rPr>
            </w:pPr>
            <w:r>
              <w:rPr>
                <w:rFonts w:ascii="Arial" w:cs="Arial" w:eastAsia="Arial" w:hAnsi="Arial"/>
                <w:sz w:val="18"/>
                <w:szCs w:val="18"/>
                <w:color w:val="auto"/>
                <w:w w:val="97"/>
              </w:rPr>
              <w:t>34.19</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6"/>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9,157,156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6.83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w w:val="97"/>
              </w:rPr>
              <w:t>20.94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3,957,985</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w w:val="97"/>
              </w:rPr>
              <w:t>12.03</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07"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to expire in 2009 and 2010, to receive stock units under the 2008 Nonqualified Deferred Compensation Plan. Stock units represent the right to receive one share of common stock. Distribution will occur at the earliest of (a) a date in 2012 to be determined by the Board of Directors; (b) a change in control of the Company; or (c) death or disability of the participant. Issuance of stock units, which occurred in December 2008, is not taxable for federal and state income tax purposes until the participant receives a distribution under the deferred compensation plan. At June 30, 2011, the Company had 2,823,452 stock units outstanding under the 2008 Nonqualified Deferred Compensation Plan.</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93" w:lineRule="exact"/>
        <w:rPr>
          <w:sz w:val="20"/>
          <w:szCs w:val="20"/>
          <w:color w:val="auto"/>
        </w:rPr>
      </w:pPr>
    </w:p>
    <w:p>
      <w:pPr>
        <w:ind w:right="160" w:firstLine="247"/>
        <w:spacing w:after="0" w:line="239" w:lineRule="auto"/>
        <w:rPr>
          <w:sz w:val="20"/>
          <w:szCs w:val="20"/>
          <w:color w:val="auto"/>
        </w:rPr>
      </w:pPr>
      <w:r>
        <w:rPr>
          <w:rFonts w:ascii="Arial" w:cs="Arial" w:eastAsia="Arial" w:hAnsi="Arial"/>
          <w:sz w:val="18"/>
          <w:szCs w:val="18"/>
          <w:color w:val="auto"/>
        </w:rPr>
        <w:t>The Company grants restricted stock awards under its 2010 Omnibus Equity Incentive Plan to its non-employee directors who are in a position to make a significant contribution to the success of the Company. Restricted stock awards vest on the second anniversary of the date of grant and upon termination of service, unvested awards shall immediately be forfeited. On March 4, 2011, the Company issued 12,104 shares of restricted stock awards to certain of its directors at a fair value of $33.05 per share.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the status of the Company’s restricted stock awards as of and for the six months ending June 30, 2011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 of</w:t>
            </w:r>
          </w:p>
        </w:tc>
        <w:tc>
          <w:tcPr>
            <w:tcW w:w="52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2011</w:t>
            </w:r>
          </w:p>
        </w:tc>
        <w:tc>
          <w:tcPr>
            <w:tcW w:w="124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10,692</w:t>
            </w:r>
          </w:p>
        </w:tc>
        <w:tc>
          <w:tcPr>
            <w:tcW w:w="180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$ 28.30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12,104</w:t>
            </w:r>
          </w:p>
        </w:tc>
        <w:tc>
          <w:tcPr>
            <w:tcW w:w="180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June 30, 2011</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22,796</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6"/>
              </w:rPr>
              <w:t>$ 30.82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247"/>
        <w:spacing w:after="0" w:line="237" w:lineRule="auto"/>
        <w:rPr>
          <w:sz w:val="20"/>
          <w:szCs w:val="20"/>
          <w:color w:val="auto"/>
        </w:rPr>
      </w:pPr>
      <w:r>
        <w:rPr>
          <w:rFonts w:ascii="Arial" w:cs="Arial" w:eastAsia="Arial" w:hAnsi="Arial"/>
          <w:sz w:val="18"/>
          <w:szCs w:val="18"/>
          <w:color w:val="auto"/>
        </w:rPr>
        <w:t>The Company accounts for restricted stock awards granted to its non-employee directors by measuring such awards at their grant date fair value. Share-based compensation expense is recognized ratably over the requisite service period, which generally equals the vesting period. Based upon the Company’s history of termination of non-employee directors, management has assumed zero forfeitures for restricted stock awards. The Company recognized $0.1 million of share-based compensation related to the vesting of restricted stock awards granted to its directors during the six months ended June 30, 2011, which is included in compensation and benefits on the unaudited condensed consolidated statements of operations. As of June 30, 2011, total unrecognized compensation cost was $0.5 million, which is expected to be recognized over a weighted-average remaining period of 1.48 years.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93" w:lineRule="exact"/>
        <w:rPr>
          <w:sz w:val="20"/>
          <w:szCs w:val="20"/>
          <w:color w:val="auto"/>
        </w:rPr>
      </w:pPr>
    </w:p>
    <w:p>
      <w:pPr>
        <w:jc w:val="both"/>
        <w:ind w:right="420" w:firstLine="250"/>
        <w:spacing w:after="0"/>
        <w:rPr>
          <w:sz w:val="20"/>
          <w:szCs w:val="20"/>
          <w:color w:val="auto"/>
        </w:rPr>
      </w:pPr>
      <w:r>
        <w:rPr>
          <w:rFonts w:ascii="Arial" w:cs="Arial" w:eastAsia="Arial" w:hAnsi="Arial"/>
          <w:sz w:val="18"/>
          <w:szCs w:val="18"/>
          <w:color w:val="auto"/>
        </w:rPr>
        <w:t>On May 25, 2011, the Board of Directors approved a share repurchase program pursuant to which the Company may repurchase up to $80.0 million of its issued and outstanding shares of common stock through May 31, 2013. The purchases will be effected in open market transactions with the timing of purchases and the amount of stock purchased determined at the discretion of the Company’s management.</w:t>
      </w:r>
    </w:p>
    <w:p>
      <w:pPr>
        <w:spacing w:after="0" w:line="176" w:lineRule="exact"/>
        <w:rPr>
          <w:sz w:val="20"/>
          <w:szCs w:val="20"/>
          <w:color w:val="auto"/>
        </w:rPr>
      </w:pPr>
    </w:p>
    <w:p>
      <w:pPr>
        <w:ind w:right="100" w:firstLine="240"/>
        <w:spacing w:after="0" w:line="246" w:lineRule="auto"/>
        <w:rPr>
          <w:sz w:val="20"/>
          <w:szCs w:val="20"/>
          <w:color w:val="auto"/>
        </w:rPr>
      </w:pPr>
      <w:r>
        <w:rPr>
          <w:rFonts w:ascii="Arial" w:cs="Arial" w:eastAsia="Arial" w:hAnsi="Arial"/>
          <w:sz w:val="18"/>
          <w:szCs w:val="18"/>
          <w:color w:val="auto"/>
        </w:rPr>
        <w:t>As of June 30, 2011, the Company repurchased 2,283,854 shares of common stock at a weighted-average price of $34.84 per share for an aggregate purchase price of $79.6 million.</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Reservations</w:t>
      </w:r>
    </w:p>
    <w:p>
      <w:pPr>
        <w:spacing w:after="0" w:line="193" w:lineRule="exact"/>
        <w:rPr>
          <w:sz w:val="20"/>
          <w:szCs w:val="20"/>
          <w:color w:val="auto"/>
        </w:rPr>
      </w:pPr>
    </w:p>
    <w:p>
      <w:pPr>
        <w:ind w:right="480" w:firstLine="240"/>
        <w:spacing w:after="0" w:line="246" w:lineRule="auto"/>
        <w:rPr>
          <w:sz w:val="20"/>
          <w:szCs w:val="20"/>
          <w:color w:val="auto"/>
        </w:rPr>
      </w:pPr>
      <w:r>
        <w:rPr>
          <w:rFonts w:ascii="Arial" w:cs="Arial" w:eastAsia="Arial" w:hAnsi="Arial"/>
          <w:sz w:val="18"/>
          <w:szCs w:val="18"/>
          <w:color w:val="auto"/>
        </w:rPr>
        <w:t>As of June 30, 2011, the Company had approximately 9.8 million authorized unissued shares reserved for issuance upon exercise and conversion of outstanding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07"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In calculating earnings per share using the two-class method, the Company is required to allocate a portion of its earnings to employees that hold stock units that contain non-forfeitable rights to dividends or dividend equivalents under its 2008 Nonqualified Deferred Compensation Plan. Basic earnings per share is computed by dividing income less earnings attributable to employees that hold stock units under the 2008 Nonqualified Deferred Compensation Plan by the basic weighted average number of shares outstanding. Diluted earnings per share is computed in a manner similar to basic earnings per share, except the weighted average number of shares outstanding is increased to include the dilutive effect of outstanding stock options, warrants and other stock-based awards.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income used to compute basic and diluted earnings per share for the periods noted was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Months Ended</w:t>
            </w:r>
          </w:p>
        </w:tc>
      </w:tr>
      <w:tr>
        <w:trPr>
          <w:trHeight w:val="175"/>
        </w:trPr>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jc w:val="center"/>
              <w:ind w:left="462"/>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r>
      <w:tr>
        <w:trPr>
          <w:trHeight w:val="156"/>
        </w:trPr>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Net income, as reported</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$ 45,507</w:t>
            </w:r>
          </w:p>
        </w:tc>
        <w:tc>
          <w:tcPr>
            <w:tcW w:w="180" w:type="dxa"/>
            <w:vAlign w:val="bottom"/>
          </w:tcPr>
          <w:p>
            <w:pPr>
              <w:spacing w:after="0"/>
              <w:rPr>
                <w:sz w:val="17"/>
                <w:szCs w:val="17"/>
                <w:color w:val="auto"/>
              </w:rPr>
            </w:pP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8,000</w:t>
            </w:r>
          </w:p>
        </w:tc>
        <w:tc>
          <w:tcPr>
            <w:tcW w:w="10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$ 94,506</w:t>
            </w: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$ 33,554</w:t>
            </w:r>
          </w:p>
        </w:tc>
      </w:tr>
      <w:tr>
        <w:trPr>
          <w:trHeight w:val="203"/>
        </w:trPr>
        <w:tc>
          <w:tcPr>
            <w:tcW w:w="7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allocation of undistributed earnings to stock units</w:t>
            </w:r>
          </w:p>
        </w:tc>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(1,212)</w:t>
            </w: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(544)</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20" w:type="dxa"/>
            <w:vAlign w:val="bottom"/>
          </w:tcPr>
          <w:p>
            <w:pPr>
              <w:ind w:left="220"/>
              <w:spacing w:after="0"/>
              <w:rPr>
                <w:sz w:val="20"/>
                <w:szCs w:val="20"/>
                <w:color w:val="auto"/>
              </w:rPr>
            </w:pPr>
            <w:r>
              <w:rPr>
                <w:rFonts w:ascii="Arial" w:cs="Arial" w:eastAsia="Arial" w:hAnsi="Arial"/>
                <w:sz w:val="18"/>
                <w:szCs w:val="18"/>
                <w:color w:val="auto"/>
              </w:rPr>
              <w:t>Net income, for computing basic earnings per share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$ 44,925</w:t>
            </w:r>
          </w:p>
        </w:tc>
        <w:tc>
          <w:tcPr>
            <w:tcW w:w="1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7,870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$ 93,294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$ 33,010</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20" w:type="dxa"/>
            <w:vAlign w:val="bottom"/>
          </w:tcPr>
          <w:p>
            <w:pPr>
              <w:ind w:left="220"/>
              <w:spacing w:after="0" w:line="202" w:lineRule="exact"/>
              <w:rPr>
                <w:sz w:val="20"/>
                <w:szCs w:val="20"/>
                <w:color w:val="auto"/>
              </w:rPr>
            </w:pPr>
            <w:r>
              <w:rPr>
                <w:rFonts w:ascii="Arial" w:cs="Arial" w:eastAsia="Arial" w:hAnsi="Arial"/>
                <w:sz w:val="18"/>
                <w:szCs w:val="18"/>
                <w:color w:val="auto"/>
              </w:rPr>
              <w:t>Net income, as reported</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$ 45,507</w:t>
            </w:r>
          </w:p>
        </w:tc>
        <w:tc>
          <w:tcPr>
            <w:tcW w:w="180" w:type="dxa"/>
            <w:vAlign w:val="bottom"/>
          </w:tcPr>
          <w:p>
            <w:pPr>
              <w:spacing w:after="0"/>
              <w:rPr>
                <w:sz w:val="17"/>
                <w:szCs w:val="17"/>
                <w:color w:val="auto"/>
              </w:rPr>
            </w:pP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8,000</w:t>
            </w:r>
          </w:p>
        </w:tc>
        <w:tc>
          <w:tcPr>
            <w:tcW w:w="10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$ 94,506</w:t>
            </w: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$ 33,554</w:t>
            </w:r>
          </w:p>
        </w:tc>
      </w:tr>
      <w:tr>
        <w:trPr>
          <w:trHeight w:val="203"/>
        </w:trPr>
        <w:tc>
          <w:tcPr>
            <w:tcW w:w="7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allocation of undistributed earnings to stock units</w:t>
            </w:r>
          </w:p>
        </w:tc>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(113)</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(1,167)</w:t>
            </w: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(477)</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20" w:type="dxa"/>
            <w:vAlign w:val="bottom"/>
          </w:tcPr>
          <w:p>
            <w:pPr>
              <w:ind w:left="220"/>
              <w:spacing w:after="0"/>
              <w:rPr>
                <w:sz w:val="20"/>
                <w:szCs w:val="20"/>
                <w:color w:val="auto"/>
              </w:rPr>
            </w:pPr>
            <w:r>
              <w:rPr>
                <w:rFonts w:ascii="Arial" w:cs="Arial" w:eastAsia="Arial" w:hAnsi="Arial"/>
                <w:sz w:val="18"/>
                <w:szCs w:val="18"/>
                <w:color w:val="auto"/>
              </w:rPr>
              <w:t>Net income, for computing diluted earnings per share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$ 44,946</w:t>
            </w:r>
          </w:p>
        </w:tc>
        <w:tc>
          <w:tcPr>
            <w:tcW w:w="1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7,887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$ 93,339</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$ 33,077</w:t>
            </w: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240"/>
        <w:spacing w:after="0" w:line="246"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periods noted was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rPr>
              <w:t>For the Three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rPr>
              <w:t>For the Six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109,055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86,812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108,932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86,806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Dilutive common share equivalents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12,675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113,150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99,487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113,155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40"/>
              <w:spacing w:after="0"/>
              <w:rPr>
                <w:sz w:val="20"/>
                <w:szCs w:val="20"/>
                <w:color w:val="auto"/>
              </w:rPr>
            </w:pPr>
            <w:r>
              <w:rPr>
                <w:rFonts w:ascii="Arial" w:cs="Arial" w:eastAsia="Arial" w:hAnsi="Arial"/>
                <w:sz w:val="18"/>
                <w:szCs w:val="18"/>
                <w:color w:val="auto"/>
              </w:rPr>
              <w:t>Basic and diluted earnings per share for the periods noted were as follows:</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For the Three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For the Six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9"/>
          </w:tcPr>
          <w:p>
            <w:pPr>
              <w:ind w:left="280"/>
              <w:spacing w:after="0"/>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ind w:left="28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center"/>
              <w:ind w:left="361"/>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center"/>
              <w:ind w:left="381"/>
              <w:spacing w:after="0"/>
              <w:rPr>
                <w:sz w:val="20"/>
                <w:szCs w:val="20"/>
                <w:color w:val="auto"/>
              </w:rPr>
            </w:pPr>
            <w:r>
              <w:rPr>
                <w:rFonts w:ascii="Arial" w:cs="Arial" w:eastAsia="Arial" w:hAnsi="Arial"/>
                <w:sz w:val="14"/>
                <w:szCs w:val="14"/>
                <w:b w:val="1"/>
                <w:bCs w:val="1"/>
                <w:color w:val="auto"/>
                <w:w w:val="99"/>
              </w:rPr>
              <w:t>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Pr>
          <w:p>
            <w:pPr>
              <w:ind w:left="260"/>
              <w:spacing w:after="0" w:line="195" w:lineRule="exact"/>
              <w:rPr>
                <w:sz w:val="20"/>
                <w:szCs w:val="20"/>
                <w:color w:val="auto"/>
              </w:rPr>
            </w:pPr>
            <w:r>
              <w:rPr>
                <w:rFonts w:ascii="Arial" w:cs="Arial" w:eastAsia="Arial" w:hAnsi="Arial"/>
                <w:sz w:val="18"/>
                <w:szCs w:val="18"/>
                <w:color w:val="auto"/>
                <w:w w:val="96"/>
              </w:rPr>
              <w:t>0.41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0.09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Pr>
          <w:p>
            <w:pPr>
              <w:ind w:left="260"/>
              <w:spacing w:after="0" w:line="195" w:lineRule="exact"/>
              <w:rPr>
                <w:sz w:val="20"/>
                <w:szCs w:val="20"/>
                <w:color w:val="auto"/>
              </w:rPr>
            </w:pPr>
            <w:r>
              <w:rPr>
                <w:rFonts w:ascii="Arial" w:cs="Arial" w:eastAsia="Arial" w:hAnsi="Arial"/>
                <w:sz w:val="18"/>
                <w:szCs w:val="18"/>
                <w:color w:val="auto"/>
                <w:w w:val="96"/>
              </w:rPr>
              <w:t>0.86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0" w:firstLine="247"/>
        <w:spacing w:after="0"/>
        <w:rPr>
          <w:sz w:val="20"/>
          <w:szCs w:val="20"/>
          <w:color w:val="auto"/>
        </w:rPr>
      </w:pPr>
      <w:r>
        <w:rPr>
          <w:rFonts w:ascii="Arial" w:cs="Arial" w:eastAsia="Arial" w:hAnsi="Arial"/>
          <w:sz w:val="18"/>
          <w:szCs w:val="18"/>
          <w:color w:val="auto"/>
        </w:rPr>
        <w:t>The computation of diluted earnings per share excluded stock options and warrants to purchase 2,975,485 shares and 3,067,470 shares for the three months ended June 30, 2011 and 2010, respectively, and 3,181,435 shares and 3,264,780 shares for the six months ended June, 30 2011 and 2010, respectively, because the effect would have been anti-dilutive.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07" w:lineRule="exact"/>
        <w:rPr>
          <w:sz w:val="20"/>
          <w:szCs w:val="20"/>
          <w:color w:val="auto"/>
        </w:rPr>
      </w:pPr>
    </w:p>
    <w:p>
      <w:pPr>
        <w:ind w:right="140" w:firstLine="250"/>
        <w:spacing w:after="0" w:line="238" w:lineRule="auto"/>
        <w:rPr>
          <w:sz w:val="20"/>
          <w:szCs w:val="20"/>
          <w:color w:val="auto"/>
        </w:rPr>
      </w:pPr>
      <w:r>
        <w:rPr>
          <w:rFonts w:ascii="Arial" w:cs="Arial" w:eastAsia="Arial" w:hAnsi="Arial"/>
          <w:sz w:val="18"/>
          <w:szCs w:val="18"/>
          <w:color w:val="auto"/>
        </w:rPr>
        <w:t>One of the Company’s majority stockholders owns a minority interest in Artisan Partners Limited Partnership (“Artisan”), which pays fees in exchange for product distribution and record-keeping services. During the six months ended June 30, 2011 and 2010, the Company earned $1.5 million and $1.2 million, respectively, in fees from Artisan. Additionally, as of June 30, 2011 and December 31, 2010, Artisan owed the Company $0.8 million and $0.6 million, respectively, which is included in receivables from product sponsors, broker-dealers and clearing organizations on the unaudited condensed consolidated statements of financial condition.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00" w:firstLine="250"/>
        <w:spacing w:after="0"/>
        <w:rPr>
          <w:sz w:val="20"/>
          <w:szCs w:val="20"/>
          <w:color w:val="auto"/>
        </w:rPr>
      </w:pPr>
      <w:r>
        <w:rPr>
          <w:rFonts w:ascii="Arial" w:cs="Arial" w:eastAsia="Arial" w:hAnsi="Arial"/>
          <w:sz w:val="18"/>
          <w:szCs w:val="18"/>
          <w:color w:val="auto"/>
        </w:rPr>
        <w:t>One of the Company’s majority stockholders owns a minority interest in XOJET, Inc. (“XOJET”), which provides chartered aircraft services. The Company paid $1.0 million and $0.9 million to XOJET for chartered aircraft services during the six months ended June 30, 2011 and 2010 respectively. For 2011, $0.5 million was incurred in the first quarter for travel to advisor conferences.</w:t>
      </w:r>
    </w:p>
    <w:p>
      <w:pPr>
        <w:spacing w:after="0" w:line="176" w:lineRule="exact"/>
        <w:rPr>
          <w:sz w:val="20"/>
          <w:szCs w:val="20"/>
          <w:color w:val="auto"/>
        </w:rPr>
      </w:pPr>
    </w:p>
    <w:p>
      <w:pPr>
        <w:ind w:right="140" w:firstLine="240"/>
        <w:spacing w:after="0" w:line="238" w:lineRule="auto"/>
        <w:rPr>
          <w:sz w:val="20"/>
          <w:szCs w:val="20"/>
          <w:color w:val="auto"/>
        </w:rPr>
      </w:pPr>
      <w:r>
        <w:rPr>
          <w:rFonts w:ascii="Arial" w:cs="Arial" w:eastAsia="Arial" w:hAnsi="Arial"/>
          <w:sz w:val="18"/>
          <w:szCs w:val="18"/>
          <w:color w:val="auto"/>
        </w:rPr>
        <w:t>Aplifi, Inc. (formerly named Blue Frog Solutions, Inc.) (“Aplifi”), a privately held technology company in which the Company holds an equity interest, provides software licensing for annuity order entry and compliance. The Company paid $1.0 million and $0.9 million to Aplifi for such services during the six months ended June 30, 2011 and 2010, respectively. As of December 31, 2010, the Company had payables to Aplifi of $0.7 million, which is included in accounts payable and accrued liabilities on the unaudited condensed consolidated statements of financial condition.</w:t>
      </w:r>
    </w:p>
    <w:p>
      <w:pPr>
        <w:spacing w:after="0" w:line="162" w:lineRule="exact"/>
        <w:rPr>
          <w:sz w:val="20"/>
          <w:szCs w:val="20"/>
          <w:color w:val="auto"/>
        </w:rPr>
      </w:pPr>
    </w:p>
    <w:p>
      <w:pPr>
        <w:jc w:val="both"/>
        <w:ind w:right="260" w:firstLine="240"/>
        <w:spacing w:after="0"/>
        <w:rPr>
          <w:sz w:val="20"/>
          <w:szCs w:val="20"/>
          <w:color w:val="auto"/>
        </w:rPr>
      </w:pPr>
      <w:r>
        <w:rPr>
          <w:rFonts w:ascii="Arial" w:cs="Arial" w:eastAsia="Arial" w:hAnsi="Arial"/>
          <w:sz w:val="18"/>
          <w:szCs w:val="18"/>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$0.3 million to CresaPartners during the six months ended June 30,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Capital/Regulatory Requirements</w:t>
      </w:r>
    </w:p>
    <w:p>
      <w:pPr>
        <w:spacing w:after="0" w:line="207" w:lineRule="exact"/>
        <w:rPr>
          <w:sz w:val="20"/>
          <w:szCs w:val="20"/>
          <w:color w:val="auto"/>
        </w:rPr>
      </w:pPr>
    </w:p>
    <w:p>
      <w:pPr>
        <w:ind w:right="20" w:firstLine="247"/>
        <w:spacing w:after="0" w:line="239" w:lineRule="auto"/>
        <w:rPr>
          <w:sz w:val="20"/>
          <w:szCs w:val="20"/>
          <w:color w:val="auto"/>
        </w:rPr>
      </w:pPr>
      <w:r>
        <w:rPr>
          <w:rFonts w:ascii="Arial" w:cs="Arial" w:eastAsia="Arial" w:hAnsi="Arial"/>
          <w:sz w:val="18"/>
          <w:szCs w:val="18"/>
          <w:color w:val="auto"/>
        </w:rPr>
        <w:t>The Company’s registered broker-dealers are subject to the SEC’s Uniform Net Capital Rule (Rule 15c3-1 under the Exchange Act), which requires the maintenance of minimum net capital, as defined. Net capital is calculated for each broker-dealer subsidiary individually. Excess net capital of one broker-dealer subsidiary may not be used to offset a net capital deficiency of another broker-dealer subsidiary. Net capital and the related net capital requirement may fluctuate on a daily basis.</w:t>
      </w:r>
    </w:p>
    <w:p>
      <w:pPr>
        <w:spacing w:after="0" w:line="161" w:lineRule="exact"/>
        <w:rPr>
          <w:sz w:val="20"/>
          <w:szCs w:val="20"/>
          <w:color w:val="auto"/>
        </w:rPr>
      </w:pPr>
    </w:p>
    <w:p>
      <w:pPr>
        <w:ind w:right="320" w:firstLine="250"/>
        <w:spacing w:after="0" w:line="246" w:lineRule="auto"/>
        <w:rPr>
          <w:sz w:val="20"/>
          <w:szCs w:val="20"/>
          <w:color w:val="auto"/>
        </w:rPr>
      </w:pPr>
      <w:r>
        <w:rPr>
          <w:rFonts w:ascii="Arial" w:cs="Arial" w:eastAsia="Arial" w:hAnsi="Arial"/>
          <w:sz w:val="18"/>
          <w:szCs w:val="18"/>
          <w:color w:val="auto"/>
        </w:rPr>
        <w:t>Net capital and net capital requirements for the Company’s broker-dealer subsidiaries as of June 30, 2011 are presented in the following table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rPr>
              <w:t>Net Capital</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Excess Net</w:t>
            </w:r>
          </w:p>
        </w:tc>
        <w:tc>
          <w:tcPr>
            <w:tcW w:w="0" w:type="dxa"/>
            <w:vAlign w:val="bottom"/>
          </w:tcPr>
          <w:p>
            <w:pPr>
              <w:spacing w:after="0"/>
              <w:rPr>
                <w:sz w:val="1"/>
                <w:szCs w:val="1"/>
                <w:color w:val="auto"/>
              </w:rPr>
            </w:pPr>
          </w:p>
        </w:tc>
      </w:tr>
      <w:tr>
        <w:trPr>
          <w:trHeight w:val="175"/>
        </w:trPr>
        <w:tc>
          <w:tcPr>
            <w:tcW w:w="8060" w:type="dxa"/>
            <w:vAlign w:val="bottom"/>
            <w:vMerge w:val="restart"/>
          </w:tcPr>
          <w:p>
            <w:pPr>
              <w:spacing w:after="0"/>
              <w:rPr>
                <w:sz w:val="20"/>
                <w:szCs w:val="20"/>
                <w:color w:val="auto"/>
              </w:rPr>
            </w:pPr>
            <w:r>
              <w:rPr>
                <w:rFonts w:ascii="Arial" w:cs="Arial" w:eastAsia="Arial" w:hAnsi="Arial"/>
                <w:sz w:val="18"/>
                <w:szCs w:val="18"/>
                <w:color w:val="auto"/>
              </w:rPr>
              <w:t>LPL Financial LLC</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Required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8060" w:type="dxa"/>
            <w:vAlign w:val="bottom"/>
            <w:vMerge w:val="continue"/>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ind w:left="200"/>
              <w:spacing w:after="0" w:line="195" w:lineRule="exact"/>
              <w:rPr>
                <w:sz w:val="20"/>
                <w:szCs w:val="20"/>
                <w:color w:val="auto"/>
              </w:rPr>
            </w:pPr>
            <w:r>
              <w:rPr>
                <w:rFonts w:ascii="Arial" w:cs="Arial" w:eastAsia="Arial" w:hAnsi="Arial"/>
                <w:sz w:val="18"/>
                <w:szCs w:val="18"/>
                <w:color w:val="auto"/>
              </w:rPr>
              <w:t>92,999</w:t>
            </w:r>
          </w:p>
        </w:tc>
        <w:tc>
          <w:tcPr>
            <w:tcW w:w="1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41"/>
              <w:spacing w:after="0" w:line="195" w:lineRule="exact"/>
              <w:rPr>
                <w:sz w:val="20"/>
                <w:szCs w:val="20"/>
                <w:color w:val="auto"/>
              </w:rPr>
            </w:pPr>
            <w:r>
              <w:rPr>
                <w:rFonts w:ascii="Arial" w:cs="Arial" w:eastAsia="Arial" w:hAnsi="Arial"/>
                <w:sz w:val="18"/>
                <w:szCs w:val="18"/>
                <w:color w:val="auto"/>
              </w:rPr>
              <w:t>6,412</w:t>
            </w:r>
          </w:p>
        </w:tc>
        <w:tc>
          <w:tcPr>
            <w:tcW w:w="16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86,587</w:t>
            </w:r>
          </w:p>
        </w:tc>
        <w:tc>
          <w:tcPr>
            <w:tcW w:w="0" w:type="dxa"/>
            <w:vAlign w:val="bottom"/>
          </w:tcPr>
          <w:p>
            <w:pPr>
              <w:spacing w:after="0"/>
              <w:rPr>
                <w:sz w:val="1"/>
                <w:szCs w:val="1"/>
                <w:color w:val="auto"/>
              </w:rPr>
            </w:pPr>
          </w:p>
        </w:tc>
      </w:tr>
      <w:tr>
        <w:trPr>
          <w:trHeight w:val="217"/>
        </w:trPr>
        <w:tc>
          <w:tcPr>
            <w:tcW w:w="8060" w:type="dxa"/>
            <w:vAlign w:val="bottom"/>
          </w:tcPr>
          <w:p>
            <w:pPr>
              <w:spacing w:after="0"/>
              <w:rPr>
                <w:sz w:val="20"/>
                <w:szCs w:val="20"/>
                <w:color w:val="auto"/>
              </w:rPr>
            </w:pPr>
            <w:r>
              <w:rPr>
                <w:rFonts w:ascii="Arial" w:cs="Arial" w:eastAsia="Arial" w:hAnsi="Arial"/>
                <w:sz w:val="18"/>
                <w:szCs w:val="18"/>
                <w:color w:val="auto"/>
              </w:rPr>
              <w:t>UVEST Financial Services Group, Inc.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200"/>
              <w:spacing w:after="0"/>
              <w:rPr>
                <w:sz w:val="20"/>
                <w:szCs w:val="20"/>
                <w:color w:val="auto"/>
              </w:rPr>
            </w:pPr>
            <w:r>
              <w:rPr>
                <w:rFonts w:ascii="Arial" w:cs="Arial" w:eastAsia="Arial" w:hAnsi="Arial"/>
                <w:sz w:val="18"/>
                <w:szCs w:val="18"/>
                <w:color w:val="auto"/>
              </w:rPr>
              <w:t>23,781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1,283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LPL Financial is a clearing broker-dealer and UVEST is an introducing broker-dealer.</w:t>
      </w:r>
    </w:p>
    <w:p>
      <w:pPr>
        <w:spacing w:after="0" w:line="185"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color w:val="auto"/>
        </w:rPr>
        <w:t>In connection with the Company’s 2009 initiative that consolidated Associated Securities Corp. (“Associated”), Mutual Service Corporation (“MSC”) and Waterstone Financial Group, Inc. (“WFG”), (together, the “Affiliated Entities”) with LPL Financial, Associated and WFG have withdrawn their registration with the Financial Industry Regulatory Authority effective February 5, 2011, and are no longer subject to net capital filing requirements. At June 30, 2011, MSC had net capital of $8.0 million, which was $7.7 million in excess of its minimum required net capital.</w:t>
      </w:r>
    </w:p>
    <w:p>
      <w:pPr>
        <w:spacing w:after="0" w:line="161"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PTC is also subject to various regulatory capital requirements. Failure to meet minimum capital requirements can initiate certain mandatory and possible additional discretionary actions by regulators that, if undertaken, could have a direct material effect on the Company’s unaudited condensed consolidated financial statements. As of June 30, 2011 and December 31, 2010, the Company’s registered broker-dealers and PTC have met all capital adequacy requirements to which they are subject.</w:t>
      </w:r>
    </w:p>
    <w:p>
      <w:pPr>
        <w:spacing w:after="0" w:line="161" w:lineRule="exact"/>
        <w:rPr>
          <w:sz w:val="20"/>
          <w:szCs w:val="20"/>
          <w:color w:val="auto"/>
        </w:rPr>
      </w:pPr>
    </w:p>
    <w:p>
      <w:pPr>
        <w:ind w:right="80" w:firstLine="247"/>
        <w:spacing w:after="0" w:line="237"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with Off-Balance-Sheet Credit Risk and Concentrations of Credit Risk</w:t>
      </w:r>
    </w:p>
    <w:p>
      <w:pPr>
        <w:spacing w:after="0" w:line="207" w:lineRule="exact"/>
        <w:rPr>
          <w:sz w:val="20"/>
          <w:szCs w:val="20"/>
          <w:color w:val="auto"/>
        </w:rPr>
      </w:pPr>
    </w:p>
    <w:p>
      <w:pPr>
        <w:ind w:right="160" w:firstLine="250"/>
        <w:spacing w:after="0" w:line="238"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2" w:lineRule="exact"/>
        <w:rPr>
          <w:sz w:val="20"/>
          <w:szCs w:val="20"/>
          <w:color w:val="auto"/>
        </w:rPr>
      </w:pPr>
    </w:p>
    <w:p>
      <w:pPr>
        <w:jc w:val="both"/>
        <w:ind w:right="160" w:firstLine="250"/>
        <w:spacing w:after="0" w:line="239"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clients fail to meet their obligation to LPL Financial. Clients are required to complete their transactions on the settlement date, generally three business days after the trade date. If clients do not fulfill their contractual obligations, LPL Financial may incur losses. LPL Financial has established procedures to reduce this risk by generally requiring that clients deposit cash and/or securities into their account prior to placing an order.</w:t>
      </w:r>
    </w:p>
    <w:p>
      <w:pPr>
        <w:spacing w:after="0" w:line="161"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178"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UVEST is engaged in buying and selling securities and other financial instruments for clients of advisors. Such transactions are introduced and cleared through a third-party clearing firm on a fully disclosed basis. While introducing broker-dealers generally have less risk than clearing firms, their clearing agreements expose them to credit risk in the event that their clients don’t fulfill contractual obligations with the clearing broker-dealer.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120"/>
        <w:spacing w:after="0" w:line="459"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ind w:right="80" w:firstLine="250"/>
        <w:spacing w:after="0" w:line="236" w:lineRule="auto"/>
        <w:rPr>
          <w:sz w:val="20"/>
          <w:szCs w:val="20"/>
          <w:color w:val="auto"/>
        </w:rPr>
      </w:pPr>
      <w:r>
        <w:rPr>
          <w:rFonts w:ascii="Arial" w:cs="Arial" w:eastAsia="Arial" w:hAnsi="Arial"/>
          <w:sz w:val="18"/>
          <w:szCs w:val="18"/>
          <w:color w:val="auto"/>
        </w:rPr>
        <w:t>We provide an integrated platform of proprietary technology, brokerage and investment advisory services to over 12,600 independent financial advisors and financial advisors at financial institutions (our “advisors”) across the country, enabling them to successfully service their retail investors with unbiased, conflict-free financial advice. In addition, we support over 4,000 financial advisors with customized clearing, advisory platforms and technology solutions. Our singular focus is to support our advisors with the front, middle and back-office support they need to serve the large and growing market for independent investment advice, particularly in the mass affluent market. We believe we are the only company that offers advisors the unique combination of an integrated technology platform, comprehensive self-clearing services and full open architecture access to leading financial products, all delivered in an environment unencumbered by conflicts from product manufacturing, underwriting or market making.</w:t>
      </w:r>
    </w:p>
    <w:p>
      <w:pPr>
        <w:spacing w:after="0" w:line="168"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as of June 30, 2011. Through our advisors, we are also one of the largest distributors of financial products in the United States. Our scale is a substantial competitive advantage and enables us to more effectively attract and retain advisors. Our unique model allows us to invest more resources in our advisors, increasing their revenues and creating a virtuous cycle of growth. We are headquartered in Boston and currently have approximately 2,700 employees across our locations in Boston, Charlotte and San Diego.</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193"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and clearing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fees for margin lending to our advisors’ clients.</w:t>
      </w:r>
    </w:p>
    <w:p>
      <w:pPr>
        <w:spacing w:after="0" w:line="163" w:lineRule="exact"/>
        <w:rPr>
          <w:sz w:val="20"/>
          <w:szCs w:val="20"/>
          <w:color w:val="auto"/>
        </w:rPr>
      </w:pPr>
    </w:p>
    <w:p>
      <w:pPr>
        <w:ind w:right="140" w:firstLine="250"/>
        <w:spacing w:after="0" w:line="237" w:lineRule="auto"/>
        <w:rPr>
          <w:sz w:val="20"/>
          <w:szCs w:val="20"/>
          <w:color w:val="auto"/>
        </w:rPr>
      </w:pPr>
      <w:r>
        <w:rPr>
          <w:rFonts w:ascii="Arial" w:cs="Arial" w:eastAsia="Arial" w:hAnsi="Arial"/>
          <w:sz w:val="18"/>
          <w:szCs w:val="18"/>
          <w:color w:val="auto"/>
        </w:rPr>
        <w:t>We track recurring revenue, which we define to include our revenues from asset-based fees, advisory fees, our trailing commissions, cash sweep programs and certain transaction and other fees that are based upon accounts and advisors. Because recurring revenue is associated with asset balances, it will fluctuate depending on the market value of the asset balances and current interest rates.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summarizes the sources of our revenue and the underlying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118110</wp:posOffset>
            </wp:positionV>
            <wp:extent cx="4827905" cy="3447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2790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right="540" w:hanging="332"/>
        <w:spacing w:after="0" w:line="271"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Transaction-based commissions and advisory fees both represent advisor-generated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85-90% of which is paid to advisors.</w:t>
      </w:r>
    </w:p>
    <w:p>
      <w:pPr>
        <w:spacing w:after="0" w:line="140" w:lineRule="exact"/>
        <w:rPr>
          <w:rFonts w:ascii="Arial" w:cs="Arial" w:eastAsia="Arial" w:hAnsi="Arial"/>
          <w:sz w:val="18"/>
          <w:szCs w:val="18"/>
          <w:b w:val="1"/>
          <w:bCs w:val="1"/>
          <w:color w:val="auto"/>
        </w:rPr>
      </w:pPr>
    </w:p>
    <w:p>
      <w:pPr>
        <w:ind w:left="340" w:right="40"/>
        <w:spacing w:after="0" w:line="24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Commissions. </w:t>
      </w:r>
      <w:r>
        <w:rPr>
          <w:rFonts w:ascii="Arial" w:cs="Arial" w:eastAsia="Arial" w:hAnsi="Arial"/>
          <w:sz w:val="18"/>
          <w:szCs w:val="18"/>
          <w:color w:val="auto"/>
        </w:rPr>
        <w:t>Transaction-based commission revenues represent gross commissions generated by our advisors, primarily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earned on the sale of various financial products such as fixed and variable annuities, mutual funds, general securities, fixed income, alternative investments and insurance and can vary from period to period based on the overall economic environment, number of trading days in the reporting period and investment activity of our advisors’clients. We also earn trailing commission type revenues (a commission that is paid over time, such as 12(b)-1 fees) on mutual funds and variable annuities held by clients of our advisors. Trail commissions are recurring in nature and are earned based on the current market value of investment holdings.</w:t>
      </w:r>
    </w:p>
    <w:p>
      <w:pPr>
        <w:spacing w:after="0" w:line="165" w:lineRule="exact"/>
        <w:rPr>
          <w:rFonts w:ascii="Arial" w:cs="Arial" w:eastAsia="Arial" w:hAnsi="Arial"/>
          <w:sz w:val="18"/>
          <w:szCs w:val="18"/>
          <w:b w:val="1"/>
          <w:bCs w:val="1"/>
          <w:color w:val="auto"/>
        </w:rPr>
      </w:pPr>
    </w:p>
    <w:p>
      <w:pPr>
        <w:ind w:left="340"/>
        <w:spacing w:after="0" w:line="23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by us and our advisors to their clients based on the value of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Advisory fees are typically billed to clients quarterly, in advance, and are recognized as revenue ratably during the quarter. The value of the assets in the advisory account or the billing date determines the amount billed, and accordingly, the revenues earned in the following three month period. The majority of our accounts are billed using values as of the last business day of the quarter. Some of our advisors conduct their advisory business through separate entities by establishing their own Registered Investment Advisor (“RIA”) pursuant to the Investment Advisers Act of 1940, rather than using our corporate registered RIA. These stand-alone RIAs engage us for technology, clearing, regulatory and custody services, as well as access to our investment advisory platforms. The fee-based production generated by the stand-alone RIA is earned by the advisor, and accordingly not included in our advisory fee revenue. We charge fees to stand-alone RIAs including administrative fees based on the value of assets within these advisory accounts. Such fees are included within asset-based fees and transaction and other fees, as described below.</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340" w:right="20" w:hanging="332"/>
        <w:spacing w:after="0" w:line="239"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financial product manufacturer sponsorship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We also earn fees on mutual fund assets for which we provide administrative and record-keeping services. Our networking fees represent fees paid to us by mutual fund and annuity product manufacturers in exchange for administrative and record-keeping services that we provide to clients of our advisors. Networking fees are correlated to the number of positions we administer, not the value of assets under administration.</w:t>
      </w:r>
    </w:p>
    <w:p>
      <w:pPr>
        <w:spacing w:after="0" w:line="170" w:lineRule="exact"/>
        <w:rPr>
          <w:rFonts w:ascii="Arial" w:cs="Arial" w:eastAsia="Arial" w:hAnsi="Arial"/>
          <w:sz w:val="18"/>
          <w:szCs w:val="18"/>
          <w:b w:val="1"/>
          <w:bCs w:val="1"/>
          <w:color w:val="auto"/>
        </w:rPr>
      </w:pPr>
    </w:p>
    <w:p>
      <w:pPr>
        <w:ind w:left="340" w:hanging="332"/>
        <w:spacing w:after="0" w:line="239"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 and ticket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fees, Individual Retirement Account (“IRA”) custodian fees, contract and license fees, conference fees and small/inactive account fees. We charge fees to our advisors and their clients for executing transactions in brokerage and fee-based advisory accounts. We earn subscription fees for the software and technology services provided to our advisors and on IRA custodial services that we provide for their client accounts. We charge monthly administrative fees to our advisors. We charge fees to financial product manufacturers for participating in our training and marketing conferences and fees to our advisors and their clients for accounts that do not meet certain specified thresholds of size or activity. In addition, we host certain advisor conferences that serve as training, sales and marketing events in our first and third fiscal quarters and as a result, we anticipate higher transaction and other fees resulting from the collection of revenues from sponsors and advisors, in comparison to other periods.</w:t>
      </w:r>
    </w:p>
    <w:p>
      <w:pPr>
        <w:spacing w:after="0" w:line="170" w:lineRule="exact"/>
        <w:rPr>
          <w:rFonts w:ascii="Arial" w:cs="Arial" w:eastAsia="Arial" w:hAnsi="Arial"/>
          <w:sz w:val="18"/>
          <w:szCs w:val="18"/>
          <w:b w:val="1"/>
          <w:bCs w:val="1"/>
          <w:color w:val="auto"/>
        </w:rPr>
      </w:pPr>
    </w:p>
    <w:p>
      <w:pPr>
        <w:ind w:left="340" w:right="360" w:hanging="332"/>
        <w:spacing w:after="0" w:line="271"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Interest and Other Revenue. </w:t>
      </w:r>
      <w:r>
        <w:rPr>
          <w:rFonts w:ascii="Arial" w:cs="Arial" w:eastAsia="Arial" w:hAnsi="Arial"/>
          <w:sz w:val="18"/>
          <w:szCs w:val="18"/>
          <w:color w:val="auto"/>
        </w:rPr>
        <w:t>Other revenue includes marketing re-allowances from certain financial product manufacturers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from client margin accounts and cash equivalents, net of operating interest expense,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171" w:lineRule="exact"/>
        <w:rPr>
          <w:sz w:val="20"/>
          <w:szCs w:val="20"/>
          <w:color w:val="auto"/>
        </w:rPr>
      </w:pPr>
    </w:p>
    <w:p>
      <w:pPr>
        <w:ind w:left="340" w:right="100" w:hanging="332"/>
        <w:spacing w:after="0" w:line="241"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gross commissions and advisory fees that are earned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out to advisors based on the sale of various products and services; production bonuses for achieving certain levels of production; recognition of share-based compensation expense from stock options and warrants granted to advisors and financial institutions based on the fair value of the awards at each interim reporting period; amounts designated by advisors as deferred commissions in a non-qualified deferred compensation plan that are marked to market at each interim reporting period; and brokerage, clearing and exchange fees. We refer to these expenses as the production “payout”. Substantially all of the production payout is variable and correlated to the revenues generated by each advisor.</w:t>
      </w:r>
    </w:p>
    <w:p>
      <w:pPr>
        <w:spacing w:after="0" w:line="165" w:lineRule="exact"/>
        <w:rPr>
          <w:rFonts w:ascii="Arial" w:cs="Arial" w:eastAsia="Arial" w:hAnsi="Arial"/>
          <w:sz w:val="18"/>
          <w:szCs w:val="18"/>
          <w:b w:val="1"/>
          <w:bCs w:val="1"/>
          <w:color w:val="auto"/>
        </w:rPr>
      </w:pPr>
    </w:p>
    <w:p>
      <w:pPr>
        <w:ind w:left="340" w:right="120" w:hanging="332"/>
        <w:spacing w:after="0" w:line="302" w:lineRule="auto"/>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Compensation and Benefits Expense. </w:t>
      </w:r>
      <w:r>
        <w:rPr>
          <w:rFonts w:ascii="Arial" w:cs="Arial" w:eastAsia="Arial" w:hAnsi="Arial"/>
          <w:sz w:val="17"/>
          <w:szCs w:val="17"/>
          <w:color w:val="auto"/>
        </w:rPr>
        <w:t>Compensation and benefits expense includes salaries and wages and related employee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taxes for our employees (including share-based compensation), as well as compensation for temporary employees and consultants.</w:t>
      </w:r>
    </w:p>
    <w:p>
      <w:pPr>
        <w:spacing w:after="0" w:line="115" w:lineRule="exact"/>
        <w:rPr>
          <w:rFonts w:ascii="Arial" w:cs="Arial" w:eastAsia="Arial" w:hAnsi="Arial"/>
          <w:sz w:val="17"/>
          <w:szCs w:val="17"/>
          <w:b w:val="1"/>
          <w:bCs w:val="1"/>
          <w:color w:val="auto"/>
        </w:rPr>
      </w:pPr>
    </w:p>
    <w:p>
      <w:pPr>
        <w:ind w:left="340" w:right="380" w:hanging="332"/>
        <w:spacing w:after="0" w:line="247"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and professional services. We host certain advisor conferences that serve as training, sales and marketing events in our first and third fiscal quarters and as a result, we anticipate higher general and administrative expenses in comparison to other periods.</w:t>
      </w:r>
    </w:p>
    <w:p>
      <w:pPr>
        <w:spacing w:after="0" w:line="160" w:lineRule="exact"/>
        <w:rPr>
          <w:rFonts w:ascii="Arial" w:cs="Arial" w:eastAsia="Arial" w:hAnsi="Arial"/>
          <w:sz w:val="18"/>
          <w:szCs w:val="18"/>
          <w:b w:val="1"/>
          <w:bCs w:val="1"/>
          <w:color w:val="auto"/>
        </w:rPr>
      </w:pPr>
    </w:p>
    <w:p>
      <w:pPr>
        <w:ind w:left="340" w:right="280" w:hanging="332"/>
        <w:spacing w:after="0" w:line="253"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represent significant intangible assets established through our acquisitions, as well as fixed assets which include internally developed software, hardware, leasehold improvements and other equipment.</w:t>
      </w:r>
    </w:p>
    <w:p>
      <w:pPr>
        <w:spacing w:after="0" w:line="155" w:lineRule="exact"/>
        <w:rPr>
          <w:rFonts w:ascii="Arial" w:cs="Arial" w:eastAsia="Arial" w:hAnsi="Arial"/>
          <w:sz w:val="18"/>
          <w:szCs w:val="18"/>
          <w:b w:val="1"/>
          <w:bCs w:val="1"/>
          <w:color w:val="auto"/>
        </w:rPr>
      </w:pPr>
    </w:p>
    <w:p>
      <w:pPr>
        <w:ind w:left="340" w:right="20" w:hanging="332"/>
        <w:spacing w:after="0" w:line="253"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2009 consolidation of Associated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 Mutual Service Corporation and Waterstone Financial Group, Inc. (together, the “Affiliated Entities”) and our 2011 consolidation of UVEST Financial Services Group, Inc. (“UVEST”).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expenses include bank fees, other taxes, bad debt expense and other miscellaneous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How We Evaluate Growth</w:t>
      </w:r>
    </w:p>
    <w:p>
      <w:pPr>
        <w:spacing w:after="0" w:line="193" w:lineRule="exact"/>
        <w:rPr>
          <w:sz w:val="20"/>
          <w:szCs w:val="20"/>
          <w:color w:val="auto"/>
        </w:rPr>
      </w:pPr>
    </w:p>
    <w:p>
      <w:pPr>
        <w:ind w:right="260" w:firstLine="250"/>
        <w:spacing w:after="0" w:line="246"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and six months ended June 30, 2011 and 2010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6"/>
          </w:tcPr>
          <w:p>
            <w:pPr>
              <w:jc w:val="right"/>
              <w:ind w:right="155"/>
              <w:spacing w:after="0" w:line="155"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Business Metrics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Advisors(1)</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12,660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12,066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and brokerage assets (in billions)(2)</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340.8</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23.1%</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Advisory assets under management (in billions)(3)</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103.2</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96"/>
              </w:rPr>
              <w:t>78.9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7"/>
              </w:rPr>
              <w:t>30.8%</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new advisory assets (in billions)(4)</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74.4%</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Insured cash account balances (in billions)(3)</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7"/>
                <w:szCs w:val="17"/>
                <w:color w:val="auto"/>
              </w:rPr>
            </w:pPr>
          </w:p>
        </w:tc>
        <w:tc>
          <w:tcPr>
            <w:tcW w:w="4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13.2</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96"/>
              </w:rPr>
              <w:t>11.8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7"/>
              </w:rPr>
              <w:t>11.9%</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account balances (in billions)(3)</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13.9%</w:t>
            </w:r>
          </w:p>
        </w:tc>
        <w:tc>
          <w:tcPr>
            <w:tcW w:w="0" w:type="dxa"/>
            <w:vAlign w:val="bottom"/>
          </w:tcPr>
          <w:p>
            <w:pPr>
              <w:spacing w:after="0"/>
              <w:rPr>
                <w:sz w:val="1"/>
                <w:szCs w:val="1"/>
                <w:color w:val="auto"/>
              </w:rPr>
            </w:pPr>
          </w:p>
        </w:tc>
      </w:tr>
      <w:tr>
        <w:trPr>
          <w:trHeight w:val="351"/>
        </w:trPr>
        <w:tc>
          <w:tcPr>
            <w:tcW w:w="5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center"/>
              <w:ind w:left="336"/>
              <w:spacing w:after="0"/>
              <w:rPr>
                <w:sz w:val="20"/>
                <w:szCs w:val="20"/>
                <w:color w:val="auto"/>
              </w:rPr>
            </w:pPr>
            <w:r>
              <w:rPr>
                <w:rFonts w:ascii="Arial" w:cs="Arial" w:eastAsia="Arial" w:hAnsi="Arial"/>
                <w:sz w:val="14"/>
                <w:szCs w:val="14"/>
                <w:b w:val="1"/>
                <w:bCs w:val="1"/>
                <w:color w:val="auto"/>
              </w:rPr>
              <w:t>For the Three</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6"/>
          </w:tcPr>
          <w:p>
            <w:pPr>
              <w:jc w:val="center"/>
              <w:ind w:left="295"/>
              <w:spacing w:after="0"/>
              <w:rPr>
                <w:sz w:val="20"/>
                <w:szCs w:val="20"/>
                <w:color w:val="auto"/>
              </w:rPr>
            </w:pPr>
            <w:r>
              <w:rPr>
                <w:rFonts w:ascii="Arial" w:cs="Arial" w:eastAsia="Arial" w:hAnsi="Arial"/>
                <w:sz w:val="14"/>
                <w:szCs w:val="14"/>
                <w:b w:val="1"/>
                <w:bCs w:val="1"/>
                <w:color w:val="auto"/>
              </w:rPr>
              <w:t>For the Six</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rPr>
              <w:t>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jc w:val="center"/>
              <w:ind w:right="332"/>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center"/>
              <w:ind w:left="295"/>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13"/>
              <w:spacing w:after="0" w:line="155"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95"/>
              <w:spacing w:after="0" w:line="155"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6"/>
          </w:tcPr>
          <w:p>
            <w:pPr>
              <w:jc w:val="right"/>
              <w:ind w:right="60"/>
              <w:spacing w:after="0" w:line="155" w:lineRule="exact"/>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Metrics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Revenue growth from prior period</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Recurring revenue as a % of net revenue(5)</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Gross margin (in millions)(6)</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259.9</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233.6</w:t>
            </w: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529.5</w:t>
            </w:r>
          </w:p>
        </w:tc>
        <w:tc>
          <w:tcPr>
            <w:tcW w:w="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as a % of net revenue(6)</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Net income (in millions)</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45.5</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94.5</w:t>
            </w:r>
          </w:p>
        </w:tc>
        <w:tc>
          <w:tcPr>
            <w:tcW w:w="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(in millions)</w:t>
            </w:r>
          </w:p>
        </w:tc>
        <w:tc>
          <w:tcPr>
            <w:tcW w:w="1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123.0</w:t>
            </w:r>
          </w:p>
        </w:tc>
        <w:tc>
          <w:tcPr>
            <w:tcW w:w="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109.9</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247.3</w:t>
            </w:r>
          </w:p>
        </w:tc>
        <w:tc>
          <w:tcPr>
            <w:tcW w:w="4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Adjusted Earnings (in millions)</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58.8</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118.2</w:t>
            </w:r>
          </w:p>
        </w:tc>
        <w:tc>
          <w:tcPr>
            <w:tcW w:w="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1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0.82</w:t>
            </w:r>
          </w:p>
        </w:tc>
        <w:tc>
          <w:tcPr>
            <w:tcW w:w="4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Adjusted Earnings per share — diluted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0.52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0.47</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Advisors are defined as those investment professionals who are licensed to do business with our broker-dealer subsidiaries.</w:t>
      </w:r>
    </w:p>
    <w:p>
      <w:pPr>
        <w:spacing w:after="0" w:line="198" w:lineRule="exact"/>
        <w:rPr>
          <w:rFonts w:ascii="Arial" w:cs="Arial" w:eastAsia="Arial" w:hAnsi="Arial"/>
          <w:sz w:val="18"/>
          <w:szCs w:val="18"/>
          <w:color w:val="auto"/>
        </w:rPr>
      </w:pPr>
    </w:p>
    <w:p>
      <w:pPr>
        <w:ind w:left="340" w:right="80" w:hanging="332"/>
        <w:spacing w:after="0" w:line="24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w:t>
      </w:r>
    </w:p>
    <w:p>
      <w:pPr>
        <w:spacing w:after="0" w:line="183" w:lineRule="exact"/>
        <w:rPr>
          <w:rFonts w:ascii="Arial" w:cs="Arial" w:eastAsia="Arial" w:hAnsi="Arial"/>
          <w:sz w:val="18"/>
          <w:szCs w:val="18"/>
          <w:color w:val="auto"/>
        </w:rPr>
      </w:pPr>
    </w:p>
    <w:p>
      <w:pPr>
        <w:ind w:left="340" w:right="40" w:hanging="332"/>
        <w:spacing w:after="0" w:line="24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account balances are components of advisory and brokerage assets.</w:t>
      </w:r>
    </w:p>
    <w:p>
      <w:pPr>
        <w:spacing w:after="0" w:line="183" w:lineRule="exact"/>
        <w:rPr>
          <w:rFonts w:ascii="Arial" w:cs="Arial" w:eastAsia="Arial" w:hAnsi="Arial"/>
          <w:sz w:val="18"/>
          <w:szCs w:val="18"/>
          <w:color w:val="auto"/>
        </w:rPr>
      </w:pPr>
    </w:p>
    <w:p>
      <w:pPr>
        <w:ind w:left="340" w:right="300" w:hanging="332"/>
        <w:spacing w:after="0" w:line="24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net new advisory assets that are custodied in our fee-based advisory platforms during the six months ended June 30, 2011. Net new advisory assets for the three months ended June 30, 2011 and 2010 were $3.1 billion and $2.4 billion, respectively.</w:t>
      </w:r>
    </w:p>
    <w:p>
      <w:pPr>
        <w:spacing w:after="0" w:line="183"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Recurring revenue is derived from sources such as advisory fees, asset-based fees, trailing commission fees, fees related to our cash sweep programs, interest earned on margin accounts and technology and service fees.</w:t>
      </w:r>
    </w:p>
    <w:p>
      <w:pPr>
        <w:spacing w:after="0" w:line="183" w:lineRule="exact"/>
        <w:rPr>
          <w:rFonts w:ascii="Arial" w:cs="Arial" w:eastAsia="Arial" w:hAnsi="Arial"/>
          <w:sz w:val="18"/>
          <w:szCs w:val="18"/>
          <w:color w:val="auto"/>
        </w:rPr>
      </w:pPr>
    </w:p>
    <w:p>
      <w:pPr>
        <w:ind w:left="340" w:right="220" w:hanging="332"/>
        <w:spacing w:after="0" w:line="24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Gross margin is calculated as net revenues less production expenses. Production expenses consist of the following expense categories from our unaudited condensed consolidated statements of operations: (i) commissions and advisory fees and (ii) brokerage, clearing and exchange. All other expense categories, including depreciation and amortization, are considered general and administrative in nature.</w:t>
      </w:r>
    </w:p>
    <w:p>
      <w:pPr>
        <w:spacing w:after="0" w:line="1" w:lineRule="exact"/>
        <w:rPr>
          <w:rFonts w:ascii="Arial" w:cs="Arial" w:eastAsia="Arial" w:hAnsi="Arial"/>
          <w:sz w:val="17"/>
          <w:szCs w:val="17"/>
          <w:color w:val="auto"/>
        </w:rPr>
      </w:pPr>
    </w:p>
    <w:p>
      <w:pPr>
        <w:ind w:left="340" w:right="460"/>
        <w:spacing w:after="0" w:line="246" w:lineRule="auto"/>
        <w:rPr>
          <w:rFonts w:ascii="Arial" w:cs="Arial" w:eastAsia="Arial" w:hAnsi="Arial"/>
          <w:sz w:val="17"/>
          <w:szCs w:val="17"/>
          <w:color w:val="auto"/>
        </w:rPr>
      </w:pPr>
      <w:r>
        <w:rPr>
          <w:rFonts w:ascii="Arial" w:cs="Arial" w:eastAsia="Arial" w:hAnsi="Arial"/>
          <w:sz w:val="18"/>
          <w:szCs w:val="18"/>
          <w:color w:val="auto"/>
        </w:rPr>
        <w:t>Because our gross margin amounts do not include any depreciation and amortization expense, our gross margin amounts may not be comparable to those of others in our industry.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07" w:lineRule="exact"/>
        <w:rPr>
          <w:sz w:val="20"/>
          <w:szCs w:val="20"/>
          <w:color w:val="auto"/>
        </w:rPr>
      </w:pPr>
    </w:p>
    <w:p>
      <w:pPr>
        <w:ind w:right="100" w:firstLine="240"/>
        <w:spacing w:after="0" w:line="238"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162" w:lineRule="exact"/>
        <w:rPr>
          <w:sz w:val="20"/>
          <w:szCs w:val="20"/>
          <w:color w:val="auto"/>
        </w:rPr>
      </w:pPr>
    </w:p>
    <w:p>
      <w:pPr>
        <w:ind w:right="620" w:firstLine="250"/>
        <w:spacing w:after="0" w:line="246"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56" w:lineRule="exact"/>
        <w:rPr>
          <w:sz w:val="20"/>
          <w:szCs w:val="20"/>
          <w:color w:val="auto"/>
        </w:rPr>
      </w:pPr>
    </w:p>
    <w:p>
      <w:pPr>
        <w:ind w:left="340" w:right="460" w:hanging="332"/>
        <w:spacing w:after="0" w:line="246"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 and</w:t>
      </w:r>
    </w:p>
    <w:p>
      <w:pPr>
        <w:spacing w:after="0" w:line="183" w:lineRule="exact"/>
        <w:rPr>
          <w:rFonts w:ascii="Arial" w:cs="Arial" w:eastAsia="Arial" w:hAnsi="Arial"/>
          <w:sz w:val="18"/>
          <w:szCs w:val="18"/>
          <w:b w:val="1"/>
          <w:bCs w:val="1"/>
          <w:color w:val="auto"/>
        </w:rPr>
      </w:pPr>
    </w:p>
    <w:p>
      <w:pPr>
        <w:ind w:left="340" w:right="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w:t>
      </w:r>
    </w:p>
    <w:p>
      <w:pPr>
        <w:spacing w:after="0" w:line="171"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as a measure of operating performance;</w:t>
      </w:r>
    </w:p>
    <w:p>
      <w:pPr>
        <w:spacing w:after="0" w:line="198"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for planning purposes, including the preparation of budgets and forecasts;</w:t>
      </w:r>
    </w:p>
    <w:p>
      <w:pPr>
        <w:spacing w:after="0" w:line="198"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allocate resources to enhance the financial performance of our business;</w:t>
      </w:r>
    </w:p>
    <w:p>
      <w:pPr>
        <w:spacing w:after="0" w:line="198"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to evaluate the effectiveness of our business strategies;</w:t>
      </w:r>
    </w:p>
    <w:p>
      <w:pPr>
        <w:spacing w:after="0" w:line="198"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 communications with our board of directors concerning our financial performance and</w:t>
      </w:r>
    </w:p>
    <w:p>
      <w:pPr>
        <w:spacing w:after="0" w:line="198"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as a factor in determining employee and executive bonuses</w:t>
      </w:r>
    </w:p>
    <w:p>
      <w:pPr>
        <w:spacing w:after="0" w:line="171" w:lineRule="exact"/>
        <w:rPr>
          <w:sz w:val="20"/>
          <w:szCs w:val="20"/>
          <w:color w:val="auto"/>
        </w:rPr>
      </w:pPr>
    </w:p>
    <w:p>
      <w:pPr>
        <w:ind w:firstLine="240"/>
        <w:spacing w:after="0" w:line="239"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The term Adjusted EBITDA is not defined under GAAP, and Adjusted EBITDA is not a measure of net income, operating income or any other performance measure derived in accordance with GAAP, and is subject to important limitations.</w:t>
      </w:r>
    </w:p>
    <w:p>
      <w:pPr>
        <w:spacing w:after="0" w:line="175" w:lineRule="exact"/>
        <w:rPr>
          <w:sz w:val="20"/>
          <w:szCs w:val="20"/>
          <w:color w:val="auto"/>
        </w:rPr>
      </w:pPr>
    </w:p>
    <w:p>
      <w:pPr>
        <w:ind w:right="20" w:firstLine="240"/>
        <w:spacing w:after="0" w:line="246"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5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198" w:lineRule="exact"/>
        <w:rPr>
          <w:rFonts w:ascii="Arial" w:cs="Arial" w:eastAsia="Arial" w:hAnsi="Arial"/>
          <w:sz w:val="18"/>
          <w:szCs w:val="18"/>
          <w:b w:val="1"/>
          <w:bCs w:val="1"/>
          <w:color w:val="auto"/>
        </w:rPr>
      </w:pPr>
    </w:p>
    <w:p>
      <w:pPr>
        <w:ind w:left="780" w:hanging="326"/>
        <w:spacing w:after="0"/>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EBITDA does not reflect changes in, or cash requirements for, working capital needs and</w:t>
      </w:r>
    </w:p>
    <w:p>
      <w:pPr>
        <w:spacing w:after="0" w:line="198" w:lineRule="exact"/>
        <w:rPr>
          <w:rFonts w:ascii="Arial" w:cs="Arial" w:eastAsia="Arial" w:hAnsi="Arial"/>
          <w:sz w:val="18"/>
          <w:szCs w:val="18"/>
          <w:b w:val="1"/>
          <w:bCs w:val="1"/>
          <w:color w:val="auto"/>
        </w:rPr>
      </w:pPr>
    </w:p>
    <w:p>
      <w:pPr>
        <w:ind w:left="780" w:right="40" w:hanging="326"/>
        <w:spacing w:after="0" w:line="246" w:lineRule="auto"/>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w:t>
      </w:r>
    </w:p>
    <w:p>
      <w:pPr>
        <w:spacing w:after="0" w:line="183" w:lineRule="exact"/>
        <w:rPr>
          <w:rFonts w:ascii="Arial" w:cs="Arial" w:eastAsia="Arial" w:hAnsi="Arial"/>
          <w:sz w:val="18"/>
          <w:szCs w:val="18"/>
          <w:b w:val="1"/>
          <w:bCs w:val="1"/>
          <w:color w:val="auto"/>
        </w:rPr>
      </w:pPr>
    </w:p>
    <w:p>
      <w:pPr>
        <w:ind w:left="780" w:right="80" w:hanging="326"/>
        <w:spacing w:after="0" w:line="246" w:lineRule="auto"/>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56" w:lineRule="exact"/>
        <w:rPr>
          <w:sz w:val="20"/>
          <w:szCs w:val="20"/>
          <w:color w:val="auto"/>
        </w:rPr>
      </w:pPr>
    </w:p>
    <w:p>
      <w:pPr>
        <w:ind w:right="60" w:firstLine="250"/>
        <w:spacing w:after="0"/>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250"/>
        <w:spacing w:after="0" w:line="246" w:lineRule="auto"/>
        <w:rPr>
          <w:sz w:val="20"/>
          <w:szCs w:val="20"/>
          <w:color w:val="auto"/>
        </w:rPr>
      </w:pPr>
      <w:r>
        <w:rPr>
          <w:rFonts w:ascii="Arial" w:cs="Arial" w:eastAsia="Arial" w:hAnsi="Arial"/>
          <w:sz w:val="18"/>
          <w:szCs w:val="18"/>
          <w:color w:val="auto"/>
        </w:rPr>
        <w:t>Set forth below is a reconciliation from our net income to Adjusted EBITDA for the three and six months ended June 30, 2011 and 2010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For the Three</w:t>
            </w:r>
          </w:p>
        </w:tc>
        <w:tc>
          <w:tcPr>
            <w:tcW w:w="160" w:type="dxa"/>
            <w:vAlign w:val="bottom"/>
          </w:tcPr>
          <w:p>
            <w:pPr>
              <w:spacing w:after="0"/>
              <w:rPr>
                <w:sz w:val="14"/>
                <w:szCs w:val="14"/>
                <w:color w:val="auto"/>
              </w:rPr>
            </w:pPr>
          </w:p>
        </w:tc>
        <w:tc>
          <w:tcPr>
            <w:tcW w:w="12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rPr>
              <w:t>For the Six</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Months Ended</w:t>
            </w:r>
          </w:p>
        </w:tc>
        <w:tc>
          <w:tcPr>
            <w:tcW w:w="160" w:type="dxa"/>
            <w:vAlign w:val="bottom"/>
          </w:tcPr>
          <w:p>
            <w:pPr>
              <w:spacing w:after="0"/>
              <w:rPr>
                <w:sz w:val="14"/>
                <w:szCs w:val="1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5"/>
          </w:tcPr>
          <w:p>
            <w:pPr>
              <w:ind w:left="440"/>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45,507</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94,506</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18,154</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27,683</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36,326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29,972</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62,531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Amortization of purchased intangible assets and software(1)</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9,686</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10,938</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19,223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of all other fixed assets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8,721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11,172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22,651</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112,040</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58,421</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229,935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Adjustments: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expense(2)</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3,427</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2,239</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and integration related expenses(3)</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1,548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3,377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Restructuring and conversion costs(4)</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4,599</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5,619</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amendment and extinguishment costs(5)</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38,484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Equity issuance and related offering costs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1,349</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1,687</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Other(6)</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Arial" w:cs="Arial" w:eastAsia="Arial" w:hAnsi="Arial"/>
                <w:sz w:val="18"/>
                <w:szCs w:val="18"/>
                <w:color w:val="auto"/>
              </w:rPr>
              <w:t>Total EBITDA Adjustments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10,957</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51,443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17,393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122,997</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109,864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247,328</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215,321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340" w:right="8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183" w:lineRule="exact"/>
        <w:rPr>
          <w:rFonts w:ascii="Arial" w:cs="Arial" w:eastAsia="Arial" w:hAnsi="Arial"/>
          <w:sz w:val="18"/>
          <w:szCs w:val="18"/>
          <w:color w:val="auto"/>
        </w:rPr>
      </w:pPr>
    </w:p>
    <w:p>
      <w:pPr>
        <w:ind w:left="340" w:right="8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vested stock options awarded to employees and non-executive directors based on the grant date fair value under the Black-Scholes valuation model.</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198" w:lineRule="exact"/>
        <w:rPr>
          <w:rFonts w:ascii="Arial" w:cs="Arial" w:eastAsia="Arial" w:hAnsi="Arial"/>
          <w:sz w:val="18"/>
          <w:szCs w:val="18"/>
          <w:color w:val="auto"/>
        </w:rPr>
      </w:pPr>
    </w:p>
    <w:p>
      <w:pPr>
        <w:ind w:left="340" w:right="22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2009 consolidation of the Affiliated Entities and the 2011 consolidation of UVEST.</w:t>
      </w:r>
    </w:p>
    <w:p>
      <w:pPr>
        <w:spacing w:after="0" w:line="183" w:lineRule="exact"/>
        <w:rPr>
          <w:rFonts w:ascii="Arial" w:cs="Arial" w:eastAsia="Arial" w:hAnsi="Arial"/>
          <w:sz w:val="18"/>
          <w:szCs w:val="18"/>
          <w:color w:val="auto"/>
        </w:rPr>
      </w:pPr>
    </w:p>
    <w:p>
      <w:pPr>
        <w:ind w:left="340" w:right="120" w:hanging="332"/>
        <w:spacing w:after="0" w:line="24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credit agreement to establish a new term loan tranche and to extend the maturity of an existing tranche on our senior credit facilities.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other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193" w:lineRule="exact"/>
        <w:rPr>
          <w:sz w:val="20"/>
          <w:szCs w:val="20"/>
          <w:color w:val="auto"/>
        </w:rPr>
      </w:pPr>
    </w:p>
    <w:p>
      <w:pPr>
        <w:ind w:right="760" w:firstLine="240"/>
        <w:spacing w:after="0" w:line="234"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a component of depreciation and amortization resulting from our merger transaction in 2005 and our various acquisitions,</w:t>
      </w:r>
    </w:p>
    <w:p>
      <w:pPr>
        <w:ind w:left="260" w:hanging="252"/>
        <w:spacing w:after="0" w:line="236"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amendment and extinguishment costs</w:t>
      </w:r>
    </w:p>
    <w:p>
      <w:pPr>
        <w:ind w:right="620" w:firstLine="8"/>
        <w:spacing w:after="0" w:line="246"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issuance and related offering costs and (g) other. Reconciling items are tax effected using the income tax rates in effect for the applicable period, adjusted for any potentially non-deductible amounts.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171" w:lineRule="exact"/>
        <w:rPr>
          <w:sz w:val="20"/>
          <w:szCs w:val="20"/>
          <w:color w:val="auto"/>
        </w:rPr>
      </w:pPr>
    </w:p>
    <w:p>
      <w:pPr>
        <w:ind w:right="200" w:firstLine="250"/>
        <w:spacing w:after="0" w:line="246"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firstLine="250"/>
        <w:spacing w:after="0" w:line="246"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70" w:lineRule="exact"/>
        <w:rPr>
          <w:sz w:val="20"/>
          <w:szCs w:val="20"/>
          <w:color w:val="auto"/>
        </w:rPr>
      </w:pPr>
    </w:p>
    <w:p>
      <w:pPr>
        <w:ind w:left="540" w:right="240" w:hanging="316"/>
        <w:spacing w:after="0" w:line="246" w:lineRule="auto"/>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w:t>
      </w:r>
    </w:p>
    <w:p>
      <w:pPr>
        <w:spacing w:after="0" w:line="183" w:lineRule="exact"/>
        <w:rPr>
          <w:rFonts w:ascii="Arial" w:cs="Arial" w:eastAsia="Arial" w:hAnsi="Arial"/>
          <w:sz w:val="18"/>
          <w:szCs w:val="18"/>
          <w:b w:val="1"/>
          <w:bCs w:val="1"/>
          <w:color w:val="auto"/>
        </w:rPr>
      </w:pPr>
    </w:p>
    <w:p>
      <w:pPr>
        <w:ind w:left="540" w:right="560" w:hanging="316"/>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189" w:lineRule="exact"/>
        <w:rPr>
          <w:rFonts w:ascii="Arial" w:cs="Arial" w:eastAsia="Arial" w:hAnsi="Arial"/>
          <w:sz w:val="18"/>
          <w:szCs w:val="18"/>
          <w:b w:val="1"/>
          <w:bCs w:val="1"/>
          <w:color w:val="auto"/>
        </w:rPr>
      </w:pPr>
    </w:p>
    <w:p>
      <w:pPr>
        <w:ind w:left="540" w:right="80" w:hanging="316"/>
        <w:spacing w:after="0" w:line="239" w:lineRule="auto"/>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161" w:lineRule="exact"/>
        <w:rPr>
          <w:sz w:val="20"/>
          <w:szCs w:val="20"/>
          <w:color w:val="auto"/>
        </w:rPr>
      </w:pPr>
    </w:p>
    <w:p>
      <w:pPr>
        <w:ind w:right="360" w:firstLine="250"/>
        <w:spacing w:after="0" w:line="239"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1" w:lineRule="exact"/>
        <w:rPr>
          <w:sz w:val="20"/>
          <w:szCs w:val="20"/>
          <w:color w:val="auto"/>
        </w:rPr>
      </w:pPr>
    </w:p>
    <w:p>
      <w:pPr>
        <w:ind w:right="200" w:firstLine="240"/>
        <w:spacing w:after="0"/>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176" w:lineRule="exact"/>
        <w:rPr>
          <w:sz w:val="20"/>
          <w:szCs w:val="20"/>
          <w:color w:val="auto"/>
        </w:rPr>
      </w:pPr>
    </w:p>
    <w:p>
      <w:pPr>
        <w:jc w:val="both"/>
        <w:ind w:right="100" w:firstLine="250"/>
        <w:spacing w:after="0"/>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162" w:lineRule="exact"/>
        <w:rPr>
          <w:sz w:val="20"/>
          <w:szCs w:val="20"/>
          <w:color w:val="auto"/>
        </w:rPr>
      </w:pPr>
    </w:p>
    <w:p>
      <w:pPr>
        <w:ind w:left="540" w:hanging="316"/>
        <w:spacing w:after="0" w:line="246" w:lineRule="auto"/>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83" w:lineRule="exact"/>
        <w:rPr>
          <w:rFonts w:ascii="Arial" w:cs="Arial" w:eastAsia="Arial" w:hAnsi="Arial"/>
          <w:sz w:val="18"/>
          <w:szCs w:val="18"/>
          <w:b w:val="1"/>
          <w:bCs w:val="1"/>
          <w:color w:val="auto"/>
        </w:rPr>
      </w:pPr>
    </w:p>
    <w:p>
      <w:pPr>
        <w:ind w:left="540" w:hanging="316"/>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198" w:lineRule="exact"/>
        <w:rPr>
          <w:rFonts w:ascii="Arial" w:cs="Arial" w:eastAsia="Arial" w:hAnsi="Arial"/>
          <w:sz w:val="18"/>
          <w:szCs w:val="18"/>
          <w:b w:val="1"/>
          <w:bCs w:val="1"/>
          <w:color w:val="auto"/>
        </w:rPr>
      </w:pPr>
    </w:p>
    <w:p>
      <w:pPr>
        <w:ind w:left="540" w:right="120" w:hanging="316"/>
        <w:spacing w:after="0" w:line="246" w:lineRule="auto"/>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56"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247"/>
        <w:spacing w:after="0" w:line="246" w:lineRule="auto"/>
        <w:rPr>
          <w:sz w:val="20"/>
          <w:szCs w:val="20"/>
          <w:color w:val="auto"/>
        </w:rPr>
      </w:pPr>
      <w:r>
        <w:rPr>
          <w:rFonts w:ascii="Arial" w:cs="Arial" w:eastAsia="Arial" w:hAnsi="Arial"/>
          <w:sz w:val="18"/>
          <w:szCs w:val="18"/>
          <w:color w:val="auto"/>
        </w:rPr>
        <w:t>The following table sets forth a reconciliation of net income to Adjusted Earnings and Adjusted Earnings per share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120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rPr>
              <w:t>For the Six</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8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5"/>
          </w:tcPr>
          <w:p>
            <w:pPr>
              <w:jc w:val="right"/>
              <w:ind w:right="760"/>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45,507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94,506</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After-Tax:</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Adjustments(1)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expense(2)</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2,677</w:t>
            </w:r>
          </w:p>
        </w:tc>
        <w:tc>
          <w:tcPr>
            <w:tcW w:w="18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1,870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5,578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and integration related expenses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00"/>
              <w:spacing w:after="0" w:line="202" w:lineRule="exact"/>
              <w:rPr>
                <w:sz w:val="20"/>
                <w:szCs w:val="20"/>
                <w:color w:val="auto"/>
              </w:rPr>
            </w:pPr>
            <w:r>
              <w:rPr>
                <w:rFonts w:ascii="Arial" w:cs="Arial" w:eastAsia="Arial" w:hAnsi="Arial"/>
                <w:sz w:val="18"/>
                <w:szCs w:val="18"/>
                <w:color w:val="auto"/>
              </w:rPr>
              <w:t>Restructuring and conversion costs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2,838</w:t>
            </w:r>
          </w:p>
        </w:tc>
        <w:tc>
          <w:tcPr>
            <w:tcW w:w="18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3,415</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3,353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amendment and extinguishment costs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23,387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00"/>
              <w:spacing w:after="0" w:line="202" w:lineRule="exact"/>
              <w:rPr>
                <w:sz w:val="20"/>
                <w:szCs w:val="20"/>
                <w:color w:val="auto"/>
              </w:rPr>
            </w:pPr>
            <w:r>
              <w:rPr>
                <w:rFonts w:ascii="Arial" w:cs="Arial" w:eastAsia="Arial" w:hAnsi="Arial"/>
                <w:sz w:val="18"/>
                <w:szCs w:val="18"/>
                <w:color w:val="auto"/>
              </w:rPr>
              <w:t>Equity issuance and related offering costs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832</w:t>
            </w:r>
          </w:p>
        </w:tc>
        <w:tc>
          <w:tcPr>
            <w:tcW w:w="18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Total EBITDA Adjustments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7,323</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31,771</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11,813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purchased intangible assets and software(1)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5,977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6,647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11,861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15,177</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58,807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46,418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118,180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Earnings per share(3)</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Weighted average shares outstanding — diluted(4)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113,150</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99,487</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113,155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340" w:right="140" w:hanging="332"/>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 35.0% and the applicable effective state rate which was 3.30% for the three and six month periods ended June 30, 2011, and 4.23% and 4.32% for the corresponding periods in 2010, net of the federal tax benefit. In April 2010, a step up in basis of $89.1 million for internally developed software that was established at the time of the 2005 merger transaction became fully amortized, resulting in lower balances of intangible assets that are amortized.</w:t>
      </w:r>
    </w:p>
    <w:p>
      <w:pPr>
        <w:spacing w:after="0" w:line="189" w:lineRule="exact"/>
        <w:rPr>
          <w:rFonts w:ascii="Arial" w:cs="Arial" w:eastAsia="Arial" w:hAnsi="Arial"/>
          <w:sz w:val="18"/>
          <w:szCs w:val="18"/>
          <w:color w:val="auto"/>
        </w:rPr>
      </w:pPr>
    </w:p>
    <w:p>
      <w:pPr>
        <w:ind w:left="340" w:right="20" w:hanging="332"/>
        <w:spacing w:after="0" w:line="23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in which we receive a tax deduction upon exercise, and the full expense impact of incentive stock options granted to employees that have vested and qualify for preferential tax treatment and conversely, we do not receive a tax deduction. Share-based compensation for vesting of incentive stock options was $1.5 million and $1.3 million, respectively, for the three months ended June 30, 2011 and 2010, and $2.8 million and $2.5 million for the six months ended June 30, 2011 and 2010, respectively.</w:t>
      </w:r>
    </w:p>
    <w:p>
      <w:pPr>
        <w:spacing w:after="0" w:line="189" w:lineRule="exact"/>
        <w:rPr>
          <w:rFonts w:ascii="Arial" w:cs="Arial" w:eastAsia="Arial" w:hAnsi="Arial"/>
          <w:sz w:val="18"/>
          <w:szCs w:val="18"/>
          <w:color w:val="auto"/>
        </w:rPr>
      </w:pPr>
    </w:p>
    <w:p>
      <w:pPr>
        <w:ind w:left="340" w:right="700" w:hanging="332"/>
        <w:spacing w:after="0" w:line="27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Adjusted Earnings divided by weighted average number of shares outstanding on a fully diluted basis. Set forth is a reconciliation of earnings per share on a fully diluted basis as calculated in accordance with GAAP to Adjusted Earnings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rPr>
              <w:t>For the Three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For the Six</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rPr>
              <w:t>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6"/>
          </w:tcPr>
          <w:p>
            <w:pPr>
              <w:ind w:left="260"/>
              <w:spacing w:after="0"/>
              <w:rPr>
                <w:sz w:val="20"/>
                <w:szCs w:val="20"/>
                <w:color w:val="auto"/>
              </w:rPr>
            </w:pPr>
            <w:r>
              <w:rPr>
                <w:rFonts w:ascii="Arial" w:cs="Arial" w:eastAsia="Arial" w:hAnsi="Arial"/>
                <w:sz w:val="14"/>
                <w:szCs w:val="14"/>
                <w:b w:val="1"/>
                <w:bCs w:val="1"/>
                <w:color w:val="auto"/>
              </w:rPr>
              <w:t>Months Ended</w:t>
            </w:r>
          </w:p>
        </w:tc>
      </w:tr>
      <w:tr>
        <w:trPr>
          <w:trHeight w:val="175"/>
        </w:trPr>
        <w:tc>
          <w:tcPr>
            <w:tcW w:w="7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7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3"/>
                <w:szCs w:val="13"/>
                <w:color w:val="auto"/>
              </w:rPr>
            </w:pPr>
          </w:p>
        </w:tc>
      </w:tr>
      <w:tr>
        <w:trPr>
          <w:trHeight w:val="155"/>
        </w:trPr>
        <w:tc>
          <w:tcPr>
            <w:tcW w:w="7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Earnings per share — diluted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3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0.82</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0.33</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Adjustment for allocation of undistributed earnings to stock units</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0.01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After-Tax:</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EBITDA Adjustments per share</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0.32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0.11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0.39</w:t>
            </w:r>
          </w:p>
        </w:tc>
      </w:tr>
      <w:tr>
        <w:trPr>
          <w:trHeight w:val="203"/>
        </w:trPr>
        <w:tc>
          <w:tcPr>
            <w:tcW w:w="7100" w:type="dxa"/>
            <w:vAlign w:val="bottom"/>
          </w:tcPr>
          <w:p>
            <w:pPr>
              <w:spacing w:after="0" w:line="203" w:lineRule="exact"/>
              <w:rPr>
                <w:sz w:val="20"/>
                <w:szCs w:val="20"/>
                <w:color w:val="auto"/>
              </w:rPr>
            </w:pPr>
            <w:r>
              <w:rPr>
                <w:rFonts w:ascii="Arial" w:cs="Arial" w:eastAsia="Arial" w:hAnsi="Arial"/>
                <w:sz w:val="18"/>
                <w:szCs w:val="18"/>
                <w:color w:val="auto"/>
              </w:rPr>
              <w:t>Amortization of purchased intangible assets and software per share</w:t>
            </w:r>
          </w:p>
        </w:tc>
        <w:tc>
          <w:tcPr>
            <w:tcW w:w="1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0.05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0.07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0.10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0.15</w:t>
            </w: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Adjusted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0.52</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88</w:t>
            </w:r>
          </w:p>
        </w:tc>
      </w:tr>
      <w:tr>
        <w:trPr>
          <w:trHeight w:val="20"/>
        </w:trPr>
        <w:tc>
          <w:tcPr>
            <w:tcW w:w="7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20" w:hanging="332"/>
        <w:spacing w:after="0" w:line="25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Weighted average shares outstanding on a fully diluted basis increased from 99.2 million shares for the six months ended June 30, 2010 to 113.2 million shares for the six months ended June 30, 2011, due primarily to the successful completion of our Initial Public Offering (“IPO”) in the fourth quarter of 2010. The increase is attributed to the release of the restriction of approximately 7.4 million shares of common stock upon closing of our IPO in the fourth quarter of 2010, the issuance of approximately 1.5 million shares of common stock by the Company pursuant to the over-allotment option granted to the underwriters in connection with the IPO, and shares that were issued upon exercise of options by selling stockholders in connection with the IPO, net of any shares retired to satisfy the exercise price in a cashless exercise.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right="360" w:firstLine="228"/>
        <w:spacing w:after="0"/>
        <w:rPr>
          <w:sz w:val="20"/>
          <w:szCs w:val="20"/>
          <w:color w:val="auto"/>
        </w:rPr>
      </w:pPr>
      <w:r>
        <w:rPr>
          <w:rFonts w:ascii="Arial" w:cs="Arial" w:eastAsia="Arial" w:hAnsi="Arial"/>
          <w:sz w:val="18"/>
          <w:szCs w:val="18"/>
          <w:color w:val="auto"/>
        </w:rPr>
        <w:t>The following table reflects pro-forma Adjusted Earnings per share and growth in pro-forma Adjusted Earnings per share, assuming weighted average shares outstanding on a fully diluted basis as of June 30, 2011 were also outstanding as of June 30, 2010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For the Three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For the Six</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421"/>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421"/>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Earnings</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58,807</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46,418</w:t>
            </w:r>
          </w:p>
        </w:tc>
        <w:tc>
          <w:tcPr>
            <w:tcW w:w="10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118,180</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87,517</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 diluted as of</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200"/>
              <w:spacing w:after="0" w:line="203" w:lineRule="exact"/>
              <w:rPr>
                <w:sz w:val="20"/>
                <w:szCs w:val="20"/>
                <w:color w:val="auto"/>
              </w:rPr>
            </w:pPr>
            <w:r>
              <w:rPr>
                <w:rFonts w:ascii="Arial" w:cs="Arial" w:eastAsia="Arial" w:hAnsi="Arial"/>
                <w:sz w:val="18"/>
                <w:szCs w:val="18"/>
                <w:color w:val="auto"/>
              </w:rPr>
              <w:t>June 30, 2011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113,150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113,150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113,155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113,155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Pro-forma Adjusted Earnings per share</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0.52</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26.8%</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122" w:lineRule="exact"/>
        <w:rPr>
          <w:sz w:val="20"/>
          <w:szCs w:val="20"/>
          <w:color w:val="auto"/>
        </w:rPr>
      </w:pPr>
    </w:p>
    <w:p>
      <w:pPr>
        <w:ind w:right="460" w:firstLine="250"/>
        <w:spacing w:after="0" w:line="239" w:lineRule="auto"/>
        <w:rPr>
          <w:sz w:val="20"/>
          <w:szCs w:val="20"/>
          <w:color w:val="auto"/>
        </w:rPr>
      </w:pPr>
      <w:r>
        <w:rPr>
          <w:rFonts w:ascii="Arial" w:cs="Arial" w:eastAsia="Arial" w:hAnsi="Arial"/>
          <w:sz w:val="18"/>
          <w:szCs w:val="18"/>
          <w:color w:val="auto"/>
        </w:rPr>
        <w:t>On July 14, 2010, we announced a definitive agreement to acquire certain assets of National Retirement Partners, Inc. (“NRP”). NRP’s advisors offer products and services to retirement plan sponsors and participants and comprehensive financial services to high net worth individuals. This strategic acquisition will further enhance our capabilities and presence in the group retirement plan space. Our existing advisors will benefit from growth opportunities, as well as IRA rollovers and other retirement related services and solutions.</w:t>
      </w:r>
    </w:p>
    <w:p>
      <w:pPr>
        <w:spacing w:after="0" w:line="94" w:lineRule="exact"/>
        <w:rPr>
          <w:sz w:val="20"/>
          <w:szCs w:val="20"/>
          <w:color w:val="auto"/>
        </w:rPr>
      </w:pPr>
    </w:p>
    <w:p>
      <w:pPr>
        <w:ind w:right="260" w:firstLine="247"/>
        <w:spacing w:after="0"/>
        <w:rPr>
          <w:sz w:val="20"/>
          <w:szCs w:val="20"/>
          <w:color w:val="auto"/>
        </w:rPr>
      </w:pPr>
      <w:r>
        <w:rPr>
          <w:rFonts w:ascii="Arial" w:cs="Arial" w:eastAsia="Arial" w:hAnsi="Arial"/>
          <w:sz w:val="18"/>
          <w:szCs w:val="18"/>
          <w:color w:val="auto"/>
        </w:rPr>
        <w:t>The transaction closed on February 9, 2011, and accordingly 206 advisors previously registered with NRP transferred their securities and advisory licenses and registrations to LPL Financial LLC (“LPL Financial”). These advisors support small and medium sized business with employee retirement solutions, including group annuities and 401(k) plans.</w:t>
      </w:r>
    </w:p>
    <w:p>
      <w:pPr>
        <w:spacing w:after="0" w:line="95" w:lineRule="exact"/>
        <w:rPr>
          <w:sz w:val="20"/>
          <w:szCs w:val="20"/>
          <w:color w:val="auto"/>
        </w:rPr>
      </w:pPr>
    </w:p>
    <w:p>
      <w:pPr>
        <w:jc w:val="both"/>
        <w:ind w:right="80" w:firstLine="250"/>
        <w:spacing w:after="0" w:line="239" w:lineRule="auto"/>
        <w:rPr>
          <w:sz w:val="20"/>
          <w:szCs w:val="20"/>
          <w:color w:val="auto"/>
        </w:rPr>
      </w:pPr>
      <w:r>
        <w:rPr>
          <w:rFonts w:ascii="Arial" w:cs="Arial" w:eastAsia="Arial" w:hAnsi="Arial"/>
          <w:sz w:val="18"/>
          <w:szCs w:val="18"/>
          <w:color w:val="auto"/>
        </w:rPr>
        <w:t>We paid $ 17.2 million at the closing of the transaction, and $3.7 million of additional funds remain in an escrow account to be paid to former shareholders of NRP pursuant to the terms of the asset purchase agreement. Additionally, we may be required to pay future consideration that is contingent upon the achievement of certain revenue-based milestones in the third year after acquisition. Including the provisional contingent consideration, the total consideration for the acquisition was approximately $24.2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122"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On April 20, 2011, we announced our intent to acquire all of the outstanding common stock of Concord Capital Partners (“Concord Wealth Management”) and certain of its subsidiaries. Concord Wealth Management is an industry leader in providing technology and open architecture investment management solutions for trust departments of financial institutions. Through this acquisition, we will have the ability to support both the brokerage and trust business lines of current and prospective financial institutions. The acquisition will also create new expansion opportunities such as giving us the ability to custody personal trust assets within banks across the country.</w:t>
      </w:r>
    </w:p>
    <w:p>
      <w:pPr>
        <w:spacing w:after="0" w:line="95" w:lineRule="exact"/>
        <w:rPr>
          <w:sz w:val="20"/>
          <w:szCs w:val="20"/>
          <w:color w:val="auto"/>
        </w:rPr>
      </w:pPr>
    </w:p>
    <w:p>
      <w:pPr>
        <w:ind w:right="120" w:firstLine="250"/>
        <w:spacing w:after="0"/>
        <w:rPr>
          <w:sz w:val="20"/>
          <w:szCs w:val="20"/>
          <w:color w:val="auto"/>
        </w:rPr>
      </w:pPr>
      <w:r>
        <w:rPr>
          <w:rFonts w:ascii="Arial" w:cs="Arial" w:eastAsia="Arial" w:hAnsi="Arial"/>
          <w:sz w:val="18"/>
          <w:szCs w:val="18"/>
          <w:color w:val="auto"/>
        </w:rPr>
        <w:t>On June 22, 2011, the transaction closed. We paid $ 20.0 million at the closing of the transaction. As of June 30, 2011, $2.3 million remains in an escrow account to be paid to former shareholders of Concord Wealth Management in accordance with the terms of the stock purchase agreement.</w:t>
      </w:r>
    </w:p>
    <w:p>
      <w:pPr>
        <w:spacing w:after="0" w:line="95" w:lineRule="exact"/>
        <w:rPr>
          <w:sz w:val="20"/>
          <w:szCs w:val="20"/>
          <w:color w:val="auto"/>
        </w:rPr>
      </w:pPr>
    </w:p>
    <w:p>
      <w:pPr>
        <w:ind w:right="240" w:firstLine="250"/>
        <w:spacing w:after="0" w:line="238" w:lineRule="auto"/>
        <w:rPr>
          <w:sz w:val="20"/>
          <w:szCs w:val="20"/>
          <w:color w:val="auto"/>
        </w:rPr>
      </w:pPr>
      <w:r>
        <w:rPr>
          <w:rFonts w:ascii="Arial" w:cs="Arial" w:eastAsia="Arial" w:hAnsi="Arial"/>
          <w:sz w:val="18"/>
          <w:szCs w:val="18"/>
          <w:color w:val="auto"/>
        </w:rPr>
        <w:t>We may be required to pay future consideration that is contingent upon the achievement of certain gross margin-based milestones for the year ended December 31, 2013. The maximum amount of contingent consideration is $15.0 million. We estimate the total fair value of the contingent consideration as $11.5 million at the acquisition date, which has been recorded within accounts payable and accrued liabilities on the unaudited condensed consolidated statements of financial condition. Including the provisional contingent consideration, the total consideration for the acquisition was approximately $33.8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122" w:lineRule="exact"/>
        <w:rPr>
          <w:sz w:val="20"/>
          <w:szCs w:val="20"/>
          <w:color w:val="auto"/>
        </w:rPr>
      </w:pPr>
    </w:p>
    <w:p>
      <w:pPr>
        <w:ind w:right="540" w:firstLine="250"/>
        <w:spacing w:after="0" w:line="246"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includes the consolidation the operations of our subsidiary, UVEST with those of LPL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Financial. In connection with the consolidation of UVEST, certain registered representatives currently associated with UVEST will move to LPL Financial through a transfer of their licenses. The transfers are expected to be completed in stages, with the first stage expected to commence in the third quarter of 2011, and the final stage to be completed by December 2011. Following the transfer of registered representatives and client accounts to LPL Financial, all registered representatives and client accounts that transferred shall then be associated with LPL Financial. In addition, UVEST will terminate its clearing relationship with a third-party clearing firm.</w:t>
      </w:r>
    </w:p>
    <w:p>
      <w:pPr>
        <w:spacing w:after="0" w:line="95" w:lineRule="exact"/>
        <w:rPr>
          <w:sz w:val="20"/>
          <w:szCs w:val="20"/>
          <w:color w:val="auto"/>
        </w:rPr>
      </w:pPr>
    </w:p>
    <w:p>
      <w:pPr>
        <w:ind w:right="100" w:firstLine="250"/>
        <w:spacing w:after="0" w:line="239" w:lineRule="auto"/>
        <w:rPr>
          <w:sz w:val="20"/>
          <w:szCs w:val="20"/>
          <w:color w:val="auto"/>
        </w:rPr>
      </w:pPr>
      <w:r>
        <w:rPr>
          <w:rFonts w:ascii="Arial" w:cs="Arial" w:eastAsia="Arial" w:hAnsi="Arial"/>
          <w:sz w:val="18"/>
          <w:szCs w:val="18"/>
          <w:color w:val="auto"/>
        </w:rPr>
        <w:t>We anticipate recording pre-tax expenditures of $52.7 million over the course of the restructuring plan, including a non-cash impairment charge of $5.6 million. These expenditures are comprised of estimated costs of $28.7 million relating to the conversion and transfer of registered representatives and client accounts from UVEST to LPL Financial (including $14.2 million in technology expenditures), $11.4 million of contract termination fees and $7.0 million of advisor retention and related benefits.</w:t>
      </w:r>
    </w:p>
    <w:p>
      <w:pPr>
        <w:spacing w:after="0" w:line="94" w:lineRule="exact"/>
        <w:rPr>
          <w:sz w:val="20"/>
          <w:szCs w:val="20"/>
          <w:color w:val="auto"/>
        </w:rPr>
      </w:pPr>
    </w:p>
    <w:p>
      <w:pPr>
        <w:ind w:right="200" w:firstLine="250"/>
        <w:spacing w:after="0" w:line="239" w:lineRule="auto"/>
        <w:rPr>
          <w:sz w:val="20"/>
          <w:szCs w:val="20"/>
          <w:color w:val="auto"/>
        </w:rPr>
      </w:pPr>
      <w:r>
        <w:rPr>
          <w:rFonts w:ascii="Arial" w:cs="Arial" w:eastAsia="Arial" w:hAnsi="Arial"/>
          <w:sz w:val="18"/>
          <w:szCs w:val="18"/>
          <w:color w:val="auto"/>
        </w:rPr>
        <w:t>During the second quarter ended June 30, 2011, and in conjunction with the corporate restructuring plan to consolidate UVEST, certain institutional relationships were determined to have no future economic benefit. Accordingly, we have recorded an intangible asset impairment charge of $1.7 million. The impairment was determined based upon the attrition of institutions and their related revenue streams during the period of consolidation.</w:t>
      </w:r>
    </w:p>
    <w:p>
      <w:pPr>
        <w:spacing w:after="0" w:line="94" w:lineRule="exact"/>
        <w:rPr>
          <w:sz w:val="20"/>
          <w:szCs w:val="20"/>
          <w:color w:val="auto"/>
        </w:rPr>
      </w:pPr>
    </w:p>
    <w:p>
      <w:pPr>
        <w:ind w:right="80" w:firstLine="247"/>
        <w:spacing w:after="0"/>
        <w:rPr>
          <w:sz w:val="20"/>
          <w:szCs w:val="20"/>
          <w:color w:val="auto"/>
        </w:rPr>
      </w:pPr>
      <w:r>
        <w:rPr>
          <w:rFonts w:ascii="Arial" w:cs="Arial" w:eastAsia="Arial" w:hAnsi="Arial"/>
          <w:sz w:val="18"/>
          <w:szCs w:val="18"/>
          <w:color w:val="auto"/>
        </w:rPr>
        <w:t>These restructuring activities are expected to be completed by the end of 2011. We expect this restructuring will improve pre-tax profitability by approximately $10 million to $12 million per year upon the completion of integration activities by creating operational efficiencies and revenue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26"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steady recovery of the equity markets, from the market lows that occurred in March of 2009, progressed through its third year during the first half of 2011. This improvement is reflected in the daily S&amp;P 500, which averaged 1,311 during the first six months of 2011, 16.1% above the daily average of 1,129 in the comparable prior year period; however, significant uncertainty about the sustainability of growth remains with overall employment levels low and housing prices unsteady. While the general direction of the equity markets has been up for the last two years, the markets have experienced brief and sharp contractions during this time in response to uncertainties arising from global economic and political developments.</w:t>
      </w:r>
    </w:p>
    <w:p>
      <w:pPr>
        <w:spacing w:after="0" w:line="97" w:lineRule="exact"/>
        <w:rPr>
          <w:sz w:val="20"/>
          <w:szCs w:val="20"/>
          <w:color w:val="auto"/>
        </w:rPr>
      </w:pPr>
    </w:p>
    <w:p>
      <w:pPr>
        <w:ind w:right="20" w:firstLine="247"/>
        <w:spacing w:after="0" w:line="238" w:lineRule="auto"/>
        <w:rPr>
          <w:sz w:val="20"/>
          <w:szCs w:val="20"/>
          <w:color w:val="auto"/>
        </w:rPr>
      </w:pPr>
      <w:r>
        <w:rPr>
          <w:rFonts w:ascii="Arial" w:cs="Arial" w:eastAsia="Arial" w:hAnsi="Arial"/>
          <w:sz w:val="18"/>
          <w:szCs w:val="18"/>
          <w:color w:val="auto"/>
        </w:rPr>
        <w:t>The second quarter of 2011 proved to be quite volatile for the equity markets reflected by the S&amp;P 500 reaching a high in late April before turning downward, dropping 7.2% by mid-June, and then recovering with a 4.4% increase in the last few days of the quarter. For the second quarter ended June 30, 2011, the S&amp;P closed at 1,321 compared to 1,031 for the prior year period. These fluctuations are influenced by a number of factors: international debt crises, our national debt ceiling debate, strong initial public offerings, high unemployment rates, and strong cash positions among other factors.</w:t>
      </w:r>
    </w:p>
    <w:p>
      <w:pPr>
        <w:spacing w:after="0" w:line="95" w:lineRule="exact"/>
        <w:rPr>
          <w:sz w:val="20"/>
          <w:szCs w:val="20"/>
          <w:color w:val="auto"/>
        </w:rPr>
      </w:pPr>
    </w:p>
    <w:p>
      <w:pPr>
        <w:ind w:right="60" w:firstLine="250"/>
        <w:spacing w:after="0" w:line="238" w:lineRule="auto"/>
        <w:rPr>
          <w:sz w:val="20"/>
          <w:szCs w:val="20"/>
          <w:color w:val="auto"/>
        </w:rPr>
      </w:pPr>
      <w:r>
        <w:rPr>
          <w:rFonts w:ascii="Arial" w:cs="Arial" w:eastAsia="Arial" w:hAnsi="Arial"/>
          <w:sz w:val="18"/>
          <w:szCs w:val="18"/>
          <w:color w:val="auto"/>
        </w:rPr>
        <w:t>In response to the market turbulence and overall economic environment, the central banks, including the Federal Reserve, have maintained historically low interest rates. The average effective rate for federal funds was 0.09% in the second quarter of 2011, a decrease from the average of 0.19% for the second quarter of 2010. During the second quarter of 2011, the quantitative easing program introduced by the Federal Reserve resulted in a decline in the average effective rate on a sequential quarter basis of 6 basis points. The low interest rate environment negatively impacts our revenues from client assets in our cash sweep programs.</w:t>
      </w:r>
    </w:p>
    <w:p>
      <w:pPr>
        <w:spacing w:after="0" w:line="95" w:lineRule="exact"/>
        <w:rPr>
          <w:sz w:val="20"/>
          <w:szCs w:val="20"/>
          <w:color w:val="auto"/>
        </w:rPr>
      </w:pPr>
    </w:p>
    <w:p>
      <w:pPr>
        <w:ind w:right="20" w:firstLine="240"/>
        <w:spacing w:after="0" w:line="237" w:lineRule="auto"/>
        <w:rPr>
          <w:sz w:val="20"/>
          <w:szCs w:val="20"/>
          <w:color w:val="auto"/>
        </w:rPr>
      </w:pPr>
      <w:r>
        <w:rPr>
          <w:rFonts w:ascii="Arial" w:cs="Arial" w:eastAsia="Arial" w:hAnsi="Arial"/>
          <w:sz w:val="18"/>
          <w:szCs w:val="18"/>
          <w:color w:val="auto"/>
        </w:rPr>
        <w:t>As a result of the uncertainties in the market and weak investor confidence following the 2008-2009 crash, our revenues from sales of investment products and from transactions have been slowly recovering to their pre-crash levels. Our results for the second quarter and first six months of 2011 reflect the sustained expansions of investment activities and volumes since early in 2008. This re-engagement of investors is reflected, in part, in our commission revenues, which reached $ 459.9 million in the second quarter, surpassing our previous quarterly high of $451.9 million set during the first quarter. Advisory fees also hit a record high of $264.3 million for the second quarter of 2011, compared to a previous high of $244.1 million in the first quarter of 2011.</w:t>
      </w:r>
    </w:p>
    <w:p>
      <w:pPr>
        <w:spacing w:after="0" w:line="97" w:lineRule="exact"/>
        <w:rPr>
          <w:sz w:val="20"/>
          <w:szCs w:val="20"/>
          <w:color w:val="auto"/>
        </w:rPr>
      </w:pPr>
    </w:p>
    <w:p>
      <w:pPr>
        <w:ind w:right="140" w:firstLine="250"/>
        <w:spacing w:after="0" w:line="246" w:lineRule="auto"/>
        <w:rPr>
          <w:sz w:val="20"/>
          <w:szCs w:val="20"/>
          <w:color w:val="auto"/>
        </w:rPr>
      </w:pPr>
      <w:r>
        <w:rPr>
          <w:rFonts w:ascii="Arial" w:cs="Arial" w:eastAsia="Arial" w:hAnsi="Arial"/>
          <w:sz w:val="18"/>
          <w:szCs w:val="18"/>
          <w:color w:val="auto"/>
        </w:rPr>
        <w:t>While our business has improved as a result of the more favorable environment, our outlook remains cautiously optimistic and we continue to attempt to mitigate the impact of financial market events on our earnings with a strategic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focus on attractive growth opportunities such as business development from attracting new advisors and through expense management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right="140" w:firstLine="247"/>
        <w:spacing w:after="0"/>
        <w:rPr>
          <w:sz w:val="20"/>
          <w:szCs w:val="20"/>
          <w:color w:val="auto"/>
        </w:rPr>
      </w:pPr>
      <w:r>
        <w:rPr>
          <w:rFonts w:ascii="Arial" w:cs="Arial" w:eastAsia="Arial" w:hAnsi="Arial"/>
          <w:sz w:val="18"/>
          <w:szCs w:val="18"/>
          <w:color w:val="auto"/>
        </w:rPr>
        <w:t>The following discussion presents an analysis of our results of operations for the three and six months ended June 30, 2011 and 2010. Where appropriate, we have identified specific events and changes that affect comparability or trends, and where possible and practical, have quantified the impact of such items.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w:t>
            </w:r>
          </w:p>
        </w:tc>
        <w:tc>
          <w:tcPr>
            <w:tcW w:w="1180" w:type="dxa"/>
            <w:vAlign w:val="bottom"/>
            <w:gridSpan w:val="3"/>
          </w:tcPr>
          <w:p>
            <w:pPr>
              <w:jc w:val="right"/>
              <w:ind w:right="471"/>
              <w:spacing w:after="0" w:line="155" w:lineRule="exact"/>
              <w:rPr>
                <w:sz w:val="20"/>
                <w:szCs w:val="20"/>
                <w:color w:val="auto"/>
              </w:rPr>
            </w:pPr>
            <w:r>
              <w:rPr>
                <w:rFonts w:ascii="Arial" w:cs="Arial" w:eastAsia="Arial" w:hAnsi="Arial"/>
                <w:sz w:val="14"/>
                <w:szCs w:val="14"/>
                <w:b w:val="1"/>
                <w:bCs w:val="1"/>
                <w:color w:val="auto"/>
                <w:w w:val="79"/>
              </w:rPr>
              <w:t>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(In</w:t>
            </w:r>
          </w:p>
        </w:tc>
        <w:tc>
          <w:tcPr>
            <w:tcW w:w="1240" w:type="dxa"/>
            <w:vAlign w:val="bottom"/>
            <w:gridSpan w:val="4"/>
          </w:tcPr>
          <w:p>
            <w:pPr>
              <w:jc w:val="right"/>
              <w:ind w:right="491"/>
              <w:spacing w:after="0" w:line="155" w:lineRule="exact"/>
              <w:rPr>
                <w:sz w:val="20"/>
                <w:szCs w:val="20"/>
                <w:color w:val="auto"/>
              </w:rPr>
            </w:pPr>
            <w:r>
              <w:rPr>
                <w:rFonts w:ascii="Arial" w:cs="Arial" w:eastAsia="Arial" w:hAnsi="Arial"/>
                <w:sz w:val="14"/>
                <w:szCs w:val="14"/>
                <w:b w:val="1"/>
                <w:bCs w:val="1"/>
                <w:color w:val="auto"/>
                <w:w w:val="84"/>
              </w:rPr>
              <w:t>thousands)</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Commissions</w:t>
            </w: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459,882</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420,169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9.5 %</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911,759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809,141</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Advisory fees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264,289</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215,146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508,376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421,476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Asset-based fees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90,504</w:t>
            </w: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77,436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16.9 %</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180,327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148,886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and other fees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68,755</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68,132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142,504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135,495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10,566</w:t>
            </w: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9,278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13.9 %</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24,899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18,569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revenues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893,996</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790,161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w w:val="99"/>
              </w:rPr>
              <w:t>1,767,865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1,533,567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634,088</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556,538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w w:val="99"/>
              </w:rPr>
              <w:t>1,238,415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1,069,740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Compensation and benefits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81,410</w:t>
            </w: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74,822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8.8 %</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165,552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148,397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58,168</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54,550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122,450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107,787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18,407</w:t>
            </w: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22,110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36,572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47,700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4,814</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4,622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5,351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8,571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3,476</w:t>
            </w: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3,229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7.6 %</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6,162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8,030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operating expenses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800,363</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715,871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11.8 %</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w w:val="99"/>
              </w:rPr>
              <w:t>1,574,502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1,390,225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8"/>
                <w:szCs w:val="18"/>
                <w:color w:val="auto"/>
              </w:rPr>
              <w:t>Non-operating 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18,154</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27,683</w:t>
            </w: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rPr>
              <w:t>36,326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52,019</w:t>
            </w: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debt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37,979</w:t>
            </w:r>
          </w:p>
        </w:tc>
        <w:tc>
          <w:tcPr>
            <w:tcW w:w="84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37,979</w:t>
            </w: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818,517</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781,533</w:t>
            </w:r>
          </w:p>
        </w:tc>
        <w:tc>
          <w:tcPr>
            <w:tcW w:w="840" w:type="dxa"/>
            <w:vAlign w:val="bottom"/>
          </w:tcPr>
          <w:p>
            <w:pPr>
              <w:jc w:val="right"/>
              <w:spacing w:after="0"/>
              <w:rPr>
                <w:sz w:val="20"/>
                <w:szCs w:val="20"/>
                <w:color w:val="auto"/>
              </w:rPr>
            </w:pPr>
            <w:r>
              <w:rPr>
                <w:rFonts w:ascii="Arial" w:cs="Arial" w:eastAsia="Arial" w:hAnsi="Arial"/>
                <w:sz w:val="18"/>
                <w:szCs w:val="18"/>
                <w:color w:val="auto"/>
              </w:rPr>
              <w:t>4.7 %</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1,610,828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1,480,223</w:t>
            </w:r>
          </w:p>
        </w:tc>
        <w:tc>
          <w:tcPr>
            <w:tcW w:w="90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before provision for income taxes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8"/>
              <w:spacing w:after="0" w:line="196" w:lineRule="exact"/>
              <w:rPr>
                <w:sz w:val="20"/>
                <w:szCs w:val="20"/>
                <w:color w:val="auto"/>
              </w:rPr>
            </w:pPr>
            <w:r>
              <w:rPr>
                <w:rFonts w:ascii="Arial" w:cs="Arial" w:eastAsia="Arial" w:hAnsi="Arial"/>
                <w:sz w:val="18"/>
                <w:szCs w:val="18"/>
                <w:color w:val="auto"/>
              </w:rPr>
              <w:t>75,479</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8,628</w:t>
            </w:r>
          </w:p>
        </w:tc>
        <w:tc>
          <w:tcPr>
            <w:tcW w:w="840" w:type="dxa"/>
            <w:vAlign w:val="bottom"/>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157,037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53,344</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29,972</w:t>
            </w: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628</w:t>
            </w:r>
          </w:p>
        </w:tc>
        <w:tc>
          <w:tcPr>
            <w:tcW w:w="84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62,531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19,790</w:t>
            </w: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45,507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8,000</w:t>
            </w:r>
          </w:p>
        </w:tc>
        <w:tc>
          <w:tcPr>
            <w:tcW w:w="84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94,506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33,554</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122" w:lineRule="exact"/>
        <w:rPr>
          <w:sz w:val="20"/>
          <w:szCs w:val="20"/>
          <w:color w:val="auto"/>
        </w:rPr>
      </w:pPr>
    </w:p>
    <w:p>
      <w:pPr>
        <w:ind w:right="40" w:firstLine="247"/>
        <w:spacing w:after="0" w:line="246"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operations for the three months ended June 30, 2011 and 2010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 Total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 Total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Variable annuities</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201,496</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43.8%</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172,755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41.1%</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28,741</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16.6 %</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130,933</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117,254</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13,679</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11.7 %</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annuities</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36,703</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39,202</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(2,499)</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Alternative investments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26,467</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26,179</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288</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24,466</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25,034</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(568)</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Fixed income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22,019</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20,943</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1,076</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5.1 %</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16,945</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18,216</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(1,271)</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267</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45.6 %</w:t>
            </w: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Total commission revenue</w:t>
            </w: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459,882</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420,169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39,713</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9.5 %</w:t>
            </w:r>
          </w:p>
        </w:tc>
      </w:tr>
      <w:tr>
        <w:trPr>
          <w:trHeight w:val="20"/>
        </w:trPr>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80" w:firstLine="250"/>
        <w:spacing w:after="0" w:line="239" w:lineRule="auto"/>
        <w:rPr>
          <w:sz w:val="20"/>
          <w:szCs w:val="20"/>
          <w:color w:val="auto"/>
        </w:rPr>
      </w:pPr>
      <w:r>
        <w:rPr>
          <w:rFonts w:ascii="Arial" w:cs="Arial" w:eastAsia="Arial" w:hAnsi="Arial"/>
          <w:sz w:val="18"/>
          <w:szCs w:val="18"/>
          <w:color w:val="auto"/>
        </w:rPr>
        <w:t>Commission revenue increased by $ 39.7 million, or 9.5%, for the three months ended June 30, 2011 compared with 2010. The increase reflects improving investor sentiment as retail investors increasingly invested in bundled solutions such as variable annuities and alternative investments. Mutual fund commission-based products were bolstered by increasing levels of trail-based commission due to historical growth and market appreciation. Partially offsetting this trend,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fixed annuities experienced a decline as fixed annuity interest rates declined. Additionally, insurance commissions declined as term life insurance experienced reduced sales industry-wide.</w:t>
      </w:r>
    </w:p>
    <w:p>
      <w:pPr>
        <w:spacing w:after="0" w:line="170" w:lineRule="exact"/>
        <w:rPr>
          <w:sz w:val="20"/>
          <w:szCs w:val="20"/>
          <w:color w:val="auto"/>
        </w:rPr>
      </w:pPr>
    </w:p>
    <w:p>
      <w:pPr>
        <w:ind w:right="40" w:firstLine="247"/>
        <w:spacing w:after="0" w:line="246"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operations for the six months ended June 30, 2011 and 2010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 Total</w:t>
            </w:r>
          </w:p>
        </w:tc>
        <w:tc>
          <w:tcPr>
            <w:tcW w:w="420" w:type="dxa"/>
            <w:vAlign w:val="bottom"/>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 Total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Variable annuities</w:t>
            </w:r>
          </w:p>
        </w:tc>
        <w:tc>
          <w:tcPr>
            <w:tcW w:w="2420" w:type="dxa"/>
            <w:vAlign w:val="bottom"/>
            <w:gridSpan w:val="3"/>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$ 396,573</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43.5%</w:t>
            </w:r>
          </w:p>
        </w:tc>
        <w:tc>
          <w:tcPr>
            <w:tcW w:w="1560" w:type="dxa"/>
            <w:vAlign w:val="bottom"/>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$ 328,447</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40.6%</w:t>
            </w:r>
          </w:p>
        </w:tc>
        <w:tc>
          <w:tcPr>
            <w:tcW w:w="3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68,126</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20.7 %</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24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249,090</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c>
          <w:tcPr>
            <w:tcW w:w="15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232,255</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16,835</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7.2 %</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annuities</w:t>
            </w:r>
          </w:p>
        </w:tc>
        <w:tc>
          <w:tcPr>
            <w:tcW w:w="24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79,454</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5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73,090</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6,364</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8.7 %</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Alternative investments</w:t>
            </w:r>
          </w:p>
        </w:tc>
        <w:tc>
          <w:tcPr>
            <w:tcW w:w="24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54,443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15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46,197</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8,246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17.8 %</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24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52,302</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5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49,140</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3,162</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6.4 %</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Fixed income</w:t>
            </w:r>
          </w:p>
        </w:tc>
        <w:tc>
          <w:tcPr>
            <w:tcW w:w="24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45,502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15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41,955</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3,547</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8.5 %</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4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32,886</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5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36,894</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(4,008)</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5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15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1,163</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29.8 %</w:t>
            </w:r>
          </w:p>
        </w:tc>
      </w:tr>
      <w:tr>
        <w:trPr>
          <w:trHeight w:val="27"/>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3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Total commission revenue</w:t>
            </w: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$ 911,759</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5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$ 809,141</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102,618</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12.7 %</w:t>
            </w:r>
          </w:p>
        </w:tc>
      </w:tr>
      <w:tr>
        <w:trPr>
          <w:trHeight w:val="20"/>
        </w:trPr>
        <w:tc>
          <w:tcPr>
            <w:tcW w:w="3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80" w:firstLine="250"/>
        <w:spacing w:after="0" w:line="238" w:lineRule="auto"/>
        <w:rPr>
          <w:sz w:val="20"/>
          <w:szCs w:val="20"/>
          <w:color w:val="auto"/>
        </w:rPr>
      </w:pPr>
      <w:r>
        <w:rPr>
          <w:rFonts w:ascii="Arial" w:cs="Arial" w:eastAsia="Arial" w:hAnsi="Arial"/>
          <w:sz w:val="18"/>
          <w:szCs w:val="18"/>
          <w:color w:val="auto"/>
        </w:rPr>
        <w:t>Commission revenue increased by $102.6 million, or 12.7%, for the six months ended June 30, 2011 compared with 2010. Growth in annuities commission-based products supported by substantial increases in commissions earned on sales of variable annuities and in trail-based commissions for annuities and mutual funds were the primary factors for the increase. The increase in alternative investments is reflective of improved investor confidence and preferences for diversification. Insurance commissions declined as term life insurance experienced reduced sales industry-wide.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Fees</w:t>
      </w:r>
    </w:p>
    <w:p>
      <w:pPr>
        <w:spacing w:after="0" w:line="203" w:lineRule="exact"/>
        <w:rPr>
          <w:sz w:val="20"/>
          <w:szCs w:val="20"/>
          <w:color w:val="auto"/>
        </w:rPr>
      </w:pPr>
    </w:p>
    <w:p>
      <w:pPr>
        <w:ind w:firstLine="240"/>
        <w:spacing w:after="0" w:line="237" w:lineRule="auto"/>
        <w:rPr>
          <w:sz w:val="20"/>
          <w:szCs w:val="20"/>
          <w:color w:val="auto"/>
        </w:rPr>
      </w:pPr>
      <w:r>
        <w:rPr>
          <w:rFonts w:ascii="Arial" w:cs="Arial" w:eastAsia="Arial" w:hAnsi="Arial"/>
          <w:sz w:val="18"/>
          <w:szCs w:val="18"/>
          <w:color w:val="auto"/>
        </w:rPr>
        <w:t>Advisory fees increased by $49.1 million, or 22.8%, to $264.3 million for the three months ended June 30, 2011 compared with 2010. Advisory revenue is predominately driven by the prior quarter-end advisory assets under management, which increased 23.1% from March 31, 2010 to March 31, 2011. The increase was primarily due to net new advisory assets of $10.9 billion over this period as a result of strong new business development and a shift by our existing advisors toward more advisory business. This trend continued with an additional $3.1 billion in net new advisory assets this quarter, driving additional revenue growth. The remaining advisory asset growth was driven by its correlation to market growth, as represented by the S&amp;P 500 index growing 13.4% from 1,169 as of March 31, 2010 to 1,326 on March 31, 2011.</w:t>
      </w:r>
    </w:p>
    <w:p>
      <w:pPr>
        <w:spacing w:after="0" w:line="165" w:lineRule="exact"/>
        <w:rPr>
          <w:sz w:val="20"/>
          <w:szCs w:val="20"/>
          <w:color w:val="auto"/>
        </w:rPr>
      </w:pPr>
    </w:p>
    <w:p>
      <w:pPr>
        <w:ind w:right="800" w:firstLine="240"/>
        <w:spacing w:after="0" w:line="246" w:lineRule="auto"/>
        <w:rPr>
          <w:sz w:val="20"/>
          <w:szCs w:val="20"/>
          <w:color w:val="auto"/>
        </w:rPr>
      </w:pPr>
      <w:r>
        <w:rPr>
          <w:rFonts w:ascii="Arial" w:cs="Arial" w:eastAsia="Arial" w:hAnsi="Arial"/>
          <w:sz w:val="18"/>
          <w:szCs w:val="18"/>
          <w:color w:val="auto"/>
        </w:rPr>
        <w:t>Advisory fees increased by $ 86.9 million, or 20.6%, for the six months ended June 30, 2011 compared with 2010. This growth was supported by the same net new advisory asset flows and market appreciation that impacted our quarterly performance.</w:t>
      </w:r>
    </w:p>
    <w:p>
      <w:pPr>
        <w:spacing w:after="0" w:line="156" w:lineRule="exact"/>
        <w:rPr>
          <w:sz w:val="20"/>
          <w:szCs w:val="20"/>
          <w:color w:val="auto"/>
        </w:rPr>
      </w:pPr>
    </w:p>
    <w:p>
      <w:pPr>
        <w:ind w:right="440" w:firstLine="247"/>
        <w:spacing w:after="0" w:line="246" w:lineRule="auto"/>
        <w:rPr>
          <w:sz w:val="20"/>
          <w:szCs w:val="20"/>
          <w:color w:val="auto"/>
        </w:rPr>
      </w:pPr>
      <w:r>
        <w:rPr>
          <w:rFonts w:ascii="Arial" w:cs="Arial" w:eastAsia="Arial" w:hAnsi="Arial"/>
          <w:sz w:val="18"/>
          <w:szCs w:val="18"/>
          <w:color w:val="auto"/>
        </w:rPr>
        <w:t>The following table summarizes the activity within our advisory assets under management for the three and six months ended June 30, 2011 and 2010 (in billions):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For the Three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rPr>
              <w:t>For the Six</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Months Ended</w:t>
            </w:r>
          </w:p>
        </w:tc>
      </w:tr>
      <w:tr>
        <w:trPr>
          <w:trHeight w:val="175"/>
        </w:trPr>
        <w:tc>
          <w:tcPr>
            <w:tcW w:w="7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3"/>
                <w:szCs w:val="13"/>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period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99.7</w:t>
            </w:r>
          </w:p>
        </w:tc>
        <w:tc>
          <w:tcPr>
            <w:tcW w:w="140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$ 81.0</w:t>
            </w:r>
          </w:p>
        </w:tc>
        <w:tc>
          <w:tcPr>
            <w:tcW w:w="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93.0</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$ 77.2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Net new advisory assets</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4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6.8</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 impacts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3.4</w:t>
            </w: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r>
      <w:tr>
        <w:trPr>
          <w:trHeight w:val="20"/>
        </w:trPr>
        <w:tc>
          <w:tcPr>
            <w:tcW w:w="7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103.2</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$ 78.9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103.2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$ 78.9</w:t>
            </w:r>
          </w:p>
        </w:tc>
      </w:tr>
      <w:tr>
        <w:trPr>
          <w:trHeight w:val="20"/>
        </w:trPr>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Fees</w:t>
      </w:r>
    </w:p>
    <w:p>
      <w:pPr>
        <w:spacing w:after="0" w:line="189" w:lineRule="exact"/>
        <w:rPr>
          <w:sz w:val="20"/>
          <w:szCs w:val="20"/>
          <w:color w:val="auto"/>
        </w:rPr>
      </w:pPr>
    </w:p>
    <w:p>
      <w:pPr>
        <w:ind w:right="180" w:firstLine="240"/>
        <w:spacing w:after="0" w:line="236" w:lineRule="auto"/>
        <w:rPr>
          <w:sz w:val="20"/>
          <w:szCs w:val="20"/>
          <w:color w:val="auto"/>
        </w:rPr>
      </w:pPr>
      <w:r>
        <w:rPr>
          <w:rFonts w:ascii="Arial" w:cs="Arial" w:eastAsia="Arial" w:hAnsi="Arial"/>
          <w:sz w:val="18"/>
          <w:szCs w:val="18"/>
          <w:color w:val="auto"/>
        </w:rPr>
        <w:t>Asset-based fees increased by $13.1 million, or 16.9%, for the three months ended June 30, 2011 compared with 2010. Revenues from product sponsors and for record-keeping services, which are largely based on the underlying asset values, increased due to the impact of the market’s recovery on the value of those underlying assets and net new sales of eligible assets. The average S&amp;P 500 index for the three months ended June 30, 2011 was 1,318, an increase of 16.2% over the average for the three months ended June 30, 2010. In addition, revenues from our cash sweep programs increased by $ 0.3 million, or 1.0%, to $29.8 million for the three months ended June 30, 2011 from $29.5 million for the three months ended June 30, 2010. This was driven by an increase in the assets in our cash sweep programs, which averaged $19.5 billion and $18.6 billion for the three months ended June 30, 2011 and 2010, respectively, partially offset by a decline in the effective federal funds 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240"/>
        <w:spacing w:after="0" w:line="237" w:lineRule="auto"/>
        <w:rPr>
          <w:sz w:val="20"/>
          <w:szCs w:val="20"/>
          <w:color w:val="auto"/>
        </w:rPr>
      </w:pPr>
      <w:r>
        <w:rPr>
          <w:rFonts w:ascii="Arial" w:cs="Arial" w:eastAsia="Arial" w:hAnsi="Arial"/>
          <w:sz w:val="18"/>
          <w:szCs w:val="18"/>
          <w:color w:val="auto"/>
        </w:rPr>
        <w:t>Asset-based fees increased by $31.4 million, or 21.1%, for the six months ended June 30, 2011 compared with 2010. Revenues from product sponsors and for record-keeping services increased due to the impact of the market’s recovery on the value of those underlying assets and net new sales of eligible assets. The average S&amp;P 500 index for the six months ended June 30, 2011 was 1,311, an increase of 16.1% over the average for the six months ended June 30, 2010. In addition, revenues from our cash sweep programs increased by $5.9 million, or 10.6%, to $61.5 million for the six months ended June 30, 2011 from $55.6 million for the six months ended June 30, 2010. This was driven by an increase in the assets in our cash sweep programs, which averaged $19.2 billion and $18.5 billion for the six months ended June 30, 2011 and 2010,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Fees</w:t>
      </w:r>
    </w:p>
    <w:p>
      <w:pPr>
        <w:spacing w:after="0" w:line="189" w:lineRule="exact"/>
        <w:rPr>
          <w:sz w:val="20"/>
          <w:szCs w:val="20"/>
          <w:color w:val="auto"/>
        </w:rPr>
      </w:pPr>
    </w:p>
    <w:p>
      <w:pPr>
        <w:ind w:firstLine="247"/>
        <w:spacing w:after="0"/>
        <w:rPr>
          <w:sz w:val="20"/>
          <w:szCs w:val="20"/>
          <w:color w:val="auto"/>
        </w:rPr>
      </w:pPr>
      <w:r>
        <w:rPr>
          <w:rFonts w:ascii="Arial" w:cs="Arial" w:eastAsia="Arial" w:hAnsi="Arial"/>
          <w:sz w:val="18"/>
          <w:szCs w:val="18"/>
          <w:color w:val="auto"/>
        </w:rPr>
        <w:t>Transaction and other fees, which include fees from advisors and their client accounts for various processing, technology and account services increased by $0.6 million, or 0.9%, for the three months ended June 30, 2011 compared with 2010. Revenues increased mostly due to increases in fees from advisors for technology and professional liability insurance services.</w:t>
      </w:r>
    </w:p>
    <w:p>
      <w:pPr>
        <w:spacing w:after="0" w:line="162" w:lineRule="exact"/>
        <w:rPr>
          <w:sz w:val="20"/>
          <w:szCs w:val="20"/>
          <w:color w:val="auto"/>
        </w:rPr>
      </w:pPr>
    </w:p>
    <w:p>
      <w:pPr>
        <w:ind w:right="40" w:firstLine="247"/>
        <w:spacing w:after="0"/>
        <w:rPr>
          <w:sz w:val="20"/>
          <w:szCs w:val="20"/>
          <w:color w:val="auto"/>
        </w:rPr>
      </w:pPr>
      <w:r>
        <w:rPr>
          <w:rFonts w:ascii="Arial" w:cs="Arial" w:eastAsia="Arial" w:hAnsi="Arial"/>
          <w:sz w:val="18"/>
          <w:szCs w:val="18"/>
          <w:color w:val="auto"/>
        </w:rPr>
        <w:t>Transaction and other fees increased by $7.0 million, or 5.2%, for the six months ended June 30, 2011 compared with 2010. Transactional revenues increased by $4.3 million due to increased volumes in investment activities and related transactional volumes in mutual fund, general securities, fixed income and advisory products. Other fees also increased due to higher advisor count and client account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9"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Other revenue includes marketing re-allowances from certain product manufacturers, interest income from client margin accounts and cash equivalents, net of operating interest expense and other items. Other revenue increased by $1.3 million, or 13.9%, for the three months ended June 30, 2011 compared with 2010, and $6.3 million, or 34.1%, for the six months ended June 30, 2011 compared to 2010. The increase during the three months ended June 30, 2011 was attributed primarily to unrealized gains on assets held for the advisor deferred commissions non-qualified deferred compensation plan. These assets are marked to market at each interim reporting period. Higher direct investment marketing allowances were received from product sponsor programs during the six months ended June 30, 2011 compared to the same period in 2010, largely based on the market values of the underlying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03" w:lineRule="exact"/>
        <w:rPr>
          <w:sz w:val="20"/>
          <w:szCs w:val="20"/>
          <w:color w:val="auto"/>
        </w:rPr>
      </w:pPr>
    </w:p>
    <w:p>
      <w:pPr>
        <w:ind w:right="220" w:firstLine="250"/>
        <w:spacing w:after="0" w:line="234" w:lineRule="auto"/>
        <w:rPr>
          <w:sz w:val="20"/>
          <w:szCs w:val="20"/>
          <w:color w:val="auto"/>
        </w:rPr>
      </w:pPr>
      <w:r>
        <w:rPr>
          <w:rFonts w:ascii="Arial" w:cs="Arial" w:eastAsia="Arial" w:hAnsi="Arial"/>
          <w:sz w:val="18"/>
          <w:szCs w:val="18"/>
          <w:color w:val="auto"/>
        </w:rPr>
        <w:t>Production expenses increased by $77.6 million, or 13.9%, for the three months ended June 30, 2011 compared with 2010. This increase aligned with our commission and advisory revenues, which increased by 14.0% during the same period. Our production payout averaged</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86.3% for the three months ended June 30, 2011 and 86.1% for the three months ended June 30, 2010. The increase in payout rates from the second quarter of 2010 to the comparable period of 2011 is driven by our annual production bonus incentive structure, which increases throughout the year as our advisors achieve higher production levels. As a result of greater advisor activity year-to-date, advisors are achieving these production bonuses earlier in the year.</w:t>
      </w:r>
    </w:p>
    <w:p>
      <w:pPr>
        <w:spacing w:after="0" w:line="161" w:lineRule="exact"/>
        <w:rPr>
          <w:sz w:val="20"/>
          <w:szCs w:val="20"/>
          <w:color w:val="auto"/>
        </w:rPr>
      </w:pPr>
    </w:p>
    <w:p>
      <w:pPr>
        <w:ind w:right="220" w:firstLine="250"/>
        <w:spacing w:after="0" w:line="238" w:lineRule="auto"/>
        <w:rPr>
          <w:sz w:val="20"/>
          <w:szCs w:val="20"/>
          <w:color w:val="auto"/>
        </w:rPr>
      </w:pPr>
      <w:r>
        <w:rPr>
          <w:rFonts w:ascii="Arial" w:cs="Arial" w:eastAsia="Arial" w:hAnsi="Arial"/>
          <w:sz w:val="18"/>
          <w:szCs w:val="18"/>
          <w:color w:val="auto"/>
        </w:rPr>
        <w:t>Production expenses increased by $168.7 million, or 15.8%, for the six months ended June 30, 2011 compared with 2010. This increase was correlated with our commission and advisory revenues, which increased by 15.4% during the same period. Our production payout averaged 85.9% for the six months ended June 30, 2011 and 85.5% for the six months ended June 30, 2010. Our annual production bonus incentive structure, which increases throughout the year as our advisors achieve higher production levels, is driven by the increase in payout rates from the first half of 2010 to the comparable period of 2011.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03"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Compensation and benefits increased by $6.6 million, or 8.8%, for the three months ended June 30, 2011 compared with 2010. The increase was due to increased staffing to support higher levels of advisor and client activities, an increase in wages and related employee benefits and the recognition of share-based compensation for stock options awarded to employees based on the grant date fair value. Specifically, employee related share-based compensation increased $1.2 million for the three months ended June 30, 2011 compared to 2010, primarily due to vesting of equity grants that were made in December 2010. Our average number of full-time employees increased 6.9% from 2,502 for the three months ended June 30, 2010 to 2,674 for the three months ended June 30, 2011.</w:t>
      </w:r>
    </w:p>
    <w:p>
      <w:pPr>
        <w:spacing w:after="0" w:line="165"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Compensation and benefits increased by $17.2 million, or 11.6%, for the six months ended June 30, 2011 compared with 2010. The increase was due to increased staffing to support higher levels of advisor and client activities, an increase in wages and related employee benefits and the recognition of share-based compensation for stock options awarded to employees based on the grant date fair value. Our average number of full-time employees increased 6.8% from 2,483 for the six months ended June 30, 2010 to 2,651 for the six months ended June 30, 2011. Employee related share-based compensation increased $2.5 million for the six months ended June 30, 2011 compared to 2010 primarily due to the vesting of equity grants that were made in December 2010. Also, employee merit-based salary increases went into effect two months earlier during the six months ended June 30, 2011 compared with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 expenses increased by $3.6 million, or 6.6%, for the three months ended June 30, 2011 compared with 2010.</w:t>
      </w:r>
    </w:p>
    <w:p>
      <w:pPr>
        <w:spacing w:after="0"/>
        <w:rPr>
          <w:sz w:val="20"/>
          <w:szCs w:val="20"/>
          <w:color w:val="auto"/>
        </w:rPr>
      </w:pPr>
      <w:r>
        <w:rPr>
          <w:rFonts w:ascii="Arial" w:cs="Arial" w:eastAsia="Arial" w:hAnsi="Arial"/>
          <w:sz w:val="18"/>
          <w:szCs w:val="18"/>
          <w:color w:val="auto"/>
        </w:rPr>
        <w:t>The increase was due primarily to a $4.7 million increase in business development and other promotional expenses.</w:t>
      </w:r>
    </w:p>
    <w:p>
      <w:pPr>
        <w:spacing w:after="0" w:line="171" w:lineRule="exact"/>
        <w:rPr>
          <w:sz w:val="20"/>
          <w:szCs w:val="20"/>
          <w:color w:val="auto"/>
        </w:rPr>
      </w:pPr>
    </w:p>
    <w:p>
      <w:pPr>
        <w:ind w:right="20" w:firstLine="250"/>
        <w:spacing w:after="0"/>
        <w:rPr>
          <w:sz w:val="20"/>
          <w:szCs w:val="20"/>
          <w:color w:val="auto"/>
        </w:rPr>
      </w:pPr>
      <w:r>
        <w:rPr>
          <w:rFonts w:ascii="Arial" w:cs="Arial" w:eastAsia="Arial" w:hAnsi="Arial"/>
          <w:sz w:val="18"/>
          <w:szCs w:val="18"/>
          <w:color w:val="auto"/>
        </w:rPr>
        <w:t>General and administrative expenses increased by $ 14.7 million, or 13.6%, for the six months ended June 30, 2011 compared with 2010. Business development and other promotional expenses increased by $ 7.1 million. Expenses for non-depreciable equipment, licensing fees and software costs increased by $4.1 million and professional fees incurred by $2.6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03"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Deprecation and amortization expense decreased by $3.7 million, or 16.7% for the three months ended June 30, 2011 compared with 2010, and decreased by $ 11.1 million, or 23.3% for the six months ended June 30, 2011 compared with 2010. The decrease was attributed to a step up in basis of $89.1 million in our internally developed software that was established at the time of our 2005 merger transaction and became fully amortized in April 2010. Accordingly, we recorded $ 1.7 million and $6.5 million, respectively, in amortization expense for the three and six months ended June 30, 2010 that did not recur in 2011. In addition, we had increased our capital expenditures in 2007 and 2008 to support our acquisitions of the Affiliated Entities and UVEST, and have since maintained more moderate levels of capital expenditures resulting in a decrease in depreciation and amortization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89" w:lineRule="exact"/>
        <w:rPr>
          <w:sz w:val="20"/>
          <w:szCs w:val="20"/>
          <w:color w:val="auto"/>
        </w:rPr>
      </w:pPr>
    </w:p>
    <w:p>
      <w:pPr>
        <w:ind w:right="340" w:firstLine="250"/>
        <w:spacing w:after="0"/>
        <w:rPr>
          <w:sz w:val="20"/>
          <w:szCs w:val="20"/>
          <w:color w:val="auto"/>
        </w:rPr>
      </w:pPr>
      <w:r>
        <w:rPr>
          <w:rFonts w:ascii="Arial" w:cs="Arial" w:eastAsia="Arial" w:hAnsi="Arial"/>
          <w:sz w:val="18"/>
          <w:szCs w:val="18"/>
          <w:color w:val="auto"/>
        </w:rPr>
        <w:t>Restructuring charges were $4.8 million and $5.4 million for the three and six months ended June 30, 2011, respectively. These charges relate primarily to technology costs and other expenditures incurred for the anticipated conversion and transfer of advisors and their client accounts from UVEST to LPL Financial as well as a $1.7 million impairment charge related to customer intangible assets.</w:t>
      </w:r>
    </w:p>
    <w:p>
      <w:pPr>
        <w:spacing w:after="0" w:line="176"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Restructuring charges were $4.6 million and 8.6 million for the three and six months ended June 30, 2010, respectively. These amounts represented charges incurred for severance and termination benefits of $ 2.1 million, contract termination costs of $2.4 million, asset impairment write-offs of $0.8 million and $3.3 million in other expenditures principally relating to the conversion and transfer of registered representatives and client accounts from the Affiliated Entities to LPL Financial.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include bank fees, other taxes, bad debt expense and other miscellaneous expenses. Other expense increased by</w:t>
      </w:r>
    </w:p>
    <w:p>
      <w:pPr>
        <w:spacing w:after="0" w:line="234" w:lineRule="auto"/>
        <w:rPr>
          <w:sz w:val="20"/>
          <w:szCs w:val="20"/>
          <w:color w:val="auto"/>
        </w:rPr>
      </w:pPr>
      <w:r>
        <w:rPr>
          <w:rFonts w:ascii="Arial" w:cs="Arial" w:eastAsia="Arial" w:hAnsi="Arial"/>
          <w:sz w:val="18"/>
          <w:szCs w:val="18"/>
          <w:color w:val="auto"/>
        </w:rPr>
        <w:t>$0.2 million, or 7.6%, for the three months ended June 30, 2011 compared with 2010, and decreased by $1.9 million, or 23.3%, for the six</w:t>
      </w:r>
    </w:p>
    <w:p>
      <w:pPr>
        <w:spacing w:after="0" w:line="235" w:lineRule="auto"/>
        <w:rPr>
          <w:sz w:val="20"/>
          <w:szCs w:val="20"/>
          <w:color w:val="auto"/>
        </w:rPr>
      </w:pPr>
      <w:r>
        <w:rPr>
          <w:rFonts w:ascii="Arial" w:cs="Arial" w:eastAsia="Arial" w:hAnsi="Arial"/>
          <w:sz w:val="18"/>
          <w:szCs w:val="18"/>
          <w:color w:val="auto"/>
        </w:rPr>
        <w:t>months ended June 30, 2011 compared with 2010. The six months ended June 30, 2010 include $2.3 million of charges covered under a third-</w:t>
      </w:r>
    </w:p>
    <w:p>
      <w:pPr>
        <w:spacing w:after="0" w:line="235" w:lineRule="auto"/>
        <w:rPr>
          <w:sz w:val="20"/>
          <w:szCs w:val="20"/>
          <w:color w:val="auto"/>
        </w:rPr>
      </w:pPr>
      <w:r>
        <w:rPr>
          <w:rFonts w:ascii="Arial" w:cs="Arial" w:eastAsia="Arial" w:hAnsi="Arial"/>
          <w:sz w:val="18"/>
          <w:szCs w:val="18"/>
          <w:color w:val="auto"/>
        </w:rPr>
        <w:t>party indemnification agreement whereby the indemnitor is disputing its obligation. Refer to Litigation in Note 11 within the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for additional details regarding this matter.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right="520" w:firstLine="250"/>
        <w:spacing w:after="0"/>
        <w:rPr>
          <w:sz w:val="20"/>
          <w:szCs w:val="20"/>
          <w:color w:val="auto"/>
        </w:rPr>
      </w:pPr>
      <w:r>
        <w:rPr>
          <w:rFonts w:ascii="Arial" w:cs="Arial" w:eastAsia="Arial" w:hAnsi="Arial"/>
          <w:sz w:val="18"/>
          <w:szCs w:val="18"/>
          <w:color w:val="auto"/>
        </w:rPr>
        <w:t>Interest expense includes non-operating interest expense for our senior secured credit facilities. Interest expense for the three months ended June 30, 2010 also includes non-operating interest expense for our senior unsecured subordinated notes, which we redeemed in May 2010.</w:t>
      </w:r>
    </w:p>
    <w:p>
      <w:pPr>
        <w:spacing w:after="0" w:line="176"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Interest expense decreased by $9.5 million, or 34.4%, for the three months ended June 30, 2011 compared with 2010 and $15.7 million, or 30.2%, for the six months ended June 30, 2011 compared with 2010. The reduction in interest expense for the three and six months ended June 30, 2011 is primarily attributed to our debt refinancing in the second quarter of 2010, which included the redemption of our senior unsecured subordinated notes, resulting in a lower cost of borrowing. Interest rate swaps with a notional value of $190.0 million matured on June 30, 2010, reducing our related interest expense by $1.9 million and $3.9 million for the three and six months ended June 30, 2011 compared to 2010, respectively. Additionally, we repaid $40.0 million of term loans under our senior secured credit facilities using net proceeds received in our IPO, as well as other cash on hand, which resulted in interest savings in the 2011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9" w:lineRule="exact"/>
        <w:rPr>
          <w:sz w:val="20"/>
          <w:szCs w:val="20"/>
          <w:color w:val="auto"/>
        </w:rPr>
      </w:pPr>
    </w:p>
    <w:p>
      <w:pPr>
        <w:ind w:right="100" w:firstLine="250"/>
        <w:spacing w:after="0" w:line="239"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specific quarter of resolution. The effective income tax rates reflect the impact of state taxes, settlement contingencies and expenses that are not deductible for tax purposes.</w:t>
      </w:r>
    </w:p>
    <w:p>
      <w:pPr>
        <w:spacing w:after="0" w:line="175"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During the three months ended June 30, 2011, we recorded income tax expense of $30.0 million compared with an income tax expense of $0.6 million for the three months ended June 30, 2010. Our effective income tax rate was 39.7% and 7.3% for the three months ended June 30, 2011 and 2010, respectively. The effective tax rate for the three month period ended June 30, 2010 was lower primarily due to favorable state apportionment ruling and the revision of certain settlement contingencies recognized in that quarter.</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six months ended June 30, 2011, we recorded income tax expense of $62.5 million compared with an income tax expense of</w:t>
      </w:r>
    </w:p>
    <w:p>
      <w:pPr>
        <w:spacing w:after="0" w:line="234" w:lineRule="auto"/>
        <w:rPr>
          <w:sz w:val="20"/>
          <w:szCs w:val="20"/>
          <w:color w:val="auto"/>
        </w:rPr>
      </w:pPr>
      <w:r>
        <w:rPr>
          <w:rFonts w:ascii="Arial" w:cs="Arial" w:eastAsia="Arial" w:hAnsi="Arial"/>
          <w:sz w:val="18"/>
          <w:szCs w:val="18"/>
          <w:color w:val="auto"/>
        </w:rPr>
        <w:t>$19.8 million for the six months ended June 30, 2010. Our effective income tax rate was 39.8% and 37.1% for the six months ended June 30,</w:t>
      </w:r>
    </w:p>
    <w:p>
      <w:pPr>
        <w:spacing w:after="0" w:line="235" w:lineRule="auto"/>
        <w:rPr>
          <w:sz w:val="20"/>
          <w:szCs w:val="20"/>
          <w:color w:val="auto"/>
        </w:rPr>
      </w:pPr>
      <w:r>
        <w:rPr>
          <w:rFonts w:ascii="Arial" w:cs="Arial" w:eastAsia="Arial" w:hAnsi="Arial"/>
          <w:sz w:val="18"/>
          <w:szCs w:val="18"/>
          <w:color w:val="auto"/>
        </w:rPr>
        <w:t>2011 and 2010, respectively. The favorable state apportionment ruling and the revision of certain settlement contingencies recognized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2010 period contributed to the lower effective tax 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include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changes in cash flow data is provided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17"/>
              <w:spacing w:after="0" w:line="155"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4"/>
          </w:tcPr>
          <w:p>
            <w:pPr>
              <w:jc w:val="right"/>
              <w:ind w:right="373"/>
              <w:spacing w:after="0" w:line="155"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flows provided by (used in):</w:t>
            </w:r>
          </w:p>
        </w:tc>
        <w:tc>
          <w:tcPr>
            <w:tcW w:w="2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2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349,716</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53,024</w:t>
            </w: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(36,310)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(2,721)</w:t>
            </w:r>
          </w:p>
        </w:tc>
      </w:tr>
      <w:tr>
        <w:trPr>
          <w:trHeight w:val="210"/>
        </w:trPr>
        <w:tc>
          <w:tcPr>
            <w:tcW w:w="20" w:type="dxa"/>
            <w:vAlign w:val="bottom"/>
          </w:tcPr>
          <w:p>
            <w:pPr>
              <w:spacing w:after="0"/>
              <w:rPr>
                <w:sz w:val="18"/>
                <w:szCs w:val="18"/>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(51,143)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(26,156)</w:t>
            </w: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27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262,263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24,147</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419,208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378,594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 end of period</w:t>
            </w:r>
          </w:p>
        </w:tc>
        <w:tc>
          <w:tcPr>
            <w:tcW w:w="2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681,471</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402,741</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71"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Net cash provided by operating activities includes net income adjusted for non-cash expenses such as depreciation and amortization, restructuring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 Net cash provided by operating activities was $349.7 million and $53.0 million for the six month periods ended June 30, 2011 and 2010, respectively. The increases in net cash provided by operating activities arise from increases in net income, net reductions of income taxes receivable and cash provided by the settlement of client activity as described above. Net cash provided by operating activities for the six months ended June 30, 2011 includes $55.8 million of excess tax benefits resulting from stock options exercised that primarily occurred in May 2011 at the expiration of the IPO lock-up, and a $181.8 million change in tax receivables that arose primarily from a tax benefit resulting from our IPO in November 2010.</w:t>
      </w:r>
    </w:p>
    <w:p>
      <w:pPr>
        <w:spacing w:after="0" w:line="165"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Net cash used in investing activities for the six months ended June 30, 2011 and June 30, 2010 totaled $36.3 million and $ 2.7 million, respectively. The increase for the six months ended June 30, 2011, as compared to the six months ended June 30, 2010 was primarily due to $37.2 million used for the acquisitions of NRP and Concord Wealth Management. Additionally, there was cash used of $12.5 million for capital expenditures for the six months ended June 30, 2011 compared to $3.7 million for the prior year period. Partially offsetting these trends is the release of restricted cash of $18.5 million during the six months ended June 30, 2011, compared to $2.6 million for the same period in the prior year.</w:t>
      </w:r>
    </w:p>
    <w:p>
      <w:pPr>
        <w:spacing w:after="0" w:line="178" w:lineRule="exact"/>
        <w:rPr>
          <w:sz w:val="20"/>
          <w:szCs w:val="20"/>
          <w:color w:val="auto"/>
        </w:rPr>
      </w:pPr>
    </w:p>
    <w:p>
      <w:pPr>
        <w:ind w:right="220" w:firstLine="250"/>
        <w:spacing w:after="0" w:line="239" w:lineRule="auto"/>
        <w:rPr>
          <w:sz w:val="20"/>
          <w:szCs w:val="20"/>
          <w:color w:val="auto"/>
        </w:rPr>
      </w:pPr>
      <w:r>
        <w:rPr>
          <w:rFonts w:ascii="Arial" w:cs="Arial" w:eastAsia="Arial" w:hAnsi="Arial"/>
          <w:sz w:val="18"/>
          <w:szCs w:val="18"/>
          <w:color w:val="auto"/>
        </w:rPr>
        <w:t>Net cash used in financing activities for the six months ended June 30, 2011 and 2010 was $51.1 million and $ 26.2 million, respectively. Cash flows used in financing activities for the six months ended June 30, 2011, include $67.0 million of cash used to purchase treasury stock and $47.0 million of cash used to repay senior credit facilities, partially offset by $55.8 million from excess tax benefits arising from stock options exercised.</w:t>
      </w:r>
    </w:p>
    <w:p>
      <w:pPr>
        <w:spacing w:after="0" w:line="161" w:lineRule="exact"/>
        <w:rPr>
          <w:sz w:val="20"/>
          <w:szCs w:val="20"/>
          <w:color w:val="auto"/>
        </w:rPr>
      </w:pPr>
    </w:p>
    <w:p>
      <w:pPr>
        <w:ind w:right="120" w:firstLine="250"/>
        <w:spacing w:after="0" w:line="238"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lines of credit available, we will be adequate to satisfy our working capital needs, the payment of all of our obligations and the funding of anticipated capital expenditures for the foreseeable future. In addition, we have certain capital requirements due to our registered broker-dealer entities and have met all capital adequacy requirements for each entity and expect this to also continue for the foreseeable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 Analysis</w:t>
      </w:r>
    </w:p>
    <w:p>
      <w:pPr>
        <w:spacing w:after="0" w:line="207" w:lineRule="exact"/>
        <w:rPr>
          <w:sz w:val="20"/>
          <w:szCs w:val="20"/>
          <w:color w:val="auto"/>
        </w:rPr>
      </w:pPr>
    </w:p>
    <w:p>
      <w:pPr>
        <w:ind w:right="260" w:firstLine="250"/>
        <w:spacing w:after="0" w:line="239" w:lineRule="auto"/>
        <w:rPr>
          <w:sz w:val="20"/>
          <w:szCs w:val="20"/>
          <w:color w:val="auto"/>
        </w:rPr>
      </w:pPr>
      <w:r>
        <w:rPr>
          <w:rFonts w:ascii="Arial" w:cs="Arial" w:eastAsia="Arial" w:hAnsi="Arial"/>
          <w:sz w:val="18"/>
          <w:szCs w:val="18"/>
          <w:color w:val="auto"/>
        </w:rPr>
        <w:t>In 2010, upon closing our IPO in the fourth quarter, the restriction on 7.4 million shares of common stock issued to our advisors under the Fifth Amended and Restated 2000 Stock Bonus Plan was released. Accordingly, we recorded a share-based compensation charge and a corresponding tax deduction of $ 222.0 million in the fourth quarter of 2010, representing the offering price of $30.00 per share multiplied by 7.4 million shares. We were able to take a tax deduction for the share-based compensation charge, as noted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250"/>
        <w:spacing w:after="0" w:line="246" w:lineRule="auto"/>
        <w:rPr>
          <w:sz w:val="20"/>
          <w:szCs w:val="20"/>
          <w:color w:val="auto"/>
        </w:rPr>
      </w:pPr>
      <w:r>
        <w:rPr>
          <w:rFonts w:ascii="Arial" w:cs="Arial" w:eastAsia="Arial" w:hAnsi="Arial"/>
          <w:sz w:val="18"/>
          <w:szCs w:val="18"/>
          <w:color w:val="auto"/>
        </w:rPr>
        <w:t>On January 20, 2011, we received a $45.0 million tax refund for federal taxes paid in 2010. On April 4, 2011, we received $55.3 million and $42.9 million, respectively, for refunds of federal taxes paid in 2009 and 2008.</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the tax deduction available and the tax benefit expected to be realized in connection with the IPO (in thousands):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Release on the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Restriction of</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rPr>
              <w:t>Shares of Common</w:t>
            </w:r>
          </w:p>
        </w:tc>
        <w:tc>
          <w:tcPr>
            <w:tcW w:w="560" w:type="dxa"/>
            <w:vAlign w:val="bottom"/>
          </w:tcPr>
          <w:p>
            <w:pPr>
              <w:spacing w:after="0"/>
              <w:rPr>
                <w:sz w:val="14"/>
                <w:szCs w:val="14"/>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Stock Option and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9"/>
              </w:rPr>
              <w:t>Stock</w:t>
            </w:r>
          </w:p>
        </w:tc>
        <w:tc>
          <w:tcPr>
            <w:tcW w:w="56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Warrant Exercises</w:t>
            </w: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deduction available</w:t>
            </w:r>
          </w:p>
        </w:tc>
        <w:tc>
          <w:tcPr>
            <w:tcW w:w="5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221,982</w:t>
            </w:r>
          </w:p>
        </w:tc>
        <w:tc>
          <w:tcPr>
            <w:tcW w:w="10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382,990</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604,972</w:t>
            </w:r>
          </w:p>
        </w:tc>
        <w:tc>
          <w:tcPr>
            <w:tcW w:w="6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Tax benefit expected to be realized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87,072</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150,228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237,300</w:t>
            </w:r>
          </w:p>
        </w:tc>
        <w:tc>
          <w:tcPr>
            <w:tcW w:w="60" w:type="dxa"/>
            <w:vAlign w:val="bottom"/>
          </w:tcPr>
          <w:p>
            <w:pPr>
              <w:spacing w:after="0"/>
              <w:rPr>
                <w:sz w:val="17"/>
                <w:szCs w:val="17"/>
                <w:color w:val="auto"/>
              </w:rPr>
            </w:pPr>
          </w:p>
        </w:tc>
      </w:tr>
      <w:tr>
        <w:trPr>
          <w:trHeight w:val="202"/>
        </w:trPr>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recorded in 2010 as income tax receivables on the</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6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consolidated statements of financial condition</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(87,072)</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(57,474)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(144,546)</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rPr>
              <w:t>Tax benefit utilized in the fourth quarter of 2010 by not making a</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60" w:type="dxa"/>
            <w:vAlign w:val="bottom"/>
          </w:tcPr>
          <w:p>
            <w:pPr>
              <w:ind w:left="220"/>
              <w:spacing w:after="0" w:line="203" w:lineRule="exact"/>
              <w:rPr>
                <w:sz w:val="20"/>
                <w:szCs w:val="20"/>
                <w:color w:val="auto"/>
              </w:rPr>
            </w:pPr>
            <w:r>
              <w:rPr>
                <w:rFonts w:ascii="Arial" w:cs="Arial" w:eastAsia="Arial" w:hAnsi="Arial"/>
                <w:sz w:val="18"/>
                <w:szCs w:val="18"/>
                <w:color w:val="auto"/>
              </w:rPr>
              <w:t>quarterly payment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(37,534)</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(37,534)</w:t>
            </w:r>
          </w:p>
        </w:tc>
      </w:tr>
      <w:tr>
        <w:trPr>
          <w:trHeight w:val="202"/>
        </w:trPr>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utilized in the first six months of 2011 by utilization of NOLs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6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to reduce income taxes payable</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(42,819)</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(42,819)</w:t>
            </w:r>
          </w:p>
        </w:tc>
      </w:tr>
      <w:tr>
        <w:trPr>
          <w:trHeight w:val="20"/>
        </w:trPr>
        <w:tc>
          <w:tcPr>
            <w:tcW w:w="6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8"/>
                <w:szCs w:val="18"/>
                <w:color w:val="auto"/>
              </w:rPr>
              <w:t>Total tax benefits realized as of June 30, 2011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(87,072)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(137,827)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(224,899)</w:t>
            </w:r>
          </w:p>
        </w:tc>
      </w:tr>
      <w:tr>
        <w:trPr>
          <w:trHeight w:val="202"/>
        </w:trPr>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expected to be utilized through the use of NOLs from tax</w:t>
            </w:r>
          </w:p>
        </w:tc>
        <w:tc>
          <w:tcPr>
            <w:tcW w:w="2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6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deductions resulting from the IPO</w:t>
            </w:r>
          </w:p>
        </w:tc>
        <w:tc>
          <w:tcPr>
            <w:tcW w:w="520" w:type="dxa"/>
            <w:vAlign w:val="bottom"/>
            <w:gridSpan w:val="2"/>
            <w:shd w:val="clear" w:color="auto" w:fill="CCEEFF"/>
          </w:tcPr>
          <w:p>
            <w:pPr>
              <w:jc w:val="right"/>
              <w:ind w:right="8"/>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12,401</w:t>
            </w: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12,401</w:t>
            </w:r>
          </w:p>
        </w:tc>
      </w:tr>
      <w:tr>
        <w:trPr>
          <w:trHeight w:val="20"/>
        </w:trPr>
        <w:tc>
          <w:tcPr>
            <w:tcW w:w="6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20" w:firstLine="247"/>
        <w:spacing w:after="0" w:line="246" w:lineRule="auto"/>
        <w:rPr>
          <w:sz w:val="20"/>
          <w:szCs w:val="20"/>
          <w:color w:val="auto"/>
        </w:rPr>
      </w:pPr>
      <w:r>
        <w:rPr>
          <w:rFonts w:ascii="Arial" w:cs="Arial" w:eastAsia="Arial" w:hAnsi="Arial"/>
          <w:sz w:val="18"/>
          <w:szCs w:val="18"/>
          <w:color w:val="auto"/>
        </w:rPr>
        <w:t>The remaining tax benefit expected to be utilized through the use of NOLs from tax deductions resulting from the IPO primarily relate to state taxes are expected to be utilized over the next few years dependent upon each state’s tax laws related to NOL carryforwards.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07"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done on margin and funds we are required to maintain at clearing organizations to support these clients’ trading activities. We require that our advisors’ clients deposit funds with us in support of their trading activities and we hypothecate securities held as margin collateral, which we in turn use to lend to clients for margin transactions and deposit with our clearing organizations. These activities account for the majority of our working capital requirements, which are primarily funded directly or indirectly by our advisors’ clients. Our other working capital needs are primarily limited to regulatory capital requirements and software development, which we have satisfied in the past from internally generated cash flows.</w:t>
      </w:r>
    </w:p>
    <w:p>
      <w:pPr>
        <w:spacing w:after="0" w:line="165"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the revolving credit facility at the holding company, and/or uncommitted lines of credit at our broker-dealer subsidiary, LPL Financial.</w:t>
      </w:r>
    </w:p>
    <w:p>
      <w:pPr>
        <w:spacing w:after="0" w:line="161"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Our registered broker-dealers are subject to the SEC’s Uniform Net Capital Rule, which requires the maintenance of minimum net capital. LPL Financial computes net capital requirements under the alternative method, which requires firms to maintain minimum net capital, as defined, equal to the greater of $250,000 or 2% of aggregate debit balances arising from client transactions plus 1% of net commission payable, as defined. LPL Financial is also subject to the Commodity Futures Trading Commission’s minimum financial requirements, which require that it maintain net capital, as defined, equal to 4% of customer funds required to be segregated pursuant to the Commodity Exchange Act, less the market value of certain commodity options, all as defined. UVEST and MSC compute net capital requirements under the aggregate indebtedness method, which requires firms to maintain minimum net capital, as defined, of not less than 6.67% of aggregate indebtedness plus 1% of net commission payable, also as defined.</w:t>
      </w:r>
    </w:p>
    <w:p>
      <w:pPr>
        <w:spacing w:after="0" w:line="181" w:lineRule="exact"/>
        <w:rPr>
          <w:sz w:val="20"/>
          <w:szCs w:val="20"/>
          <w:color w:val="auto"/>
        </w:rPr>
      </w:pPr>
    </w:p>
    <w:p>
      <w:pPr>
        <w:ind w:right="100" w:firstLine="250"/>
        <w:spacing w:after="0"/>
        <w:rPr>
          <w:sz w:val="20"/>
          <w:szCs w:val="20"/>
          <w:color w:val="auto"/>
        </w:rPr>
      </w:pPr>
      <w:r>
        <w:rPr>
          <w:rFonts w:ascii="Arial" w:cs="Arial" w:eastAsia="Arial" w:hAnsi="Arial"/>
          <w:sz w:val="18"/>
          <w:szCs w:val="18"/>
          <w:color w:val="auto"/>
        </w:rPr>
        <w:t>Our subsidiary, PTC, is subject to various regulatory capital requirements. Failure to meet minimum capital requirements can initiate certain mandatory and possible additional discretionary actions by regulators that, if undertaken, could have a direct material effect on our unaudited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07"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163"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07"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On May 24, 2010, we amended and restated our senior secured credit agreement to add a new term loan tranche of $580.0 million maturing at June 28, 2017, which we used, together with cash on hand, to redeem our $550.0 million of senior unsecured subordinated notes, as described below. We also extended the maturity of a $500.0 million tranche of our term loan facility to June 25, 2015, with the remaining $317.1 million tranche maturing at the original maturity date of June 28, 2013.</w:t>
      </w:r>
    </w:p>
    <w:p>
      <w:pPr>
        <w:spacing w:after="0" w:line="161" w:lineRule="exact"/>
        <w:rPr>
          <w:sz w:val="20"/>
          <w:szCs w:val="20"/>
          <w:color w:val="auto"/>
        </w:rPr>
      </w:pPr>
    </w:p>
    <w:p>
      <w:pPr>
        <w:jc w:val="both"/>
        <w:ind w:right="80" w:firstLine="250"/>
        <w:spacing w:after="0" w:line="239" w:lineRule="auto"/>
        <w:rPr>
          <w:sz w:val="20"/>
          <w:szCs w:val="20"/>
          <w:color w:val="auto"/>
        </w:rPr>
      </w:pPr>
      <w:r>
        <w:rPr>
          <w:rFonts w:ascii="Arial" w:cs="Arial" w:eastAsia="Arial" w:hAnsi="Arial"/>
          <w:sz w:val="18"/>
          <w:szCs w:val="18"/>
          <w:color w:val="auto"/>
        </w:rPr>
        <w:t>On May 24, 2010, we gave notice of redemption of all of our outstanding senior unsecured subordinated notes. The redemption price of the senior unsecured subordinated notes was 105.375% of the outstanding aggregate principal amount, plus accrued and unpaid interest thereon up to but not including June 22, 2010 (the “Redemption Date”). All of our outstanding senior unsecured subordinated notes were redeemed on the Redemption Date.</w:t>
      </w:r>
    </w:p>
    <w:p>
      <w:pPr>
        <w:spacing w:after="0" w:line="161" w:lineRule="exact"/>
        <w:rPr>
          <w:sz w:val="20"/>
          <w:szCs w:val="20"/>
          <w:color w:val="auto"/>
        </w:rPr>
      </w:pPr>
    </w:p>
    <w:p>
      <w:pPr>
        <w:ind w:right="80" w:firstLine="250"/>
        <w:spacing w:after="0" w:line="239" w:lineRule="auto"/>
        <w:rPr>
          <w:sz w:val="20"/>
          <w:szCs w:val="20"/>
          <w:color w:val="auto"/>
        </w:rPr>
      </w:pPr>
      <w:r>
        <w:rPr>
          <w:rFonts w:ascii="Arial" w:cs="Arial" w:eastAsia="Arial" w:hAnsi="Arial"/>
          <w:sz w:val="18"/>
          <w:szCs w:val="18"/>
          <w:color w:val="auto"/>
        </w:rPr>
        <w:t>We also maintain a revolving credit facility which is provided through the senior secured credit facilities. On January 25, 2010, we amended our senior secured credit agreement to increase the revolving credit facility from $100 million to $218.2 million. In connection with this amendment, we extended the maturity of a $163.5 million tranche of the revolving credit facility to June 28, 2013. The remaining $54.7 million tranche retains its original maturity date of December 28, 2011.</w:t>
      </w:r>
    </w:p>
    <w:p>
      <w:pPr>
        <w:spacing w:after="0" w:line="175" w:lineRule="exact"/>
        <w:rPr>
          <w:sz w:val="20"/>
          <w:szCs w:val="20"/>
          <w:color w:val="auto"/>
        </w:rPr>
      </w:pPr>
    </w:p>
    <w:p>
      <w:pPr>
        <w:jc w:val="both"/>
        <w:ind w:right="40" w:firstLine="250"/>
        <w:spacing w:after="0"/>
        <w:rPr>
          <w:sz w:val="20"/>
          <w:szCs w:val="20"/>
          <w:color w:val="auto"/>
        </w:rPr>
      </w:pPr>
      <w:r>
        <w:rPr>
          <w:rFonts w:ascii="Arial" w:cs="Arial" w:eastAsia="Arial" w:hAnsi="Arial"/>
          <w:sz w:val="18"/>
          <w:szCs w:val="18"/>
          <w:color w:val="auto"/>
        </w:rPr>
        <w:t>We maintain three uncommitted lines of credit at LPL Financial. Two of the lines have unspecified limits, and are primarily dependent on our ability to provide sufficient collateral. The other line has a $150.0 million limit and allows for both collateralized and uncollateralized borrowings. The lines were utilized in 2011 and 2010; however, there were no balances outstanding at June 30, 2011 or December 31, 2010.</w:t>
      </w:r>
    </w:p>
    <w:p>
      <w:pPr>
        <w:spacing w:after="0" w:line="162" w:lineRule="exact"/>
        <w:rPr>
          <w:sz w:val="20"/>
          <w:szCs w:val="20"/>
          <w:color w:val="auto"/>
        </w:rPr>
      </w:pPr>
    </w:p>
    <w:p>
      <w:pPr>
        <w:ind w:right="280" w:firstLine="250"/>
        <w:spacing w:after="0" w:line="246" w:lineRule="auto"/>
        <w:rPr>
          <w:sz w:val="20"/>
          <w:szCs w:val="20"/>
          <w:color w:val="auto"/>
        </w:rPr>
      </w:pPr>
      <w:r>
        <w:rPr>
          <w:rFonts w:ascii="Arial" w:cs="Arial" w:eastAsia="Arial" w:hAnsi="Arial"/>
          <w:sz w:val="18"/>
          <w:szCs w:val="18"/>
          <w:color w:val="auto"/>
        </w:rPr>
        <w:t>We also are a party to an interest rate swap agreement, in a notional amount of $65.0 million, to mitigate interest rate risk by hedging the variability of a portion of our floating-rate senior secured term loan.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07"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Borrowings under our senior secured credit facilities bear interest at a base rate equal to the one, two, three, six, nine or twelve-month LIBOR plus our applicable margin, or an alternative base rate (“ABR”) plus our applicable margin. The ABR is equal to the greatest of (a) the prime rate in effect on such day, (b) the effective federal funds rate in effect on such day plus 0.5% and (c) solely in the case of the 2015 Term Loans and the 2017 Term Loans, 2.50%.</w:t>
      </w:r>
    </w:p>
    <w:p>
      <w:pPr>
        <w:spacing w:after="0" w:line="161" w:lineRule="exact"/>
        <w:rPr>
          <w:sz w:val="20"/>
          <w:szCs w:val="20"/>
          <w:color w:val="auto"/>
        </w:rPr>
      </w:pPr>
    </w:p>
    <w:p>
      <w:pPr>
        <w:ind w:right="320" w:firstLine="247"/>
        <w:spacing w:after="0" w:line="248" w:lineRule="auto"/>
        <w:rPr>
          <w:sz w:val="20"/>
          <w:szCs w:val="20"/>
          <w:color w:val="auto"/>
        </w:rPr>
      </w:pPr>
      <w:r>
        <w:rPr>
          <w:rFonts w:ascii="Arial" w:cs="Arial" w:eastAsia="Arial" w:hAnsi="Arial"/>
          <w:sz w:val="17"/>
          <w:szCs w:val="17"/>
          <w:color w:val="auto"/>
        </w:rPr>
        <w:t>The applicable margin for borrowings (a) with respect to the 2013 Term Loans is currently 0.75% for base rate borrowings and 1.75% for LIBOR borrowings, (b) with respect to the 2015 Term Loans is currently 1.75% for base rate borrowings and 2.75% for LIBOR borrowings,</w:t>
      </w:r>
    </w:p>
    <w:p>
      <w:pPr>
        <w:spacing w:after="0" w:line="1" w:lineRule="exact"/>
        <w:rPr>
          <w:sz w:val="20"/>
          <w:szCs w:val="20"/>
          <w:color w:val="auto"/>
        </w:rPr>
      </w:pPr>
    </w:p>
    <w:p>
      <w:pPr>
        <w:ind w:firstLine="8"/>
        <w:spacing w:after="0" w:line="238"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the 2017 Term Loans is currently 2.75% for base rate borrowings and 3.75% for LIBOR borrowings, (d) with respect to revolver tranche maturing in 2011 is currently 1.00% for base rate borrowings and 2.00% for LIBOR borrowings and (e) with respect to revolver tranche maturing in 2013 is currently 2.50% for base rate borrowings and 3.50% for LIBOR borrowings. The applicable margin on our 2013 Term Loans could change depending on our credit rating. The LIBOR Rate with respect to the 2015 Term Loans and the 2017 Term Loans shall in no event be less than 1.50%.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In addition to paying interest on outstanding principal under the senior secured credit facilities, we are required to pay a commitment fee to the lenders under the revolving credit facility in respect of the unutilized commitments thereunder. The commitment fee rates at June 30, 2010 were 0.375% for our revolver tranche maturing in 2011 and 0.75% for our revolver tranche maturing in 2013, but are subject to change depending on our leverage ratio. We must also pay customary letter of credit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07" w:lineRule="exact"/>
        <w:rPr>
          <w:sz w:val="20"/>
          <w:szCs w:val="20"/>
          <w:color w:val="auto"/>
        </w:rPr>
      </w:pPr>
    </w:p>
    <w:p>
      <w:pPr>
        <w:ind w:right="500" w:firstLine="247"/>
        <w:spacing w:after="0" w:line="246" w:lineRule="auto"/>
        <w:rPr>
          <w:sz w:val="20"/>
          <w:szCs w:val="20"/>
          <w:color w:val="auto"/>
        </w:rPr>
      </w:pPr>
      <w:r>
        <w:rPr>
          <w:rFonts w:ascii="Arial" w:cs="Arial" w:eastAsia="Arial" w:hAnsi="Arial"/>
          <w:sz w:val="18"/>
          <w:szCs w:val="18"/>
          <w:color w:val="auto"/>
        </w:rPr>
        <w:t>The senior secured credit facilities (other than the revolving credit facility) require us to prepay outstanding amounts under our senior secured term loan facility subject to certain exceptions, with:</w:t>
      </w:r>
    </w:p>
    <w:p>
      <w:pPr>
        <w:spacing w:after="0" w:line="89" w:lineRule="exact"/>
        <w:rPr>
          <w:sz w:val="20"/>
          <w:szCs w:val="20"/>
          <w:color w:val="auto"/>
        </w:rPr>
      </w:pPr>
    </w:p>
    <w:p>
      <w:pPr>
        <w:jc w:val="both"/>
        <w:ind w:left="340" w:right="2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50% (percentage will be reduced to 25% if our total leverage ratio is 5.00 or less and to 0% if our total leverage ratio is 4.00 or less) of our annual excess cash flow (as defined in our senior secured credit agreement) adjusted for, among other things, changes in our net working capital;</w:t>
      </w:r>
    </w:p>
    <w:p>
      <w:pPr>
        <w:spacing w:after="0" w:line="108" w:lineRule="exact"/>
        <w:rPr>
          <w:rFonts w:ascii="Arial" w:cs="Arial" w:eastAsia="Arial" w:hAnsi="Arial"/>
          <w:sz w:val="18"/>
          <w:szCs w:val="18"/>
          <w:b w:val="1"/>
          <w:bCs w:val="1"/>
          <w:color w:val="auto"/>
        </w:rPr>
      </w:pPr>
    </w:p>
    <w:p>
      <w:pPr>
        <w:ind w:left="340" w:right="12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100% of the net cash proceeds of all nonordinary course asset sales or other dispositions of property, if we do not reinvest or commit to reinvest those proceeds in assets to be used in our business or to make certain other permitted investments within 15 months as long as such reinvestment is completed within 180 days; and</w:t>
      </w:r>
    </w:p>
    <w:p>
      <w:pPr>
        <w:spacing w:after="0" w:line="108" w:lineRule="exact"/>
        <w:rPr>
          <w:rFonts w:ascii="Arial" w:cs="Arial" w:eastAsia="Arial" w:hAnsi="Arial"/>
          <w:sz w:val="18"/>
          <w:szCs w:val="18"/>
          <w:b w:val="1"/>
          <w:bCs w:val="1"/>
          <w:color w:val="auto"/>
        </w:rPr>
      </w:pPr>
    </w:p>
    <w:p>
      <w:pPr>
        <w:ind w:left="340" w:right="620" w:hanging="332"/>
        <w:spacing w:after="0" w:line="246"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100% of the net cash proceeds of any incurrence of debt, other than proceeds from debt permitted under the senior secured credit agreement.</w:t>
      </w:r>
    </w:p>
    <w:p>
      <w:pPr>
        <w:spacing w:after="0" w:line="156" w:lineRule="exact"/>
        <w:rPr>
          <w:sz w:val="20"/>
          <w:szCs w:val="20"/>
          <w:color w:val="auto"/>
        </w:rPr>
      </w:pPr>
    </w:p>
    <w:p>
      <w:pPr>
        <w:ind w:firstLine="247"/>
        <w:spacing w:after="0" w:line="246" w:lineRule="auto"/>
        <w:rPr>
          <w:sz w:val="20"/>
          <w:szCs w:val="20"/>
          <w:color w:val="auto"/>
        </w:rPr>
      </w:pPr>
      <w:r>
        <w:rPr>
          <w:rFonts w:ascii="Arial" w:cs="Arial" w:eastAsia="Arial" w:hAnsi="Arial"/>
          <w:sz w:val="18"/>
          <w:szCs w:val="18"/>
          <w:color w:val="auto"/>
        </w:rPr>
        <w:t>The foregoing mandatory prepayments will be applied to scheduled installments of principal of the senior secured term loan facility in direct order.</w:t>
      </w:r>
    </w:p>
    <w:p>
      <w:pPr>
        <w:spacing w:after="0" w:line="156"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We may voluntarily repay outstanding loans under the senior secured credit agreement at any time without premium or penalty, other than customary “breakage” costs with respect to LIBOR loans.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93"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color w:val="auto"/>
        </w:rPr>
        <w:t>We are required to repay the loans under the senior secured term loan facility in equal quarterly installments in aggregate annual amounts equal to 1% of the original funded principal amount of such facility, with the balance being payable on the final maturity date of the facility.</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Principal amounts outstanding under the revolving credit facilities are due and payable in full at maturity.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senior secured credit facilities are secured primarily through pledges of the capital stock in our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207" w:lineRule="exact"/>
        <w:rPr>
          <w:sz w:val="20"/>
          <w:szCs w:val="20"/>
          <w:color w:val="auto"/>
        </w:rPr>
      </w:pPr>
    </w:p>
    <w:p>
      <w:pPr>
        <w:ind w:right="140" w:firstLine="247"/>
        <w:spacing w:after="0" w:line="246" w:lineRule="auto"/>
        <w:rPr>
          <w:sz w:val="20"/>
          <w:szCs w:val="20"/>
          <w:color w:val="auto"/>
        </w:rPr>
      </w:pPr>
      <w:r>
        <w:rPr>
          <w:rFonts w:ascii="Arial" w:cs="Arial" w:eastAsia="Arial" w:hAnsi="Arial"/>
          <w:sz w:val="18"/>
          <w:szCs w:val="18"/>
          <w:color w:val="auto"/>
        </w:rPr>
        <w:t>The senior secured credit agreement contains a number of covenants that, among other things, restrict, subject to certain exceptions, our ability to:</w:t>
      </w:r>
    </w:p>
    <w:p>
      <w:pPr>
        <w:spacing w:after="0" w:line="102"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sell or transfer assets;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hanging="454"/>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b w:val="1"/>
          <w:bCs w:val="1"/>
          <w:color w:val="auto"/>
        </w:rPr>
      </w:pPr>
    </w:p>
    <w:p>
      <w:pPr>
        <w:ind w:left="800" w:hanging="454"/>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change our lines of business.</w:t>
      </w:r>
    </w:p>
    <w:p>
      <w:pPr>
        <w:spacing w:after="0" w:line="185"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Our senior secured credit facilities prohibit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$5.0 million in any fiscal year plus the amount of cash proceeds from certain equity issuances to such persons, the amount of equity interests subject to a certain deferred compensation plan and the amount of certain key-man life insurance proceeds, (ii) franchise taxes, general corporate and operating expenses not to exceed $3.0 million in any fiscal year, and fees and expenses related to any unsuccessful equity or debt offering permitted by the senior secured credit facilities, (iii) tax liabilities to the extent attributable to our business and our subsidiaries and (iv) dividends and other distributions in an aggregate amount not to exceed 50% of our cumulative consolidated net income available to stockholders at such time so long as at the time of such payment of dividend or the making of such distribution, and after giving effect thereto, our leverage ratio is less than 3.50:1.00.</w:t>
      </w:r>
    </w:p>
    <w:p>
      <w:pPr>
        <w:spacing w:after="0" w:line="164"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In addition, our financial covenant requirements include a leverage ratio test and an interest coverage ratio test. Under our leverage ratio test, we covenant not to allow the ratio of our consolidated total debt (as defined in our senior secured credit agreement) to an adjusted EBITDA reflecting financial covenants in our senior secured credit facilities (“Credit Agreement Adjusted EBITDA”) to exceed certain prescribed levels set forth in the agreement. Under our interest coverage ratio test, we covenant not to allow the ratio of our Credit Agreement Adjusted EBITDA to our consolidated interest expense (as defined in our senior secured credit agreement) to be less than certain prescribed levels set forth in the agreement. Each of our financial ratios is measured at the end of each fiscal quarter.</w:t>
      </w:r>
    </w:p>
    <w:p>
      <w:pPr>
        <w:spacing w:after="0" w:line="165" w:lineRule="exact"/>
        <w:rPr>
          <w:sz w:val="20"/>
          <w:szCs w:val="20"/>
          <w:color w:val="auto"/>
        </w:rPr>
      </w:pPr>
    </w:p>
    <w:p>
      <w:pPr>
        <w:jc w:val="both"/>
        <w:ind w:right="60" w:firstLine="250"/>
        <w:spacing w:after="0"/>
        <w:rPr>
          <w:sz w:val="20"/>
          <w:szCs w:val="20"/>
          <w:color w:val="auto"/>
        </w:rPr>
      </w:pPr>
      <w:r>
        <w:rPr>
          <w:rFonts w:ascii="Arial" w:cs="Arial" w:eastAsia="Arial" w:hAnsi="Arial"/>
          <w:sz w:val="18"/>
          <w:szCs w:val="18"/>
          <w:color w:val="auto"/>
        </w:rPr>
        <w:t>Our senior secured credit agreement provides us with a right to cure in the event we fail to comply with our leverage ratio test or our interest coverage test. We must exercise this right to cure within ten days of the delivery of our quarterly certificate calculating the financial ratio for that quarter.</w:t>
      </w:r>
    </w:p>
    <w:p>
      <w:pPr>
        <w:spacing w:after="0" w:line="176"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our creditors could, among other things, accelerate the maturity of our indebtedness.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30, 2011 and December 31, 2010, we were in compliance with all of our covenant requirements.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covenant requirements and actual ratios as of June 30, 2011 and December 31, 2010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6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June 30, 2011</w:t>
            </w:r>
          </w:p>
        </w:tc>
        <w:tc>
          <w:tcPr>
            <w:tcW w:w="2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December 31, 2010</w:t>
            </w: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Covenant</w:t>
            </w:r>
          </w:p>
        </w:tc>
        <w:tc>
          <w:tcPr>
            <w:tcW w:w="220" w:type="dxa"/>
            <w:vAlign w:val="bottom"/>
          </w:tcPr>
          <w:p>
            <w:pPr>
              <w:spacing w:after="0"/>
              <w:rPr>
                <w:sz w:val="12"/>
                <w:szCs w:val="12"/>
                <w:color w:val="auto"/>
              </w:rPr>
            </w:pPr>
          </w:p>
        </w:tc>
        <w:tc>
          <w:tcPr>
            <w:tcW w:w="1240" w:type="dxa"/>
            <w:vAlign w:val="bottom"/>
          </w:tcPr>
          <w:p>
            <w:pPr>
              <w:jc w:val="right"/>
              <w:ind w:right="322"/>
              <w:spacing w:after="0" w:line="143" w:lineRule="exact"/>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2"/>
                <w:szCs w:val="12"/>
                <w:color w:val="auto"/>
              </w:rPr>
            </w:pPr>
          </w:p>
        </w:tc>
        <w:tc>
          <w:tcPr>
            <w:tcW w:w="1120" w:type="dxa"/>
            <w:vAlign w:val="bottom"/>
          </w:tcPr>
          <w:p>
            <w:pPr>
              <w:jc w:val="right"/>
              <w:ind w:right="164"/>
              <w:spacing w:after="0" w:line="143" w:lineRule="exact"/>
              <w:rPr>
                <w:sz w:val="20"/>
                <w:szCs w:val="20"/>
                <w:color w:val="auto"/>
              </w:rPr>
            </w:pPr>
            <w:r>
              <w:rPr>
                <w:rFonts w:ascii="Arial" w:cs="Arial" w:eastAsia="Arial" w:hAnsi="Arial"/>
                <w:sz w:val="14"/>
                <w:szCs w:val="14"/>
                <w:b w:val="1"/>
                <w:bCs w:val="1"/>
                <w:color w:val="auto"/>
              </w:rPr>
              <w:t>Covenant</w:t>
            </w:r>
          </w:p>
        </w:tc>
        <w:tc>
          <w:tcPr>
            <w:tcW w:w="220" w:type="dxa"/>
            <w:vAlign w:val="bottom"/>
          </w:tcPr>
          <w:p>
            <w:pPr>
              <w:spacing w:after="0"/>
              <w:rPr>
                <w:sz w:val="12"/>
                <w:szCs w:val="12"/>
                <w:color w:val="auto"/>
              </w:rPr>
            </w:pPr>
          </w:p>
        </w:tc>
        <w:tc>
          <w:tcPr>
            <w:tcW w:w="1300" w:type="dxa"/>
            <w:vAlign w:val="bottom"/>
          </w:tcPr>
          <w:p>
            <w:pPr>
              <w:jc w:val="right"/>
              <w:ind w:right="342"/>
              <w:spacing w:after="0" w:line="143" w:lineRule="exact"/>
              <w:rPr>
                <w:sz w:val="20"/>
                <w:szCs w:val="20"/>
                <w:color w:val="auto"/>
              </w:rPr>
            </w:pPr>
            <w:r>
              <w:rPr>
                <w:rFonts w:ascii="Arial" w:cs="Arial" w:eastAsia="Arial" w:hAnsi="Arial"/>
                <w:sz w:val="14"/>
                <w:szCs w:val="14"/>
                <w:b w:val="1"/>
                <w:bCs w:val="1"/>
                <w:color w:val="auto"/>
              </w:rPr>
              <w:t>Actual</w:t>
            </w:r>
          </w:p>
        </w:tc>
      </w:tr>
      <w:tr>
        <w:trPr>
          <w:trHeight w:val="175"/>
        </w:trPr>
        <w:tc>
          <w:tcPr>
            <w:tcW w:w="20" w:type="dxa"/>
            <w:vAlign w:val="bottom"/>
          </w:tcPr>
          <w:p>
            <w:pPr>
              <w:spacing w:after="0"/>
              <w:rPr>
                <w:sz w:val="15"/>
                <w:szCs w:val="15"/>
                <w:color w:val="auto"/>
              </w:rPr>
            </w:pPr>
          </w:p>
        </w:tc>
        <w:tc>
          <w:tcPr>
            <w:tcW w:w="54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Financial Ratio</w:t>
            </w:r>
          </w:p>
        </w:tc>
        <w:tc>
          <w:tcPr>
            <w:tcW w:w="5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Requirement</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Requirement</w:t>
            </w:r>
          </w:p>
        </w:tc>
        <w:tc>
          <w:tcPr>
            <w:tcW w:w="220" w:type="dxa"/>
            <w:vAlign w:val="bottom"/>
          </w:tcPr>
          <w:p>
            <w:pPr>
              <w:spacing w:after="0"/>
              <w:rPr>
                <w:sz w:val="15"/>
                <w:szCs w:val="15"/>
                <w:color w:val="auto"/>
              </w:rPr>
            </w:pP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Ratio</w:t>
            </w:r>
          </w:p>
        </w:tc>
      </w:tr>
      <w:tr>
        <w:trPr>
          <w:trHeight w:val="195"/>
        </w:trPr>
        <w:tc>
          <w:tcPr>
            <w:tcW w:w="20" w:type="dxa"/>
            <w:vAlign w:val="bottom"/>
          </w:tcPr>
          <w:p>
            <w:pPr>
              <w:spacing w:after="0"/>
              <w:rPr>
                <w:sz w:val="16"/>
                <w:szCs w:val="16"/>
                <w:color w:val="auto"/>
              </w:rPr>
            </w:pPr>
          </w:p>
        </w:tc>
        <w:tc>
          <w:tcPr>
            <w:tcW w:w="5400" w:type="dxa"/>
            <w:vAlign w:val="bottom"/>
          </w:tcPr>
          <w:p>
            <w:pPr>
              <w:spacing w:after="0" w:line="195" w:lineRule="exact"/>
              <w:rPr>
                <w:sz w:val="20"/>
                <w:szCs w:val="20"/>
                <w:color w:val="auto"/>
              </w:rPr>
            </w:pPr>
            <w:r>
              <w:rPr>
                <w:rFonts w:ascii="Arial" w:cs="Arial" w:eastAsia="Arial" w:hAnsi="Arial"/>
                <w:sz w:val="18"/>
                <w:szCs w:val="18"/>
                <w:color w:val="auto"/>
              </w:rPr>
              <w:t>Leverage Test (Maximum)</w:t>
            </w:r>
          </w:p>
        </w:tc>
        <w:tc>
          <w:tcPr>
            <w:tcW w:w="58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rPr>
              <w:t>3.25</w:t>
            </w:r>
          </w:p>
        </w:tc>
        <w:tc>
          <w:tcPr>
            <w:tcW w:w="220" w:type="dxa"/>
            <w:vAlign w:val="bottom"/>
          </w:tcPr>
          <w:p>
            <w:pPr>
              <w:spacing w:after="0"/>
              <w:rPr>
                <w:sz w:val="16"/>
                <w:szCs w:val="16"/>
                <w:color w:val="auto"/>
              </w:rPr>
            </w:pPr>
          </w:p>
        </w:tc>
        <w:tc>
          <w:tcPr>
            <w:tcW w:w="124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2.03</w:t>
            </w:r>
          </w:p>
        </w:tc>
        <w:tc>
          <w:tcPr>
            <w:tcW w:w="220" w:type="dxa"/>
            <w:vAlign w:val="bottom"/>
          </w:tcPr>
          <w:p>
            <w:pPr>
              <w:spacing w:after="0"/>
              <w:rPr>
                <w:sz w:val="16"/>
                <w:szCs w:val="16"/>
                <w:color w:val="auto"/>
              </w:rPr>
            </w:pPr>
          </w:p>
        </w:tc>
        <w:tc>
          <w:tcPr>
            <w:tcW w:w="112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3.70</w:t>
            </w:r>
          </w:p>
        </w:tc>
        <w:tc>
          <w:tcPr>
            <w:tcW w:w="220" w:type="dxa"/>
            <w:vAlign w:val="bottom"/>
          </w:tcPr>
          <w:p>
            <w:pPr>
              <w:spacing w:after="0"/>
              <w:rPr>
                <w:sz w:val="16"/>
                <w:szCs w:val="16"/>
                <w:color w:val="auto"/>
              </w:rPr>
            </w:pPr>
          </w:p>
        </w:tc>
        <w:tc>
          <w:tcPr>
            <w:tcW w:w="1300" w:type="dxa"/>
            <w:vAlign w:val="bottom"/>
          </w:tcPr>
          <w:p>
            <w:pPr>
              <w:jc w:val="right"/>
              <w:ind w:right="282"/>
              <w:spacing w:after="0" w:line="195" w:lineRule="exact"/>
              <w:rPr>
                <w:sz w:val="20"/>
                <w:szCs w:val="20"/>
                <w:color w:val="auto"/>
              </w:rPr>
            </w:pPr>
            <w:r>
              <w:rPr>
                <w:rFonts w:ascii="Arial" w:cs="Arial" w:eastAsia="Arial" w:hAnsi="Arial"/>
                <w:sz w:val="18"/>
                <w:szCs w:val="18"/>
                <w:color w:val="auto"/>
              </w:rPr>
              <w:t>2.64</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Interest Coverage (Minimum)</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rPr>
              <w:t>2.95</w:t>
            </w:r>
          </w:p>
        </w:tc>
        <w:tc>
          <w:tcPr>
            <w:tcW w:w="1460" w:type="dxa"/>
            <w:vAlign w:val="bottom"/>
            <w:gridSpan w:val="2"/>
          </w:tcPr>
          <w:p>
            <w:pPr>
              <w:jc w:val="right"/>
              <w:ind w:right="262"/>
              <w:spacing w:after="0"/>
              <w:rPr>
                <w:sz w:val="20"/>
                <w:szCs w:val="20"/>
                <w:color w:val="auto"/>
              </w:rPr>
            </w:pPr>
            <w:r>
              <w:rPr>
                <w:rFonts w:ascii="Arial" w:cs="Arial" w:eastAsia="Arial" w:hAnsi="Arial"/>
                <w:sz w:val="18"/>
                <w:szCs w:val="18"/>
                <w:color w:val="auto"/>
              </w:rPr>
              <w:t>6.42</w:t>
            </w:r>
          </w:p>
        </w:tc>
        <w:tc>
          <w:tcPr>
            <w:tcW w:w="1340" w:type="dxa"/>
            <w:vAlign w:val="bottom"/>
            <w:gridSpan w:val="2"/>
          </w:tcPr>
          <w:p>
            <w:pPr>
              <w:jc w:val="right"/>
              <w:ind w:right="264"/>
              <w:spacing w:after="0"/>
              <w:rPr>
                <w:sz w:val="20"/>
                <w:szCs w:val="20"/>
                <w:color w:val="auto"/>
              </w:rPr>
            </w:pPr>
            <w:r>
              <w:rPr>
                <w:rFonts w:ascii="Arial" w:cs="Arial" w:eastAsia="Arial" w:hAnsi="Arial"/>
                <w:sz w:val="18"/>
                <w:szCs w:val="18"/>
                <w:color w:val="auto"/>
              </w:rPr>
              <w:t>2.60</w:t>
            </w:r>
          </w:p>
        </w:tc>
        <w:tc>
          <w:tcPr>
            <w:tcW w:w="1520" w:type="dxa"/>
            <w:vAlign w:val="bottom"/>
            <w:gridSpan w:val="2"/>
          </w:tcPr>
          <w:p>
            <w:pPr>
              <w:jc w:val="right"/>
              <w:ind w:right="282"/>
              <w:spacing w:after="0"/>
              <w:rPr>
                <w:sz w:val="20"/>
                <w:szCs w:val="20"/>
                <w:color w:val="auto"/>
              </w:rPr>
            </w:pPr>
            <w:r>
              <w:rPr>
                <w:rFonts w:ascii="Arial" w:cs="Arial" w:eastAsia="Arial" w:hAnsi="Arial"/>
                <w:sz w:val="18"/>
                <w:szCs w:val="18"/>
                <w:color w:val="auto"/>
              </w:rPr>
              <w:t>4.81</w:t>
            </w:r>
          </w:p>
        </w:tc>
      </w:tr>
      <w:tr>
        <w:trPr>
          <w:trHeight w:val="39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ending June 30, 2011 and December 31, 2010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4,090</w:t>
            </w:r>
          </w:p>
        </w:tc>
        <w:tc>
          <w:tcPr>
            <w:tcW w:w="4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Amortization of purchased intangible assets and software(1)</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37,832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of all other fixed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37,077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42,379</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164,467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Adjustments: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expense(2)</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and integration related expenses(3)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12,016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Restructuring and conversion costs(4)</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amendment and extinguishment costs(5)</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Equity issuance and related offering costs(6)</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240,856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240,902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Total EBITDA Adjustments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280,653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325,518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413,113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Pro-forma adjustments(8)</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Agreement Adjusted EBITDA</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445,120</w:t>
            </w:r>
          </w:p>
        </w:tc>
        <w:tc>
          <w:tcPr>
            <w:tcW w:w="4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413,113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8661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3" w:lineRule="exact"/>
        <w:rPr>
          <w:sz w:val="20"/>
          <w:szCs w:val="20"/>
          <w:color w:val="auto"/>
        </w:rPr>
      </w:pPr>
    </w:p>
    <w:p>
      <w:pPr>
        <w:ind w:left="340" w:right="80" w:hanging="332"/>
        <w:spacing w:after="0" w:line="24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183" w:lineRule="exact"/>
        <w:rPr>
          <w:rFonts w:ascii="Arial" w:cs="Arial" w:eastAsia="Arial" w:hAnsi="Arial"/>
          <w:sz w:val="18"/>
          <w:szCs w:val="18"/>
          <w:color w:val="auto"/>
        </w:rPr>
      </w:pPr>
    </w:p>
    <w:p>
      <w:pPr>
        <w:ind w:left="340" w:right="80" w:hanging="332"/>
        <w:spacing w:after="0" w:line="24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vested stock options awarded to employees and non-executive directors based on the grant date fair value under the Black-Scholes valuation model.</w:t>
      </w:r>
    </w:p>
    <w:p>
      <w:pPr>
        <w:spacing w:after="0" w:line="18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acquisition and integration costs resulting from various acquisitions. Included in the trailing twelve months ended June 30, 2011 and December 31, 2010, are $8.9 million of expenditures for certain legal settlements that have not been resolved with the indemnifying party. See Litigation in Note 11 of our unaudited condensed consolidated financial statements for further discussion on legal settlements.</w:t>
      </w:r>
    </w:p>
    <w:p>
      <w:pPr>
        <w:spacing w:after="0" w:line="172" w:lineRule="exact"/>
        <w:rPr>
          <w:rFonts w:ascii="Arial" w:cs="Arial" w:eastAsia="Arial" w:hAnsi="Arial"/>
          <w:sz w:val="17"/>
          <w:szCs w:val="17"/>
          <w:color w:val="auto"/>
        </w:rPr>
      </w:pPr>
    </w:p>
    <w:p>
      <w:pPr>
        <w:ind w:left="340" w:right="220" w:hanging="332"/>
        <w:spacing w:after="0" w:line="24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2009 consolidation of the Affiliated Entities and the 2011 consolidation of UVEST.</w:t>
      </w:r>
    </w:p>
    <w:p>
      <w:pPr>
        <w:spacing w:after="0" w:line="183" w:lineRule="exact"/>
        <w:rPr>
          <w:rFonts w:ascii="Arial" w:cs="Arial" w:eastAsia="Arial" w:hAnsi="Arial"/>
          <w:sz w:val="18"/>
          <w:szCs w:val="18"/>
          <w:color w:val="auto"/>
        </w:rPr>
      </w:pPr>
    </w:p>
    <w:p>
      <w:pPr>
        <w:jc w:val="both"/>
        <w:ind w:left="340" w:right="12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credit agreement to establish a new term loan tranche and to extend the maturity of an existing tranche on our senior credit facilities, and debt extinguishment costs to redeem our subordinated notes, as well as certain professional fees incurred.</w:t>
      </w:r>
    </w:p>
    <w:p>
      <w:pPr>
        <w:spacing w:after="0" w:line="189" w:lineRule="exact"/>
        <w:rPr>
          <w:rFonts w:ascii="Arial" w:cs="Arial" w:eastAsia="Arial" w:hAnsi="Arial"/>
          <w:sz w:val="18"/>
          <w:szCs w:val="18"/>
          <w:color w:val="auto"/>
        </w:rPr>
      </w:pPr>
    </w:p>
    <w:p>
      <w:pPr>
        <w:ind w:left="340" w:right="160" w:hanging="332"/>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equity issuance and related offering costs. Upon closing of the IPO in the fourth quarter of 2010, the restriction on approximately 7.4 million shares of common stock issued to advisors under our Fifth Amended and Restated 2000 Stock Bonus Plan was released. Accordingly, we recorded a share-based compensation charge of $222.0 million, representing the offering price of $30.00 per share multiplied by 7.4 million shares.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198" w:lineRule="exact"/>
        <w:rPr>
          <w:rFonts w:ascii="Arial" w:cs="Arial" w:eastAsia="Arial" w:hAnsi="Arial"/>
          <w:sz w:val="18"/>
          <w:szCs w:val="18"/>
          <w:color w:val="auto"/>
        </w:rPr>
      </w:pPr>
    </w:p>
    <w:p>
      <w:pPr>
        <w:ind w:left="340" w:right="26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Credit Agreement Adjusted EBITDA excludes pro forma general and administrative expenditures from acquisitions, as defined under the terms our senior secured credit agreement. There were no such adjustments for the twelve month periods ended June 30, 2011 and December 31,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93" w:lineRule="exact"/>
        <w:rPr>
          <w:sz w:val="20"/>
          <w:szCs w:val="20"/>
          <w:color w:val="auto"/>
        </w:rPr>
      </w:pPr>
    </w:p>
    <w:p>
      <w:pPr>
        <w:ind w:right="420" w:firstLine="240"/>
        <w:spacing w:after="0" w:line="234"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We use an interest rate swap agreement to hedge the variability on our floating interest rate for</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$65.0 million of our term loan under our senior secured credit facilities. We are required to pay the counterparty to the agreement fixed interest payments on a notional balance and in turn receive variable interest payments on that notional balance. Payments are settled quarterly on a net basis. As of June 30, 2011, we assessed our interest rate swap as being highly effective and we expect it to continue to be highly effective. While approximately $1.3 billion of our term loan remains unhedged as of June 30, 2011, the risk of variability on our floating interest rate is partially mitigated by the client margin loans on which we carry floating interest rates. At June 30, 2011, our receivables from our advisors’ clients for margin loan activity were approximately $252.0 million.</w:t>
      </w:r>
    </w:p>
    <w:p>
      <w:pPr>
        <w:sectPr>
          <w:pgSz w:w="11900" w:h="16838" w:orient="portrait"/>
          <w:cols w:equalWidth="0" w:num="1">
            <w:col w:w="11420"/>
          </w:cols>
          <w:pgMar w:left="240" w:top="419" w:right="2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280" w:firstLine="250"/>
        <w:spacing w:after="0"/>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11 and 16 to our unaudited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June 30,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4"/>
              <w:spacing w:after="0" w:line="143" w:lineRule="exact"/>
              <w:rPr>
                <w:sz w:val="20"/>
                <w:szCs w:val="20"/>
                <w:color w:val="auto"/>
              </w:rPr>
            </w:pPr>
            <w:r>
              <w:rPr>
                <w:rFonts w:ascii="Arial" w:cs="Arial" w:eastAsia="Arial" w:hAnsi="Arial"/>
                <w:sz w:val="14"/>
                <w:szCs w:val="14"/>
                <w:b w:val="1"/>
                <w:bCs w:val="1"/>
                <w:color w:val="auto"/>
              </w:rPr>
              <w:t>&lt; 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3"/>
              <w:spacing w:after="0" w:line="143" w:lineRule="exact"/>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53"/>
              <w:spacing w:after="0" w:line="143" w:lineRule="exact"/>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3"/>
              <w:spacing w:after="0" w:line="143" w:lineRule="exact"/>
              <w:rPr>
                <w:sz w:val="20"/>
                <w:szCs w:val="20"/>
                <w:color w:val="auto"/>
              </w:rPr>
            </w:pPr>
            <w:r>
              <w:rPr>
                <w:rFonts w:ascii="Arial" w:cs="Arial" w:eastAsia="Arial" w:hAnsi="Arial"/>
                <w:sz w:val="14"/>
                <w:szCs w:val="14"/>
                <w:b w:val="1"/>
                <w:bCs w:val="1"/>
                <w:color w:val="auto"/>
              </w:rPr>
              <w:t>&gt; 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w:t>
            </w:r>
          </w:p>
        </w:tc>
        <w:tc>
          <w:tcPr>
            <w:tcW w:w="18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75"/>
              </w:rPr>
              <w:t>(In</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Leases and other obligations(1)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80,372</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30,130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31,229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14,745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Senior secured term loan facilities(2)</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1,339,653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13,971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322,503</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476,035</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527,144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 fee on revolving line of credit(3)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1,261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1,148</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Variable interest payments: (4)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2013 Loan (Hedged)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Pr>
          <w:p>
            <w:pPr>
              <w:ind w:left="220"/>
              <w:spacing w:after="0" w:line="202" w:lineRule="exact"/>
              <w:rPr>
                <w:sz w:val="20"/>
                <w:szCs w:val="20"/>
                <w:color w:val="auto"/>
              </w:rPr>
            </w:pPr>
            <w:r>
              <w:rPr>
                <w:rFonts w:ascii="Arial" w:cs="Arial" w:eastAsia="Arial" w:hAnsi="Arial"/>
                <w:sz w:val="18"/>
                <w:szCs w:val="18"/>
                <w:color w:val="auto"/>
              </w:rPr>
              <w:t>2013 Loan (Unhedged)</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4,685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5,849</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2015 Loan (Unhedged)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20,635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40,510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19,660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Pr>
          <w:p>
            <w:pPr>
              <w:ind w:left="220"/>
              <w:spacing w:after="0" w:line="202" w:lineRule="exact"/>
              <w:rPr>
                <w:sz w:val="20"/>
                <w:szCs w:val="20"/>
                <w:color w:val="auto"/>
              </w:rPr>
            </w:pPr>
            <w:r>
              <w:rPr>
                <w:rFonts w:ascii="Arial" w:cs="Arial" w:eastAsia="Arial" w:hAnsi="Arial"/>
                <w:sz w:val="18"/>
                <w:szCs w:val="18"/>
                <w:color w:val="auto"/>
              </w:rPr>
              <w:t>2017 Loan (Unhedged)</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172,300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29,568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58,048</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56,892</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27,792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agreement(5)</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420"/>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1,690,433</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104,610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459,287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567,332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559,204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8661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3" w:lineRule="exact"/>
        <w:rPr>
          <w:sz w:val="20"/>
          <w:szCs w:val="20"/>
          <w:color w:val="auto"/>
        </w:rPr>
      </w:pPr>
    </w:p>
    <w:p>
      <w:pPr>
        <w:ind w:left="340" w:righ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$6.4 million due in the future under noncancelable subleases. Note 11 of our unaudited condensed consolidated financial statements provides further detail on operating lease obligations and obligations under noncancelable service contracts.</w:t>
      </w:r>
    </w:p>
    <w:p>
      <w:pPr>
        <w:spacing w:after="0" w:line="189" w:lineRule="exact"/>
        <w:rPr>
          <w:rFonts w:ascii="Arial" w:cs="Arial" w:eastAsia="Arial" w:hAnsi="Arial"/>
          <w:sz w:val="18"/>
          <w:szCs w:val="18"/>
          <w:color w:val="auto"/>
        </w:rPr>
      </w:pPr>
    </w:p>
    <w:p>
      <w:pPr>
        <w:ind w:left="340" w:right="280" w:hanging="332"/>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principal payments on our senior secured term loan facilities. See Note 9 of our unaudited condensed consolidated financial statements for further detail.</w:t>
      </w:r>
    </w:p>
    <w:p>
      <w:pPr>
        <w:spacing w:after="0" w:line="183"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senior secured revolving line of credit facility. See Note 9 of our unaudited condensed consolidated financial statements for further detail.</w:t>
      </w:r>
    </w:p>
    <w:p>
      <w:pPr>
        <w:spacing w:after="0" w:line="183" w:lineRule="exact"/>
        <w:rPr>
          <w:rFonts w:ascii="Arial" w:cs="Arial" w:eastAsia="Arial" w:hAnsi="Arial"/>
          <w:sz w:val="18"/>
          <w:szCs w:val="18"/>
          <w:color w:val="auto"/>
        </w:rPr>
      </w:pPr>
    </w:p>
    <w:p>
      <w:pPr>
        <w:ind w:left="340" w:right="60" w:hanging="332"/>
        <w:spacing w:after="0" w:line="275"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senior secured term loan facilities bear interest at floating rates. Variable interest payments are shown assuming the applicable LIBOR rates at June 30, 2011 remain unchanged. See Note 9 of our unaudited condensed consolidated financial statements for further detail.</w:t>
      </w:r>
    </w:p>
    <w:p>
      <w:pPr>
        <w:spacing w:after="0" w:line="159" w:lineRule="exact"/>
        <w:rPr>
          <w:rFonts w:ascii="Arial" w:cs="Arial" w:eastAsia="Arial" w:hAnsi="Arial"/>
          <w:sz w:val="17"/>
          <w:szCs w:val="17"/>
          <w:color w:val="auto"/>
        </w:rPr>
      </w:pPr>
    </w:p>
    <w:p>
      <w:pPr>
        <w:ind w:left="340" w:right="240" w:hanging="332"/>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fixed interest payments net of variable interest received on our interest rate swap agreements. See Note 10 of our unaudited condensed consolidated financial statements for further detail.</w:t>
      </w:r>
    </w:p>
    <w:p>
      <w:pPr>
        <w:spacing w:after="0" w:line="156" w:lineRule="exact"/>
        <w:rPr>
          <w:sz w:val="20"/>
          <w:szCs w:val="20"/>
          <w:color w:val="auto"/>
        </w:rPr>
      </w:pPr>
    </w:p>
    <w:p>
      <w:pPr>
        <w:jc w:val="both"/>
        <w:ind w:right="80" w:firstLine="240"/>
        <w:spacing w:after="0"/>
        <w:rPr>
          <w:sz w:val="20"/>
          <w:szCs w:val="20"/>
          <w:color w:val="auto"/>
        </w:rPr>
      </w:pPr>
      <w:r>
        <w:rPr>
          <w:rFonts w:ascii="Arial" w:cs="Arial" w:eastAsia="Arial" w:hAnsi="Arial"/>
          <w:sz w:val="18"/>
          <w:szCs w:val="18"/>
          <w:color w:val="auto"/>
        </w:rPr>
        <w:t>As of June 30, 2011, we reflect a liability for unrecognized tax benefits of $ 21.9 million, which we have included in income taxes payable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76" w:lineRule="exact"/>
        <w:rPr>
          <w:sz w:val="20"/>
          <w:szCs w:val="20"/>
          <w:color w:val="auto"/>
        </w:rPr>
      </w:pPr>
    </w:p>
    <w:p>
      <w:pPr>
        <w:jc w:val="both"/>
        <w:ind w:right="40" w:firstLine="240"/>
        <w:spacing w:after="0"/>
        <w:rPr>
          <w:sz w:val="20"/>
          <w:szCs w:val="20"/>
          <w:color w:val="auto"/>
        </w:rPr>
      </w:pPr>
      <w:r>
        <w:rPr>
          <w:rFonts w:ascii="Arial" w:cs="Arial" w:eastAsia="Arial" w:hAnsi="Arial"/>
          <w:sz w:val="18"/>
          <w:szCs w:val="18"/>
          <w:color w:val="auto"/>
        </w:rPr>
        <w:t>At June 30, 2011,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80" w:firstLine="250"/>
        <w:spacing w:after="0" w:line="238"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2010 Annual Report on Form 10-K, those accounting policies that we consider to be significant in determining our results of operations and financial condition. The accounting principles used in preparing our unaudited condensed consolidated financial statements conform in all material respects to GAAP. There have been no material changes to those policies that we consider to be significant since the filing of our 2010 Annual Report on Form 10-K except for the addition of the following: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When we acquire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68" w:lineRule="exact"/>
        <w:rPr>
          <w:sz w:val="20"/>
          <w:szCs w:val="20"/>
          <w:color w:val="auto"/>
        </w:rPr>
      </w:pPr>
    </w:p>
    <w:p>
      <w:pPr>
        <w:ind w:right="160" w:firstLine="240"/>
        <w:spacing w:after="0" w:line="239" w:lineRule="auto"/>
        <w:rPr>
          <w:sz w:val="20"/>
          <w:szCs w:val="20"/>
          <w:color w:val="auto"/>
        </w:rPr>
      </w:pPr>
      <w:r>
        <w:rPr>
          <w:rFonts w:ascii="Arial" w:cs="Arial" w:eastAsia="Arial" w:hAnsi="Arial"/>
          <w:sz w:val="18"/>
          <w:szCs w:val="18"/>
          <w:color w:val="auto"/>
        </w:rPr>
        <w:t>Accounting for business combinations requires our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75" w:lineRule="exact"/>
        <w:rPr>
          <w:sz w:val="20"/>
          <w:szCs w:val="20"/>
          <w:color w:val="auto"/>
        </w:rPr>
      </w:pPr>
    </w:p>
    <w:p>
      <w:pPr>
        <w:ind w:right="180" w:firstLine="250"/>
        <w:spacing w:after="0"/>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(i) future expected cash flows from client relationships, advisor relationships and product sponsor relationships; (ii) estimates to develop or use software; and (iii) discount rates.</w:t>
      </w:r>
    </w:p>
    <w:p>
      <w:pPr>
        <w:spacing w:after="0" w:line="162" w:lineRule="exact"/>
        <w:rPr>
          <w:sz w:val="20"/>
          <w:szCs w:val="20"/>
          <w:color w:val="auto"/>
        </w:rPr>
      </w:pPr>
    </w:p>
    <w:p>
      <w:pPr>
        <w:ind w:right="120" w:firstLine="250"/>
        <w:spacing w:after="0" w:line="238" w:lineRule="auto"/>
        <w:rPr>
          <w:sz w:val="20"/>
          <w:szCs w:val="20"/>
          <w:color w:val="auto"/>
        </w:rPr>
      </w:pPr>
      <w:r>
        <w:rPr>
          <w:rFonts w:ascii="Arial" w:cs="Arial" w:eastAsia="Arial" w:hAnsi="Arial"/>
          <w:sz w:val="18"/>
          <w:szCs w:val="18"/>
          <w:color w:val="auto"/>
        </w:rPr>
        <w:t>If we determine that a pre-acquisition contingency is probable in nature and estimable as of the acquisition date, we record our best estimate for such a contingency as a part of the preliminary purchase price allocation. We continue to gather information for and evaluate our pre-acquisition contingencies throughout the measurement period and if we make changes to the amounts recorded or if we identify additional pre-acquisition contingencies during the measurement period, such amounts will be included in the purchase price allocation during the measurement period and, subsequently, in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800" w:firstLine="250"/>
        <w:spacing w:after="0" w:line="246"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93"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161"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Changes in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175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179" w:lineRule="exact"/>
        <w:rPr>
          <w:sz w:val="20"/>
          <w:szCs w:val="20"/>
          <w:color w:val="auto"/>
        </w:rPr>
      </w:pPr>
    </w:p>
    <w:p>
      <w:pPr>
        <w:ind w:right="120" w:firstLine="240"/>
        <w:spacing w:after="0" w:line="239" w:lineRule="auto"/>
        <w:rPr>
          <w:sz w:val="20"/>
          <w:szCs w:val="20"/>
          <w:color w:val="auto"/>
        </w:rPr>
      </w:pPr>
      <w:r>
        <w:rPr>
          <w:rFonts w:ascii="Arial" w:cs="Arial" w:eastAsia="Arial" w:hAnsi="Arial"/>
          <w:sz w:val="18"/>
          <w:szCs w:val="18"/>
          <w:color w:val="auto"/>
        </w:rPr>
        <w:t>At June 30, 2011, the fair value of our trading securities owned were $9.7 million. Securities sold but not yet purchased were $4.1 million at June 30, 2011. See Note 5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171" w:lineRule="exact"/>
        <w:rPr>
          <w:sz w:val="20"/>
          <w:szCs w:val="20"/>
          <w:color w:val="auto"/>
        </w:rPr>
      </w:pPr>
    </w:p>
    <w:p>
      <w:pPr>
        <w:ind w:right="260" w:firstLine="250"/>
        <w:spacing w:after="0" w:line="246"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We are exposed to risk associated with changes in interest rates. As of June 30, 2011, all of the outstanding debt under our senior secured credit facilities, $1.3 billion, was subject to floating interest rate risk. To provide some protection against potential rate increases associated with our floating senior secured credit facilities, we have entered into a derivative instrument in the form of an interest rate swap agreement with Morgan Stanley Capital Services, Inc. covering a portion ($65.0 million) of our senior secured indebtedness. While the unhedged portion of our senior secured debt is subject to increases in interest rates, we do not believe that a short-term change in interest rates would have a material impact on our income before taxes.</w:t>
      </w:r>
    </w:p>
    <w:p>
      <w:pPr>
        <w:spacing w:after="0" w:line="165" w:lineRule="exact"/>
        <w:rPr>
          <w:sz w:val="20"/>
          <w:szCs w:val="20"/>
          <w:color w:val="auto"/>
        </w:rPr>
      </w:pPr>
    </w:p>
    <w:p>
      <w:pPr>
        <w:ind w:right="760" w:firstLine="247"/>
        <w:spacing w:after="0" w:line="246"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June 30, 2011: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Outstanding at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0"/>
          </w:tcPr>
          <w:p>
            <w:pPr>
              <w:ind w:left="640"/>
              <w:spacing w:after="0"/>
              <w:rPr>
                <w:sz w:val="20"/>
                <w:szCs w:val="20"/>
                <w:color w:val="auto"/>
              </w:rPr>
            </w:pPr>
            <w:r>
              <w:rPr>
                <w:rFonts w:ascii="Arial" w:cs="Arial" w:eastAsia="Arial" w:hAnsi="Arial"/>
                <w:sz w:val="14"/>
                <w:szCs w:val="14"/>
                <w:b w:val="1"/>
                <w:bCs w:val="1"/>
                <w:color w:val="auto"/>
              </w:rPr>
              <w:t>Annual Impact of an Interest Rate Increase of</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ind w:left="120"/>
              <w:spacing w:after="0" w:line="143"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10 Basis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25 Basis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50 Basis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100 Basis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Senior Secured Term 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Rates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Points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Points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Points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Points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 Term Loan (Hedged)(1)</w:t>
            </w:r>
          </w:p>
        </w:tc>
        <w:tc>
          <w:tcPr>
            <w:tcW w:w="40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2013 Term Loan (Unhedged)(2)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239,074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2015 Term Loan (Unhedged)(3)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479,435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2017 Term Loan (Unhedged)(3)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556,144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Variable Rate Debt Outstanding</w:t>
            </w:r>
          </w:p>
        </w:tc>
        <w:tc>
          <w:tcPr>
            <w:tcW w:w="2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1,339,653</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1,189</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40" w:right="100" w:hanging="332"/>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portion of our 2013 Term Loan that is hedged by interest rate swap agreements, which have been designated as cash flow hedges against specific payments due on the 2013 Term Loan. Accordingly, any interest rate differential is reflected in an adjustment to interest expense over the term of the interest rate swap agreements. The variable interest rate for the hedged portion of our 2013 Term Loan is based on the three-month LIBOR of 0.25%, plus the applicable interest rate margin of 1.75%.</w:t>
      </w:r>
    </w:p>
    <w:p>
      <w:pPr>
        <w:spacing w:after="0" w:line="188" w:lineRule="exact"/>
        <w:rPr>
          <w:rFonts w:ascii="Arial" w:cs="Arial" w:eastAsia="Arial" w:hAnsi="Arial"/>
          <w:sz w:val="18"/>
          <w:szCs w:val="18"/>
          <w:color w:val="auto"/>
        </w:rPr>
      </w:pPr>
    </w:p>
    <w:p>
      <w:pPr>
        <w:ind w:left="340" w:right="8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unhedged portion of our 2013 Term Loan outstanding at June 30, 2011. The variable interest rate for the unhedged portion of our 2013 Term Loan is based on the one-month LIBOR of 0.19%, plus the applicable interest rate margin of 1.75%.</w:t>
      </w:r>
    </w:p>
    <w:p>
      <w:pPr>
        <w:spacing w:after="0" w:line="183" w:lineRule="exact"/>
        <w:rPr>
          <w:rFonts w:ascii="Arial" w:cs="Arial" w:eastAsia="Arial" w:hAnsi="Arial"/>
          <w:sz w:val="18"/>
          <w:szCs w:val="18"/>
          <w:color w:val="auto"/>
        </w:rPr>
      </w:pPr>
    </w:p>
    <w:p>
      <w:pPr>
        <w:ind w:left="340" w:right="30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variable interest rate for our 2015 Term Loan and our 2017 Term Loan is based on the greater of the one-month LIBOR of 0.19% or 1.50%, plus an applicable interest rate margin.</w:t>
      </w:r>
    </w:p>
    <w:p>
      <w:pPr>
        <w:spacing w:after="0" w:line="170" w:lineRule="exact"/>
        <w:rPr>
          <w:sz w:val="20"/>
          <w:szCs w:val="20"/>
          <w:color w:val="auto"/>
        </w:rPr>
      </w:pPr>
    </w:p>
    <w:p>
      <w:pPr>
        <w:ind w:right="20" w:firstLine="250"/>
        <w:spacing w:after="0" w:line="236"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joint) of FDIC insurance for client deposits custodied at the banks. While clients earn interest for balances on deposit in the insured cash programs, we earn a fee. Our fees from the insured cash programs are based on prevailing interest rates in the current interest rate environment, but may be adjusted in an increasing or decreasing interest rate environment or for other reasons.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167" w:lineRule="exact"/>
        <w:rPr>
          <w:sz w:val="20"/>
          <w:szCs w:val="20"/>
          <w:color w:val="auto"/>
        </w:rPr>
      </w:pPr>
    </w:p>
    <w:p>
      <w:pPr>
        <w:ind w:right="40" w:firstLine="247"/>
        <w:spacing w:after="0"/>
        <w:rPr>
          <w:sz w:val="20"/>
          <w:szCs w:val="20"/>
          <w:color w:val="auto"/>
        </w:rPr>
      </w:pPr>
      <w:r>
        <w:rPr>
          <w:rFonts w:ascii="Arial" w:cs="Arial" w:eastAsia="Arial" w:hAnsi="Arial"/>
          <w:sz w:val="18"/>
          <w:szCs w:val="18"/>
          <w:color w:val="auto"/>
        </w:rPr>
        <w:t>The average Federal Reserve effective federal funds rate for the three months ended June 30, 2011 was 0.09%. The following table reflects the approximate annual impact to income before taxes on our insured cash programs (assuming that client balances at June 30, 2011 remain unchanged) of an upward or downward change in short-term interest rates of one basis point: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60" w:type="dxa"/>
            <w:vAlign w:val="bottom"/>
          </w:tcPr>
          <w:p>
            <w:pPr>
              <w:jc w:val="center"/>
              <w:ind w:right="1044"/>
              <w:spacing w:after="0"/>
              <w:rPr>
                <w:sz w:val="20"/>
                <w:szCs w:val="20"/>
                <w:color w:val="auto"/>
              </w:rPr>
            </w:pPr>
            <w:r>
              <w:rPr>
                <w:rFonts w:ascii="Arial" w:cs="Arial" w:eastAsia="Arial" w:hAnsi="Arial"/>
                <w:sz w:val="14"/>
                <w:szCs w:val="14"/>
                <w:b w:val="1"/>
                <w:bCs w:val="1"/>
                <w:color w:val="auto"/>
              </w:rPr>
              <w:t>Annualized Increase or Decrease of Income</w:t>
            </w:r>
          </w:p>
        </w:tc>
      </w:tr>
      <w:tr>
        <w:trPr>
          <w:trHeight w:val="175"/>
        </w:trPr>
        <w:tc>
          <w:tcPr>
            <w:tcW w:w="42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Federal Reserve Effective Federal Funds Rate</w:t>
            </w:r>
          </w:p>
        </w:tc>
        <w:tc>
          <w:tcPr>
            <w:tcW w:w="120" w:type="dxa"/>
            <w:vAlign w:val="bottom"/>
          </w:tcPr>
          <w:p>
            <w:pPr>
              <w:spacing w:after="0"/>
              <w:rPr>
                <w:sz w:val="15"/>
                <w:szCs w:val="15"/>
                <w:color w:val="auto"/>
              </w:rPr>
            </w:pPr>
          </w:p>
        </w:tc>
        <w:tc>
          <w:tcPr>
            <w:tcW w:w="7060" w:type="dxa"/>
            <w:vAlign w:val="bottom"/>
            <w:tcBorders>
              <w:bottom w:val="single" w:sz="8" w:color="auto"/>
            </w:tcBorders>
          </w:tcPr>
          <w:p>
            <w:pPr>
              <w:jc w:val="center"/>
              <w:ind w:right="1044"/>
              <w:spacing w:after="0"/>
              <w:rPr>
                <w:sz w:val="20"/>
                <w:szCs w:val="20"/>
                <w:color w:val="auto"/>
              </w:rPr>
            </w:pPr>
            <w:r>
              <w:rPr>
                <w:rFonts w:ascii="Arial" w:cs="Arial" w:eastAsia="Arial" w:hAnsi="Arial"/>
                <w:sz w:val="14"/>
                <w:szCs w:val="14"/>
                <w:b w:val="1"/>
                <w:bCs w:val="1"/>
                <w:color w:val="auto"/>
              </w:rPr>
              <w:t>Before Taxes per One Basis Point Change</w:t>
            </w:r>
          </w:p>
        </w:tc>
      </w:tr>
      <w:tr>
        <w:trPr>
          <w:trHeight w:val="184"/>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60" w:type="dxa"/>
            <w:vAlign w:val="bottom"/>
          </w:tcPr>
          <w:p>
            <w:pPr>
              <w:jc w:val="center"/>
              <w:ind w:right="1064"/>
              <w:spacing w:after="0"/>
              <w:rPr>
                <w:sz w:val="20"/>
                <w:szCs w:val="20"/>
                <w:color w:val="auto"/>
              </w:rPr>
            </w:pPr>
            <w:r>
              <w:rPr>
                <w:rFonts w:ascii="Arial" w:cs="Arial" w:eastAsia="Arial" w:hAnsi="Arial"/>
                <w:sz w:val="14"/>
                <w:szCs w:val="14"/>
                <w:b w:val="1"/>
                <w:bCs w:val="1"/>
                <w:color w:val="auto"/>
              </w:rPr>
              <w:t>(Dollars in thousands)</w:t>
            </w:r>
          </w:p>
        </w:tc>
      </w:tr>
      <w:tr>
        <w:trPr>
          <w:trHeight w:val="39"/>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60" w:type="dxa"/>
            <w:vAlign w:val="bottom"/>
          </w:tcPr>
          <w:p>
            <w:pPr>
              <w:spacing w:after="0"/>
              <w:rPr>
                <w:sz w:val="3"/>
                <w:szCs w:val="3"/>
                <w:color w:val="auto"/>
              </w:rPr>
            </w:pPr>
          </w:p>
        </w:tc>
      </w:tr>
      <w:tr>
        <w:trPr>
          <w:trHeight w:val="203"/>
        </w:trPr>
        <w:tc>
          <w:tcPr>
            <w:tcW w:w="4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0.00% - 0.25%</w:t>
            </w:r>
          </w:p>
        </w:tc>
        <w:tc>
          <w:tcPr>
            <w:tcW w:w="71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  1,300</w:t>
            </w:r>
          </w:p>
        </w:tc>
      </w:tr>
      <w:tr>
        <w:trPr>
          <w:trHeight w:val="203"/>
        </w:trPr>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99"/>
              </w:rPr>
              <w:t>0.26% - 1.25%</w:t>
            </w:r>
          </w:p>
        </w:tc>
        <w:tc>
          <w:tcPr>
            <w:tcW w:w="7180" w:type="dxa"/>
            <w:vAlign w:val="bottom"/>
            <w:gridSpan w:val="2"/>
          </w:tcPr>
          <w:p>
            <w:pPr>
              <w:jc w:val="right"/>
              <w:ind w:right="264"/>
              <w:spacing w:after="0" w:line="202" w:lineRule="exact"/>
              <w:rPr>
                <w:sz w:val="20"/>
                <w:szCs w:val="20"/>
                <w:color w:val="auto"/>
              </w:rPr>
            </w:pPr>
            <w:r>
              <w:rPr>
                <w:rFonts w:ascii="Arial" w:cs="Arial" w:eastAsia="Arial" w:hAnsi="Arial"/>
                <w:sz w:val="18"/>
                <w:szCs w:val="18"/>
                <w:color w:val="auto"/>
              </w:rPr>
              <w:t>600</w:t>
            </w:r>
          </w:p>
        </w:tc>
      </w:tr>
      <w:tr>
        <w:trPr>
          <w:trHeight w:val="203"/>
        </w:trPr>
        <w:tc>
          <w:tcPr>
            <w:tcW w:w="4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1.26% - 2.50%</w:t>
            </w:r>
          </w:p>
        </w:tc>
        <w:tc>
          <w:tcPr>
            <w:tcW w:w="71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300</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rPr>
              <w:t>&gt; 2.50%</w:t>
            </w:r>
          </w:p>
        </w:tc>
        <w:tc>
          <w:tcPr>
            <w:tcW w:w="120" w:type="dxa"/>
            <w:vAlign w:val="bottom"/>
          </w:tcPr>
          <w:p>
            <w:pPr>
              <w:spacing w:after="0"/>
              <w:rPr>
                <w:sz w:val="18"/>
                <w:szCs w:val="18"/>
                <w:color w:val="auto"/>
              </w:rPr>
            </w:pPr>
          </w:p>
        </w:tc>
        <w:tc>
          <w:tcPr>
            <w:tcW w:w="7060" w:type="dxa"/>
            <w:vAlign w:val="bottom"/>
          </w:tcPr>
          <w:p>
            <w:pPr>
              <w:jc w:val="right"/>
              <w:ind w:right="264"/>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ind w:right="240" w:firstLine="240"/>
        <w:spacing w:after="0" w:line="246" w:lineRule="auto"/>
        <w:rPr>
          <w:sz w:val="20"/>
          <w:szCs w:val="20"/>
          <w:color w:val="auto"/>
        </w:rPr>
      </w:pPr>
      <w:r>
        <w:rPr>
          <w:rFonts w:ascii="Arial" w:cs="Arial" w:eastAsia="Arial" w:hAnsi="Arial"/>
          <w:sz w:val="18"/>
          <w:szCs w:val="18"/>
          <w:color w:val="auto"/>
        </w:rPr>
        <w:t>Actual impacts may vary depending on interest rate levels, the significance of change, and the FRS committee’s strategy in responding to that change.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93"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162" w:lineRule="exact"/>
        <w:rPr>
          <w:sz w:val="20"/>
          <w:szCs w:val="20"/>
          <w:color w:val="auto"/>
        </w:rPr>
      </w:pPr>
    </w:p>
    <w:p>
      <w:pPr>
        <w:ind w:right="400" w:firstLine="247"/>
        <w:spacing w:after="0" w:line="239"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175" w:lineRule="exact"/>
        <w:rPr>
          <w:sz w:val="20"/>
          <w:szCs w:val="20"/>
          <w:color w:val="auto"/>
        </w:rPr>
      </w:pPr>
    </w:p>
    <w:p>
      <w:pPr>
        <w:ind w:right="20" w:firstLine="240"/>
        <w:spacing w:after="0" w:line="238"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three months ended June 30, 2011 and 2010.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250"/>
        <w:spacing w:after="0" w:line="237"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07"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 or advisors, we could suffer financial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93" w:lineRule="exact"/>
        <w:rPr>
          <w:sz w:val="20"/>
          <w:szCs w:val="20"/>
          <w:color w:val="auto"/>
        </w:rPr>
      </w:pPr>
    </w:p>
    <w:p>
      <w:pPr>
        <w:ind w:right="40" w:firstLine="250"/>
        <w:spacing w:after="0" w:line="234"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consolidated financial statements, (ii) our compliance with legal and regulatory requirements that may impact our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 (i) overseeing our efforts to attract, retain and motivate members of our senior management team in partnership with the Chief Executive Officer, (ii) to carry out the Board’s overall responsibility relating to the determination of compensation for all executive officers, (iii) to oversee all other aspects of our compensation and human resource policies and</w:t>
      </w:r>
    </w:p>
    <w:p>
      <w:pPr>
        <w:spacing w:after="0" w:line="5" w:lineRule="exact"/>
        <w:rPr>
          <w:sz w:val="20"/>
          <w:szCs w:val="20"/>
          <w:color w:val="auto"/>
        </w:rPr>
      </w:pPr>
    </w:p>
    <w:p>
      <w:pPr>
        <w:ind w:right="320" w:firstLine="8"/>
        <w:spacing w:after="0" w:line="246"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oversee our management resources, succession planning and management development activities. We also have established a Risk Oversight Committee comprised of a group of our senior-most executives to oversee the management of our business risks.</w:t>
      </w:r>
    </w:p>
    <w:p>
      <w:pPr>
        <w:spacing w:after="0" w:line="156"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07" w:lineRule="exact"/>
        <w:rPr>
          <w:sz w:val="20"/>
          <w:szCs w:val="20"/>
          <w:color w:val="auto"/>
        </w:rPr>
      </w:pPr>
    </w:p>
    <w:p>
      <w:pPr>
        <w:ind w:firstLine="247"/>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2011, that have materially affected, or are reasonably likely to materially affect, our internal control over financial reporting.</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160" w:firstLine="250"/>
        <w:spacing w:after="0" w:line="246"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2010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information regarding repurchases on a monthly basis during the second quarter of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Total Number</w:t>
            </w:r>
          </w:p>
        </w:tc>
        <w:tc>
          <w:tcPr>
            <w:tcW w:w="3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of Shares</w:t>
            </w:r>
          </w:p>
        </w:tc>
        <w:tc>
          <w:tcPr>
            <w:tcW w:w="3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Purchased as</w:t>
            </w:r>
          </w:p>
        </w:tc>
        <w:tc>
          <w:tcPr>
            <w:tcW w:w="30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Total Number</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Part of Publicly</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Shares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Announced</w:t>
            </w:r>
          </w:p>
        </w:tc>
        <w:tc>
          <w:tcPr>
            <w:tcW w:w="160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5"/>
        </w:trPr>
        <w:tc>
          <w:tcPr>
            <w:tcW w:w="582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Purchased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Program</w:t>
            </w:r>
          </w:p>
        </w:tc>
        <w:tc>
          <w:tcPr>
            <w:tcW w:w="300" w:type="dxa"/>
            <w:vAlign w:val="bottom"/>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the Program(1)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May 26, 2011 through May 31, 2011</w:t>
            </w:r>
          </w:p>
        </w:tc>
        <w:tc>
          <w:tcPr>
            <w:tcW w:w="11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262,114</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35.39</w:t>
            </w:r>
          </w:p>
        </w:tc>
        <w:tc>
          <w:tcPr>
            <w:tcW w:w="178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262,114</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70,723,626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tcPr>
          <w:p>
            <w:pPr>
              <w:spacing w:after="0" w:line="202" w:lineRule="exact"/>
              <w:rPr>
                <w:sz w:val="20"/>
                <w:szCs w:val="20"/>
                <w:color w:val="auto"/>
              </w:rPr>
            </w:pPr>
            <w:r>
              <w:rPr>
                <w:rFonts w:ascii="Arial" w:cs="Arial" w:eastAsia="Arial" w:hAnsi="Arial"/>
                <w:sz w:val="18"/>
                <w:szCs w:val="18"/>
                <w:color w:val="auto"/>
              </w:rPr>
              <w:t>June 1, 2011 through June 30, 2011</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2,021,740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34.77</w:t>
            </w:r>
          </w:p>
        </w:tc>
        <w:tc>
          <w:tcPr>
            <w:tcW w:w="17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2,021,740</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432,112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2,283,854</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34.84</w:t>
            </w:r>
          </w:p>
        </w:tc>
        <w:tc>
          <w:tcPr>
            <w:tcW w:w="17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2,283,854</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432,112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100" w:hanging="332"/>
        <w:spacing w:after="0" w:line="261"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May 25, 2011, the Board of Directors approved a share repurchase program pursuant to which the Company may repurchase up to $80.0 million of its issued and outstanding shares of common stock through May 31, 2013. The purchases will be effected in open market transactions with the timing of purchases and the amount of stock purchased determined at the discretion of the Company’s management.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10400" w:type="dxa"/>
            <w:vAlign w:val="bottom"/>
          </w:tcPr>
          <w:p>
            <w:pPr>
              <w:ind w:left="2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03"/>
        </w:trPr>
        <w:tc>
          <w:tcPr>
            <w:tcW w:w="1020" w:type="dxa"/>
            <w:vAlign w:val="bottom"/>
          </w:tcPr>
          <w:p>
            <w:pPr>
              <w:spacing w:after="0"/>
              <w:rPr>
                <w:sz w:val="17"/>
                <w:szCs w:val="17"/>
                <w:color w:val="auto"/>
              </w:rPr>
            </w:pP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03"/>
        </w:trPr>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3.2</w:t>
            </w: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Second Amended and Restated Bylaws (previously filed as Exhibit 3.1 to the Current Report on Form 8-K (File Number 000-</w:t>
            </w:r>
          </w:p>
        </w:tc>
      </w:tr>
      <w:tr>
        <w:trPr>
          <w:trHeight w:val="203"/>
        </w:trPr>
        <w:tc>
          <w:tcPr>
            <w:tcW w:w="1020" w:type="dxa"/>
            <w:vAlign w:val="bottom"/>
          </w:tcPr>
          <w:p>
            <w:pPr>
              <w:spacing w:after="0"/>
              <w:rPr>
                <w:sz w:val="17"/>
                <w:szCs w:val="17"/>
                <w:color w:val="auto"/>
              </w:rPr>
            </w:pP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52609) on July 23, 2010 and incorporated herein by reference,</w:t>
            </w:r>
          </w:p>
        </w:tc>
      </w:tr>
      <w:tr>
        <w:trPr>
          <w:trHeight w:val="203"/>
        </w:trPr>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31.1</w:t>
            </w: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03"/>
        </w:trPr>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31.2</w:t>
            </w: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03"/>
        </w:trPr>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32.1</w:t>
            </w: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03"/>
        </w:trPr>
        <w:tc>
          <w:tcPr>
            <w:tcW w:w="1020" w:type="dxa"/>
            <w:vAlign w:val="bottom"/>
          </w:tcPr>
          <w:p>
            <w:pPr>
              <w:spacing w:after="0"/>
              <w:rPr>
                <w:sz w:val="17"/>
                <w:szCs w:val="17"/>
                <w:color w:val="auto"/>
              </w:rPr>
            </w:pP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Sarbanes-Oxley Act of 2002 (furnished herewith).</w:t>
            </w:r>
          </w:p>
        </w:tc>
      </w:tr>
      <w:tr>
        <w:trPr>
          <w:trHeight w:val="203"/>
        </w:trPr>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32.2</w:t>
            </w: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Sarbanes-Oxley Act of 2002 (furnished herewith).</w:t>
            </w:r>
          </w:p>
        </w:tc>
      </w:tr>
      <w:tr>
        <w:trPr>
          <w:trHeight w:val="391"/>
        </w:trPr>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101.INS</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03"/>
        </w:trPr>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101.SCH</w:t>
            </w:r>
          </w:p>
        </w:tc>
        <w:tc>
          <w:tcPr>
            <w:tcW w:w="10400" w:type="dxa"/>
            <w:vAlign w:val="bottom"/>
          </w:tcPr>
          <w:p>
            <w:pPr>
              <w:ind w:left="280"/>
              <w:spacing w:after="0" w:line="202" w:lineRule="exact"/>
              <w:rPr>
                <w:sz w:val="20"/>
                <w:szCs w:val="20"/>
                <w:color w:val="auto"/>
              </w:rPr>
            </w:pPr>
            <w:r>
              <w:rPr>
                <w:rFonts w:ascii="Arial" w:cs="Arial" w:eastAsia="Arial" w:hAnsi="Arial"/>
                <w:sz w:val="18"/>
                <w:szCs w:val="18"/>
                <w:color w:val="auto"/>
              </w:rPr>
              <w:t>XBRL Taxonomy Extension Schema</w:t>
            </w:r>
          </w:p>
        </w:tc>
      </w:tr>
      <w:tr>
        <w:trPr>
          <w:trHeight w:val="217"/>
        </w:trPr>
        <w:tc>
          <w:tcPr>
            <w:tcW w:w="1020" w:type="dxa"/>
            <w:vAlign w:val="bottom"/>
          </w:tcPr>
          <w:p>
            <w:pPr>
              <w:jc w:val="right"/>
              <w:ind w:right="170"/>
              <w:spacing w:after="0"/>
              <w:rPr>
                <w:sz w:val="20"/>
                <w:szCs w:val="20"/>
                <w:color w:val="auto"/>
              </w:rPr>
            </w:pPr>
            <w:r>
              <w:rPr>
                <w:rFonts w:ascii="Arial" w:cs="Arial" w:eastAsia="Arial" w:hAnsi="Arial"/>
                <w:sz w:val="18"/>
                <w:szCs w:val="18"/>
                <w:color w:val="auto"/>
              </w:rPr>
              <w:t>101.CAL</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Calculation</w:t>
            </w:r>
          </w:p>
        </w:tc>
      </w:tr>
      <w:tr>
        <w:trPr>
          <w:trHeight w:val="378"/>
        </w:trPr>
        <w:tc>
          <w:tcPr>
            <w:tcW w:w="102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51</w:t>
            </w:r>
          </w:p>
        </w:tc>
      </w:tr>
      <w:tr>
        <w:trPr>
          <w:trHeight w:val="213"/>
        </w:trPr>
        <w:tc>
          <w:tcPr>
            <w:tcW w:w="1020" w:type="dxa"/>
            <w:vAlign w:val="bottom"/>
            <w:tcBorders>
              <w:bottom w:val="single" w:sz="8" w:color="808080"/>
            </w:tcBorders>
          </w:tcPr>
          <w:p>
            <w:pPr>
              <w:spacing w:after="0"/>
              <w:rPr>
                <w:sz w:val="18"/>
                <w:szCs w:val="18"/>
                <w:color w:val="auto"/>
              </w:rPr>
            </w:pPr>
          </w:p>
        </w:tc>
        <w:tc>
          <w:tcPr>
            <w:tcW w:w="10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101.LAB</w:t>
            </w:r>
          </w:p>
        </w:tc>
        <w:tc>
          <w:tcPr>
            <w:tcW w:w="3520" w:type="dxa"/>
            <w:vAlign w:val="bottom"/>
          </w:tcPr>
          <w:p>
            <w:pPr>
              <w:ind w:left="280"/>
              <w:spacing w:after="0"/>
              <w:rPr>
                <w:sz w:val="20"/>
                <w:szCs w:val="20"/>
                <w:color w:val="auto"/>
              </w:rPr>
            </w:pPr>
            <w:r>
              <w:rPr>
                <w:rFonts w:ascii="Arial" w:cs="Arial" w:eastAsia="Arial" w:hAnsi="Arial"/>
                <w:sz w:val="18"/>
                <w:szCs w:val="18"/>
                <w:color w:val="auto"/>
              </w:rPr>
              <w:t>XBRL Taxonomy Extension Label</w:t>
            </w:r>
          </w:p>
        </w:tc>
      </w:tr>
      <w:tr>
        <w:trPr>
          <w:trHeight w:val="217"/>
        </w:trPr>
        <w:tc>
          <w:tcPr>
            <w:tcW w:w="1000" w:type="dxa"/>
            <w:vAlign w:val="bottom"/>
          </w:tcPr>
          <w:p>
            <w:pPr>
              <w:jc w:val="right"/>
              <w:ind w:right="190"/>
              <w:spacing w:after="0"/>
              <w:rPr>
                <w:sz w:val="20"/>
                <w:szCs w:val="20"/>
                <w:color w:val="auto"/>
              </w:rPr>
            </w:pPr>
            <w:r>
              <w:rPr>
                <w:rFonts w:ascii="Arial" w:cs="Arial" w:eastAsia="Arial" w:hAnsi="Arial"/>
                <w:sz w:val="18"/>
                <w:szCs w:val="18"/>
                <w:color w:val="auto"/>
                <w:w w:val="97"/>
              </w:rPr>
              <w:t>101.PRE</w:t>
            </w:r>
          </w:p>
        </w:tc>
        <w:tc>
          <w:tcPr>
            <w:tcW w:w="352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w:t>
            </w:r>
          </w:p>
        </w:tc>
      </w:tr>
    </w:tbl>
    <w:p>
      <w:pPr>
        <w:spacing w:after="0" w:line="17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LPL Investment Holdings Inc.</w:t>
      </w:r>
    </w:p>
    <w:p>
      <w:pPr>
        <w:spacing w:after="0" w:line="22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August 3, 2011</w:t>
      </w:r>
      <w:r>
        <w:rPr>
          <w:sz w:val="20"/>
          <w:szCs w:val="20"/>
          <w:color w:val="auto"/>
        </w:rPr>
        <w:tab/>
      </w:r>
      <w:r>
        <w:rPr>
          <w:rFonts w:ascii="Arial" w:cs="Arial" w:eastAsia="Arial" w:hAnsi="Arial"/>
          <w:sz w:val="18"/>
          <w:szCs w:val="18"/>
          <w:color w:val="auto"/>
        </w:rPr>
        <w:t>By: /s/ M</w:t>
      </w:r>
      <w:r>
        <w:rPr>
          <w:rFonts w:ascii="Arial" w:cs="Arial" w:eastAsia="Arial" w:hAnsi="Arial"/>
          <w:sz w:val="12"/>
          <w:szCs w:val="12"/>
          <w:color w:val="auto"/>
        </w:rPr>
        <w:t>ARK</w:t>
      </w:r>
      <w:r>
        <w:rPr>
          <w:rFonts w:ascii="Arial" w:cs="Arial" w:eastAsia="Arial" w:hAnsi="Arial"/>
          <w:sz w:val="18"/>
          <w:szCs w:val="18"/>
          <w:color w:val="auto"/>
        </w:rPr>
        <w:t xml:space="preserve"> S. C</w:t>
      </w:r>
      <w:r>
        <w:rPr>
          <w:rFonts w:ascii="Arial" w:cs="Arial" w:eastAsia="Arial" w:hAnsi="Arial"/>
          <w:sz w:val="12"/>
          <w:szCs w:val="12"/>
          <w:color w:val="auto"/>
        </w:rPr>
        <w:t>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Mark S. Casady</w:t>
      </w: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198"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August 3, 2011</w:t>
      </w:r>
      <w:r>
        <w:rPr>
          <w:sz w:val="20"/>
          <w:szCs w:val="20"/>
          <w:color w:val="auto"/>
        </w:rPr>
        <w:tab/>
      </w: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J. M</w:t>
      </w:r>
      <w:r>
        <w:rPr>
          <w:rFonts w:ascii="Arial" w:cs="Arial" w:eastAsia="Arial" w:hAnsi="Arial"/>
          <w:sz w:val="12"/>
          <w:szCs w:val="12"/>
          <w:color w:val="auto"/>
        </w:rPr>
        <w:t>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Robert J. Moore</w:t>
      </w:r>
    </w:p>
    <w:p>
      <w:pPr>
        <w:ind w:left="5720"/>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19" w:right="2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171" w:lineRule="exact"/>
        <w:rPr>
          <w:sz w:val="20"/>
          <w:szCs w:val="20"/>
          <w:color w:val="auto"/>
        </w:rPr>
      </w:pPr>
    </w:p>
    <w:p>
      <w:pPr>
        <w:ind w:left="460" w:hanging="20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 of LPL Investment Holdings Inc.;</w:t>
      </w:r>
    </w:p>
    <w:p>
      <w:pPr>
        <w:spacing w:after="0" w:line="171" w:lineRule="exact"/>
        <w:rPr>
          <w:rFonts w:ascii="Arial" w:cs="Arial" w:eastAsia="Arial" w:hAnsi="Arial"/>
          <w:sz w:val="18"/>
          <w:szCs w:val="18"/>
          <w:color w:val="auto"/>
        </w:rPr>
      </w:pPr>
    </w:p>
    <w:p>
      <w:pPr>
        <w:ind w:right="120" w:firstLine="258"/>
        <w:spacing w:after="0"/>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right="500" w:firstLine="258"/>
        <w:spacing w:after="0" w:line="246" w:lineRule="auto"/>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right="220" w:firstLine="258"/>
        <w:spacing w:after="0"/>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240" w:right="420" w:firstLine="246"/>
        <w:spacing w:after="0"/>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ind w:left="240" w:firstLine="246"/>
        <w:spacing w:after="0"/>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240" w:right="40" w:firstLine="246"/>
        <w:spacing w:after="0" w:line="275" w:lineRule="auto"/>
        <w:tabs>
          <w:tab w:leader="none" w:pos="75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ind w:left="240" w:right="20" w:firstLine="246"/>
        <w:spacing w:after="0"/>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right="640" w:firstLine="258"/>
        <w:spacing w:after="0"/>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240" w:right="340" w:firstLine="246"/>
        <w:spacing w:after="0" w:line="246" w:lineRule="auto"/>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240" w:right="580" w:firstLine="246"/>
        <w:spacing w:after="0" w:line="246" w:lineRule="auto"/>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Mark S. Casady</w:t>
      </w:r>
    </w:p>
    <w:p>
      <w:pPr>
        <w:ind w:left="550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Robert J. Moore, certify that:</w:t>
      </w:r>
    </w:p>
    <w:p>
      <w:pPr>
        <w:spacing w:after="0" w:line="171" w:lineRule="exact"/>
        <w:rPr>
          <w:sz w:val="20"/>
          <w:szCs w:val="20"/>
          <w:color w:val="auto"/>
        </w:rPr>
      </w:pPr>
    </w:p>
    <w:p>
      <w:pPr>
        <w:ind w:left="460" w:hanging="20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10-Q of LPL Investment Holdings Inc.;</w:t>
      </w:r>
    </w:p>
    <w:p>
      <w:pPr>
        <w:spacing w:after="0" w:line="171" w:lineRule="exact"/>
        <w:rPr>
          <w:rFonts w:ascii="Arial" w:cs="Arial" w:eastAsia="Arial" w:hAnsi="Arial"/>
          <w:sz w:val="18"/>
          <w:szCs w:val="18"/>
          <w:color w:val="auto"/>
        </w:rPr>
      </w:pPr>
    </w:p>
    <w:p>
      <w:pPr>
        <w:ind w:right="120" w:firstLine="258"/>
        <w:spacing w:after="0"/>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right="500" w:firstLine="258"/>
        <w:spacing w:after="0" w:line="246" w:lineRule="auto"/>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right="220" w:firstLine="258"/>
        <w:spacing w:after="0"/>
        <w:tabs>
          <w:tab w:leader="none" w:pos="4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240" w:right="420" w:firstLine="246"/>
        <w:spacing w:after="0"/>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ind w:left="240" w:firstLine="246"/>
        <w:spacing w:after="0"/>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240" w:right="40" w:firstLine="246"/>
        <w:spacing w:after="0" w:line="275" w:lineRule="auto"/>
        <w:tabs>
          <w:tab w:leader="none" w:pos="75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ind w:left="240" w:right="20" w:firstLine="246"/>
        <w:spacing w:after="0"/>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right="640" w:firstLine="258"/>
        <w:spacing w:after="0"/>
        <w:tabs>
          <w:tab w:leader="none" w:pos="4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240" w:right="340" w:firstLine="246"/>
        <w:spacing w:after="0" w:line="246" w:lineRule="auto"/>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240" w:right="580" w:firstLine="246"/>
        <w:spacing w:after="0" w:line="246" w:lineRule="auto"/>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Robert J. Moore</w:t>
      </w:r>
    </w:p>
    <w:p>
      <w:pPr>
        <w:ind w:left="550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07"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In connection with the Quarterly Report of LPL Investment Holdings Inc. (the “Company”) on Form 10-Q for the quarterly period ended June 30, 2011 as filed with the Securities and Exchange Commission (the “SEC”) on or about the date hereof (the “Report”), I, Mark S. Casady, Chief Executive Officer, certify, pursuant to 18 U.S.C. Section 1350, as adopted pursuant to Section 906 of the Sarbanes-Oxley Act of 2002, that:</w:t>
      </w:r>
    </w:p>
    <w:p>
      <w:pPr>
        <w:spacing w:after="0" w:line="161" w:lineRule="exact"/>
        <w:rPr>
          <w:sz w:val="20"/>
          <w:szCs w:val="20"/>
          <w:color w:val="auto"/>
        </w:rPr>
      </w:pPr>
    </w:p>
    <w:p>
      <w:pPr>
        <w:ind w:left="760" w:hanging="2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40" w:right="80" w:firstLine="246"/>
        <w:spacing w:after="0" w:line="246"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240"/>
        <w:spacing w:after="0" w:line="246"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Mark S. Casady</w:t>
      </w:r>
    </w:p>
    <w:p>
      <w:pPr>
        <w:ind w:left="5500"/>
        <w:spacing w:after="0" w:line="234" w:lineRule="auto"/>
        <w:rPr>
          <w:sz w:val="20"/>
          <w:szCs w:val="20"/>
          <w:color w:val="auto"/>
        </w:rPr>
      </w:pPr>
      <w:r>
        <w:rPr>
          <w:rFonts w:ascii="Arial" w:cs="Arial" w:eastAsia="Arial" w:hAnsi="Arial"/>
          <w:sz w:val="18"/>
          <w:szCs w:val="18"/>
          <w:i w:val="1"/>
          <w:iCs w:val="1"/>
          <w:color w:val="auto"/>
        </w:rPr>
        <w:t>Chief Executive Office</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p>
      <w:pPr>
        <w:sectPr>
          <w:pgSz w:w="11900" w:h="16838" w:orient="portrait"/>
          <w:cols w:equalWidth="0" w:num="1">
            <w:col w:w="11420"/>
          </w:cols>
          <w:pgMar w:left="240" w:top="11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07" w:lineRule="exact"/>
        <w:rPr>
          <w:sz w:val="20"/>
          <w:szCs w:val="20"/>
          <w:color w:val="auto"/>
        </w:rPr>
      </w:pPr>
    </w:p>
    <w:p>
      <w:pPr>
        <w:ind w:right="260" w:firstLine="250"/>
        <w:spacing w:after="0" w:line="239" w:lineRule="auto"/>
        <w:rPr>
          <w:sz w:val="20"/>
          <w:szCs w:val="20"/>
          <w:color w:val="auto"/>
        </w:rPr>
      </w:pPr>
      <w:r>
        <w:rPr>
          <w:rFonts w:ascii="Arial" w:cs="Arial" w:eastAsia="Arial" w:hAnsi="Arial"/>
          <w:sz w:val="18"/>
          <w:szCs w:val="18"/>
          <w:color w:val="auto"/>
        </w:rPr>
        <w:t>In connection with the Quarterly Report of LPL Investment Holdings Inc. (the “Company”) on Form 10-Q for the quarterly period ended June 30, 2011 as filed with the Securities and Exchange Commission (the “SEC”) on or about the date hereof (the “Report”), I, Robert J. Moore, Chief Financial Officer, certify, pursuant to 18 U.S.C. Section 1350, as adopted pursuant to Section 906 of the Sarbanes-Oxley Act of 2002, that:</w:t>
      </w:r>
    </w:p>
    <w:p>
      <w:pPr>
        <w:spacing w:after="0" w:line="161" w:lineRule="exact"/>
        <w:rPr>
          <w:sz w:val="20"/>
          <w:szCs w:val="20"/>
          <w:color w:val="auto"/>
        </w:rPr>
      </w:pPr>
    </w:p>
    <w:p>
      <w:pPr>
        <w:ind w:left="760" w:hanging="2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40" w:right="80" w:firstLine="246"/>
        <w:spacing w:after="0" w:line="246"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240"/>
        <w:spacing w:after="0" w:line="246"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Robert J. Moore</w:t>
      </w:r>
    </w:p>
    <w:p>
      <w:pPr>
        <w:ind w:left="550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Letter"/>
      <w:start w:val="3"/>
    </w:lvl>
  </w:abstractNum>
  <w:abstractNum w:abstractNumId="17">
    <w:nsid w:val="189A769B"/>
    <w:multiLevelType w:val="hybridMultilevel"/>
    <w:lvl w:ilvl="0">
      <w:lvlJc w:val="left"/>
      <w:lvlText w:val="(%1)"/>
      <w:numFmt w:val="lowerLetter"/>
      <w:start w:val="6"/>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4"/>
    </w:lvl>
  </w:abstractNum>
  <w:abstractNum w:abstractNumId="22">
    <w:nsid w:val="2901D82"/>
    <w:multiLevelType w:val="hybridMultilevel"/>
    <w:lvl w:ilvl="0">
      <w:lvlJc w:val="left"/>
      <w:lvlText w:val="(%1)"/>
      <w:numFmt w:val="lowerLetter"/>
      <w:start w:val="3"/>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lowerRoman"/>
      <w:start w:val="4"/>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2019-12-11T05:38:32Z</dcterms:created>
  <dcterms:modified xsi:type="dcterms:W3CDTF">2019-12-11T05:38:32Z</dcterms:modified>
</cp:coreProperties>
</file>