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6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89" w:lineRule="exact"/>
        <w:rPr>
          <w:sz w:val="24"/>
          <w:szCs w:val="24"/>
          <w:color w:val="auto"/>
        </w:rPr>
      </w:pPr>
    </w:p>
    <w:p>
      <w:pPr>
        <w:ind w:left="1080" w:hanging="597"/>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8" w:lineRule="exact"/>
        <w:rPr>
          <w:sz w:val="24"/>
          <w:szCs w:val="24"/>
          <w:color w:val="auto"/>
        </w:rPr>
      </w:pPr>
    </w:p>
    <w:p>
      <w:pPr>
        <w:ind w:left="1080" w:hanging="597"/>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3" w:lineRule="exact"/>
        <w:rPr>
          <w:sz w:val="24"/>
          <w:szCs w:val="24"/>
          <w:color w:val="auto"/>
        </w:rPr>
      </w:pPr>
    </w:p>
    <w:p>
      <w:pPr>
        <w:ind w:left="4060"/>
        <w:spacing w:after="0"/>
        <w:tabs>
          <w:tab w:leader="none" w:pos="7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001-34963</w:t>
      </w:r>
    </w:p>
    <w:p>
      <w:pPr>
        <w:spacing w:after="0" w:line="12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LPL Financial Holdings Inc.</w:t>
      </w:r>
    </w:p>
    <w:p>
      <w:pPr>
        <w:spacing w:after="0" w:line="99" w:lineRule="exact"/>
        <w:rPr>
          <w:sz w:val="24"/>
          <w:szCs w:val="24"/>
          <w:color w:val="auto"/>
        </w:rPr>
      </w:pPr>
    </w:p>
    <w:p>
      <w:pPr>
        <w:jc w:val="center"/>
        <w:ind w:right="-7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58" w:lineRule="exact"/>
        <w:rPr>
          <w:sz w:val="24"/>
          <w:szCs w:val="24"/>
          <w:color w:val="auto"/>
        </w:rPr>
      </w:pPr>
    </w:p>
    <w:tbl>
      <w:tblPr>
        <w:tblLayout w:type="fixed"/>
        <w:tblInd w:w="1700" w:type="dxa"/>
        <w:tblCellMar>
          <w:top w:w="0" w:type="dxa"/>
          <w:left w:w="0" w:type="dxa"/>
          <w:bottom w:w="0" w:type="dxa"/>
          <w:right w:w="0" w:type="dxa"/>
        </w:tblCellMar>
      </w:tblPr>
      <w:tr>
        <w:trPr>
          <w:trHeight w:val="239"/>
        </w:trPr>
        <w:tc>
          <w:tcPr>
            <w:tcW w:w="4260" w:type="dxa"/>
            <w:vAlign w:val="bottom"/>
          </w:tcPr>
          <w:p>
            <w:pPr>
              <w:jc w:val="center"/>
              <w:ind w:right="1850"/>
              <w:spacing w:after="0"/>
              <w:rPr>
                <w:sz w:val="20"/>
                <w:szCs w:val="20"/>
                <w:color w:val="auto"/>
              </w:rPr>
            </w:pPr>
            <w:r>
              <w:rPr>
                <w:rFonts w:ascii="Arial" w:cs="Arial" w:eastAsia="Arial" w:hAnsi="Arial"/>
                <w:sz w:val="18"/>
                <w:szCs w:val="18"/>
                <w:b w:val="1"/>
                <w:bCs w:val="1"/>
                <w:color w:val="auto"/>
              </w:rPr>
              <w:t>Delaware</w:t>
            </w:r>
          </w:p>
        </w:tc>
        <w:tc>
          <w:tcPr>
            <w:tcW w:w="3320" w:type="dxa"/>
            <w:vAlign w:val="bottom"/>
          </w:tcPr>
          <w:p>
            <w:pPr>
              <w:jc w:val="center"/>
              <w:ind w:left="1810"/>
              <w:spacing w:after="0"/>
              <w:rPr>
                <w:sz w:val="20"/>
                <w:szCs w:val="20"/>
                <w:color w:val="auto"/>
              </w:rPr>
            </w:pPr>
            <w:r>
              <w:rPr>
                <w:rFonts w:ascii="Arial" w:cs="Arial" w:eastAsia="Arial" w:hAnsi="Arial"/>
                <w:sz w:val="18"/>
                <w:szCs w:val="18"/>
                <w:b w:val="1"/>
                <w:bCs w:val="1"/>
                <w:color w:val="auto"/>
              </w:rPr>
              <w:t>20-3717839</w:t>
            </w:r>
          </w:p>
        </w:tc>
      </w:tr>
      <w:tr>
        <w:trPr>
          <w:trHeight w:val="257"/>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rPr>
              <w:t>(State or other jurisdiction of</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(I.R.S. Employer</w:t>
            </w:r>
          </w:p>
        </w:tc>
      </w:tr>
      <w:tr>
        <w:trPr>
          <w:trHeight w:val="257"/>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w w:val="99"/>
              </w:rPr>
              <w:t>incorporation or organization)</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Identification No.)</w:t>
            </w:r>
          </w:p>
        </w:tc>
      </w:tr>
    </w:tbl>
    <w:p>
      <w:pPr>
        <w:spacing w:after="0" w:line="13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75 State Street, Boston, MA 02109</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(617) 423-3644</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66" w:lineRule="exact"/>
        <w:rPr>
          <w:sz w:val="24"/>
          <w:szCs w:val="24"/>
          <w:color w:val="auto"/>
        </w:rPr>
      </w:pPr>
    </w:p>
    <w:p>
      <w:pPr>
        <w:ind w:right="60" w:firstLine="27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07" w:lineRule="exact"/>
        <w:rPr>
          <w:sz w:val="24"/>
          <w:szCs w:val="24"/>
          <w:color w:val="auto"/>
        </w:rPr>
      </w:pPr>
    </w:p>
    <w:p>
      <w:pPr>
        <w:ind w:right="280" w:firstLine="27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x Yes o No</w:t>
      </w:r>
    </w:p>
    <w:p>
      <w:pPr>
        <w:spacing w:after="0" w:line="107" w:lineRule="exact"/>
        <w:rPr>
          <w:sz w:val="24"/>
          <w:szCs w:val="24"/>
          <w:color w:val="auto"/>
        </w:rPr>
      </w:pPr>
    </w:p>
    <w:p>
      <w:pPr>
        <w:jc w:val="both"/>
        <w:ind w:firstLine="27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89" w:lineRule="exact"/>
        <w:rPr>
          <w:sz w:val="24"/>
          <w:szCs w:val="24"/>
          <w:color w:val="auto"/>
        </w:rPr>
      </w:pPr>
    </w:p>
    <w:p>
      <w:pPr>
        <w:ind w:left="480"/>
        <w:spacing w:after="0"/>
        <w:tabs>
          <w:tab w:leader="none" w:pos="3280" w:val="left"/>
          <w:tab w:leader="none" w:pos="5780" w:val="left"/>
          <w:tab w:leader="none" w:pos="866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7"/>
          <w:szCs w:val="17"/>
          <w:color w:val="auto"/>
        </w:rPr>
        <w:t>Smaller reporting company o</w:t>
      </w:r>
    </w:p>
    <w:p>
      <w:pPr>
        <w:spacing w:after="0" w:line="82" w:lineRule="exact"/>
        <w:rPr>
          <w:sz w:val="24"/>
          <w:szCs w:val="24"/>
          <w:color w:val="auto"/>
        </w:rPr>
      </w:pPr>
    </w:p>
    <w:p>
      <w:pPr>
        <w:ind w:left="5240"/>
        <w:spacing w:after="0"/>
        <w:rPr>
          <w:sz w:val="20"/>
          <w:szCs w:val="20"/>
          <w:color w:val="auto"/>
        </w:rPr>
      </w:pPr>
      <w:r>
        <w:rPr>
          <w:rFonts w:ascii="Arial" w:cs="Arial" w:eastAsia="Arial" w:hAnsi="Arial"/>
          <w:sz w:val="14"/>
          <w:szCs w:val="14"/>
          <w:color w:val="auto"/>
        </w:rPr>
        <w:t>(Do not check if a smaller reporting company)</w:t>
      </w:r>
    </w:p>
    <w:p>
      <w:pPr>
        <w:spacing w:after="0" w:line="117" w:lineRule="exact"/>
        <w:rPr>
          <w:sz w:val="24"/>
          <w:szCs w:val="24"/>
          <w:color w:val="auto"/>
        </w:rPr>
      </w:pPr>
    </w:p>
    <w:p>
      <w:pPr>
        <w:ind w:right="980" w:firstLine="270"/>
        <w:spacing w:after="0" w:line="434"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 The number of shares of Common Stock, par value $0.001 per share, outstanding as of October 21, 2013 was 101,719,374.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35560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825" w:right="2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1" w:lineRule="exact"/>
        <w:rPr>
          <w:sz w:val="20"/>
          <w:szCs w:val="20"/>
          <w:color w:val="auto"/>
        </w:rPr>
      </w:pPr>
    </w:p>
    <w:p>
      <w:pPr>
        <w:spacing w:after="0"/>
        <w:tabs>
          <w:tab w:leader="none" w:pos="10780" w:val="left"/>
        </w:tabs>
        <w:rPr>
          <w:sz w:val="20"/>
          <w:szCs w:val="20"/>
          <w:color w:val="auto"/>
        </w:rPr>
      </w:pPr>
      <w:r>
        <w:rPr>
          <w:rFonts w:ascii="Arial" w:cs="Arial" w:eastAsia="Arial" w:hAnsi="Arial"/>
          <w:sz w:val="14"/>
          <w:szCs w:val="14"/>
          <w:b w:val="1"/>
          <w:bCs w:val="1"/>
          <w:color w:val="auto"/>
        </w:rPr>
        <w:t>Item Number</w:t>
      </w:r>
      <w:r>
        <w:rPr>
          <w:sz w:val="20"/>
          <w:szCs w:val="20"/>
          <w:color w:val="auto"/>
        </w:rPr>
        <w:tab/>
      </w: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6720205</wp:posOffset>
            </wp:positionH>
            <wp:positionV relativeFrom="paragraph">
              <wp:posOffset>26035</wp:posOffset>
            </wp:positionV>
            <wp:extent cx="5060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96" w:lineRule="exact"/>
        <w:rPr>
          <w:sz w:val="20"/>
          <w:szCs w:val="20"/>
          <w:color w:val="auto"/>
        </w:rPr>
      </w:pPr>
    </w:p>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 — FINANCIAL INFORMATION</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1. Financial Statements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780" w:type="dxa"/>
            <w:vAlign w:val="bottom"/>
            <w:gridSpan w:val="12"/>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Condensed Consolidated Statements of Income (unaudited)</w:t>
              </w:r>
            </w:hyperlink>
          </w:p>
        </w:tc>
        <w:tc>
          <w:tcPr>
            <w:tcW w:w="2380" w:type="dxa"/>
            <w:vAlign w:val="bottom"/>
            <w:gridSpan w:val="6"/>
          </w:tcPr>
          <w:p>
            <w:pPr>
              <w:spacing w:after="0"/>
              <w:rPr>
                <w:sz w:val="17"/>
                <w:szCs w:val="17"/>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160" w:type="dxa"/>
            <w:vAlign w:val="bottom"/>
            <w:gridSpan w:val="1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Income (unaudited)</w:t>
              </w:r>
            </w:hyperlink>
          </w:p>
        </w:tc>
        <w:tc>
          <w:tcPr>
            <w:tcW w:w="352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20" w:type="dxa"/>
            <w:vAlign w:val="bottom"/>
            <w:gridSpan w:val="15"/>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Statements of Financial Condition (unaudited)</w:t>
              </w:r>
            </w:hyperlink>
          </w:p>
        </w:tc>
        <w:tc>
          <w:tcPr>
            <w:tcW w:w="360" w:type="dxa"/>
            <w:vAlign w:val="bottom"/>
            <w:gridSpan w:val="2"/>
          </w:tcPr>
          <w:p>
            <w:pPr>
              <w:spacing w:after="0"/>
              <w:rPr>
                <w:sz w:val="24"/>
                <w:szCs w:val="24"/>
                <w:color w:val="auto"/>
              </w:rPr>
            </w:pPr>
          </w:p>
        </w:tc>
        <w:tc>
          <w:tcPr>
            <w:tcW w:w="1080" w:type="dxa"/>
            <w:vAlign w:val="bottom"/>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6"/>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Condensed Consolidated Statements of Stockholders’ Equity (unaudited)</w:t>
              </w:r>
            </w:hyperlink>
          </w:p>
        </w:tc>
        <w:tc>
          <w:tcPr>
            <w:tcW w:w="1340" w:type="dxa"/>
            <w:vAlign w:val="bottom"/>
            <w:gridSpan w:val="2"/>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 (unaudited)</w:t>
              </w:r>
            </w:hyperlink>
          </w:p>
        </w:tc>
        <w:tc>
          <w:tcPr>
            <w:tcW w:w="1340" w:type="dxa"/>
            <w:vAlign w:val="bottom"/>
            <w:gridSpan w:val="2"/>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160" w:type="dxa"/>
            <w:vAlign w:val="bottom"/>
            <w:gridSpan w:val="18"/>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 (unaudited)</w:t>
              </w:r>
            </w:hyperlink>
          </w:p>
        </w:tc>
        <w:tc>
          <w:tcPr>
            <w:tcW w:w="3520" w:type="dxa"/>
            <w:vAlign w:val="bottom"/>
            <w:gridSpan w:val="3"/>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2.</w:t>
              </w:r>
            </w:hyperlink>
          </w:p>
        </w:tc>
        <w:tc>
          <w:tcPr>
            <w:tcW w:w="7660" w:type="dxa"/>
            <w:vAlign w:val="bottom"/>
            <w:gridSpan w:val="19"/>
          </w:tcPr>
          <w:p>
            <w:pPr>
              <w:ind w:left="20"/>
              <w:spacing w:after="0"/>
              <w:rPr>
                <w:rFonts w:ascii="Arial" w:cs="Arial" w:eastAsia="Arial" w:hAnsi="Arial"/>
                <w:sz w:val="18"/>
                <w:szCs w:val="18"/>
                <w:b w:val="1"/>
                <w:bCs w:val="1"/>
                <w:color w:val="0000FF"/>
                <w:w w:val="99"/>
              </w:rPr>
            </w:pPr>
            <w:hyperlink w:anchor="page28">
              <w:r>
                <w:rPr>
                  <w:rFonts w:ascii="Arial" w:cs="Arial" w:eastAsia="Arial" w:hAnsi="Arial"/>
                  <w:sz w:val="18"/>
                  <w:szCs w:val="18"/>
                  <w:b w:val="1"/>
                  <w:bCs w:val="1"/>
                  <w:color w:val="0000FF"/>
                  <w:w w:val="99"/>
                </w:rPr>
                <w:t>Management’s Discussion and Analysis of Financial Condition and Results of Operations</w:t>
              </w:r>
            </w:hyperlink>
          </w:p>
        </w:tc>
        <w:tc>
          <w:tcPr>
            <w:tcW w:w="352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26</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9">
              <w:r>
                <w:rPr>
                  <w:rFonts w:ascii="Arial" w:cs="Arial" w:eastAsia="Arial" w:hAnsi="Arial"/>
                  <w:sz w:val="18"/>
                  <w:szCs w:val="18"/>
                  <w:b w:val="1"/>
                  <w:bCs w:val="1"/>
                  <w:color w:val="0000FF"/>
                </w:rPr>
                <w:t>3.</w:t>
              </w:r>
            </w:hyperlink>
          </w:p>
        </w:tc>
        <w:tc>
          <w:tcPr>
            <w:tcW w:w="5100" w:type="dxa"/>
            <w:vAlign w:val="bottom"/>
            <w:gridSpan w:val="11"/>
          </w:tcPr>
          <w:p>
            <w:pPr>
              <w:ind w:left="20"/>
              <w:spacing w:after="0"/>
              <w:rPr>
                <w:rFonts w:ascii="Arial" w:cs="Arial" w:eastAsia="Arial" w:hAnsi="Arial"/>
                <w:sz w:val="18"/>
                <w:szCs w:val="18"/>
                <w:b w:val="1"/>
                <w:bCs w:val="1"/>
                <w:color w:val="0000FF"/>
                <w:w w:val="99"/>
              </w:rPr>
            </w:pPr>
            <w:hyperlink w:anchor="page59">
              <w:r>
                <w:rPr>
                  <w:rFonts w:ascii="Arial" w:cs="Arial" w:eastAsia="Arial" w:hAnsi="Arial"/>
                  <w:sz w:val="18"/>
                  <w:szCs w:val="18"/>
                  <w:b w:val="1"/>
                  <w:bCs w:val="1"/>
                  <w:color w:val="0000FF"/>
                  <w:w w:val="99"/>
                </w:rPr>
                <w:t>Quantitative and Qualitative Disclosures About Market Risk</w:t>
              </w:r>
            </w:hyperlink>
          </w:p>
        </w:tc>
        <w:tc>
          <w:tcPr>
            <w:tcW w:w="2560" w:type="dxa"/>
            <w:vAlign w:val="bottom"/>
            <w:gridSpan w:val="8"/>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56</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62">
              <w:r>
                <w:rPr>
                  <w:rFonts w:ascii="Arial" w:cs="Arial" w:eastAsia="Arial" w:hAnsi="Arial"/>
                  <w:sz w:val="18"/>
                  <w:szCs w:val="18"/>
                  <w:b w:val="1"/>
                  <w:bCs w:val="1"/>
                  <w:color w:val="0000FF"/>
                </w:rPr>
                <w:t>4.</w:t>
              </w:r>
            </w:hyperlink>
          </w:p>
        </w:tc>
        <w:tc>
          <w:tcPr>
            <w:tcW w:w="5100" w:type="dxa"/>
            <w:vAlign w:val="bottom"/>
            <w:gridSpan w:val="11"/>
          </w:tcPr>
          <w:p>
            <w:pPr>
              <w:ind w:left="20"/>
              <w:spacing w:after="0"/>
              <w:rPr>
                <w:rFonts w:ascii="Arial" w:cs="Arial" w:eastAsia="Arial" w:hAnsi="Arial"/>
                <w:sz w:val="18"/>
                <w:szCs w:val="18"/>
                <w:b w:val="1"/>
                <w:bCs w:val="1"/>
                <w:color w:val="0000FF"/>
              </w:rPr>
            </w:pPr>
            <w:hyperlink w:anchor="page62">
              <w:r>
                <w:rPr>
                  <w:rFonts w:ascii="Arial" w:cs="Arial" w:eastAsia="Arial" w:hAnsi="Arial"/>
                  <w:sz w:val="18"/>
                  <w:szCs w:val="18"/>
                  <w:b w:val="1"/>
                  <w:bCs w:val="1"/>
                  <w:color w:val="0000FF"/>
                </w:rPr>
                <w:t>Controls and Procedures</w:t>
              </w:r>
            </w:hyperlink>
          </w:p>
        </w:tc>
        <w:tc>
          <w:tcPr>
            <w:tcW w:w="2560" w:type="dxa"/>
            <w:vAlign w:val="bottom"/>
            <w:gridSpan w:val="8"/>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62">
              <w:r>
                <w:rPr>
                  <w:rFonts w:ascii="Arial" w:cs="Arial" w:eastAsia="Arial" w:hAnsi="Arial"/>
                  <w:sz w:val="18"/>
                  <w:szCs w:val="18"/>
                  <w:color w:val="0000FF"/>
                </w:rPr>
                <w:t>59</w:t>
              </w:r>
            </w:hyperlink>
          </w:p>
        </w:tc>
      </w:tr>
      <w:tr>
        <w:trPr>
          <w:trHeight w:val="20"/>
        </w:trPr>
        <w:tc>
          <w:tcPr>
            <w:tcW w:w="9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2840" w:type="dxa"/>
            <w:vAlign w:val="bottom"/>
            <w:gridSpan w:val="10"/>
          </w:tcPr>
          <w:p>
            <w:pPr>
              <w:spacing w:after="0"/>
              <w:rPr>
                <w:rFonts w:ascii="Arial" w:cs="Arial" w:eastAsia="Arial" w:hAnsi="Arial"/>
                <w:sz w:val="18"/>
                <w:szCs w:val="18"/>
                <w:b w:val="1"/>
                <w:bCs w:val="1"/>
                <w:color w:val="0000FF"/>
                <w:w w:val="98"/>
              </w:rPr>
            </w:pPr>
            <w:hyperlink w:anchor="page62">
              <w:r>
                <w:rPr>
                  <w:rFonts w:ascii="Arial" w:cs="Arial" w:eastAsia="Arial" w:hAnsi="Arial"/>
                  <w:sz w:val="18"/>
                  <w:szCs w:val="18"/>
                  <w:b w:val="1"/>
                  <w:bCs w:val="1"/>
                  <w:color w:val="0000FF"/>
                  <w:w w:val="98"/>
                </w:rPr>
                <w:t>PART II — OTHER INFORMATION</w:t>
              </w:r>
            </w:hyperlink>
          </w:p>
        </w:tc>
        <w:tc>
          <w:tcPr>
            <w:tcW w:w="5000" w:type="dxa"/>
            <w:vAlign w:val="bottom"/>
            <w:gridSpan w:val="10"/>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62">
              <w:r>
                <w:rPr>
                  <w:rFonts w:ascii="Arial" w:cs="Arial" w:eastAsia="Arial" w:hAnsi="Arial"/>
                  <w:sz w:val="18"/>
                  <w:szCs w:val="18"/>
                  <w:color w:val="0000FF"/>
                </w:rPr>
                <w:t>60</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63">
              <w:r>
                <w:rPr>
                  <w:rFonts w:ascii="Arial" w:cs="Arial" w:eastAsia="Arial" w:hAnsi="Arial"/>
                  <w:sz w:val="18"/>
                  <w:szCs w:val="18"/>
                  <w:b w:val="1"/>
                  <w:bCs w:val="1"/>
                  <w:color w:val="0000FF"/>
                </w:rPr>
                <w:t>1.</w:t>
              </w:r>
            </w:hyperlink>
          </w:p>
        </w:tc>
        <w:tc>
          <w:tcPr>
            <w:tcW w:w="1620" w:type="dxa"/>
            <w:vAlign w:val="bottom"/>
            <w:gridSpan w:val="6"/>
          </w:tcPr>
          <w:p>
            <w:pPr>
              <w:ind w:left="20"/>
              <w:spacing w:after="0"/>
              <w:rPr>
                <w:rFonts w:ascii="Arial" w:cs="Arial" w:eastAsia="Arial" w:hAnsi="Arial"/>
                <w:sz w:val="18"/>
                <w:szCs w:val="18"/>
                <w:b w:val="1"/>
                <w:bCs w:val="1"/>
                <w:color w:val="0000FF"/>
                <w:w w:val="98"/>
              </w:rPr>
            </w:pPr>
            <w:hyperlink w:anchor="page63">
              <w:r>
                <w:rPr>
                  <w:rFonts w:ascii="Arial" w:cs="Arial" w:eastAsia="Arial" w:hAnsi="Arial"/>
                  <w:sz w:val="18"/>
                  <w:szCs w:val="18"/>
                  <w:b w:val="1"/>
                  <w:bCs w:val="1"/>
                  <w:color w:val="0000FF"/>
                  <w:w w:val="98"/>
                </w:rPr>
                <w:t>Legal Proceedings</w:t>
              </w:r>
            </w:hyperlink>
          </w:p>
        </w:tc>
        <w:tc>
          <w:tcPr>
            <w:tcW w:w="1040" w:type="dxa"/>
            <w:vAlign w:val="bottom"/>
            <w:gridSpan w:val="3"/>
          </w:tcPr>
          <w:p>
            <w:pPr>
              <w:spacing w:after="0"/>
              <w:rPr>
                <w:sz w:val="24"/>
                <w:szCs w:val="24"/>
                <w:color w:val="auto"/>
              </w:rPr>
            </w:pPr>
          </w:p>
        </w:tc>
        <w:tc>
          <w:tcPr>
            <w:tcW w:w="5000" w:type="dxa"/>
            <w:vAlign w:val="bottom"/>
            <w:gridSpan w:val="10"/>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60</w:t>
              </w:r>
            </w:hyperlink>
          </w:p>
        </w:tc>
      </w:tr>
      <w:tr>
        <w:trPr>
          <w:trHeight w:val="20"/>
        </w:trPr>
        <w:tc>
          <w:tcPr>
            <w:tcW w:w="9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0" w:type="dxa"/>
            <w:vAlign w:val="bottom"/>
            <w:gridSpan w:val="7"/>
          </w:tcPr>
          <w:p>
            <w:pPr>
              <w:spacing w:after="0"/>
              <w:rPr>
                <w:rFonts w:ascii="Arial" w:cs="Arial" w:eastAsia="Arial" w:hAnsi="Arial"/>
                <w:sz w:val="18"/>
                <w:szCs w:val="18"/>
                <w:b w:val="1"/>
                <w:bCs w:val="1"/>
                <w:color w:val="0000FF"/>
              </w:rPr>
            </w:pPr>
            <w:hyperlink w:anchor="page63">
              <w:r>
                <w:rPr>
                  <w:rFonts w:ascii="Arial" w:cs="Arial" w:eastAsia="Arial" w:hAnsi="Arial"/>
                  <w:sz w:val="18"/>
                  <w:szCs w:val="18"/>
                  <w:b w:val="1"/>
                  <w:bCs w:val="1"/>
                  <w:color w:val="0000FF"/>
                </w:rPr>
                <w:t>1A. Risk Factors</w:t>
              </w:r>
            </w:hyperlink>
          </w:p>
        </w:tc>
        <w:tc>
          <w:tcPr>
            <w:tcW w:w="6040" w:type="dxa"/>
            <w:vAlign w:val="bottom"/>
            <w:gridSpan w:val="13"/>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60</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63">
              <w:r>
                <w:rPr>
                  <w:rFonts w:ascii="Arial" w:cs="Arial" w:eastAsia="Arial" w:hAnsi="Arial"/>
                  <w:sz w:val="18"/>
                  <w:szCs w:val="18"/>
                  <w:b w:val="1"/>
                  <w:bCs w:val="1"/>
                  <w:color w:val="0000FF"/>
                </w:rPr>
                <w:t>2.</w:t>
              </w:r>
            </w:hyperlink>
          </w:p>
        </w:tc>
        <w:tc>
          <w:tcPr>
            <w:tcW w:w="7660" w:type="dxa"/>
            <w:vAlign w:val="bottom"/>
            <w:gridSpan w:val="19"/>
          </w:tcPr>
          <w:p>
            <w:pPr>
              <w:ind w:left="20"/>
              <w:spacing w:after="0"/>
              <w:rPr>
                <w:rFonts w:ascii="Arial" w:cs="Arial" w:eastAsia="Arial" w:hAnsi="Arial"/>
                <w:sz w:val="18"/>
                <w:szCs w:val="18"/>
                <w:b w:val="1"/>
                <w:bCs w:val="1"/>
                <w:color w:val="0000FF"/>
              </w:rPr>
            </w:pPr>
            <w:hyperlink w:anchor="page63">
              <w:r>
                <w:rPr>
                  <w:rFonts w:ascii="Arial" w:cs="Arial" w:eastAsia="Arial" w:hAnsi="Arial"/>
                  <w:sz w:val="18"/>
                  <w:szCs w:val="18"/>
                  <w:b w:val="1"/>
                  <w:bCs w:val="1"/>
                  <w:color w:val="0000FF"/>
                </w:rPr>
                <w:t>Unregistered Sales of Equity Securities and Use of Proceeds</w:t>
              </w:r>
            </w:hyperlink>
          </w:p>
        </w:tc>
        <w:tc>
          <w:tcPr>
            <w:tcW w:w="3520" w:type="dxa"/>
            <w:vAlign w:val="bottom"/>
            <w:gridSpan w:val="3"/>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60</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63">
              <w:r>
                <w:rPr>
                  <w:rFonts w:ascii="Arial" w:cs="Arial" w:eastAsia="Arial" w:hAnsi="Arial"/>
                  <w:sz w:val="18"/>
                  <w:szCs w:val="18"/>
                  <w:b w:val="1"/>
                  <w:bCs w:val="1"/>
                  <w:color w:val="0000FF"/>
                </w:rPr>
                <w:t>3.</w:t>
              </w:r>
            </w:hyperlink>
          </w:p>
        </w:tc>
        <w:tc>
          <w:tcPr>
            <w:tcW w:w="2760" w:type="dxa"/>
            <w:vAlign w:val="bottom"/>
            <w:gridSpan w:val="10"/>
          </w:tcPr>
          <w:p>
            <w:pPr>
              <w:ind w:left="20"/>
              <w:spacing w:after="0"/>
              <w:rPr>
                <w:rFonts w:ascii="Arial" w:cs="Arial" w:eastAsia="Arial" w:hAnsi="Arial"/>
                <w:sz w:val="18"/>
                <w:szCs w:val="18"/>
                <w:b w:val="1"/>
                <w:bCs w:val="1"/>
                <w:color w:val="0000FF"/>
                <w:w w:val="99"/>
              </w:rPr>
            </w:pPr>
            <w:hyperlink w:anchor="page63">
              <w:r>
                <w:rPr>
                  <w:rFonts w:ascii="Arial" w:cs="Arial" w:eastAsia="Arial" w:hAnsi="Arial"/>
                  <w:sz w:val="18"/>
                  <w:szCs w:val="18"/>
                  <w:b w:val="1"/>
                  <w:bCs w:val="1"/>
                  <w:color w:val="0000FF"/>
                  <w:w w:val="99"/>
                </w:rPr>
                <w:t>Defaults Upon Senior Securities</w:t>
              </w:r>
            </w:hyperlink>
          </w:p>
        </w:tc>
        <w:tc>
          <w:tcPr>
            <w:tcW w:w="2440" w:type="dxa"/>
            <w:vAlign w:val="bottom"/>
            <w:gridSpan w:val="2"/>
          </w:tcPr>
          <w:p>
            <w:pPr>
              <w:spacing w:after="0"/>
              <w:rPr>
                <w:sz w:val="24"/>
                <w:szCs w:val="24"/>
                <w:color w:val="auto"/>
              </w:rPr>
            </w:pPr>
          </w:p>
        </w:tc>
        <w:tc>
          <w:tcPr>
            <w:tcW w:w="2460" w:type="dxa"/>
            <w:vAlign w:val="bottom"/>
            <w:gridSpan w:val="7"/>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60</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900" w:type="dxa"/>
            <w:vAlign w:val="bottom"/>
            <w:gridSpan w:val="9"/>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63">
              <w:r>
                <w:rPr>
                  <w:rFonts w:ascii="Arial" w:cs="Arial" w:eastAsia="Arial" w:hAnsi="Arial"/>
                  <w:sz w:val="18"/>
                  <w:szCs w:val="18"/>
                  <w:b w:val="1"/>
                  <w:bCs w:val="1"/>
                  <w:color w:val="0000FF"/>
                </w:rPr>
                <w:t>4.</w:t>
              </w:r>
            </w:hyperlink>
          </w:p>
        </w:tc>
        <w:tc>
          <w:tcPr>
            <w:tcW w:w="2760" w:type="dxa"/>
            <w:vAlign w:val="bottom"/>
            <w:gridSpan w:val="10"/>
          </w:tcPr>
          <w:p>
            <w:pPr>
              <w:ind w:left="20"/>
              <w:spacing w:after="0"/>
              <w:rPr>
                <w:rFonts w:ascii="Arial" w:cs="Arial" w:eastAsia="Arial" w:hAnsi="Arial"/>
                <w:sz w:val="18"/>
                <w:szCs w:val="18"/>
                <w:b w:val="1"/>
                <w:bCs w:val="1"/>
                <w:color w:val="0000FF"/>
              </w:rPr>
            </w:pPr>
            <w:hyperlink w:anchor="page63">
              <w:r>
                <w:rPr>
                  <w:rFonts w:ascii="Arial" w:cs="Arial" w:eastAsia="Arial" w:hAnsi="Arial"/>
                  <w:sz w:val="18"/>
                  <w:szCs w:val="18"/>
                  <w:b w:val="1"/>
                  <w:bCs w:val="1"/>
                  <w:color w:val="0000FF"/>
                </w:rPr>
                <w:t>Mine Safety Disclosures</w:t>
              </w:r>
            </w:hyperlink>
          </w:p>
        </w:tc>
        <w:tc>
          <w:tcPr>
            <w:tcW w:w="4900" w:type="dxa"/>
            <w:vAlign w:val="bottom"/>
            <w:gridSpan w:val="9"/>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60</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580" w:type="dxa"/>
            <w:vAlign w:val="bottom"/>
            <w:gridSpan w:val="1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63">
              <w:r>
                <w:rPr>
                  <w:rFonts w:ascii="Arial" w:cs="Arial" w:eastAsia="Arial" w:hAnsi="Arial"/>
                  <w:sz w:val="18"/>
                  <w:szCs w:val="18"/>
                  <w:b w:val="1"/>
                  <w:bCs w:val="1"/>
                  <w:color w:val="0000FF"/>
                </w:rPr>
                <w:t>5.</w:t>
              </w:r>
            </w:hyperlink>
          </w:p>
        </w:tc>
        <w:tc>
          <w:tcPr>
            <w:tcW w:w="1540" w:type="dxa"/>
            <w:vAlign w:val="bottom"/>
            <w:gridSpan w:val="5"/>
          </w:tcPr>
          <w:p>
            <w:pPr>
              <w:ind w:left="20"/>
              <w:spacing w:after="0"/>
              <w:rPr>
                <w:rFonts w:ascii="Arial" w:cs="Arial" w:eastAsia="Arial" w:hAnsi="Arial"/>
                <w:sz w:val="18"/>
                <w:szCs w:val="18"/>
                <w:b w:val="1"/>
                <w:bCs w:val="1"/>
                <w:color w:val="0000FF"/>
                <w:w w:val="98"/>
              </w:rPr>
            </w:pPr>
            <w:hyperlink w:anchor="page63">
              <w:r>
                <w:rPr>
                  <w:rFonts w:ascii="Arial" w:cs="Arial" w:eastAsia="Arial" w:hAnsi="Arial"/>
                  <w:sz w:val="18"/>
                  <w:szCs w:val="18"/>
                  <w:b w:val="1"/>
                  <w:bCs w:val="1"/>
                  <w:color w:val="0000FF"/>
                  <w:w w:val="98"/>
                </w:rPr>
                <w:t>Other Information</w:t>
              </w:r>
            </w:hyperlink>
          </w:p>
        </w:tc>
        <w:tc>
          <w:tcPr>
            <w:tcW w:w="540" w:type="dxa"/>
            <w:vAlign w:val="bottom"/>
            <w:gridSpan w:val="2"/>
          </w:tcPr>
          <w:p>
            <w:pPr>
              <w:spacing w:after="0"/>
              <w:rPr>
                <w:sz w:val="24"/>
                <w:szCs w:val="24"/>
                <w:color w:val="auto"/>
              </w:rPr>
            </w:pPr>
          </w:p>
        </w:tc>
        <w:tc>
          <w:tcPr>
            <w:tcW w:w="5580" w:type="dxa"/>
            <w:vAlign w:val="bottom"/>
            <w:gridSpan w:val="12"/>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60</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120" w:type="dxa"/>
            <w:vAlign w:val="bottom"/>
            <w:gridSpan w:val="1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63">
              <w:r>
                <w:rPr>
                  <w:rFonts w:ascii="Arial" w:cs="Arial" w:eastAsia="Arial" w:hAnsi="Arial"/>
                  <w:sz w:val="18"/>
                  <w:szCs w:val="18"/>
                  <w:b w:val="1"/>
                  <w:bCs w:val="1"/>
                  <w:color w:val="0000FF"/>
                </w:rPr>
                <w:t>6.</w:t>
              </w:r>
            </w:hyperlink>
          </w:p>
        </w:tc>
        <w:tc>
          <w:tcPr>
            <w:tcW w:w="720" w:type="dxa"/>
            <w:vAlign w:val="bottom"/>
            <w:gridSpan w:val="2"/>
          </w:tcPr>
          <w:p>
            <w:pPr>
              <w:ind w:left="20"/>
              <w:spacing w:after="0"/>
              <w:rPr>
                <w:rFonts w:ascii="Arial" w:cs="Arial" w:eastAsia="Arial" w:hAnsi="Arial"/>
                <w:sz w:val="18"/>
                <w:szCs w:val="18"/>
                <w:b w:val="1"/>
                <w:bCs w:val="1"/>
                <w:color w:val="0000FF"/>
                <w:w w:val="97"/>
              </w:rPr>
            </w:pPr>
            <w:hyperlink w:anchor="page63">
              <w:r>
                <w:rPr>
                  <w:rFonts w:ascii="Arial" w:cs="Arial" w:eastAsia="Arial" w:hAnsi="Arial"/>
                  <w:sz w:val="18"/>
                  <w:szCs w:val="18"/>
                  <w:b w:val="1"/>
                  <w:bCs w:val="1"/>
                  <w:color w:val="0000FF"/>
                  <w:w w:val="97"/>
                </w:rPr>
                <w:t>Exhibits</w:t>
              </w:r>
            </w:hyperlink>
          </w:p>
        </w:tc>
        <w:tc>
          <w:tcPr>
            <w:tcW w:w="820" w:type="dxa"/>
            <w:vAlign w:val="bottom"/>
            <w:gridSpan w:val="3"/>
          </w:tcPr>
          <w:p>
            <w:pPr>
              <w:spacing w:after="0"/>
              <w:rPr>
                <w:sz w:val="24"/>
                <w:szCs w:val="24"/>
                <w:color w:val="auto"/>
              </w:rPr>
            </w:pPr>
          </w:p>
        </w:tc>
        <w:tc>
          <w:tcPr>
            <w:tcW w:w="6120" w:type="dxa"/>
            <w:vAlign w:val="bottom"/>
            <w:gridSpan w:val="14"/>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61</w:t>
              </w:r>
            </w:hyperlink>
          </w:p>
        </w:tc>
      </w:tr>
      <w:tr>
        <w:trPr>
          <w:trHeight w:val="20"/>
        </w:trPr>
        <w:tc>
          <w:tcPr>
            <w:tcW w:w="90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80" w:type="dxa"/>
            <w:vAlign w:val="bottom"/>
            <w:gridSpan w:val="16"/>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7840" w:type="dxa"/>
            <w:vAlign w:val="bottom"/>
            <w:gridSpan w:val="20"/>
          </w:tcPr>
          <w:p>
            <w:pPr>
              <w:spacing w:after="0"/>
              <w:rPr>
                <w:rFonts w:ascii="Arial" w:cs="Arial" w:eastAsia="Arial" w:hAnsi="Arial"/>
                <w:sz w:val="18"/>
                <w:szCs w:val="18"/>
                <w:b w:val="1"/>
                <w:bCs w:val="1"/>
                <w:color w:val="0000FF"/>
              </w:rPr>
            </w:pPr>
            <w:hyperlink w:anchor="page64">
              <w:r>
                <w:rPr>
                  <w:rFonts w:ascii="Arial" w:cs="Arial" w:eastAsia="Arial" w:hAnsi="Arial"/>
                  <w:sz w:val="18"/>
                  <w:szCs w:val="18"/>
                  <w:b w:val="1"/>
                  <w:bCs w:val="1"/>
                  <w:color w:val="0000FF"/>
                </w:rPr>
                <w:t>SIGNATURES</w:t>
              </w:r>
            </w:hyperlink>
          </w:p>
        </w:tc>
        <w:tc>
          <w:tcPr>
            <w:tcW w:w="3520" w:type="dxa"/>
            <w:vAlign w:val="bottom"/>
            <w:gridSpan w:val="3"/>
          </w:tcPr>
          <w:p>
            <w:pPr>
              <w:jc w:val="right"/>
              <w:spacing w:after="0"/>
              <w:rPr>
                <w:rFonts w:ascii="Arial" w:cs="Arial" w:eastAsia="Arial" w:hAnsi="Arial"/>
                <w:sz w:val="18"/>
                <w:szCs w:val="18"/>
                <w:color w:val="0000FF"/>
              </w:rPr>
            </w:pPr>
            <w:hyperlink w:anchor="page64">
              <w:r>
                <w:rPr>
                  <w:rFonts w:ascii="Arial" w:cs="Arial" w:eastAsia="Arial" w:hAnsi="Arial"/>
                  <w:sz w:val="18"/>
                  <w:szCs w:val="18"/>
                  <w:color w:val="0000FF"/>
                </w:rPr>
                <w:t>62</w:t>
              </w:r>
            </w:hyperlink>
          </w:p>
        </w:tc>
      </w:tr>
      <w:tr>
        <w:trPr>
          <w:trHeight w:val="20"/>
        </w:trPr>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684" w:right="259" w:bottom="7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80" w:top="684" w:right="259" w:bottom="788"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required by the Securities Exchange Act of 1934, as amended (the “Exchange Act”), with the Securities and Exchange Commission (the "SEC"). You may read and copy any document we file with the SEC at the SEC’s public reference room located at 100 F Street, N.E., Washington, D.C. 20549, U.S.A. Please call the SEC at 1-800-SEC-0330 for further information on the public reference room. Our SEC filings are also available to the public from the SEC’s internet site at </w:t>
      </w:r>
      <w:r>
        <w:rPr>
          <w:rFonts w:ascii="Arial" w:cs="Arial" w:eastAsia="Arial" w:hAnsi="Arial"/>
          <w:sz w:val="18"/>
          <w:szCs w:val="18"/>
          <w:i w:val="1"/>
          <w:iCs w:val="1"/>
          <w:u w:val="single" w:color="auto"/>
          <w:color w:val="auto"/>
        </w:rPr>
        <w:t>http://www.sec.gov</w:t>
      </w:r>
      <w:r>
        <w:rPr>
          <w:rFonts w:ascii="Arial" w:cs="Arial" w:eastAsia="Arial" w:hAnsi="Arial"/>
          <w:sz w:val="18"/>
          <w:szCs w:val="18"/>
          <w:i w:val="1"/>
          <w:iCs w:val="1"/>
          <w:color w:val="auto"/>
        </w:rPr>
        <w:t>.</w:t>
      </w:r>
    </w:p>
    <w:p>
      <w:pPr>
        <w:spacing w:after="0" w:line="206"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 xml:space="preserve">On our internet site, </w:t>
      </w:r>
      <w:r>
        <w:rPr>
          <w:rFonts w:ascii="Arial" w:cs="Arial" w:eastAsia="Arial" w:hAnsi="Arial"/>
          <w:sz w:val="18"/>
          <w:szCs w:val="18"/>
          <w:u w:val="single" w:color="auto"/>
          <w:color w:val="auto"/>
        </w:rPr>
        <w:t>http://www.lpl.com</w:t>
      </w:r>
      <w:r>
        <w:rPr>
          <w:rFonts w:ascii="Arial" w:cs="Arial" w:eastAsia="Arial" w:hAnsi="Arial"/>
          <w:sz w:val="18"/>
          <w:szCs w:val="18"/>
          <w:color w:val="auto"/>
        </w:rPr>
        <w:t>, we post the following filings as soon as reasonably practicable after they are electronically filed with or furnished to the SEC: our annual reports on Form 10-K, our proxy statements, our quarterly reports on Form 10-Q, our current reports on Form 8-K, and any amendments to those reports filed or furnished pursuant to Section 13(a) or 15(d) of the Exchange Act. Hard copies of all such filings are available free of charge by request via email (</w:t>
      </w:r>
      <w:r>
        <w:rPr>
          <w:rFonts w:ascii="Arial" w:cs="Arial" w:eastAsia="Arial" w:hAnsi="Arial"/>
          <w:sz w:val="18"/>
          <w:szCs w:val="18"/>
          <w:u w:val="single" w:color="auto"/>
          <w:color w:val="auto"/>
        </w:rPr>
        <w:t>investor.relations@lpl.com</w:t>
      </w:r>
      <w:r>
        <w:rPr>
          <w:rFonts w:ascii="Arial" w:cs="Arial" w:eastAsia="Arial" w:hAnsi="Arial"/>
          <w:sz w:val="18"/>
          <w:szCs w:val="18"/>
          <w:color w:val="auto"/>
        </w:rPr>
        <w:t>), telephone (617) 897-4574, or mail (LPL Financial Investor Relations at 75 State Street, 24th Floor, Boston, MA 02109). The information contained or incorporated on our website is not a part of this Quarterly Report on Form 10-Q.</w:t>
      </w:r>
    </w:p>
    <w:p>
      <w:pPr>
        <w:spacing w:after="0" w:line="191" w:lineRule="exact"/>
        <w:rPr>
          <w:sz w:val="20"/>
          <w:szCs w:val="20"/>
          <w:color w:val="auto"/>
        </w:rPr>
      </w:pPr>
    </w:p>
    <w:p>
      <w:pPr>
        <w:ind w:right="300" w:firstLine="486"/>
        <w:spacing w:after="0" w:line="282" w:lineRule="auto"/>
        <w:rPr>
          <w:sz w:val="20"/>
          <w:szCs w:val="20"/>
          <w:color w:val="auto"/>
        </w:rPr>
      </w:pPr>
      <w:r>
        <w:rPr>
          <w:rFonts w:ascii="Arial" w:cs="Arial" w:eastAsia="Arial" w:hAnsi="Arial"/>
          <w:sz w:val="18"/>
          <w:szCs w:val="18"/>
          <w:i w:val="1"/>
          <w:iCs w:val="1"/>
          <w:color w:val="auto"/>
        </w:rPr>
        <w:t>When we use the terms “LPLFH,” “we,” “us,” “our” and the "Company," we mean LPL Financial Holdings Inc., a Delaware corporation, and its consolidated subsidiaries, taken as a whole, unless the context otherwise indicates.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7" w:lineRule="exact"/>
        <w:rPr>
          <w:sz w:val="20"/>
          <w:szCs w:val="20"/>
          <w:color w:val="auto"/>
        </w:rPr>
      </w:pPr>
    </w:p>
    <w:p>
      <w:pPr>
        <w:ind w:firstLine="486"/>
        <w:spacing w:after="0" w:line="250" w:lineRule="auto"/>
        <w:rPr>
          <w:sz w:val="20"/>
          <w:szCs w:val="20"/>
          <w:color w:val="auto"/>
        </w:rPr>
      </w:pPr>
      <w:r>
        <w:rPr>
          <w:rFonts w:ascii="Arial" w:cs="Arial" w:eastAsia="Arial" w:hAnsi="Arial"/>
          <w:sz w:val="18"/>
          <w:szCs w:val="18"/>
          <w:color w:val="auto"/>
        </w:rPr>
        <w:t>Statements in Item 2 - “Management's Discussion and Analysis of Financial Condition and Results of Operations” and other sections of this Quarterly Report on Form 10-Q regarding the Company's future financial and operating results, growth, business strategy, plans, liquidity, ability and plans to repurchase shares and pay dividends in the future, including statements regarding projected costs, projected savings, projected expenses and anticipated improvements to the Company's operating model, services, and technology as a result of the Service Value Commitment, as well as any other statements that are not related to present facts or current conditions or that are not purely historical, constitute forward-looking statements. These forward-looking statements are based on the Company's historical performance and its plans, estimates and expectations as of October 30, 2013. The words “anticipates,” “believes,” “expects,” “may,” “plans,” “predicts,” “will” and similar expressions are intended to identify forward-looking statements, although not all forward-looking statements contain these identifying words. Forward-looking statements are not guarantees that the future results, plans, intentions or expectations expressed or implied by the Company will be achieved. Matters subject to forward-looking statements involve known and unknown risks and uncertainties, including economic, legislative, regulatory, competitive and other factors, which may cause actual financial or operating results, levels of activity, or the timing of events, to be materially different than those expressed or implied by forward-looking statements. Important factors that could cause or contribute to such differences include: changes in general economic and financial market conditions, including retail investor sentiment; fluctuations in the value of assets under custody; effects of competition in the financial services industry; changes in the number of the Company's financial advisors and institutions, and their ability to market effectively financial products and services; changes in interest rates and fees payable by banks participating in the Company's cash sweep program, including the Company's success in negotiating agreements with current or additional counterparties; the Company's success in integrating the operations of acquired businesses; execution of the Company's plans related to the Service Value Commitment, including the Company's ability to successfully transform and transition business processes to third party service providers; the Company's success in negotiating and developing commercial arrangements with third party service providers that will enable the Company to realize the service improvements and efficiencies expected to result from the Service Value Commitment; the performance of third party service providers to which business processes are transitioned from the Company; the Company's ability to control operating risks, information technology systems risks and sourcing risks; the effect of current, pending and future legislation, regulation and regulatory actions, including disciplinary actions imposed by self-regulatory organizations; and the other factors set forth in Part I, “Item 1A. Risk Factors” in the Company's 2012 Annual Report on Form 10-K, as may be amended or updated in our Quarterly Reports on Form 10-Q. Except as required by law, the Company specifically disclaims any obligation to update any forward-looking statements as a result of developments occurring after the date of this quarterly report, even if its estimates change, and you should not rely on statements contained herein as representing the Company's views as of any date subsequent to the date of this quarterly report.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576"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6"/>
        </w:trPr>
        <w:tc>
          <w:tcPr>
            <w:tcW w:w="5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64"/>
        </w:trPr>
        <w:tc>
          <w:tcPr>
            <w:tcW w:w="50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20" w:type="dxa"/>
            <w:vAlign w:val="bottom"/>
          </w:tcPr>
          <w:p>
            <w:pPr>
              <w:ind w:left="340"/>
              <w:spacing w:after="0"/>
              <w:rPr>
                <w:sz w:val="20"/>
                <w:szCs w:val="20"/>
                <w:color w:val="auto"/>
              </w:rPr>
            </w:pPr>
            <w:r>
              <w:rPr>
                <w:rFonts w:ascii="Arial" w:cs="Arial" w:eastAsia="Arial" w:hAnsi="Arial"/>
                <w:sz w:val="18"/>
                <w:szCs w:val="18"/>
                <w:color w:val="auto"/>
              </w:rPr>
              <w:t>Commission</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527,419</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442,129</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1,521,390</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1,353,025</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Advisory</w:t>
            </w:r>
          </w:p>
        </w:tc>
        <w:tc>
          <w:tcPr>
            <w:tcW w:w="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299,101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267,334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878,421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786,507</w:t>
            </w:r>
          </w:p>
        </w:tc>
        <w:tc>
          <w:tcPr>
            <w:tcW w:w="0" w:type="dxa"/>
            <w:vAlign w:val="bottom"/>
          </w:tcPr>
          <w:p>
            <w:pPr>
              <w:spacing w:after="0"/>
              <w:rPr>
                <w:sz w:val="1"/>
                <w:szCs w:val="1"/>
                <w:color w:val="auto"/>
              </w:rPr>
            </w:pPr>
          </w:p>
        </w:tc>
      </w:tr>
      <w:tr>
        <w:trPr>
          <w:trHeight w:val="263"/>
        </w:trPr>
        <w:tc>
          <w:tcPr>
            <w:tcW w:w="5020" w:type="dxa"/>
            <w:vAlign w:val="bottom"/>
          </w:tcPr>
          <w:p>
            <w:pPr>
              <w:ind w:left="360"/>
              <w:spacing w:after="0"/>
              <w:rPr>
                <w:sz w:val="20"/>
                <w:szCs w:val="20"/>
                <w:color w:val="auto"/>
              </w:rPr>
            </w:pPr>
            <w:r>
              <w:rPr>
                <w:rFonts w:ascii="Arial" w:cs="Arial" w:eastAsia="Arial" w:hAnsi="Arial"/>
                <w:sz w:val="18"/>
                <w:szCs w:val="18"/>
                <w:color w:val="auto"/>
              </w:rPr>
              <w:t>Asset-based</w:t>
            </w: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107,447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100,024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318,718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300,049</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and other</w:t>
            </w:r>
          </w:p>
        </w:tc>
        <w:tc>
          <w:tcPr>
            <w:tcW w:w="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93,799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84,730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271,808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238,196</w:t>
            </w:r>
          </w:p>
        </w:tc>
        <w:tc>
          <w:tcPr>
            <w:tcW w:w="0" w:type="dxa"/>
            <w:vAlign w:val="bottom"/>
          </w:tcPr>
          <w:p>
            <w:pPr>
              <w:spacing w:after="0"/>
              <w:rPr>
                <w:sz w:val="1"/>
                <w:szCs w:val="1"/>
                <w:color w:val="auto"/>
              </w:rPr>
            </w:pPr>
          </w:p>
        </w:tc>
      </w:tr>
      <w:tr>
        <w:trPr>
          <w:trHeight w:val="263"/>
        </w:trPr>
        <w:tc>
          <w:tcPr>
            <w:tcW w:w="5020" w:type="dxa"/>
            <w:vAlign w:val="bottom"/>
          </w:tcPr>
          <w:p>
            <w:pPr>
              <w:ind w:left="360"/>
              <w:spacing w:after="0"/>
              <w:rPr>
                <w:sz w:val="20"/>
                <w:szCs w:val="20"/>
                <w:color w:val="auto"/>
              </w:rPr>
            </w:pPr>
            <w:r>
              <w:rPr>
                <w:rFonts w:ascii="Arial" w:cs="Arial" w:eastAsia="Arial" w:hAnsi="Arial"/>
                <w:sz w:val="18"/>
                <w:szCs w:val="18"/>
                <w:color w:val="auto"/>
              </w:rPr>
              <w:t>Interest income, net of interest expense</w:t>
            </w: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4,509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4,629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13,343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14,139</w:t>
            </w: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20,937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8,382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43,248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24,928</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net revenues</w:t>
            </w:r>
          </w:p>
        </w:tc>
        <w:tc>
          <w:tcPr>
            <w:tcW w:w="5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1,053,212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907,228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3,046,928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2,716,844</w:t>
            </w: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20" w:type="dxa"/>
            <w:vAlign w:val="bottom"/>
          </w:tcPr>
          <w:p>
            <w:pPr>
              <w:ind w:left="360"/>
              <w:spacing w:after="0"/>
              <w:rPr>
                <w:sz w:val="20"/>
                <w:szCs w:val="20"/>
                <w:color w:val="auto"/>
              </w:rPr>
            </w:pPr>
            <w:r>
              <w:rPr>
                <w:rFonts w:ascii="Arial" w:cs="Arial" w:eastAsia="Arial" w:hAnsi="Arial"/>
                <w:sz w:val="18"/>
                <w:szCs w:val="18"/>
                <w:color w:val="auto"/>
              </w:rPr>
              <w:t>Commission and advisory</w:t>
            </w: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724,835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620,165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2,086,075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1,858,139</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102,310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91,309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299,317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273,355</w:t>
            </w:r>
          </w:p>
        </w:tc>
        <w:tc>
          <w:tcPr>
            <w:tcW w:w="0" w:type="dxa"/>
            <w:vAlign w:val="bottom"/>
          </w:tcPr>
          <w:p>
            <w:pPr>
              <w:spacing w:after="0"/>
              <w:rPr>
                <w:sz w:val="1"/>
                <w:szCs w:val="1"/>
                <w:color w:val="auto"/>
              </w:rPr>
            </w:pPr>
          </w:p>
        </w:tc>
      </w:tr>
      <w:tr>
        <w:trPr>
          <w:trHeight w:val="263"/>
        </w:trPr>
        <w:tc>
          <w:tcPr>
            <w:tcW w:w="5020" w:type="dxa"/>
            <w:vAlign w:val="bottom"/>
          </w:tcPr>
          <w:p>
            <w:pPr>
              <w:ind w:left="360"/>
              <w:spacing w:after="0"/>
              <w:rPr>
                <w:sz w:val="20"/>
                <w:szCs w:val="20"/>
                <w:color w:val="auto"/>
              </w:rPr>
            </w:pPr>
            <w:r>
              <w:rPr>
                <w:rFonts w:ascii="Arial" w:cs="Arial" w:eastAsia="Arial" w:hAnsi="Arial"/>
                <w:sz w:val="18"/>
                <w:szCs w:val="18"/>
                <w:color w:val="auto"/>
              </w:rPr>
              <w:t>Promotional</w:t>
            </w: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36,807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31,844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85,276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74,797</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21,432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18,423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61,451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53,010</w:t>
            </w:r>
          </w:p>
        </w:tc>
        <w:tc>
          <w:tcPr>
            <w:tcW w:w="0" w:type="dxa"/>
            <w:vAlign w:val="bottom"/>
          </w:tcPr>
          <w:p>
            <w:pPr>
              <w:spacing w:after="0"/>
              <w:rPr>
                <w:sz w:val="1"/>
                <w:szCs w:val="1"/>
                <w:color w:val="auto"/>
              </w:rPr>
            </w:pPr>
          </w:p>
        </w:tc>
      </w:tr>
      <w:tr>
        <w:trPr>
          <w:trHeight w:val="263"/>
        </w:trPr>
        <w:tc>
          <w:tcPr>
            <w:tcW w:w="5020" w:type="dxa"/>
            <w:vAlign w:val="bottom"/>
          </w:tcPr>
          <w:p>
            <w:pPr>
              <w:ind w:left="360"/>
              <w:spacing w:after="0"/>
              <w:rPr>
                <w:sz w:val="20"/>
                <w:szCs w:val="20"/>
                <w:color w:val="auto"/>
              </w:rPr>
            </w:pPr>
            <w:r>
              <w:rPr>
                <w:rFonts w:ascii="Arial" w:cs="Arial" w:eastAsia="Arial" w:hAnsi="Arial"/>
                <w:sz w:val="18"/>
                <w:szCs w:val="18"/>
                <w:color w:val="auto"/>
              </w:rPr>
              <w:t>Occupancy and equipment</w:t>
            </w: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16,568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13,914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49,649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42,418</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18,955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15,672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47,588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46,992</w:t>
            </w:r>
          </w:p>
        </w:tc>
        <w:tc>
          <w:tcPr>
            <w:tcW w:w="0" w:type="dxa"/>
            <w:vAlign w:val="bottom"/>
          </w:tcPr>
          <w:p>
            <w:pPr>
              <w:spacing w:after="0"/>
              <w:rPr>
                <w:sz w:val="1"/>
                <w:szCs w:val="1"/>
                <w:color w:val="auto"/>
              </w:rPr>
            </w:pPr>
          </w:p>
        </w:tc>
      </w:tr>
      <w:tr>
        <w:trPr>
          <w:trHeight w:val="263"/>
        </w:trPr>
        <w:tc>
          <w:tcPr>
            <w:tcW w:w="5020" w:type="dxa"/>
            <w:vAlign w:val="bottom"/>
          </w:tcPr>
          <w:p>
            <w:pPr>
              <w:ind w:left="360"/>
              <w:spacing w:after="0"/>
              <w:rPr>
                <w:sz w:val="20"/>
                <w:szCs w:val="20"/>
                <w:color w:val="auto"/>
              </w:rPr>
            </w:pPr>
            <w:r>
              <w:rPr>
                <w:rFonts w:ascii="Arial" w:cs="Arial" w:eastAsia="Arial" w:hAnsi="Arial"/>
                <w:sz w:val="18"/>
                <w:szCs w:val="18"/>
                <w:color w:val="auto"/>
              </w:rPr>
              <w:t>Brokerage, clearing and exchange</w:t>
            </w: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11,360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9,938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32,958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29,007</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Communications and data processing</w:t>
            </w:r>
          </w:p>
        </w:tc>
        <w:tc>
          <w:tcPr>
            <w:tcW w:w="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11,017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10,249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31,401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28,945</w:t>
            </w:r>
          </w:p>
        </w:tc>
        <w:tc>
          <w:tcPr>
            <w:tcW w:w="0" w:type="dxa"/>
            <w:vAlign w:val="bottom"/>
          </w:tcPr>
          <w:p>
            <w:pPr>
              <w:spacing w:after="0"/>
              <w:rPr>
                <w:sz w:val="1"/>
                <w:szCs w:val="1"/>
                <w:color w:val="auto"/>
              </w:rPr>
            </w:pPr>
          </w:p>
        </w:tc>
      </w:tr>
      <w:tr>
        <w:trPr>
          <w:trHeight w:val="263"/>
        </w:trPr>
        <w:tc>
          <w:tcPr>
            <w:tcW w:w="5020" w:type="dxa"/>
            <w:vAlign w:val="bottom"/>
          </w:tcPr>
          <w:p>
            <w:pPr>
              <w:ind w:left="360"/>
              <w:spacing w:after="0"/>
              <w:rPr>
                <w:sz w:val="20"/>
                <w:szCs w:val="20"/>
                <w:color w:val="auto"/>
              </w:rPr>
            </w:pPr>
            <w:r>
              <w:rPr>
                <w:rFonts w:ascii="Arial" w:cs="Arial" w:eastAsia="Arial" w:hAnsi="Arial"/>
                <w:sz w:val="18"/>
                <w:szCs w:val="18"/>
                <w:color w:val="auto"/>
              </w:rPr>
              <w:t>Regulatory fees and other</w:t>
            </w: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8,234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6,979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23,339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21,416</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charges</w:t>
            </w:r>
          </w:p>
        </w:tc>
        <w:tc>
          <w:tcPr>
            <w:tcW w:w="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6,482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19,851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4,962</w:t>
            </w:r>
          </w:p>
        </w:tc>
        <w:tc>
          <w:tcPr>
            <w:tcW w:w="0" w:type="dxa"/>
            <w:vAlign w:val="bottom"/>
          </w:tcPr>
          <w:p>
            <w:pPr>
              <w:spacing w:after="0"/>
              <w:rPr>
                <w:sz w:val="1"/>
                <w:szCs w:val="1"/>
                <w:color w:val="auto"/>
              </w:rPr>
            </w:pPr>
          </w:p>
        </w:tc>
      </w:tr>
      <w:tr>
        <w:trPr>
          <w:trHeight w:val="264"/>
        </w:trPr>
        <w:tc>
          <w:tcPr>
            <w:tcW w:w="5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20,547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20,460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37,116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36,573</w:t>
            </w: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978,547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840,164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2,774,021</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2,469,614</w:t>
            </w:r>
          </w:p>
        </w:tc>
        <w:tc>
          <w:tcPr>
            <w:tcW w:w="0" w:type="dxa"/>
            <w:vAlign w:val="bottom"/>
          </w:tcPr>
          <w:p>
            <w:pPr>
              <w:spacing w:after="0"/>
              <w:rPr>
                <w:sz w:val="1"/>
                <w:szCs w:val="1"/>
                <w:color w:val="auto"/>
              </w:rPr>
            </w:pPr>
          </w:p>
        </w:tc>
      </w:tr>
      <w:tr>
        <w:trPr>
          <w:trHeight w:val="250"/>
        </w:trPr>
        <w:tc>
          <w:tcPr>
            <w:tcW w:w="5020" w:type="dxa"/>
            <w:vAlign w:val="bottom"/>
          </w:tcPr>
          <w:p>
            <w:pPr>
              <w:ind w:left="360"/>
              <w:spacing w:after="0"/>
              <w:rPr>
                <w:sz w:val="20"/>
                <w:szCs w:val="20"/>
                <w:color w:val="auto"/>
              </w:rPr>
            </w:pPr>
            <w:r>
              <w:rPr>
                <w:rFonts w:ascii="Arial" w:cs="Arial" w:eastAsia="Arial" w:hAnsi="Arial"/>
                <w:sz w:val="18"/>
                <w:szCs w:val="18"/>
                <w:color w:val="auto"/>
              </w:rPr>
              <w:t>Non-operating interest expense</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13,363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12,826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38,190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42,297</w:t>
            </w: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5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7,962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16,524</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expenses</w:t>
            </w:r>
          </w:p>
        </w:tc>
        <w:tc>
          <w:tcPr>
            <w:tcW w:w="5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991,910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852,990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2,820,173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2,528,435</w:t>
            </w: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BEFORE PROVISION FOR INCOME TAXES</w:t>
            </w:r>
          </w:p>
        </w:tc>
        <w:tc>
          <w:tcPr>
            <w:tcW w:w="5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61,302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54,238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226,755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188,409</w:t>
            </w:r>
          </w:p>
        </w:tc>
        <w:tc>
          <w:tcPr>
            <w:tcW w:w="0" w:type="dxa"/>
            <w:vAlign w:val="bottom"/>
          </w:tcPr>
          <w:p>
            <w:pPr>
              <w:spacing w:after="0"/>
              <w:rPr>
                <w:sz w:val="1"/>
                <w:szCs w:val="1"/>
                <w:color w:val="auto"/>
              </w:rPr>
            </w:pPr>
          </w:p>
        </w:tc>
      </w:tr>
      <w:tr>
        <w:trPr>
          <w:trHeight w:val="264"/>
        </w:trPr>
        <w:tc>
          <w:tcPr>
            <w:tcW w:w="50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PROVISION FOR INCOME TAXES</w:t>
            </w:r>
          </w:p>
        </w:tc>
        <w:tc>
          <w:tcPr>
            <w:tcW w:w="5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23,671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19,939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89,316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73,429</w:t>
            </w: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37,631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34,299</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137,439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114,980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EARNINGS PER SHARE (Note 12):</w:t>
            </w:r>
          </w:p>
        </w:tc>
        <w:tc>
          <w:tcPr>
            <w:tcW w:w="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2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0.36</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57"/>
        </w:trPr>
        <w:tc>
          <w:tcPr>
            <w:tcW w:w="5020" w:type="dxa"/>
            <w:vAlign w:val="bottom"/>
          </w:tcPr>
          <w:p>
            <w:pPr>
              <w:ind w:left="360"/>
              <w:spacing w:after="0"/>
              <w:rPr>
                <w:sz w:val="20"/>
                <w:szCs w:val="20"/>
                <w:color w:val="auto"/>
              </w:rPr>
            </w:pPr>
            <w:r>
              <w:rPr>
                <w:rFonts w:ascii="Arial" w:cs="Arial" w:eastAsia="Arial" w:hAnsi="Arial"/>
                <w:sz w:val="18"/>
                <w:szCs w:val="18"/>
                <w:color w:val="auto"/>
              </w:rPr>
              <w:t>Diluted</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0.36</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360"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23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46"/>
        </w:trPr>
        <w:tc>
          <w:tcPr>
            <w:tcW w:w="6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6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1"/>
                <w:szCs w:val="21"/>
                <w:color w:val="auto"/>
              </w:rPr>
            </w:pPr>
          </w:p>
        </w:tc>
        <w:tc>
          <w:tcPr>
            <w:tcW w:w="23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r>
      <w:tr>
        <w:trPr>
          <w:trHeight w:val="264"/>
        </w:trPr>
        <w:tc>
          <w:tcPr>
            <w:tcW w:w="60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57"/>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37,631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34,299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137,439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114,980</w:t>
            </w:r>
          </w:p>
        </w:tc>
      </w:tr>
      <w:tr>
        <w:trPr>
          <w:trHeight w:val="263"/>
        </w:trPr>
        <w:tc>
          <w:tcPr>
            <w:tcW w:w="604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5"/>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cash flow hedges, net of tax expense of $155 for</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6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the three and nine months ended September 30, 2013</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6040" w:type="dxa"/>
            <w:vAlign w:val="bottom"/>
          </w:tcPr>
          <w:p>
            <w:pPr>
              <w:ind w:left="360"/>
              <w:spacing w:after="0"/>
              <w:rPr>
                <w:sz w:val="20"/>
                <w:szCs w:val="20"/>
                <w:color w:val="auto"/>
              </w:rPr>
            </w:pPr>
            <w:r>
              <w:rPr>
                <w:rFonts w:ascii="Arial" w:cs="Arial" w:eastAsia="Arial" w:hAnsi="Arial"/>
                <w:sz w:val="18"/>
                <w:szCs w:val="18"/>
                <w:color w:val="auto"/>
              </w:rPr>
              <w:t>Adjustment for items reclassified to earnings, net of tax expense of</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60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$527 for the nine months ended September 30, 2012, respectively</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850</w:t>
            </w:r>
          </w:p>
        </w:tc>
      </w:tr>
      <w:tr>
        <w:trPr>
          <w:trHeight w:val="250"/>
        </w:trPr>
        <w:tc>
          <w:tcPr>
            <w:tcW w:w="6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other comprehensive (loss) income, net of tax</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850</w:t>
            </w:r>
          </w:p>
        </w:tc>
      </w:tr>
      <w:tr>
        <w:trPr>
          <w:trHeight w:val="257"/>
        </w:trPr>
        <w:tc>
          <w:tcPr>
            <w:tcW w:w="604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37,381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34,299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137,189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115,830</w:t>
            </w:r>
          </w:p>
        </w:tc>
      </w:tr>
      <w:tr>
        <w:trPr>
          <w:trHeight w:val="20"/>
        </w:trPr>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49" w:right="259" w:bottom="1440" w:gutter="0" w:footer="0" w:header="0"/>
        </w:sectPr>
      </w:pPr>
    </w:p>
    <w:bookmarkStart w:id="5" w:name="page6"/>
    <w:bookmarkEnd w:id="5"/>
    <w:p>
      <w:pPr>
        <w:ind w:left="3440"/>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3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9"/>
              </w:rPr>
              <w:t>December 31, 2012</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jc w:val="center"/>
              <w:ind w:left="2979"/>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585,740</w:t>
            </w:r>
          </w:p>
        </w:tc>
        <w:tc>
          <w:tcPr>
            <w:tcW w:w="100" w:type="dxa"/>
            <w:vAlign w:val="bottom"/>
          </w:tcPr>
          <w:p>
            <w:pPr>
              <w:spacing w:after="0"/>
              <w:rPr>
                <w:sz w:val="22"/>
                <w:szCs w:val="22"/>
                <w:color w:val="auto"/>
              </w:rPr>
            </w:pP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466,261</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428,043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577,433</w:t>
            </w:r>
          </w:p>
        </w:tc>
        <w:tc>
          <w:tcPr>
            <w:tcW w:w="0" w:type="dxa"/>
            <w:vAlign w:val="bottom"/>
          </w:tcPr>
          <w:p>
            <w:pPr>
              <w:spacing w:after="0"/>
              <w:rPr>
                <w:sz w:val="1"/>
                <w:szCs w:val="1"/>
                <w:color w:val="auto"/>
              </w:rPr>
            </w:pP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Receivables from:</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Clients, net of allowance of $567 at September 30, 2013 and $587 at December 31, 2012</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341,387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369,814</w:t>
            </w:r>
          </w:p>
        </w:tc>
        <w:tc>
          <w:tcPr>
            <w:tcW w:w="0" w:type="dxa"/>
            <w:vAlign w:val="bottom"/>
          </w:tcPr>
          <w:p>
            <w:pPr>
              <w:spacing w:after="0"/>
              <w:rPr>
                <w:sz w:val="1"/>
                <w:szCs w:val="1"/>
                <w:color w:val="auto"/>
              </w:rPr>
            </w:pPr>
          </w:p>
        </w:tc>
      </w:tr>
      <w:tr>
        <w:trPr>
          <w:trHeight w:val="260"/>
        </w:trPr>
        <w:tc>
          <w:tcPr>
            <w:tcW w:w="8360" w:type="dxa"/>
            <w:vAlign w:val="bottom"/>
          </w:tcPr>
          <w:p>
            <w:pPr>
              <w:ind w:left="120"/>
              <w:spacing w:after="0"/>
              <w:rPr>
                <w:sz w:val="20"/>
                <w:szCs w:val="20"/>
                <w:color w:val="auto"/>
              </w:rPr>
            </w:pPr>
            <w:r>
              <w:rPr>
                <w:rFonts w:ascii="Arial" w:cs="Arial" w:eastAsia="Arial" w:hAnsi="Arial"/>
                <w:sz w:val="16"/>
                <w:szCs w:val="16"/>
                <w:color w:val="auto"/>
              </w:rPr>
              <w:t>Product sponsors, broker-dealers and clearing organizations</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152,582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152,950</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Others, net of allowance of $7,200 at September 30, 2013 and $6,675 at December 31, 2012</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252,864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241,324</w:t>
            </w:r>
          </w:p>
        </w:tc>
        <w:tc>
          <w:tcPr>
            <w:tcW w:w="0" w:type="dxa"/>
            <w:vAlign w:val="bottom"/>
          </w:tcPr>
          <w:p>
            <w:pPr>
              <w:spacing w:after="0"/>
              <w:rPr>
                <w:sz w:val="1"/>
                <w:szCs w:val="1"/>
                <w:color w:val="auto"/>
              </w:rPr>
            </w:pP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Securities owned:</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Trading — at fair value</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8,848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8,088</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Held-to-maturity</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6,761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10,202</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Securities borrowed</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10,616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9,448</w:t>
            </w:r>
          </w:p>
        </w:tc>
        <w:tc>
          <w:tcPr>
            <w:tcW w:w="0" w:type="dxa"/>
            <w:vAlign w:val="bottom"/>
          </w:tcPr>
          <w:p>
            <w:pPr>
              <w:spacing w:after="0"/>
              <w:rPr>
                <w:sz w:val="1"/>
                <w:szCs w:val="1"/>
                <w:color w:val="auto"/>
              </w:rPr>
            </w:pP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Income taxes receivable</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9,030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5,215</w:t>
            </w:r>
          </w:p>
        </w:tc>
        <w:tc>
          <w:tcPr>
            <w:tcW w:w="0" w:type="dxa"/>
            <w:vAlign w:val="bottom"/>
          </w:tcPr>
          <w:p>
            <w:pPr>
              <w:spacing w:after="0"/>
              <w:rPr>
                <w:sz w:val="1"/>
                <w:szCs w:val="1"/>
                <w:color w:val="auto"/>
              </w:rPr>
            </w:pPr>
          </w:p>
        </w:tc>
      </w:tr>
      <w:tr>
        <w:trPr>
          <w:trHeight w:val="228"/>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 assets, net of accumulated depreciation and amortization of $288,411 at September 30, 2013 and</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$324,684 at December 31, 2012</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140,846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130,847</w:t>
            </w:r>
          </w:p>
        </w:tc>
        <w:tc>
          <w:tcPr>
            <w:tcW w:w="0" w:type="dxa"/>
            <w:vAlign w:val="bottom"/>
          </w:tcPr>
          <w:p>
            <w:pPr>
              <w:spacing w:after="0"/>
              <w:rPr>
                <w:sz w:val="1"/>
                <w:szCs w:val="1"/>
                <w:color w:val="auto"/>
              </w:rPr>
            </w:pPr>
          </w:p>
        </w:tc>
      </w:tr>
      <w:tr>
        <w:trPr>
          <w:trHeight w:val="218"/>
        </w:trPr>
        <w:tc>
          <w:tcPr>
            <w:tcW w:w="8360" w:type="dxa"/>
            <w:vAlign w:val="bottom"/>
          </w:tcPr>
          <w:p>
            <w:pPr>
              <w:ind w:left="40"/>
              <w:spacing w:after="0"/>
              <w:rPr>
                <w:sz w:val="20"/>
                <w:szCs w:val="20"/>
                <w:color w:val="auto"/>
              </w:rPr>
            </w:pPr>
            <w:r>
              <w:rPr>
                <w:rFonts w:ascii="Arial" w:cs="Arial" w:eastAsia="Arial" w:hAnsi="Arial"/>
                <w:sz w:val="16"/>
                <w:szCs w:val="16"/>
                <w:color w:val="auto"/>
              </w:rPr>
              <w:t>Debt issuance costs, net of accumulated amortization of $6,671 at September 30, 2013 and $4,903 at</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360" w:type="dxa"/>
            <w:vAlign w:val="bottom"/>
          </w:tcPr>
          <w:p>
            <w:pPr>
              <w:ind w:left="200"/>
              <w:spacing w:after="0"/>
              <w:rPr>
                <w:sz w:val="20"/>
                <w:szCs w:val="20"/>
                <w:color w:val="auto"/>
              </w:rPr>
            </w:pPr>
            <w:r>
              <w:rPr>
                <w:rFonts w:ascii="Arial" w:cs="Arial" w:eastAsia="Arial" w:hAnsi="Arial"/>
                <w:sz w:val="16"/>
                <w:szCs w:val="16"/>
                <w:color w:val="auto"/>
              </w:rPr>
              <w:t>December 31, 2012</w:t>
            </w:r>
          </w:p>
        </w:tc>
        <w:tc>
          <w:tcPr>
            <w:tcW w:w="14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17,361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21,254</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1,361,361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1,371,523</w:t>
            </w:r>
          </w:p>
        </w:tc>
        <w:tc>
          <w:tcPr>
            <w:tcW w:w="0" w:type="dxa"/>
            <w:vAlign w:val="bottom"/>
          </w:tcPr>
          <w:p>
            <w:pPr>
              <w:spacing w:after="0"/>
              <w:rPr>
                <w:sz w:val="1"/>
                <w:szCs w:val="1"/>
                <w:color w:val="auto"/>
              </w:rPr>
            </w:pPr>
          </w:p>
        </w:tc>
      </w:tr>
      <w:tr>
        <w:trPr>
          <w:trHeight w:val="218"/>
        </w:trPr>
        <w:tc>
          <w:tcPr>
            <w:tcW w:w="8360" w:type="dxa"/>
            <w:vAlign w:val="bottom"/>
          </w:tcPr>
          <w:p>
            <w:pPr>
              <w:ind w:left="40"/>
              <w:spacing w:after="0"/>
              <w:rPr>
                <w:sz w:val="20"/>
                <w:szCs w:val="20"/>
                <w:color w:val="auto"/>
              </w:rPr>
            </w:pPr>
            <w:r>
              <w:rPr>
                <w:rFonts w:ascii="Arial" w:cs="Arial" w:eastAsia="Arial" w:hAnsi="Arial"/>
                <w:sz w:val="16"/>
                <w:szCs w:val="16"/>
                <w:color w:val="auto"/>
              </w:rPr>
              <w:t>Intangible assets, net of accumulated amortization of $256,555 at September 30, 2013 and $237,681 at</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360" w:type="dxa"/>
            <w:vAlign w:val="bottom"/>
          </w:tcPr>
          <w:p>
            <w:pPr>
              <w:ind w:left="200"/>
              <w:spacing w:after="0"/>
              <w:rPr>
                <w:sz w:val="20"/>
                <w:szCs w:val="20"/>
                <w:color w:val="auto"/>
              </w:rPr>
            </w:pPr>
            <w:r>
              <w:rPr>
                <w:rFonts w:ascii="Arial" w:cs="Arial" w:eastAsia="Arial" w:hAnsi="Arial"/>
                <w:sz w:val="16"/>
                <w:szCs w:val="16"/>
                <w:color w:val="auto"/>
              </w:rPr>
              <w:t>December 31, 2012</w:t>
            </w:r>
          </w:p>
        </w:tc>
        <w:tc>
          <w:tcPr>
            <w:tcW w:w="14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474,253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503,528</w:t>
            </w:r>
          </w:p>
        </w:tc>
        <w:tc>
          <w:tcPr>
            <w:tcW w:w="0" w:type="dxa"/>
            <w:vAlign w:val="bottom"/>
          </w:tcPr>
          <w:p>
            <w:pPr>
              <w:spacing w:after="0"/>
              <w:rPr>
                <w:sz w:val="1"/>
                <w:szCs w:val="1"/>
                <w:color w:val="auto"/>
              </w:rPr>
            </w:pPr>
          </w:p>
        </w:tc>
      </w:tr>
      <w:tr>
        <w:trPr>
          <w:trHeight w:val="273"/>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124,396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120,637</w:t>
            </w:r>
          </w:p>
        </w:tc>
        <w:tc>
          <w:tcPr>
            <w:tcW w:w="0" w:type="dxa"/>
            <w:vAlign w:val="bottom"/>
          </w:tcPr>
          <w:p>
            <w:pPr>
              <w:spacing w:after="0"/>
              <w:rPr>
                <w:sz w:val="1"/>
                <w:szCs w:val="1"/>
                <w:color w:val="auto"/>
              </w:rPr>
            </w:pPr>
          </w:p>
        </w:tc>
      </w:tr>
      <w:tr>
        <w:trPr>
          <w:trHeight w:val="280"/>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3,914,088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3,988,524</w:t>
            </w:r>
          </w:p>
        </w:tc>
        <w:tc>
          <w:tcPr>
            <w:tcW w:w="0" w:type="dxa"/>
            <w:vAlign w:val="bottom"/>
          </w:tcPr>
          <w:p>
            <w:pPr>
              <w:spacing w:after="0"/>
              <w:rPr>
                <w:sz w:val="1"/>
                <w:szCs w:val="1"/>
                <w:color w:val="auto"/>
              </w:rPr>
            </w:pPr>
          </w:p>
        </w:tc>
      </w:tr>
      <w:tr>
        <w:trPr>
          <w:trHeight w:val="200"/>
        </w:trPr>
        <w:tc>
          <w:tcPr>
            <w:tcW w:w="8360" w:type="dxa"/>
            <w:vAlign w:val="bottom"/>
            <w:shd w:val="clear" w:color="auto" w:fill="CCEEFF"/>
          </w:tcPr>
          <w:p>
            <w:pPr>
              <w:jc w:val="center"/>
              <w:ind w:left="2979"/>
              <w:spacing w:after="0" w:line="180" w:lineRule="exact"/>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36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Drafts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178,151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203,132</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Payables to clients</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538,083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749,505</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Payables to broker-dealers and clearing organizations</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23,043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53,031</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Accrued commission and advisory expenses payable</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128,601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128,459</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244,565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216,138</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Unearned revenue</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63,474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61,808</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sold, but not yet purchased — at fair value</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60"/>
        </w:trPr>
        <w:tc>
          <w:tcPr>
            <w:tcW w:w="8360" w:type="dxa"/>
            <w:vAlign w:val="bottom"/>
          </w:tcPr>
          <w:p>
            <w:pPr>
              <w:ind w:left="180"/>
              <w:spacing w:after="0"/>
              <w:rPr>
                <w:sz w:val="20"/>
                <w:szCs w:val="20"/>
                <w:color w:val="auto"/>
              </w:rPr>
            </w:pPr>
            <w:r>
              <w:rPr>
                <w:rFonts w:ascii="Arial" w:cs="Arial" w:eastAsia="Arial" w:hAnsi="Arial"/>
                <w:sz w:val="16"/>
                <w:szCs w:val="16"/>
                <w:color w:val="auto"/>
              </w:rPr>
              <w:t>Senior secured credit facilities</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1,537,806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1,317,825</w:t>
            </w:r>
          </w:p>
        </w:tc>
        <w:tc>
          <w:tcPr>
            <w:tcW w:w="0" w:type="dxa"/>
            <w:vAlign w:val="bottom"/>
          </w:tcPr>
          <w:p>
            <w:pPr>
              <w:spacing w:after="0"/>
              <w:rPr>
                <w:sz w:val="1"/>
                <w:szCs w:val="1"/>
                <w:color w:val="auto"/>
              </w:rPr>
            </w:pPr>
          </w:p>
        </w:tc>
      </w:tr>
      <w:tr>
        <w:trPr>
          <w:trHeight w:val="273"/>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 — net</w:t>
            </w: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108,390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118,240</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2,822,431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2,848,504</w:t>
            </w:r>
          </w:p>
        </w:tc>
        <w:tc>
          <w:tcPr>
            <w:tcW w:w="0" w:type="dxa"/>
            <w:vAlign w:val="bottom"/>
          </w:tcPr>
          <w:p>
            <w:pPr>
              <w:spacing w:after="0"/>
              <w:rPr>
                <w:sz w:val="1"/>
                <w:szCs w:val="1"/>
                <w:color w:val="auto"/>
              </w:rPr>
            </w:pPr>
          </w:p>
        </w:tc>
      </w:tr>
      <w:tr>
        <w:trPr>
          <w:trHeight w:val="257"/>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8360" w:type="dxa"/>
            <w:vAlign w:val="bottom"/>
          </w:tcPr>
          <w:p>
            <w:pPr>
              <w:ind w:left="200"/>
              <w:spacing w:after="0"/>
              <w:rPr>
                <w:sz w:val="20"/>
                <w:szCs w:val="20"/>
                <w:color w:val="auto"/>
              </w:rPr>
            </w:pPr>
            <w:r>
              <w:rPr>
                <w:rFonts w:ascii="Arial" w:cs="Arial" w:eastAsia="Arial" w:hAnsi="Arial"/>
                <w:sz w:val="16"/>
                <w:szCs w:val="16"/>
                <w:color w:val="auto"/>
              </w:rPr>
              <w:t>Common stock, $.001 par value; 600,000,000 shares authorized; 116,854,124 shares issued at September 30,</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360" w:type="dxa"/>
            <w:vAlign w:val="bottom"/>
          </w:tcPr>
          <w:p>
            <w:pPr>
              <w:ind w:left="360"/>
              <w:spacing w:after="0"/>
              <w:rPr>
                <w:sz w:val="20"/>
                <w:szCs w:val="20"/>
                <w:color w:val="auto"/>
              </w:rPr>
            </w:pPr>
            <w:r>
              <w:rPr>
                <w:rFonts w:ascii="Arial" w:cs="Arial" w:eastAsia="Arial" w:hAnsi="Arial"/>
                <w:sz w:val="16"/>
                <w:szCs w:val="16"/>
                <w:color w:val="auto"/>
              </w:rPr>
              <w:t>2013 and 115,713,741 shares issued at December 31, 2012</w:t>
            </w:r>
          </w:p>
        </w:tc>
        <w:tc>
          <w:tcPr>
            <w:tcW w:w="14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1,274,947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1,228,075</w:t>
            </w:r>
          </w:p>
        </w:tc>
        <w:tc>
          <w:tcPr>
            <w:tcW w:w="0" w:type="dxa"/>
            <w:vAlign w:val="bottom"/>
          </w:tcPr>
          <w:p>
            <w:pPr>
              <w:spacing w:after="0"/>
              <w:rPr>
                <w:sz w:val="1"/>
                <w:szCs w:val="1"/>
                <w:color w:val="auto"/>
              </w:rPr>
            </w:pPr>
          </w:p>
        </w:tc>
      </w:tr>
      <w:tr>
        <w:trPr>
          <w:trHeight w:val="218"/>
        </w:trPr>
        <w:tc>
          <w:tcPr>
            <w:tcW w:w="8360" w:type="dxa"/>
            <w:vAlign w:val="bottom"/>
          </w:tcPr>
          <w:p>
            <w:pPr>
              <w:ind w:left="200"/>
              <w:spacing w:after="0"/>
              <w:rPr>
                <w:sz w:val="20"/>
                <w:szCs w:val="20"/>
                <w:color w:val="auto"/>
              </w:rPr>
            </w:pPr>
            <w:r>
              <w:rPr>
                <w:rFonts w:ascii="Arial" w:cs="Arial" w:eastAsia="Arial" w:hAnsi="Arial"/>
                <w:sz w:val="16"/>
                <w:szCs w:val="16"/>
                <w:color w:val="auto"/>
              </w:rPr>
              <w:t>Treasury stock, at cost — 14,313,119 shares at September 30, 2013 and 9,421,800 shares at December 31,</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360" w:type="dxa"/>
            <w:vAlign w:val="bottom"/>
          </w:tcPr>
          <w:p>
            <w:pPr>
              <w:ind w:left="360"/>
              <w:spacing w:after="0"/>
              <w:rPr>
                <w:sz w:val="20"/>
                <w:szCs w:val="20"/>
                <w:color w:val="auto"/>
              </w:rPr>
            </w:pPr>
            <w:r>
              <w:rPr>
                <w:rFonts w:ascii="Arial" w:cs="Arial" w:eastAsia="Arial" w:hAnsi="Arial"/>
                <w:sz w:val="16"/>
                <w:szCs w:val="16"/>
                <w:color w:val="auto"/>
              </w:rPr>
              <w:t>2012</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(471,653)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(287,998)</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Retained earnings</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288,496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199,827</w:t>
            </w:r>
          </w:p>
        </w:tc>
        <w:tc>
          <w:tcPr>
            <w:tcW w:w="0" w:type="dxa"/>
            <w:vAlign w:val="bottom"/>
          </w:tcPr>
          <w:p>
            <w:pPr>
              <w:spacing w:after="0"/>
              <w:rPr>
                <w:sz w:val="1"/>
                <w:szCs w:val="1"/>
                <w:color w:val="auto"/>
              </w:rPr>
            </w:pPr>
          </w:p>
        </w:tc>
      </w:tr>
      <w:tr>
        <w:trPr>
          <w:trHeight w:val="250"/>
        </w:trPr>
        <w:tc>
          <w:tcPr>
            <w:tcW w:w="8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1,091,657</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1,140,020</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3,914,088</w:t>
            </w:r>
          </w:p>
        </w:tc>
        <w:tc>
          <w:tcPr>
            <w:tcW w:w="100" w:type="dxa"/>
            <w:vAlign w:val="bottom"/>
          </w:tcPr>
          <w:p>
            <w:pPr>
              <w:spacing w:after="0"/>
              <w:rPr>
                <w:sz w:val="20"/>
                <w:szCs w:val="20"/>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3,988,524</w:t>
            </w:r>
          </w:p>
        </w:tc>
        <w:tc>
          <w:tcPr>
            <w:tcW w:w="0" w:type="dxa"/>
            <w:vAlign w:val="bottom"/>
          </w:tcPr>
          <w:p>
            <w:pPr>
              <w:spacing w:after="0"/>
              <w:rPr>
                <w:sz w:val="1"/>
                <w:szCs w:val="1"/>
                <w:color w:val="auto"/>
              </w:rPr>
            </w:pPr>
          </w:p>
        </w:tc>
      </w:tr>
      <w:tr>
        <w:trPr>
          <w:trHeight w:val="20"/>
        </w:trPr>
        <w:tc>
          <w:tcPr>
            <w:tcW w:w="8360" w:type="dxa"/>
            <w:vAlign w:val="bottom"/>
            <w:vMerge w:val="restart"/>
          </w:tcPr>
          <w:p>
            <w:pPr>
              <w:jc w:val="center"/>
              <w:ind w:left="2979"/>
              <w:spacing w:after="0"/>
              <w:rPr>
                <w:sz w:val="20"/>
                <w:szCs w:val="20"/>
                <w:color w:val="auto"/>
              </w:rPr>
            </w:pPr>
            <w:r>
              <w:rPr>
                <w:rFonts w:ascii="Arial" w:cs="Arial" w:eastAsia="Arial" w:hAnsi="Arial"/>
                <w:sz w:val="16"/>
                <w:szCs w:val="16"/>
                <w:color w:val="auto"/>
              </w:rPr>
              <w:t>See notes to unaudited condensed consolidated financial statements.</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49"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188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920" w:type="dxa"/>
            <w:vAlign w:val="bottom"/>
            <w:gridSpan w:val="5"/>
          </w:tcPr>
          <w:p>
            <w:pPr>
              <w:ind w:left="40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4"/>
                <w:szCs w:val="4"/>
                <w:color w:val="auto"/>
              </w:rPr>
            </w:pP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120" w:type="dxa"/>
            <w:vAlign w:val="bottom"/>
            <w:vMerge w:val="restart"/>
          </w:tcPr>
          <w:p>
            <w:pPr>
              <w:jc w:val="center"/>
              <w:ind w:right="48"/>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2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740" w:type="dxa"/>
            <w:vAlign w:val="bottom"/>
            <w:tcBorders>
              <w:top w:val="single" w:sz="8" w:color="CCEEFF"/>
            </w:tcBorders>
            <w:shd w:val="clear" w:color="auto" w:fill="CCEEFF"/>
          </w:tcPr>
          <w:p>
            <w:pPr>
              <w:jc w:val="center"/>
              <w:ind w:right="428"/>
              <w:spacing w:after="0"/>
              <w:rPr>
                <w:sz w:val="20"/>
                <w:szCs w:val="20"/>
                <w:color w:val="auto"/>
              </w:rPr>
            </w:pPr>
            <w:r>
              <w:rPr>
                <w:rFonts w:ascii="Arial" w:cs="Arial" w:eastAsia="Arial" w:hAnsi="Arial"/>
                <w:sz w:val="14"/>
                <w:szCs w:val="14"/>
                <w:color w:val="auto"/>
              </w:rPr>
              <w:t>BALANCE — December 31, 2011</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110,532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1,137,723</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2,618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(89,037)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296,802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1,344,748</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jc w:val="center"/>
              <w:ind w:right="428"/>
              <w:spacing w:after="0"/>
              <w:rPr>
                <w:sz w:val="20"/>
                <w:szCs w:val="20"/>
                <w:color w:val="auto"/>
              </w:rPr>
            </w:pPr>
            <w:r>
              <w:rPr>
                <w:rFonts w:ascii="Arial" w:cs="Arial" w:eastAsia="Arial" w:hAnsi="Arial"/>
                <w:sz w:val="14"/>
                <w:szCs w:val="14"/>
                <w:color w:val="auto"/>
              </w:rPr>
              <w:t>income, net of tax expense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114,980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115,830</w:t>
            </w: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to settle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restricted stock units (Note 11)</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Treasury stock purchases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3,610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(110,533)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(110,533)</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(235,799)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(235,799)</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12,832</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12,834</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16,451</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16,451</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49,753</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49,753</w:t>
            </w: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jc w:val="center"/>
              <w:ind w:right="388"/>
              <w:spacing w:after="0"/>
              <w:rPr>
                <w:sz w:val="20"/>
                <w:szCs w:val="20"/>
                <w:color w:val="auto"/>
              </w:rPr>
            </w:pPr>
            <w:r>
              <w:rPr>
                <w:rFonts w:ascii="Arial" w:cs="Arial" w:eastAsia="Arial" w:hAnsi="Arial"/>
                <w:sz w:val="14"/>
                <w:szCs w:val="14"/>
                <w:color w:val="auto"/>
              </w:rPr>
              <w:t>BALANCE — September 30, 2012</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115,431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1,216,756</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6,228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(199,570)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175,983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1,193,284</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jc w:val="center"/>
              <w:ind w:right="428"/>
              <w:spacing w:after="0"/>
              <w:rPr>
                <w:sz w:val="20"/>
                <w:szCs w:val="20"/>
                <w:color w:val="auto"/>
              </w:rPr>
            </w:pPr>
            <w:r>
              <w:rPr>
                <w:rFonts w:ascii="Arial" w:cs="Arial" w:eastAsia="Arial" w:hAnsi="Arial"/>
                <w:sz w:val="14"/>
                <w:szCs w:val="14"/>
                <w:color w:val="auto"/>
              </w:rPr>
              <w:t>BALANCE — December 31, 2012</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115,714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1,228,075</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9,422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(287,998)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199,827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1,140,020</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jc w:val="center"/>
              <w:ind w:right="428"/>
              <w:spacing w:after="0"/>
              <w:rPr>
                <w:sz w:val="20"/>
                <w:szCs w:val="20"/>
                <w:color w:val="auto"/>
              </w:rPr>
            </w:pPr>
            <w:r>
              <w:rPr>
                <w:rFonts w:ascii="Arial" w:cs="Arial" w:eastAsia="Arial" w:hAnsi="Arial"/>
                <w:sz w:val="14"/>
                <w:szCs w:val="14"/>
                <w:color w:val="auto"/>
              </w:rPr>
              <w:t>income, net of tax expense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137,439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137,189</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80"/>
              <w:spacing w:after="0"/>
              <w:rPr>
                <w:sz w:val="20"/>
                <w:szCs w:val="20"/>
                <w:color w:val="auto"/>
              </w:rPr>
            </w:pPr>
            <w:r>
              <w:rPr>
                <w:rFonts w:ascii="Arial" w:cs="Arial" w:eastAsia="Arial" w:hAnsi="Arial"/>
                <w:sz w:val="14"/>
                <w:szCs w:val="14"/>
                <w:color w:val="auto"/>
              </w:rPr>
              <w:t>Treasury stock purchases</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(184,318)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(184,318)</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(48,672)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(48,672)</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27,623</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28,189</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17,330</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17,330</w:t>
            </w: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1,919</w:t>
            </w:r>
          </w:p>
        </w:tc>
        <w:tc>
          <w:tcPr>
            <w:tcW w:w="12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1,919</w:t>
            </w:r>
          </w:p>
        </w:tc>
        <w:tc>
          <w:tcPr>
            <w:tcW w:w="0" w:type="dxa"/>
            <w:vAlign w:val="bottom"/>
          </w:tcPr>
          <w:p>
            <w:pPr>
              <w:spacing w:after="0"/>
              <w:rPr>
                <w:sz w:val="1"/>
                <w:szCs w:val="1"/>
                <w:color w:val="auto"/>
              </w:rPr>
            </w:pPr>
          </w:p>
        </w:tc>
      </w:tr>
      <w:tr>
        <w:trPr>
          <w:trHeight w:val="243"/>
        </w:trPr>
        <w:tc>
          <w:tcPr>
            <w:tcW w:w="2740" w:type="dxa"/>
            <w:vAlign w:val="bottom"/>
          </w:tcPr>
          <w:p>
            <w:pPr>
              <w:jc w:val="center"/>
              <w:ind w:right="388"/>
              <w:spacing w:after="0"/>
              <w:rPr>
                <w:sz w:val="20"/>
                <w:szCs w:val="20"/>
                <w:color w:val="auto"/>
              </w:rPr>
            </w:pPr>
            <w:r>
              <w:rPr>
                <w:rFonts w:ascii="Arial" w:cs="Arial" w:eastAsia="Arial" w:hAnsi="Arial"/>
                <w:sz w:val="14"/>
                <w:szCs w:val="14"/>
                <w:color w:val="auto"/>
              </w:rPr>
              <w:t>BALANCE — September 30, 2013</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116,854</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1,274,947</w:t>
            </w:r>
          </w:p>
        </w:tc>
        <w:tc>
          <w:tcPr>
            <w:tcW w:w="120" w:type="dxa"/>
            <w:vAlign w:val="bottom"/>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14,313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(471,653)</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288,496</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1,091,657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49"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392" w:lineRule="exact"/>
        <w:rPr>
          <w:sz w:val="20"/>
          <w:szCs w:val="20"/>
          <w:color w:val="auto"/>
        </w:rPr>
      </w:pPr>
    </w:p>
    <w:p>
      <w:pPr>
        <w:ind w:left="9120"/>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p>
      <w:pPr>
        <w:ind w:left="93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31750</wp:posOffset>
            </wp:positionV>
            <wp:extent cx="1818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41"/>
        </w:trPr>
        <w:tc>
          <w:tcPr>
            <w:tcW w:w="8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64"/>
        </w:trPr>
        <w:tc>
          <w:tcPr>
            <w:tcW w:w="8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63"/>
        </w:trPr>
        <w:tc>
          <w:tcPr>
            <w:tcW w:w="85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137,439</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114,980</w:t>
            </w:r>
          </w:p>
        </w:tc>
      </w:tr>
      <w:tr>
        <w:trPr>
          <w:trHeight w:val="277"/>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3"/>
        </w:trPr>
        <w:tc>
          <w:tcPr>
            <w:tcW w:w="8520" w:type="dxa"/>
            <w:vAlign w:val="bottom"/>
          </w:tcPr>
          <w:p>
            <w:pPr>
              <w:ind w:left="540"/>
              <w:spacing w:after="0"/>
              <w:rPr>
                <w:sz w:val="20"/>
                <w:szCs w:val="20"/>
                <w:color w:val="auto"/>
              </w:rPr>
            </w:pPr>
            <w:r>
              <w:rPr>
                <w:rFonts w:ascii="Arial" w:cs="Arial" w:eastAsia="Arial" w:hAnsi="Arial"/>
                <w:sz w:val="18"/>
                <w:szCs w:val="18"/>
                <w:color w:val="auto"/>
              </w:rPr>
              <w:t>Noncash items: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7"/>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61,451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53,010</w:t>
            </w:r>
          </w:p>
        </w:tc>
      </w:tr>
      <w:tr>
        <w:trPr>
          <w:trHeight w:val="263"/>
        </w:trPr>
        <w:tc>
          <w:tcPr>
            <w:tcW w:w="8520" w:type="dxa"/>
            <w:vAlign w:val="bottom"/>
          </w:tcPr>
          <w:p>
            <w:pPr>
              <w:ind w:left="68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3,285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3,470</w:t>
            </w:r>
          </w:p>
        </w:tc>
      </w:tr>
      <w:tr>
        <w:trPr>
          <w:trHeight w:val="277"/>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Share-based compensation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17,330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16,451</w:t>
            </w:r>
          </w:p>
        </w:tc>
      </w:tr>
      <w:tr>
        <w:trPr>
          <w:trHeight w:val="263"/>
        </w:trPr>
        <w:tc>
          <w:tcPr>
            <w:tcW w:w="8520" w:type="dxa"/>
            <w:vAlign w:val="bottom"/>
          </w:tcPr>
          <w:p>
            <w:pPr>
              <w:ind w:left="680"/>
              <w:spacing w:after="0"/>
              <w:rPr>
                <w:sz w:val="20"/>
                <w:szCs w:val="20"/>
                <w:color w:val="auto"/>
              </w:rPr>
            </w:pPr>
            <w:r>
              <w:rPr>
                <w:rFonts w:ascii="Arial" w:cs="Arial" w:eastAsia="Arial" w:hAnsi="Arial"/>
                <w:sz w:val="18"/>
                <w:szCs w:val="18"/>
                <w:color w:val="auto"/>
              </w:rPr>
              <w:t>Excess tax benefits related to share-based compensation</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(49,753)</w:t>
            </w:r>
          </w:p>
        </w:tc>
      </w:tr>
      <w:tr>
        <w:trPr>
          <w:trHeight w:val="277"/>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Provision for bad debts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1,221</w:t>
            </w:r>
          </w:p>
        </w:tc>
      </w:tr>
      <w:tr>
        <w:trPr>
          <w:trHeight w:val="263"/>
        </w:trPr>
        <w:tc>
          <w:tcPr>
            <w:tcW w:w="8520" w:type="dxa"/>
            <w:vAlign w:val="bottom"/>
          </w:tcPr>
          <w:p>
            <w:pPr>
              <w:ind w:left="680"/>
              <w:spacing w:after="0"/>
              <w:rPr>
                <w:sz w:val="20"/>
                <w:szCs w:val="20"/>
                <w:color w:val="auto"/>
              </w:rPr>
            </w:pPr>
            <w:r>
              <w:rPr>
                <w:rFonts w:ascii="Arial" w:cs="Arial" w:eastAsia="Arial" w:hAnsi="Arial"/>
                <w:sz w:val="18"/>
                <w:szCs w:val="18"/>
                <w:color w:val="auto"/>
              </w:rPr>
              <w:t>Deferred income tax provision</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(12,297)</w:t>
            </w:r>
          </w:p>
        </w:tc>
      </w:tr>
      <w:tr>
        <w:trPr>
          <w:trHeight w:val="277"/>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7,962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16,524</w:t>
            </w:r>
          </w:p>
        </w:tc>
      </w:tr>
      <w:tr>
        <w:trPr>
          <w:trHeight w:val="263"/>
        </w:trPr>
        <w:tc>
          <w:tcPr>
            <w:tcW w:w="8520" w:type="dxa"/>
            <w:vAlign w:val="bottom"/>
          </w:tcPr>
          <w:p>
            <w:pPr>
              <w:ind w:left="680"/>
              <w:spacing w:after="0"/>
              <w:rPr>
                <w:sz w:val="20"/>
                <w:szCs w:val="20"/>
                <w:color w:val="auto"/>
              </w:rPr>
            </w:pPr>
            <w:r>
              <w:rPr>
                <w:rFonts w:ascii="Arial" w:cs="Arial" w:eastAsia="Arial" w:hAnsi="Arial"/>
                <w:sz w:val="18"/>
                <w:szCs w:val="18"/>
                <w:color w:val="auto"/>
              </w:rPr>
              <w:t>Net changes in estimated fair value of contingent consideration obligations</w:t>
            </w: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4,131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9,882</w:t>
            </w:r>
          </w:p>
        </w:tc>
      </w:tr>
      <w:tr>
        <w:trPr>
          <w:trHeight w:val="277"/>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Closure of NestWise (Note 1)</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9,294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8520" w:type="dxa"/>
            <w:vAlign w:val="bottom"/>
          </w:tcPr>
          <w:p>
            <w:pPr>
              <w:ind w:left="6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1,791</w:t>
            </w:r>
          </w:p>
        </w:tc>
      </w:tr>
      <w:tr>
        <w:trPr>
          <w:trHeight w:val="277"/>
        </w:trPr>
        <w:tc>
          <w:tcPr>
            <w:tcW w:w="8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3"/>
        </w:trPr>
        <w:tc>
          <w:tcPr>
            <w:tcW w:w="8520" w:type="dxa"/>
            <w:vAlign w:val="bottom"/>
          </w:tcPr>
          <w:p>
            <w:pPr>
              <w:ind w:left="680"/>
              <w:spacing w:after="0"/>
              <w:rPr>
                <w:sz w:val="20"/>
                <w:szCs w:val="20"/>
                <w:color w:val="auto"/>
              </w:rPr>
            </w:pPr>
            <w:r>
              <w:rPr>
                <w:rFonts w:ascii="Arial" w:cs="Arial" w:eastAsia="Arial" w:hAnsi="Arial"/>
                <w:sz w:val="18"/>
                <w:szCs w:val="18"/>
                <w:color w:val="auto"/>
              </w:rPr>
              <w:t>Cash and securities segregated under federal and other regulations</w:t>
            </w: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149,390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(10,678)</w:t>
            </w:r>
          </w:p>
        </w:tc>
      </w:tr>
      <w:tr>
        <w:trPr>
          <w:trHeight w:val="277"/>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Receivables from clients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28,447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(25,656)</w:t>
            </w:r>
          </w:p>
        </w:tc>
      </w:tr>
      <w:tr>
        <w:trPr>
          <w:trHeight w:val="263"/>
        </w:trPr>
        <w:tc>
          <w:tcPr>
            <w:tcW w:w="8520" w:type="dxa"/>
            <w:vAlign w:val="bottom"/>
          </w:tcPr>
          <w:p>
            <w:pPr>
              <w:ind w:left="680"/>
              <w:spacing w:after="0"/>
              <w:rPr>
                <w:sz w:val="20"/>
                <w:szCs w:val="20"/>
                <w:color w:val="auto"/>
              </w:rPr>
            </w:pPr>
            <w:r>
              <w:rPr>
                <w:rFonts w:ascii="Arial" w:cs="Arial" w:eastAsia="Arial" w:hAnsi="Arial"/>
                <w:sz w:val="18"/>
                <w:szCs w:val="18"/>
                <w:color w:val="auto"/>
              </w:rPr>
              <w:t>Receivables from product sponsors, broker-dealers and clearing organizations</w:t>
            </w: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8,051</w:t>
            </w:r>
          </w:p>
        </w:tc>
      </w:tr>
      <w:tr>
        <w:trPr>
          <w:trHeight w:val="277"/>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Receivables from others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(22,242)</w:t>
            </w:r>
          </w:p>
        </w:tc>
      </w:tr>
      <w:tr>
        <w:trPr>
          <w:trHeight w:val="263"/>
        </w:trPr>
        <w:tc>
          <w:tcPr>
            <w:tcW w:w="8520" w:type="dxa"/>
            <w:vAlign w:val="bottom"/>
          </w:tcPr>
          <w:p>
            <w:pPr>
              <w:ind w:left="680"/>
              <w:spacing w:after="0"/>
              <w:rPr>
                <w:sz w:val="20"/>
                <w:szCs w:val="20"/>
                <w:color w:val="auto"/>
              </w:rPr>
            </w:pPr>
            <w:r>
              <w:rPr>
                <w:rFonts w:ascii="Arial" w:cs="Arial" w:eastAsia="Arial" w:hAnsi="Arial"/>
                <w:sz w:val="18"/>
                <w:szCs w:val="18"/>
                <w:color w:val="auto"/>
              </w:rPr>
              <w:t>Securities owned</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(633)</w:t>
            </w:r>
          </w:p>
        </w:tc>
      </w:tr>
      <w:tr>
        <w:trPr>
          <w:trHeight w:val="277"/>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Securities borrowed</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r>
      <w:tr>
        <w:trPr>
          <w:trHeight w:val="263"/>
        </w:trPr>
        <w:tc>
          <w:tcPr>
            <w:tcW w:w="8520" w:type="dxa"/>
            <w:vAlign w:val="bottom"/>
          </w:tcPr>
          <w:p>
            <w:pPr>
              <w:ind w:left="68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(37,575)</w:t>
            </w:r>
          </w:p>
        </w:tc>
      </w:tr>
      <w:tr>
        <w:trPr>
          <w:trHeight w:val="277"/>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Drafts payable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(21,564)</w:t>
            </w:r>
          </w:p>
        </w:tc>
      </w:tr>
      <w:tr>
        <w:trPr>
          <w:trHeight w:val="263"/>
        </w:trPr>
        <w:tc>
          <w:tcPr>
            <w:tcW w:w="8520" w:type="dxa"/>
            <w:vAlign w:val="bottom"/>
          </w:tcPr>
          <w:p>
            <w:pPr>
              <w:ind w:left="680"/>
              <w:spacing w:after="0"/>
              <w:rPr>
                <w:sz w:val="20"/>
                <w:szCs w:val="20"/>
                <w:color w:val="auto"/>
              </w:rPr>
            </w:pPr>
            <w:r>
              <w:rPr>
                <w:rFonts w:ascii="Arial" w:cs="Arial" w:eastAsia="Arial" w:hAnsi="Arial"/>
                <w:sz w:val="18"/>
                <w:szCs w:val="18"/>
                <w:color w:val="auto"/>
              </w:rPr>
              <w:t>Payables to clients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(211,422)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(50,697)</w:t>
            </w:r>
          </w:p>
        </w:tc>
      </w:tr>
      <w:tr>
        <w:trPr>
          <w:trHeight w:val="277"/>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Payables to broker-dealers and clearing organizations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3,044</w:t>
            </w:r>
          </w:p>
        </w:tc>
      </w:tr>
      <w:tr>
        <w:trPr>
          <w:trHeight w:val="263"/>
        </w:trPr>
        <w:tc>
          <w:tcPr>
            <w:tcW w:w="8520" w:type="dxa"/>
            <w:vAlign w:val="bottom"/>
          </w:tcPr>
          <w:p>
            <w:pPr>
              <w:ind w:left="680"/>
              <w:spacing w:after="0"/>
              <w:rPr>
                <w:sz w:val="20"/>
                <w:szCs w:val="20"/>
                <w:color w:val="auto"/>
              </w:rPr>
            </w:pPr>
            <w:r>
              <w:rPr>
                <w:rFonts w:ascii="Arial" w:cs="Arial" w:eastAsia="Arial" w:hAnsi="Arial"/>
                <w:sz w:val="18"/>
                <w:szCs w:val="18"/>
                <w:color w:val="auto"/>
              </w:rPr>
              <w:t>Accrued commission and advisory expenses payable</w:t>
            </w: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(1,991)</w:t>
            </w:r>
          </w:p>
        </w:tc>
      </w:tr>
      <w:tr>
        <w:trPr>
          <w:trHeight w:val="277"/>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13,697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3,637</w:t>
            </w:r>
          </w:p>
        </w:tc>
      </w:tr>
      <w:tr>
        <w:trPr>
          <w:trHeight w:val="263"/>
        </w:trPr>
        <w:tc>
          <w:tcPr>
            <w:tcW w:w="8520" w:type="dxa"/>
            <w:vAlign w:val="bottom"/>
          </w:tcPr>
          <w:p>
            <w:pPr>
              <w:ind w:left="680"/>
              <w:spacing w:after="0"/>
              <w:rPr>
                <w:sz w:val="20"/>
                <w:szCs w:val="20"/>
                <w:color w:val="auto"/>
              </w:rPr>
            </w:pPr>
            <w:r>
              <w:rPr>
                <w:rFonts w:ascii="Arial" w:cs="Arial" w:eastAsia="Arial" w:hAnsi="Arial"/>
                <w:sz w:val="18"/>
                <w:szCs w:val="18"/>
                <w:color w:val="auto"/>
              </w:rPr>
              <w:t>Income taxes receivable/payable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47,330</w:t>
            </w:r>
          </w:p>
        </w:tc>
      </w:tr>
      <w:tr>
        <w:trPr>
          <w:trHeight w:val="277"/>
        </w:trPr>
        <w:tc>
          <w:tcPr>
            <w:tcW w:w="8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Unearned revenue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w:t>
            </w:r>
          </w:p>
        </w:tc>
      </w:tr>
      <w:tr>
        <w:trPr>
          <w:trHeight w:val="264"/>
        </w:trPr>
        <w:tc>
          <w:tcPr>
            <w:tcW w:w="85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Securities sold, but not yet purchased</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59,936</w:t>
            </w:r>
          </w:p>
        </w:tc>
      </w:tr>
      <w:tr>
        <w:trPr>
          <w:trHeight w:val="250"/>
        </w:trPr>
        <w:tc>
          <w:tcPr>
            <w:tcW w:w="8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141,907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101,427</w:t>
            </w:r>
          </w:p>
        </w:tc>
      </w:tr>
      <w:tr>
        <w:trPr>
          <w:trHeight w:val="20"/>
        </w:trPr>
        <w:tc>
          <w:tcPr>
            <w:tcW w:w="8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Continued on following page</w:t>
      </w:r>
    </w:p>
    <w:p>
      <w:pPr>
        <w:sectPr>
          <w:pgSz w:w="11900" w:h="16838" w:orient="portrait"/>
          <w:cols w:equalWidth="0" w:num="1">
            <w:col w:w="11400"/>
          </w:cols>
          <w:pgMar w:left="240" w:top="54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549" w:right="25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120"/>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p>
      <w:pPr>
        <w:ind w:left="93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31750</wp:posOffset>
            </wp:positionV>
            <wp:extent cx="1818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41"/>
        </w:trPr>
        <w:tc>
          <w:tcPr>
            <w:tcW w:w="85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8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8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52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(40,787)</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(32,534)</w:t>
            </w: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securities classified as held-to-maturity</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63"/>
        </w:trPr>
        <w:tc>
          <w:tcPr>
            <w:tcW w:w="8520" w:type="dxa"/>
            <w:vAlign w:val="bottom"/>
          </w:tcPr>
          <w:p>
            <w:pPr>
              <w:ind w:left="360"/>
              <w:spacing w:after="0"/>
              <w:rPr>
                <w:sz w:val="20"/>
                <w:szCs w:val="20"/>
                <w:color w:val="auto"/>
              </w:rPr>
            </w:pPr>
            <w:r>
              <w:rPr>
                <w:rFonts w:ascii="Arial" w:cs="Arial" w:eastAsia="Arial" w:hAnsi="Arial"/>
                <w:sz w:val="18"/>
                <w:szCs w:val="18"/>
                <w:color w:val="auto"/>
              </w:rPr>
              <w:t>Proceeds from maturity of securities classified as held-to-maturity</w:t>
            </w: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5,900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6,350</w:t>
            </w: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 of restricted cash</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63"/>
        </w:trPr>
        <w:tc>
          <w:tcPr>
            <w:tcW w:w="8520" w:type="dxa"/>
            <w:vAlign w:val="bottom"/>
          </w:tcPr>
          <w:p>
            <w:pPr>
              <w:ind w:left="360"/>
              <w:spacing w:after="0"/>
              <w:rPr>
                <w:sz w:val="20"/>
                <w:szCs w:val="20"/>
                <w:color w:val="auto"/>
              </w:rPr>
            </w:pPr>
            <w:r>
              <w:rPr>
                <w:rFonts w:ascii="Arial" w:cs="Arial" w:eastAsia="Arial" w:hAnsi="Arial"/>
                <w:sz w:val="18"/>
                <w:szCs w:val="18"/>
                <w:color w:val="auto"/>
              </w:rPr>
              <w:t>Release of restricted cash</w:t>
            </w: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 net of cash acquired</w:t>
            </w:r>
          </w:p>
        </w:tc>
        <w:tc>
          <w:tcPr>
            <w:tcW w:w="3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(43,684)</w:t>
            </w:r>
          </w:p>
        </w:tc>
        <w:tc>
          <w:tcPr>
            <w:tcW w:w="0" w:type="dxa"/>
            <w:vAlign w:val="bottom"/>
          </w:tcPr>
          <w:p>
            <w:pPr>
              <w:spacing w:after="0"/>
              <w:rPr>
                <w:sz w:val="1"/>
                <w:szCs w:val="1"/>
                <w:color w:val="auto"/>
              </w:rPr>
            </w:pPr>
          </w:p>
        </w:tc>
      </w:tr>
      <w:tr>
        <w:trPr>
          <w:trHeight w:val="264"/>
        </w:trPr>
        <w:tc>
          <w:tcPr>
            <w:tcW w:w="8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Purchases of minority interest investments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57"/>
        </w:trPr>
        <w:tc>
          <w:tcPr>
            <w:tcW w:w="8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(40,769)</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(67,624)</w:t>
            </w:r>
          </w:p>
        </w:tc>
        <w:tc>
          <w:tcPr>
            <w:tcW w:w="0" w:type="dxa"/>
            <w:vAlign w:val="bottom"/>
          </w:tcPr>
          <w:p>
            <w:pPr>
              <w:spacing w:after="0"/>
              <w:rPr>
                <w:sz w:val="1"/>
                <w:szCs w:val="1"/>
                <w:color w:val="auto"/>
              </w:rPr>
            </w:pPr>
          </w:p>
        </w:tc>
      </w:tr>
      <w:tr>
        <w:trPr>
          <w:trHeight w:val="257"/>
        </w:trPr>
        <w:tc>
          <w:tcPr>
            <w:tcW w:w="8520" w:type="dxa"/>
            <w:vAlign w:val="bottom"/>
          </w:tcPr>
          <w:p>
            <w:pPr>
              <w:ind w:left="8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senior secured credit facilities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(863,869)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(1,354,118)</w:t>
            </w:r>
          </w:p>
        </w:tc>
        <w:tc>
          <w:tcPr>
            <w:tcW w:w="0" w:type="dxa"/>
            <w:vAlign w:val="bottom"/>
          </w:tcPr>
          <w:p>
            <w:pPr>
              <w:spacing w:after="0"/>
              <w:rPr>
                <w:sz w:val="1"/>
                <w:szCs w:val="1"/>
                <w:color w:val="auto"/>
              </w:rPr>
            </w:pPr>
          </w:p>
        </w:tc>
      </w:tr>
      <w:tr>
        <w:trPr>
          <w:trHeight w:val="263"/>
        </w:trPr>
        <w:tc>
          <w:tcPr>
            <w:tcW w:w="8520" w:type="dxa"/>
            <w:vAlign w:val="bottom"/>
          </w:tcPr>
          <w:p>
            <w:pPr>
              <w:ind w:left="360"/>
              <w:spacing w:after="0"/>
              <w:rPr>
                <w:sz w:val="20"/>
                <w:szCs w:val="20"/>
                <w:color w:val="auto"/>
              </w:rPr>
            </w:pPr>
            <w:r>
              <w:rPr>
                <w:rFonts w:ascii="Arial" w:cs="Arial" w:eastAsia="Arial" w:hAnsi="Arial"/>
                <w:sz w:val="18"/>
                <w:szCs w:val="18"/>
                <w:color w:val="auto"/>
              </w:rPr>
              <w:t>Proceeds from senior secured credit facilities</w:t>
            </w: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1,078,957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1,330,681</w:t>
            </w: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debt issuance costs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63"/>
        </w:trPr>
        <w:tc>
          <w:tcPr>
            <w:tcW w:w="8520" w:type="dxa"/>
            <w:vAlign w:val="bottom"/>
          </w:tcPr>
          <w:p>
            <w:pPr>
              <w:ind w:left="360"/>
              <w:spacing w:after="0"/>
              <w:rPr>
                <w:sz w:val="20"/>
                <w:szCs w:val="20"/>
                <w:color w:val="auto"/>
              </w:rPr>
            </w:pPr>
            <w:r>
              <w:rPr>
                <w:rFonts w:ascii="Arial" w:cs="Arial" w:eastAsia="Arial" w:hAnsi="Arial"/>
                <w:sz w:val="18"/>
                <w:szCs w:val="18"/>
                <w:color w:val="auto"/>
              </w:rPr>
              <w:t>Repurchase of common stock</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(175,722)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(107,524)</w:t>
            </w: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on common stock</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(235,799)</w:t>
            </w:r>
          </w:p>
        </w:tc>
        <w:tc>
          <w:tcPr>
            <w:tcW w:w="0" w:type="dxa"/>
            <w:vAlign w:val="bottom"/>
          </w:tcPr>
          <w:p>
            <w:pPr>
              <w:spacing w:after="0"/>
              <w:rPr>
                <w:sz w:val="1"/>
                <w:szCs w:val="1"/>
                <w:color w:val="auto"/>
              </w:rPr>
            </w:pPr>
          </w:p>
        </w:tc>
      </w:tr>
      <w:tr>
        <w:trPr>
          <w:trHeight w:val="263"/>
        </w:trPr>
        <w:tc>
          <w:tcPr>
            <w:tcW w:w="8520" w:type="dxa"/>
            <w:vAlign w:val="bottom"/>
          </w:tcPr>
          <w:p>
            <w:pPr>
              <w:ind w:left="360"/>
              <w:spacing w:after="0"/>
              <w:rPr>
                <w:sz w:val="20"/>
                <w:szCs w:val="20"/>
                <w:color w:val="auto"/>
              </w:rPr>
            </w:pPr>
            <w:r>
              <w:rPr>
                <w:rFonts w:ascii="Arial" w:cs="Arial" w:eastAsia="Arial" w:hAnsi="Arial"/>
                <w:sz w:val="18"/>
                <w:szCs w:val="18"/>
                <w:color w:val="auto"/>
              </w:rPr>
              <w:t>Excess tax benefits related to share-based compensation</w:t>
            </w: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49,753</w:t>
            </w:r>
          </w:p>
        </w:tc>
        <w:tc>
          <w:tcPr>
            <w:tcW w:w="0" w:type="dxa"/>
            <w:vAlign w:val="bottom"/>
          </w:tcPr>
          <w:p>
            <w:pPr>
              <w:spacing w:after="0"/>
              <w:rPr>
                <w:sz w:val="1"/>
                <w:szCs w:val="1"/>
                <w:color w:val="auto"/>
              </w:rPr>
            </w:pPr>
          </w:p>
        </w:tc>
      </w:tr>
      <w:tr>
        <w:trPr>
          <w:trHeight w:val="270"/>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stock option exercises and other</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28,189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12,834</w:t>
            </w: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18,341</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(308,604)</w:t>
            </w:r>
          </w:p>
        </w:tc>
        <w:tc>
          <w:tcPr>
            <w:tcW w:w="0" w:type="dxa"/>
            <w:vAlign w:val="bottom"/>
          </w:tcPr>
          <w:p>
            <w:pPr>
              <w:spacing w:after="0"/>
              <w:rPr>
                <w:sz w:val="1"/>
                <w:szCs w:val="1"/>
                <w:color w:val="auto"/>
              </w:rPr>
            </w:pPr>
          </w:p>
        </w:tc>
      </w:tr>
      <w:tr>
        <w:trPr>
          <w:trHeight w:val="257"/>
        </w:trPr>
        <w:tc>
          <w:tcPr>
            <w:tcW w:w="8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119,479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(274,801)</w:t>
            </w:r>
          </w:p>
        </w:tc>
        <w:tc>
          <w:tcPr>
            <w:tcW w:w="0" w:type="dxa"/>
            <w:vAlign w:val="bottom"/>
          </w:tcPr>
          <w:p>
            <w:pPr>
              <w:spacing w:after="0"/>
              <w:rPr>
                <w:sz w:val="1"/>
                <w:szCs w:val="1"/>
                <w:color w:val="auto"/>
              </w:rPr>
            </w:pPr>
          </w:p>
        </w:tc>
      </w:tr>
      <w:tr>
        <w:trPr>
          <w:trHeight w:val="264"/>
        </w:trPr>
        <w:tc>
          <w:tcPr>
            <w:tcW w:w="85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CASH AND CASH EQUIVALENTS — Beginning of period</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466,261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720,772</w:t>
            </w:r>
          </w:p>
        </w:tc>
        <w:tc>
          <w:tcPr>
            <w:tcW w:w="0" w:type="dxa"/>
            <w:vAlign w:val="bottom"/>
          </w:tcPr>
          <w:p>
            <w:pPr>
              <w:spacing w:after="0"/>
              <w:rPr>
                <w:sz w:val="1"/>
                <w:szCs w:val="1"/>
                <w:color w:val="auto"/>
              </w:rPr>
            </w:pPr>
          </w:p>
        </w:tc>
      </w:tr>
      <w:tr>
        <w:trPr>
          <w:trHeight w:val="257"/>
        </w:trPr>
        <w:tc>
          <w:tcPr>
            <w:tcW w:w="8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AND CASH EQUIVALENTS — End of period</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585,740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445,971</w:t>
            </w:r>
          </w:p>
        </w:tc>
        <w:tc>
          <w:tcPr>
            <w:tcW w:w="0" w:type="dxa"/>
            <w:vAlign w:val="bottom"/>
          </w:tcPr>
          <w:p>
            <w:pPr>
              <w:spacing w:after="0"/>
              <w:rPr>
                <w:sz w:val="1"/>
                <w:szCs w:val="1"/>
                <w:color w:val="auto"/>
              </w:rPr>
            </w:pPr>
          </w:p>
        </w:tc>
      </w:tr>
      <w:tr>
        <w:trPr>
          <w:trHeight w:val="20"/>
        </w:trPr>
        <w:tc>
          <w:tcPr>
            <w:tcW w:w="8520" w:type="dxa"/>
            <w:vAlign w:val="bottom"/>
            <w:vMerge w:val="restart"/>
          </w:tcPr>
          <w:p>
            <w:pPr>
              <w:ind w:left="260"/>
              <w:spacing w:after="0"/>
              <w:rPr>
                <w:sz w:val="20"/>
                <w:szCs w:val="20"/>
                <w:color w:val="auto"/>
              </w:rPr>
            </w:pPr>
            <w:r>
              <w:rPr>
                <w:rFonts w:ascii="Arial" w:cs="Arial" w:eastAsia="Arial" w:hAnsi="Arial"/>
                <w:sz w:val="18"/>
                <w:szCs w:val="18"/>
                <w:color w:val="auto"/>
              </w:rPr>
              <w:t>SUPPLEMENTAL DISCLOSURES OF CASH FLOW INFORMATION:</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5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paid</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38,433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42,288</w:t>
            </w:r>
          </w:p>
        </w:tc>
        <w:tc>
          <w:tcPr>
            <w:tcW w:w="0" w:type="dxa"/>
            <w:vAlign w:val="bottom"/>
          </w:tcPr>
          <w:p>
            <w:pPr>
              <w:spacing w:after="0"/>
              <w:rPr>
                <w:sz w:val="1"/>
                <w:szCs w:val="1"/>
                <w:color w:val="auto"/>
              </w:rPr>
            </w:pPr>
          </w:p>
        </w:tc>
      </w:tr>
      <w:tr>
        <w:trPr>
          <w:trHeight w:val="263"/>
        </w:trPr>
        <w:tc>
          <w:tcPr>
            <w:tcW w:w="8520" w:type="dxa"/>
            <w:vAlign w:val="bottom"/>
          </w:tcPr>
          <w:p>
            <w:pPr>
              <w:ind w:left="360"/>
              <w:spacing w:after="0"/>
              <w:rPr>
                <w:sz w:val="20"/>
                <w:szCs w:val="20"/>
                <w:color w:val="auto"/>
              </w:rPr>
            </w:pPr>
            <w:r>
              <w:rPr>
                <w:rFonts w:ascii="Arial" w:cs="Arial" w:eastAsia="Arial" w:hAnsi="Arial"/>
                <w:sz w:val="18"/>
                <w:szCs w:val="18"/>
                <w:color w:val="auto"/>
              </w:rPr>
              <w:t>Income taxes paid</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100,999</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36,971</w:t>
            </w: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NONCASH DISCLOSURES: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520" w:type="dxa"/>
            <w:vAlign w:val="bottom"/>
          </w:tcPr>
          <w:p>
            <w:pPr>
              <w:ind w:left="360"/>
              <w:spacing w:after="0"/>
              <w:rPr>
                <w:sz w:val="20"/>
                <w:szCs w:val="20"/>
                <w:color w:val="auto"/>
              </w:rPr>
            </w:pPr>
            <w:r>
              <w:rPr>
                <w:rFonts w:ascii="Arial" w:cs="Arial" w:eastAsia="Arial" w:hAnsi="Arial"/>
                <w:sz w:val="18"/>
                <w:szCs w:val="18"/>
                <w:color w:val="auto"/>
              </w:rPr>
              <w:t>Fixed assets acquired under build-to-suit lease</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9,088</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5,599</w:t>
            </w: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Discount on proceeds from senior secured credit facilities recorded as debt issuance costs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19,319</w:t>
            </w:r>
          </w:p>
        </w:tc>
        <w:tc>
          <w:tcPr>
            <w:tcW w:w="0" w:type="dxa"/>
            <w:vAlign w:val="bottom"/>
          </w:tcPr>
          <w:p>
            <w:pPr>
              <w:spacing w:after="0"/>
              <w:rPr>
                <w:sz w:val="1"/>
                <w:szCs w:val="1"/>
                <w:color w:val="auto"/>
              </w:rPr>
            </w:pPr>
          </w:p>
        </w:tc>
      </w:tr>
      <w:tr>
        <w:trPr>
          <w:trHeight w:val="257"/>
        </w:trPr>
        <w:tc>
          <w:tcPr>
            <w:tcW w:w="8520" w:type="dxa"/>
            <w:vAlign w:val="bottom"/>
          </w:tcPr>
          <w:p>
            <w:pPr>
              <w:ind w:left="360"/>
              <w:spacing w:after="0"/>
              <w:rPr>
                <w:sz w:val="20"/>
                <w:szCs w:val="20"/>
                <w:color w:val="auto"/>
              </w:rPr>
            </w:pPr>
            <w:r>
              <w:rPr>
                <w:rFonts w:ascii="Arial" w:cs="Arial" w:eastAsia="Arial" w:hAnsi="Arial"/>
                <w:sz w:val="18"/>
                <w:szCs w:val="18"/>
                <w:color w:val="auto"/>
              </w:rPr>
              <w:t>Pending settlement of treasury stock purchases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8,596</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3,009</w:t>
            </w:r>
          </w:p>
        </w:tc>
        <w:tc>
          <w:tcPr>
            <w:tcW w:w="0" w:type="dxa"/>
            <w:vAlign w:val="bottom"/>
          </w:tcPr>
          <w:p>
            <w:pPr>
              <w:spacing w:after="0"/>
              <w:rPr>
                <w:sz w:val="1"/>
                <w:szCs w:val="1"/>
                <w:color w:val="auto"/>
              </w:rPr>
            </w:pPr>
          </w:p>
        </w:tc>
      </w:tr>
    </w:tbl>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49"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0"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Company</w:t>
      </w:r>
    </w:p>
    <w:p>
      <w:pPr>
        <w:spacing w:after="0" w:line="193"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LPL Financial Holdings Inc. (“LPLFH”), a Delaware holding corporation, together with its consolidated subsidiaries (collectively, the “Company”) provides an integrated platform of brokerage and investment advisory services to independent financial advisors and financial advisors at financial institutions (collectively “advisors”) in the United States of America. Through its custody and clearing platform, using both proprietary and third-party technology, the Company provides access to diversified financial products and services enabling its advisors to offer independent financial advice and brokerage services to retail investors (their “clients”).</w:t>
      </w:r>
    </w:p>
    <w:p>
      <w:pPr>
        <w:spacing w:after="0" w:line="314"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On August 15, 2013, investment funds affiliated with Hellman &amp; Friedman LLC ("H&amp;F") distributed an aggregate of 12.6 million shares of LPLFH's common stock to their respective partners (the "H&amp;F Distribution"), representing all of the outstanding shares held by H&amp;F as of the date of the H&amp;F Distribution. In addition, two members of the Company's board of directors (the "Board of Directors") who had been designated to serve as directors by H&amp;F tendered their resignations concurrent with the H&amp;F Distribution, consistent with the terms of the Company's stockholders agreement.</w:t>
      </w:r>
    </w:p>
    <w:p>
      <w:pPr>
        <w:spacing w:after="0" w:line="300"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One of the Company’s subsidiaries, NestWise LLC (“NestWise”), was established in 2012 to train, develop and support advisors who focused on the efficient delivery of planning and investment services to the mass market. On August 28, 2013, the Company informed employees of its decision to close the operations of NestWise (the “NestWise Closure”). NestWise ceased operations on September 30, 2013 (see Notes 4 and 6).</w:t>
      </w:r>
    </w:p>
    <w:p>
      <w:pPr>
        <w:spacing w:after="0" w:line="124"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7"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Quarterly Reporting </w:t>
      </w:r>
      <w:r>
        <w:rPr>
          <w:rFonts w:ascii="Arial" w:cs="Arial" w:eastAsia="Arial" w:hAnsi="Arial"/>
          <w:sz w:val="18"/>
          <w:szCs w:val="18"/>
          <w:color w:val="auto"/>
        </w:rPr>
        <w:t>— The unaudited condensed consolidated financial statements have been prepared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rules and regulations of the Securities and Exchange Commission (“SEC”). These unaudited condensed consolidated financial statements reflect all adjustments that are, in the opinion of management, necessary for a fair statement of the results for the interim periods presented. These adjustments are of a normal recurring nature. The Company’s results for any interim period are not necessarily indicative of results for a full year or any other interim period. Certain reclassifications were made to previously reported amounts in the unaudited condensed consolidated financial statements and notes thereto to make them consistent with the current period presentation.</w:t>
      </w:r>
    </w:p>
    <w:p>
      <w:pPr>
        <w:spacing w:after="0" w:line="97"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The unaudited condensed consolidated financial statements do not include all information and notes necessary for a complete presentation of financial position, results of income, comprehensive income and cash flows in conformity with generally accepted accounting principles in the United States of America (“GAAP”). Accordingly, these financial statements should be read in conjunction with the Company’s audited consolidated financial statements and the related notes for the year ended December 31, 2012, contained in the Company’s Annual Report on Form 10-K as filed with the SEC. The Company has evaluated subsequent events up to and including the date these unaudited condensed consolidated financial statements were issued.</w:t>
      </w:r>
    </w:p>
    <w:p>
      <w:pPr>
        <w:spacing w:after="0" w:line="79" w:lineRule="exact"/>
        <w:rPr>
          <w:sz w:val="20"/>
          <w:szCs w:val="20"/>
          <w:color w:val="auto"/>
        </w:rPr>
      </w:pPr>
    </w:p>
    <w:p>
      <w:pPr>
        <w:jc w:val="both"/>
        <w:ind w:right="260" w:firstLine="486"/>
        <w:spacing w:after="0" w:line="269" w:lineRule="auto"/>
        <w:rPr>
          <w:sz w:val="20"/>
          <w:szCs w:val="20"/>
          <w:color w:val="auto"/>
        </w:rPr>
      </w:pPr>
      <w:r>
        <w:rPr>
          <w:rFonts w:ascii="Arial" w:cs="Arial" w:eastAsia="Arial" w:hAnsi="Arial"/>
          <w:sz w:val="18"/>
          <w:szCs w:val="18"/>
          <w:b w:val="1"/>
          <w:bCs w:val="1"/>
          <w:i w:val="1"/>
          <w:iCs w:val="1"/>
          <w:color w:val="auto"/>
        </w:rPr>
        <w:t xml:space="preserve">Consolidation </w:t>
      </w:r>
      <w:r>
        <w:rPr>
          <w:rFonts w:ascii="Arial" w:cs="Arial" w:eastAsia="Arial" w:hAnsi="Arial"/>
          <w:sz w:val="18"/>
          <w:szCs w:val="18"/>
          <w:color w:val="auto"/>
        </w:rPr>
        <w:t>— These unaudited condensed consolidated financial statements include the accounts of LPLFH and its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Intercompany transactions and balances have been eliminated. Equity investments in which the Company exercises significant influence but does not exercise control and is not the primary beneficiary are accounted for using the equity method.</w:t>
      </w:r>
    </w:p>
    <w:p>
      <w:pPr>
        <w:spacing w:after="0" w:line="60"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b w:val="1"/>
          <w:bCs w:val="1"/>
          <w:i w:val="1"/>
          <w:iCs w:val="1"/>
          <w:color w:val="auto"/>
        </w:rPr>
        <w:t xml:space="preserve">Comprehensive Income — </w:t>
      </w:r>
      <w:r>
        <w:rPr>
          <w:rFonts w:ascii="Arial" w:cs="Arial" w:eastAsia="Arial" w:hAnsi="Arial"/>
          <w:sz w:val="18"/>
          <w:szCs w:val="18"/>
          <w:color w:val="auto"/>
        </w:rPr>
        <w:t>The Company presents its unaudited condensed consolidated statements of comprehensive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separately and immediately following its unaudited condensed consolidated statements of income. The Company’s comprehensive income is composed of net income and the effective portion of the gains on financial derivatives in cash flow hedge relationships, net of related tax effects.</w:t>
      </w:r>
    </w:p>
    <w:p>
      <w:pPr>
        <w:spacing w:after="0" w:line="6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 The preparation of the unaudited condensed consolidated financial statements in conformity with GAAP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to make estimates and judgments that affect the reported amounts of assets and liabilities, revenue and expenses and related disclosures of contingent assets and liabilities. On an on-going basis, the Company evaluates estimates, including those related to revenue and related expense recognition, asset impairment, valuation of accounts receivable, valuation of financial instruments, contingent consideration obligations, contingencies and litigation, valuation and recognition of share-based payments, dividends and income taxes. These accounting policies are stated in the notes to the audited consolidated financial statements for the year ended December 31, 2012, contained in the Annual Report on Form 10-K as filed with the SEC. These estimates are based on the information that is currently available and on various other assumptions that the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41" w:right="239" w:bottom="1440" w:gutter="0" w:footer="0" w:header="0"/>
        </w:sectPr>
      </w:pPr>
    </w:p>
    <w:bookmarkStart w:id="10" w:name="page11"/>
    <w:bookmarkEnd w:id="10"/>
    <w:p>
      <w:pPr>
        <w:jc w:val="center"/>
        <w:ind w:right="-9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Company believes to be reasonable under the circumstances. Actual results could vary from these estimates under different assumptions or conditions and the differences may be material to the unaudited condensed consolidated financial statements.</w:t>
      </w:r>
    </w:p>
    <w:p>
      <w:pPr>
        <w:spacing w:after="0" w:line="66"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b w:val="1"/>
          <w:bCs w:val="1"/>
          <w:i w:val="1"/>
          <w:iCs w:val="1"/>
          <w:color w:val="auto"/>
        </w:rPr>
        <w:t xml:space="preserve">Reportable Segment </w:t>
      </w:r>
      <w:r>
        <w:rPr>
          <w:rFonts w:ascii="Arial" w:cs="Arial" w:eastAsia="Arial" w:hAnsi="Arial"/>
          <w:sz w:val="18"/>
          <w:szCs w:val="18"/>
          <w:color w:val="auto"/>
        </w:rPr>
        <w:t>— The Company's internal reporting is organized into two service channels: Independent Advisor Services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 Services. These service channels qualify as individual operating segments and are aggregated and viewed as one reportable segment due to their similar economic characteristics, products and services, production and distribution processes, and regulatory environment.</w:t>
      </w:r>
    </w:p>
    <w:p>
      <w:pPr>
        <w:spacing w:after="0" w:line="64" w:lineRule="exact"/>
        <w:rPr>
          <w:sz w:val="20"/>
          <w:szCs w:val="20"/>
          <w:color w:val="auto"/>
        </w:rPr>
      </w:pPr>
    </w:p>
    <w:p>
      <w:pPr>
        <w:ind w:right="520" w:firstLine="405"/>
        <w:spacing w:after="0" w:line="256" w:lineRule="auto"/>
        <w:rPr>
          <w:sz w:val="20"/>
          <w:szCs w:val="20"/>
          <w:color w:val="auto"/>
        </w:rPr>
      </w:pPr>
      <w:r>
        <w:rPr>
          <w:rFonts w:ascii="Arial" w:cs="Arial" w:eastAsia="Arial" w:hAnsi="Arial"/>
          <w:sz w:val="18"/>
          <w:szCs w:val="18"/>
          <w:color w:val="auto"/>
        </w:rPr>
        <w:t>Prior to the third quarter of 2013, the Company's internal reporting was organized into three service channels: Independent Advisor Services, Institution Services and Custom Clearing Services. During the third quarter of 2013, functions within Institution Services and Customer Clearing Services were unified under a single service channel: Institution Services.</w:t>
      </w:r>
    </w:p>
    <w:p>
      <w:pPr>
        <w:spacing w:after="0" w:line="153" w:lineRule="exact"/>
        <w:rPr>
          <w:sz w:val="20"/>
          <w:szCs w:val="20"/>
          <w:color w:val="auto"/>
        </w:rPr>
      </w:pPr>
    </w:p>
    <w:p>
      <w:pPr>
        <w:ind w:firstLine="486"/>
        <w:spacing w:after="0" w:line="287" w:lineRule="auto"/>
        <w:rPr>
          <w:sz w:val="20"/>
          <w:szCs w:val="20"/>
          <w:color w:val="auto"/>
        </w:rPr>
      </w:pPr>
      <w:r>
        <w:rPr>
          <w:rFonts w:ascii="Arial" w:cs="Arial" w:eastAsia="Arial" w:hAnsi="Arial"/>
          <w:sz w:val="18"/>
          <w:szCs w:val="18"/>
          <w:b w:val="1"/>
          <w:bCs w:val="1"/>
          <w:i w:val="1"/>
          <w:iCs w:val="1"/>
          <w:color w:val="auto"/>
        </w:rPr>
        <w:t xml:space="preserve">Derivative Financial Instruments </w:t>
      </w:r>
      <w:r>
        <w:rPr>
          <w:rFonts w:ascii="Arial" w:cs="Arial" w:eastAsia="Arial" w:hAnsi="Arial"/>
          <w:sz w:val="18"/>
          <w:szCs w:val="18"/>
          <w:color w:val="auto"/>
        </w:rPr>
        <w:t>— The Company uses derivative financial instruments, consisting of non-deliverable foreign currency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forward contracts, to mitigate foreign currency exchange rate risk related to operating expenses that are subject to repricing (see Note 9).</w:t>
      </w:r>
    </w:p>
    <w:p>
      <w:pPr>
        <w:spacing w:after="0" w:line="121"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The Company has designated these derivative financial instruments as cash flow hedges, all of which qualify for hedge accounting. To qualify for hedge accounting, the derivative must be formally designated as a hedge through documentation of the relationship between the derivative and the hedged item. The documentation must include a description of the hedging instrument, the hedge item, the risk being hedged, the Company's risk management objective and strategy for undertaking the hedge, the method for assessing the effectiveness of the hedge and the method for measuring hedge ineffectiveness. In addition, the hedge relationship must be expected to be highly effective at offsetting changes in either the fair value or cash flows of the hedged item at both inception of the hedge and on an ongoing basis.</w:t>
      </w:r>
    </w:p>
    <w:p>
      <w:pPr>
        <w:spacing w:after="0" w:line="317" w:lineRule="exact"/>
        <w:rPr>
          <w:sz w:val="20"/>
          <w:szCs w:val="20"/>
          <w:color w:val="auto"/>
        </w:rPr>
      </w:pPr>
    </w:p>
    <w:p>
      <w:pPr>
        <w:ind w:right="300" w:firstLine="405"/>
        <w:spacing w:after="0" w:line="253" w:lineRule="auto"/>
        <w:rPr>
          <w:sz w:val="20"/>
          <w:szCs w:val="20"/>
          <w:color w:val="auto"/>
        </w:rPr>
      </w:pPr>
      <w:r>
        <w:rPr>
          <w:rFonts w:ascii="Arial" w:cs="Arial" w:eastAsia="Arial" w:hAnsi="Arial"/>
          <w:sz w:val="18"/>
          <w:szCs w:val="18"/>
          <w:color w:val="auto"/>
        </w:rPr>
        <w:t>The Company assesses the ongoing effectiveness of its cash flow hedges through the use of the critical terms match method which is based on conventional calculations including foreign currency exchange rates and forecasted hedge transactions, and the evaluation of counterparty credit risk. Changes in the fair value of the effective portion of the Company's cash flow hedges are presented in other comprehensive income (loss), and reclassified into earnings to match the timing of the underlying hedged item. Hedge ineffectiveness is measured at the end of each fiscal quarter, with any gains or losses realized into earnings in the current period.</w:t>
      </w:r>
    </w:p>
    <w:p>
      <w:pPr>
        <w:spacing w:after="0" w:line="238"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color w:val="auto"/>
        </w:rPr>
        <w:t>— The Company’s financial assets and liabilities are carried at fair value or at amounts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because of their short-term nature, approximate current fair value, with the exception of its indebtedness. The Company carries its indebtedness at amortized cost. The Company measures the implied fair value of its debt instruments using trading levels obtained from a third-party service provider. Accordingly, the debt instruments qualify as Level 2 fair value measurements. See Note 4 for additional detail regarding the Company’s fair value measurements. As of September 30, 2013, the carrying amount and fair value of the Company’s indebtedness was approximately $ 1,537.8 million and $ 1,526.3 million, respectively. As of December 31, 2012, the carrying amount and fair value was approximately $1,317.8 million and $1,320.4 million, respectively.</w:t>
      </w:r>
    </w:p>
    <w:p>
      <w:pPr>
        <w:spacing w:after="0" w:line="7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b w:val="1"/>
          <w:bCs w:val="1"/>
          <w:i w:val="1"/>
          <w:iCs w:val="1"/>
          <w:color w:val="auto"/>
        </w:rPr>
        <w:t xml:space="preserve">Contingent Consideration </w:t>
      </w:r>
      <w:r>
        <w:rPr>
          <w:rFonts w:ascii="Arial" w:cs="Arial" w:eastAsia="Arial" w:hAnsi="Arial"/>
          <w:sz w:val="18"/>
          <w:szCs w:val="18"/>
          <w:color w:val="auto"/>
        </w:rPr>
        <w:t>— The Company may be required to pay future consideration to the former shareholders of acquired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depending upon the terms of the applicable purchase agreement, that is contingent upon the achievement of certain financial or operating targets. The fair value of the contingent consideration is determined using financial forecasts and other estimates, which assess the probability and timing of the financial targets being reached, and measuring the associated cash payments at their present value using a risk-adjusted rate of return. The estimated fair value of the contingent consideration on the acquisition date is included in the purchase price of the acquired company. At each reporting date, or whenever there are significant changes in underlying key assumptions, a review of these assumptions is performed and the contingent consideration liability is updated to its estimated fair value. If there are no significant changes in the assumptions, the quarterly determination of the fair value of contingent consideration reflects the implied interest for the passage of time. Changes in the estimated fair value of the contingent consideration obligations may result from changes in the terms of the contingent payments, changes in discount periods and rates, changes in assumptions with respect to the timing and likelihood of achieving the applicable targets and other related developments. Actual progress toward achieving the financial targets for the remaining measurement periods may be different than the Company's expectations of future performance. The change in the estimated fair value of contingent consideration has been classified as other expenses in the unaudited condensed consolidated statements of income.</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41"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6" w:lineRule="exact"/>
        <w:rPr>
          <w:sz w:val="20"/>
          <w:szCs w:val="20"/>
          <w:color w:val="auto"/>
        </w:rPr>
      </w:pPr>
    </w:p>
    <w:p>
      <w:pPr>
        <w:ind w:right="140" w:firstLine="486"/>
        <w:spacing w:after="0" w:line="269" w:lineRule="auto"/>
        <w:rPr>
          <w:sz w:val="20"/>
          <w:szCs w:val="20"/>
          <w:color w:val="auto"/>
        </w:rPr>
      </w:pPr>
      <w:r>
        <w:rPr>
          <w:rFonts w:ascii="Arial" w:cs="Arial" w:eastAsia="Arial" w:hAnsi="Arial"/>
          <w:sz w:val="18"/>
          <w:szCs w:val="18"/>
          <w:b w:val="1"/>
          <w:bCs w:val="1"/>
          <w:i w:val="1"/>
          <w:iCs w:val="1"/>
          <w:color w:val="auto"/>
        </w:rPr>
        <w:t xml:space="preserve">Recently Issued Accounting Pronouncements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52525"/>
        </w:rPr>
        <w:t>Recent accounting pronouncements or changes in accounting pronouncements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52525"/>
        </w:rPr>
        <w:t xml:space="preserve">during the </w:t>
      </w:r>
      <w:r>
        <w:rPr>
          <w:rFonts w:ascii="Arial" w:cs="Arial" w:eastAsia="Arial" w:hAnsi="Arial"/>
          <w:sz w:val="18"/>
          <w:szCs w:val="18"/>
          <w:color w:val="000000"/>
        </w:rPr>
        <w:t>nine</w:t>
      </w:r>
      <w:r>
        <w:rPr>
          <w:rFonts w:ascii="Arial" w:cs="Arial" w:eastAsia="Arial" w:hAnsi="Arial"/>
          <w:sz w:val="18"/>
          <w:szCs w:val="18"/>
          <w:color w:val="252525"/>
        </w:rPr>
        <w:t xml:space="preserve"> months ended </w:t>
      </w:r>
      <w:r>
        <w:rPr>
          <w:rFonts w:ascii="Arial" w:cs="Arial" w:eastAsia="Arial" w:hAnsi="Arial"/>
          <w:sz w:val="18"/>
          <w:szCs w:val="18"/>
          <w:color w:val="000000"/>
        </w:rPr>
        <w:t>September 30, 2013</w:t>
      </w:r>
      <w:r>
        <w:rPr>
          <w:rFonts w:ascii="Arial" w:cs="Arial" w:eastAsia="Arial" w:hAnsi="Arial"/>
          <w:sz w:val="18"/>
          <w:szCs w:val="18"/>
          <w:color w:val="252525"/>
        </w:rPr>
        <w:t>, as compared to the recent accounting pronouncements described in the Company's 2012 Annual Report on Form 10-K, that are of significance, or potential significance, to the Company are discussed below.</w:t>
      </w:r>
    </w:p>
    <w:p>
      <w:pPr>
        <w:spacing w:after="0" w:line="64"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52525"/>
        </w:rPr>
        <w:t xml:space="preserve">In February 2013, the Financial Accounting Standards Board issued Accounting Standards Update ("ASU") 2013-02, </w:t>
      </w:r>
      <w:r>
        <w:rPr>
          <w:rFonts w:ascii="Arial" w:cs="Arial" w:eastAsia="Arial" w:hAnsi="Arial"/>
          <w:sz w:val="18"/>
          <w:szCs w:val="18"/>
          <w:i w:val="1"/>
          <w:iCs w:val="1"/>
          <w:color w:val="252525"/>
        </w:rPr>
        <w:t>Comprehensive</w:t>
      </w:r>
      <w:r>
        <w:rPr>
          <w:rFonts w:ascii="Arial" w:cs="Arial" w:eastAsia="Arial" w:hAnsi="Arial"/>
          <w:sz w:val="18"/>
          <w:szCs w:val="18"/>
          <w:color w:val="252525"/>
        </w:rPr>
        <w:t xml:space="preserve"> </w:t>
      </w:r>
      <w:r>
        <w:rPr>
          <w:rFonts w:ascii="Arial" w:cs="Arial" w:eastAsia="Arial" w:hAnsi="Arial"/>
          <w:sz w:val="18"/>
          <w:szCs w:val="18"/>
          <w:i w:val="1"/>
          <w:iCs w:val="1"/>
          <w:color w:val="252525"/>
        </w:rPr>
        <w:t>Income (Topic 220)</w:t>
      </w:r>
      <w:r>
        <w:rPr>
          <w:rFonts w:ascii="Arial" w:cs="Arial" w:eastAsia="Arial" w:hAnsi="Arial"/>
          <w:sz w:val="18"/>
          <w:szCs w:val="18"/>
          <w:color w:val="000000"/>
        </w:rPr>
        <w:t>—</w:t>
      </w:r>
      <w:r>
        <w:rPr>
          <w:rFonts w:ascii="Arial" w:cs="Arial" w:eastAsia="Arial" w:hAnsi="Arial"/>
          <w:sz w:val="18"/>
          <w:szCs w:val="18"/>
          <w:i w:val="1"/>
          <w:iCs w:val="1"/>
          <w:color w:val="252525"/>
        </w:rPr>
        <w:t>Clarifying Reporting of Amounts Reclassified Out of Accumulated Other Comprehensive Income</w:t>
      </w:r>
      <w:r>
        <w:rPr>
          <w:rFonts w:ascii="Arial" w:cs="Arial" w:eastAsia="Arial" w:hAnsi="Arial"/>
          <w:sz w:val="18"/>
          <w:szCs w:val="18"/>
          <w:color w:val="252525"/>
        </w:rPr>
        <w:t>, which updates</w:t>
      </w:r>
      <w:r>
        <w:rPr>
          <w:rFonts w:ascii="Arial" w:cs="Arial" w:eastAsia="Arial" w:hAnsi="Arial"/>
          <w:sz w:val="18"/>
          <w:szCs w:val="18"/>
          <w:i w:val="1"/>
          <w:iCs w:val="1"/>
          <w:color w:val="252525"/>
        </w:rPr>
        <w:t xml:space="preserve"> </w:t>
      </w:r>
      <w:r>
        <w:rPr>
          <w:rFonts w:ascii="Arial" w:cs="Arial" w:eastAsia="Arial" w:hAnsi="Arial"/>
          <w:sz w:val="18"/>
          <w:szCs w:val="18"/>
          <w:color w:val="252525"/>
        </w:rPr>
        <w:t xml:space="preserve">disclosure requirements </w:t>
      </w:r>
      <w:r>
        <w:rPr>
          <w:rFonts w:ascii="Arial" w:cs="Arial" w:eastAsia="Arial" w:hAnsi="Arial"/>
          <w:sz w:val="18"/>
          <w:szCs w:val="18"/>
          <w:color w:val="000000"/>
        </w:rPr>
        <w:t>to improve the reporting of reclassifications out of accumulated other comprehensive income. The amendments in this</w:t>
      </w:r>
      <w:r>
        <w:rPr>
          <w:rFonts w:ascii="Arial" w:cs="Arial" w:eastAsia="Arial" w:hAnsi="Arial"/>
          <w:sz w:val="18"/>
          <w:szCs w:val="18"/>
          <w:color w:val="252525"/>
        </w:rPr>
        <w:t xml:space="preserve"> </w:t>
      </w:r>
      <w:r>
        <w:rPr>
          <w:rFonts w:ascii="Arial" w:cs="Arial" w:eastAsia="Arial" w:hAnsi="Arial"/>
          <w:sz w:val="18"/>
          <w:szCs w:val="18"/>
          <w:color w:val="000000"/>
        </w:rPr>
        <w:t xml:space="preserve">update seek to attain that objective by requiring an entity to report the effect of significant reclassifications out of accumulated other comprehensive income on the respective line items in net income if the amount being reclassified is required under GAAP to be reclassified in its entirety to net income. For other amounts that are not required under GAAP to be reclassified in their entirety to net income in the same reporting period, an entity is required to cross-reference other disclosures required under GAAP that provide additional detail about those amounts. This would be the case when a portion of the amount reclassified out of accumulated other comprehensive income is reclassified to a balance sheet account instead of directly to income or expense in the same reporting period. The amendments in this update are effective prospectively for reporting periods beginning after December 15, 2012. This update is only disclosure related and has no </w:t>
      </w:r>
      <w:r>
        <w:rPr>
          <w:rFonts w:ascii="Arial" w:cs="Arial" w:eastAsia="Arial" w:hAnsi="Arial"/>
          <w:sz w:val="18"/>
          <w:szCs w:val="18"/>
          <w:color w:val="252525"/>
        </w:rPr>
        <w:t>impact on the</w:t>
      </w:r>
      <w:r>
        <w:rPr>
          <w:rFonts w:ascii="Arial" w:cs="Arial" w:eastAsia="Arial" w:hAnsi="Arial"/>
          <w:sz w:val="18"/>
          <w:szCs w:val="18"/>
          <w:color w:val="000000"/>
        </w:rPr>
        <w:t xml:space="preserve"> </w:t>
      </w:r>
      <w:r>
        <w:rPr>
          <w:rFonts w:ascii="Arial" w:cs="Arial" w:eastAsia="Arial" w:hAnsi="Arial"/>
          <w:sz w:val="18"/>
          <w:szCs w:val="18"/>
          <w:color w:val="252525"/>
        </w:rPr>
        <w:t>Company's results of operations, financial condition or cash flows.</w:t>
      </w:r>
    </w:p>
    <w:p>
      <w:pPr>
        <w:spacing w:after="0" w:line="189"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Value Commitment</w:t>
      </w:r>
    </w:p>
    <w:p>
      <w:pPr>
        <w:spacing w:after="0" w:line="139"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On February 5, 2013, the Company committed to an expansion of its Service Value Commitment, an ongoing effort to position the Company for sustainable long-term growth by improving the service experience of its advisors and delivering efficiencies in its operating model. The Company assessed its information technology delivery, governance, organization and strategy and committed to undertake a course of action (the “Program”) to reposition its labor force and invest in technology, human capital, marketing and other key areas to enable future growth. The Program is expected to be completed in 2015.</w:t>
      </w:r>
    </w:p>
    <w:p>
      <w:pPr>
        <w:spacing w:after="0" w:line="97" w:lineRule="exact"/>
        <w:rPr>
          <w:sz w:val="20"/>
          <w:szCs w:val="20"/>
          <w:color w:val="auto"/>
        </w:rPr>
      </w:pPr>
    </w:p>
    <w:p>
      <w:pPr>
        <w:ind w:right="320" w:firstLine="486"/>
        <w:spacing w:after="0" w:line="256" w:lineRule="auto"/>
        <w:rPr>
          <w:sz w:val="20"/>
          <w:szCs w:val="20"/>
          <w:color w:val="auto"/>
        </w:rPr>
      </w:pPr>
      <w:r>
        <w:rPr>
          <w:rFonts w:ascii="Arial" w:cs="Arial" w:eastAsia="Arial" w:hAnsi="Arial"/>
          <w:sz w:val="18"/>
          <w:szCs w:val="18"/>
          <w:color w:val="auto"/>
        </w:rPr>
        <w:t>The Company estimates total charges in connection with the Program to be approximately $65.0 million. These expenditures are comprised of outsourcing and other related costs, technology transformation costs, employee severance obligations and other related costs and non-cash charges for impairment of certain fixed assets related to internally developed software.</w:t>
      </w:r>
    </w:p>
    <w:p>
      <w:pPr>
        <w:spacing w:after="0" w:line="161"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The following table summarizes the balance of accrued expenses and the changes in the accrued amounts for the Program as of and for the nine months ended September 30, 2013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Accrued</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Balance at</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Accrued Balance</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Expected</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at September 30,</w:t>
            </w:r>
          </w:p>
        </w:tc>
        <w:tc>
          <w:tcPr>
            <w:tcW w:w="200" w:type="dxa"/>
            <w:vAlign w:val="bottom"/>
          </w:tcPr>
          <w:p>
            <w:pPr>
              <w:spacing w:after="0"/>
              <w:rPr>
                <w:sz w:val="14"/>
                <w:szCs w:val="14"/>
                <w:color w:val="auto"/>
              </w:rPr>
            </w:pPr>
          </w:p>
        </w:tc>
        <w:tc>
          <w:tcPr>
            <w:tcW w:w="1280" w:type="dxa"/>
            <w:vAlign w:val="bottom"/>
          </w:tcPr>
          <w:p>
            <w:pPr>
              <w:jc w:val="center"/>
              <w:ind w:right="138"/>
              <w:spacing w:after="0"/>
              <w:rPr>
                <w:sz w:val="20"/>
                <w:szCs w:val="20"/>
                <w:color w:val="auto"/>
              </w:rPr>
            </w:pPr>
            <w:r>
              <w:rPr>
                <w:rFonts w:ascii="Arial" w:cs="Arial" w:eastAsia="Arial" w:hAnsi="Arial"/>
                <w:sz w:val="14"/>
                <w:szCs w:val="14"/>
                <w:b w:val="1"/>
                <w:bCs w:val="1"/>
                <w:color w:val="auto"/>
              </w:rPr>
              <w:t>Restructuring</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Incurred(1)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Payments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Non-cash</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Costs(2)</w:t>
            </w:r>
          </w:p>
        </w:tc>
        <w:tc>
          <w:tcPr>
            <w:tcW w:w="0" w:type="dxa"/>
            <w:vAlign w:val="bottom"/>
          </w:tcPr>
          <w:p>
            <w:pPr>
              <w:spacing w:after="0"/>
              <w:rPr>
                <w:sz w:val="1"/>
                <w:szCs w:val="1"/>
                <w:color w:val="auto"/>
              </w:rPr>
            </w:pPr>
          </w:p>
        </w:tc>
      </w:tr>
      <w:tr>
        <w:trPr>
          <w:trHeight w:val="256"/>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Outsourcing and other related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9,278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63"/>
        </w:trPr>
        <w:tc>
          <w:tcPr>
            <w:tcW w:w="3200" w:type="dxa"/>
            <w:vAlign w:val="bottom"/>
          </w:tcPr>
          <w:p>
            <w:pPr>
              <w:ind w:left="40"/>
              <w:spacing w:after="0"/>
              <w:rPr>
                <w:sz w:val="20"/>
                <w:szCs w:val="20"/>
                <w:color w:val="auto"/>
              </w:rPr>
            </w:pPr>
            <w:r>
              <w:rPr>
                <w:rFonts w:ascii="Arial" w:cs="Arial" w:eastAsia="Arial" w:hAnsi="Arial"/>
                <w:sz w:val="18"/>
                <w:szCs w:val="18"/>
                <w:color w:val="auto"/>
              </w:rPr>
              <w:t>Technology transformation costs</w:t>
            </w:r>
          </w:p>
        </w:tc>
        <w:tc>
          <w:tcPr>
            <w:tcW w:w="160" w:type="dxa"/>
            <w:vAlign w:val="bottom"/>
          </w:tcPr>
          <w:p>
            <w:pPr>
              <w:spacing w:after="0"/>
              <w:rPr>
                <w:sz w:val="22"/>
                <w:szCs w:val="22"/>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6,474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(6,464)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35"/>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Employee severance obligations and</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related costs</w:t>
            </w: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1,588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Asset impairments</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18,182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1,332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32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September 30, 2013, costs incurred represent the total cumulative costs incurred under the Program to date.</w:t>
      </w:r>
    </w:p>
    <w:p>
      <w:pPr>
        <w:spacing w:after="0" w:line="36" w:lineRule="exact"/>
        <w:rPr>
          <w:rFonts w:ascii="Arial" w:cs="Arial" w:eastAsia="Arial" w:hAnsi="Arial"/>
          <w:sz w:val="18"/>
          <w:szCs w:val="18"/>
          <w:color w:val="auto"/>
        </w:rPr>
      </w:pPr>
    </w:p>
    <w:p>
      <w:pPr>
        <w:ind w:left="340" w:right="100" w:hanging="332"/>
        <w:spacing w:after="0" w:line="25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September 30, 2013, total expected restructuring costs exclude approximately $25.0 million of internally developed software and computer and networking equipment related to the Program that is expected to be capitalized with a useful life ranging from three to seven years, and with expense being recorded as depreciation and amortization within the unaudited condensed consolidated statements of income. As of September 30, 2013, approximately $21.7 million has been spent on technology infrastructure of which approximately $14.7 million has been capitalized, with the remainder included in costs incurred.</w:t>
      </w:r>
    </w:p>
    <w:p>
      <w:pPr>
        <w:spacing w:after="0" w:line="184"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39"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Inputs used to measure fair value are prioritized within a</w:t>
      </w:r>
    </w:p>
    <w:p>
      <w:pPr>
        <w:sectPr>
          <w:pgSz w:w="11900" w:h="16838" w:orient="portrait"/>
          <w:cols w:equalWidth="0" w:num="1">
            <w:col w:w="11420"/>
          </w:cols>
          <w:pgMar w:left="240" w:top="441"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41" w:right="23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three-level fair value hierarchy. This hierarchy requires entities to maximize the use of observable inputs and minimize the use of unobservable inputs. The three levels of inputs used to measure fair value are as follows:</w:t>
      </w:r>
    </w:p>
    <w:p>
      <w:pPr>
        <w:spacing w:after="0" w:line="66" w:lineRule="exact"/>
        <w:rPr>
          <w:sz w:val="20"/>
          <w:szCs w:val="20"/>
          <w:color w:val="auto"/>
        </w:rPr>
      </w:pPr>
    </w:p>
    <w:p>
      <w:pPr>
        <w:ind w:left="520" w:hanging="120"/>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rFonts w:ascii="Arial" w:cs="Arial" w:eastAsia="Arial" w:hAnsi="Arial"/>
          <w:sz w:val="18"/>
          <w:szCs w:val="18"/>
          <w:color w:val="auto"/>
        </w:rPr>
      </w:pPr>
    </w:p>
    <w:p>
      <w:pPr>
        <w:ind w:left="520" w:right="480" w:hanging="120"/>
        <w:spacing w:after="0" w:line="269"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and liabilities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active markets; quoted prices for identical or similar assets and liabilities in markets that are not active; or other inputs that are observable or can be corroborated by observable market data.</w:t>
      </w:r>
    </w:p>
    <w:p>
      <w:pPr>
        <w:spacing w:after="0" w:line="60" w:lineRule="exact"/>
        <w:rPr>
          <w:rFonts w:ascii="Arial" w:cs="Arial" w:eastAsia="Arial" w:hAnsi="Arial"/>
          <w:sz w:val="18"/>
          <w:szCs w:val="18"/>
          <w:color w:val="auto"/>
        </w:rPr>
      </w:pPr>
    </w:p>
    <w:p>
      <w:pPr>
        <w:ind w:left="520" w:right="140" w:hanging="120"/>
        <w:spacing w:after="0" w:line="269"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This includes certain pricing models, discounted cash flow methodologies and similar techniques that use significant unobservable inputs.</w:t>
      </w:r>
    </w:p>
    <w:p>
      <w:pPr>
        <w:spacing w:after="0" w:line="82"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There have been no transfers of assets or liabilities between these fair value measurement classifications during the nine months ended September 30, 2013.</w:t>
      </w:r>
    </w:p>
    <w:p>
      <w:pPr>
        <w:spacing w:after="0" w:line="88"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The Company’s fair value measurements are evaluated within the fair value hierarchy, based on the nature of inputs used to determine the fair value at the measurement date. At September 30, 2013, the Company had the following financial assets and liabilities that are measured at fair value on a recurring basis:</w:t>
      </w:r>
    </w:p>
    <w:p>
      <w:pPr>
        <w:spacing w:after="0" w:line="72" w:lineRule="exact"/>
        <w:rPr>
          <w:sz w:val="20"/>
          <w:szCs w:val="20"/>
          <w:color w:val="auto"/>
        </w:rPr>
      </w:pPr>
    </w:p>
    <w:p>
      <w:pPr>
        <w:ind w:right="740" w:firstLine="486"/>
        <w:spacing w:after="0" w:line="287"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The Company’s cash equivalents include money market funds, which are short term in nature with readily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determinable values derived from active markets.</w:t>
      </w:r>
    </w:p>
    <w:p>
      <w:pPr>
        <w:spacing w:after="0" w:line="45"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b w:val="1"/>
          <w:bCs w:val="1"/>
          <w:i w:val="1"/>
          <w:iCs w:val="1"/>
          <w:color w:val="auto"/>
        </w:rPr>
        <w:t xml:space="preserve">Securities Owned and Securities Sold, But Not Yet Purchased </w:t>
      </w:r>
      <w:r>
        <w:rPr>
          <w:rFonts w:ascii="Arial" w:cs="Arial" w:eastAsia="Arial" w:hAnsi="Arial"/>
          <w:sz w:val="18"/>
          <w:szCs w:val="18"/>
          <w:color w:val="auto"/>
        </w:rPr>
        <w:t>— The Company's trading securities consist of house account model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portfolios established and managed for the purpose of benchmarking the performance of its fee based advisory platforms and temporary positions resulting from the processing of client transactions. Examples of these securities include money market funds, U.S. treasury obligations, mutual funds, certificates of deposit and traded equity and debt securities.</w:t>
      </w:r>
    </w:p>
    <w:p>
      <w:pPr>
        <w:spacing w:after="0" w:line="91"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uses prices obtained from independent third-party pricing services to measure the fair value of its trading securities.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certificates of deposit and treasury securities, the Company utilizes market-based inputs including observable market interest rates that correspond to the remaining maturities or the next interest reset dates. At September 30, 2013, the Company did not adjust prices received from the independent third-party pricing services.</w:t>
      </w:r>
    </w:p>
    <w:p>
      <w:pPr>
        <w:spacing w:after="0" w:line="76" w:lineRule="exact"/>
        <w:rPr>
          <w:sz w:val="20"/>
          <w:szCs w:val="20"/>
          <w:color w:val="auto"/>
        </w:rPr>
      </w:pPr>
    </w:p>
    <w:p>
      <w:pPr>
        <w:ind w:right="180" w:firstLine="486"/>
        <w:spacing w:after="0" w:line="262" w:lineRule="auto"/>
        <w:rPr>
          <w:sz w:val="20"/>
          <w:szCs w:val="20"/>
          <w:color w:val="auto"/>
        </w:rPr>
      </w:pPr>
      <w:r>
        <w:rPr>
          <w:rFonts w:ascii="Arial" w:cs="Arial" w:eastAsia="Arial" w:hAnsi="Arial"/>
          <w:sz w:val="18"/>
          <w:szCs w:val="18"/>
          <w:b w:val="1"/>
          <w:bCs w:val="1"/>
          <w:i w:val="1"/>
          <w:iCs w:val="1"/>
          <w:color w:val="auto"/>
        </w:rPr>
        <w:t xml:space="preserve">Other Assets </w:t>
      </w:r>
      <w:r>
        <w:rPr>
          <w:rFonts w:ascii="Arial" w:cs="Arial" w:eastAsia="Arial" w:hAnsi="Arial"/>
          <w:sz w:val="18"/>
          <w:szCs w:val="18"/>
          <w:color w:val="auto"/>
        </w:rPr>
        <w:t>— The Company’s other assets include deferred compensation plan assets that are invested in money market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mutual funds which are actively traded and valued based on quoted market prices and certain non-traded real estate investment trusts which are valued using quoted prices for identical or similar securities and other inputs that are observable or can be corroborated by observable market data.</w:t>
      </w:r>
    </w:p>
    <w:p>
      <w:pPr>
        <w:spacing w:after="0" w:line="69"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b w:val="1"/>
          <w:bCs w:val="1"/>
          <w:i w:val="1"/>
          <w:iCs w:val="1"/>
          <w:color w:val="auto"/>
        </w:rPr>
        <w:t xml:space="preserve">Accounts Payable and Accrued Liabilities </w:t>
      </w:r>
      <w:r>
        <w:rPr>
          <w:rFonts w:ascii="Arial" w:cs="Arial" w:eastAsia="Arial" w:hAnsi="Arial"/>
          <w:sz w:val="18"/>
          <w:szCs w:val="18"/>
          <w:color w:val="auto"/>
        </w:rPr>
        <w:t>— The Company's accounts payable and accrued liabilities include cash flow hedges,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are measured using Level 2 inputs, and contingent consideration liabilities, which are measured using Level 3 inputs. The fair value of the cash flow hedges are determined using quoted prices for similar cash flow hedges, taking into account counterparty credit risk and the Company's own non-performance risk. The contingent consideration liabilities result from the Company's acquisitions of National Retirement Partners, Inc. ("NRP"), Concord Capital Partners ("Concord") and Veritat Advisors, Inc. ("Veritat").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41"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Quoted</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Prices in</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Active</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Markets for</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Significant</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Identical</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Unobservable</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Inputs</w:t>
            </w:r>
          </w:p>
        </w:tc>
        <w:tc>
          <w:tcPr>
            <w:tcW w:w="140" w:type="dxa"/>
            <w:vAlign w:val="bottom"/>
          </w:tcPr>
          <w:p>
            <w:pPr>
              <w:spacing w:after="0"/>
              <w:rPr>
                <w:sz w:val="14"/>
                <w:szCs w:val="14"/>
                <w:color w:val="auto"/>
              </w:rPr>
            </w:pPr>
          </w:p>
        </w:tc>
        <w:tc>
          <w:tcPr>
            <w:tcW w:w="1220" w:type="dxa"/>
            <w:vAlign w:val="bottom"/>
          </w:tcPr>
          <w:p>
            <w:pPr>
              <w:jc w:val="right"/>
              <w:ind w:right="26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7"/>
                <w:szCs w:val="17"/>
                <w:color w:val="auto"/>
              </w:rPr>
            </w:pPr>
          </w:p>
        </w:tc>
        <w:tc>
          <w:tcPr>
            <w:tcW w:w="1220" w:type="dxa"/>
            <w:vAlign w:val="bottom"/>
          </w:tcPr>
          <w:p>
            <w:pPr>
              <w:jc w:val="right"/>
              <w:ind w:right="100"/>
              <w:spacing w:after="0"/>
              <w:rPr>
                <w:sz w:val="20"/>
                <w:szCs w:val="20"/>
                <w:color w:val="auto"/>
              </w:rPr>
            </w:pPr>
            <w:r>
              <w:rPr>
                <w:rFonts w:ascii="Arial" w:cs="Arial" w:eastAsia="Arial" w:hAnsi="Arial"/>
                <w:sz w:val="14"/>
                <w:szCs w:val="14"/>
                <w:b w:val="1"/>
                <w:bCs w:val="1"/>
                <w:color w:val="auto"/>
              </w:rPr>
              <w:t>Measurements</w:t>
            </w: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At September 30, 2013:</w:t>
            </w:r>
          </w:p>
        </w:tc>
        <w:tc>
          <w:tcPr>
            <w:tcW w:w="2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294,811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294,811</w:t>
            </w: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owned — trading:</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395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395</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00" w:type="dxa"/>
            <w:vAlign w:val="bottom"/>
          </w:tcPr>
          <w:p>
            <w:pPr>
              <w:spacing w:after="0"/>
              <w:rPr>
                <w:sz w:val="22"/>
                <w:szCs w:val="22"/>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6,315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6,315</w:t>
            </w: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234</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1,004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1,004</w:t>
            </w: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U.S. treasury obligations</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900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900</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owned — trading</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7,844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1,004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8,848</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43,325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1,665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44,990</w:t>
            </w:r>
          </w:p>
        </w:tc>
      </w:tr>
      <w:tr>
        <w:trPr>
          <w:trHeight w:val="280"/>
        </w:trPr>
        <w:tc>
          <w:tcPr>
            <w:tcW w:w="5620" w:type="dxa"/>
            <w:vAlign w:val="bottom"/>
          </w:tcPr>
          <w:p>
            <w:pPr>
              <w:ind w:left="380"/>
              <w:spacing w:after="0"/>
              <w:rPr>
                <w:sz w:val="20"/>
                <w:szCs w:val="20"/>
                <w:color w:val="auto"/>
              </w:rPr>
            </w:pPr>
            <w:r>
              <w:rPr>
                <w:rFonts w:ascii="Arial" w:cs="Arial" w:eastAsia="Arial" w:hAnsi="Arial"/>
                <w:sz w:val="16"/>
                <w:szCs w:val="16"/>
                <w:color w:val="auto"/>
              </w:rPr>
              <w:t>Total assets at fair value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345,980</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2,669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348,649</w:t>
            </w:r>
          </w:p>
        </w:tc>
      </w:tr>
      <w:tr>
        <w:trPr>
          <w:trHeight w:val="227"/>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Mutual funds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22"/>
                <w:szCs w:val="22"/>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211</w:t>
            </w: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Certificates of deposit</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55</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318</w:t>
            </w:r>
          </w:p>
        </w:tc>
      </w:tr>
      <w:tr>
        <w:trPr>
          <w:trHeight w:val="250"/>
        </w:trPr>
        <w:tc>
          <w:tcPr>
            <w:tcW w:w="562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32,248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32,653</w:t>
            </w:r>
          </w:p>
        </w:tc>
      </w:tr>
      <w:tr>
        <w:trPr>
          <w:trHeight w:val="240"/>
        </w:trPr>
        <w:tc>
          <w:tcPr>
            <w:tcW w:w="5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at fair value</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32,248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32,971</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4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Quoted</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Prices in</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Active</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Markets for</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Significant</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Identical</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Unobservable</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Inputs</w:t>
            </w:r>
          </w:p>
        </w:tc>
        <w:tc>
          <w:tcPr>
            <w:tcW w:w="140" w:type="dxa"/>
            <w:vAlign w:val="bottom"/>
          </w:tcPr>
          <w:p>
            <w:pPr>
              <w:spacing w:after="0"/>
              <w:rPr>
                <w:sz w:val="14"/>
                <w:szCs w:val="14"/>
                <w:color w:val="auto"/>
              </w:rPr>
            </w:pPr>
          </w:p>
        </w:tc>
        <w:tc>
          <w:tcPr>
            <w:tcW w:w="1220" w:type="dxa"/>
            <w:vAlign w:val="bottom"/>
          </w:tcPr>
          <w:p>
            <w:pPr>
              <w:jc w:val="right"/>
              <w:ind w:right="26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7"/>
                <w:szCs w:val="17"/>
                <w:color w:val="auto"/>
              </w:rPr>
            </w:pPr>
          </w:p>
        </w:tc>
        <w:tc>
          <w:tcPr>
            <w:tcW w:w="1220" w:type="dxa"/>
            <w:vAlign w:val="bottom"/>
          </w:tcPr>
          <w:p>
            <w:pPr>
              <w:jc w:val="right"/>
              <w:ind w:right="100"/>
              <w:spacing w:after="0"/>
              <w:rPr>
                <w:sz w:val="20"/>
                <w:szCs w:val="20"/>
                <w:color w:val="auto"/>
              </w:rPr>
            </w:pPr>
            <w:r>
              <w:rPr>
                <w:rFonts w:ascii="Arial" w:cs="Arial" w:eastAsia="Arial" w:hAnsi="Arial"/>
                <w:sz w:val="14"/>
                <w:szCs w:val="14"/>
                <w:b w:val="1"/>
                <w:bCs w:val="1"/>
                <w:color w:val="auto"/>
              </w:rPr>
              <w:t>Measurements</w:t>
            </w: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At December 31, 2012:</w:t>
            </w:r>
          </w:p>
        </w:tc>
        <w:tc>
          <w:tcPr>
            <w:tcW w:w="2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177,393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177,393</w:t>
            </w: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owned — trading:</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302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302</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00" w:type="dxa"/>
            <w:vAlign w:val="bottom"/>
          </w:tcPr>
          <w:p>
            <w:pPr>
              <w:spacing w:after="0"/>
              <w:rPr>
                <w:sz w:val="22"/>
                <w:szCs w:val="22"/>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5,737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5,737</w:t>
            </w: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414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414</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235</w:t>
            </w: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U.S. treasury obligations</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1,400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1,400</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owned — trading</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7,853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8,088</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28,624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28,624</w:t>
            </w:r>
          </w:p>
        </w:tc>
      </w:tr>
      <w:tr>
        <w:trPr>
          <w:trHeight w:val="280"/>
        </w:trPr>
        <w:tc>
          <w:tcPr>
            <w:tcW w:w="5620" w:type="dxa"/>
            <w:vAlign w:val="bottom"/>
          </w:tcPr>
          <w:p>
            <w:pPr>
              <w:ind w:left="380"/>
              <w:spacing w:after="0"/>
              <w:rPr>
                <w:sz w:val="20"/>
                <w:szCs w:val="20"/>
                <w:color w:val="auto"/>
              </w:rPr>
            </w:pPr>
            <w:r>
              <w:rPr>
                <w:rFonts w:ascii="Arial" w:cs="Arial" w:eastAsia="Arial" w:hAnsi="Arial"/>
                <w:sz w:val="16"/>
                <w:szCs w:val="16"/>
                <w:color w:val="auto"/>
              </w:rPr>
              <w:t>Total assets at fair value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213,870</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214,105</w:t>
            </w:r>
          </w:p>
        </w:tc>
      </w:tr>
      <w:tr>
        <w:trPr>
          <w:trHeight w:val="227"/>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Mutual funds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22"/>
                <w:szCs w:val="22"/>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247</w:t>
            </w: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Certificates of deposit</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366</w:t>
            </w:r>
          </w:p>
        </w:tc>
      </w:tr>
      <w:tr>
        <w:trPr>
          <w:trHeight w:val="250"/>
        </w:trPr>
        <w:tc>
          <w:tcPr>
            <w:tcW w:w="562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35,887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35,887</w:t>
            </w:r>
          </w:p>
        </w:tc>
      </w:tr>
      <w:tr>
        <w:trPr>
          <w:trHeight w:val="240"/>
        </w:trPr>
        <w:tc>
          <w:tcPr>
            <w:tcW w:w="5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at fair value</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35,887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36,253</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Level 3 Recurring Fair Value Measurements</w:t>
      </w:r>
    </w:p>
    <w:p>
      <w:pPr>
        <w:spacing w:after="0" w:line="139"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The table below provides information on the valuation technique, significant unobservable inputs and the ranges utilized by the Company in measuring fair value on a recurring basis of the significant Level 3 liabilities as of September 30, 2013 (dollars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Borders>
              <w:bottom w:val="single" w:sz="8" w:color="CCEEFF"/>
            </w:tcBorders>
          </w:tcPr>
          <w:p>
            <w:pPr>
              <w:spacing w:after="0"/>
              <w:rPr>
                <w:sz w:val="21"/>
                <w:szCs w:val="21"/>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Valuation Technique</w:t>
            </w:r>
          </w:p>
        </w:tc>
        <w:tc>
          <w:tcPr>
            <w:tcW w:w="100" w:type="dxa"/>
            <w:vAlign w:val="bottom"/>
            <w:tcBorders>
              <w:bottom w:val="single" w:sz="8" w:color="CCEEFF"/>
            </w:tcBorders>
          </w:tcPr>
          <w:p>
            <w:pPr>
              <w:spacing w:after="0"/>
              <w:rPr>
                <w:sz w:val="21"/>
                <w:szCs w:val="21"/>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Unobservable Input</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Range</w:t>
            </w:r>
          </w:p>
        </w:tc>
      </w:tr>
      <w:tr>
        <w:trPr>
          <w:trHeight w:val="229"/>
        </w:trPr>
        <w:tc>
          <w:tcPr>
            <w:tcW w:w="3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Probability weighted</w:t>
            </w: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 obligations  $</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20"/>
                <w:szCs w:val="20"/>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discounted cash flow</w:t>
            </w:r>
          </w:p>
        </w:tc>
        <w:tc>
          <w:tcPr>
            <w:tcW w:w="25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Discount rate</w:t>
            </w:r>
          </w:p>
        </w:tc>
        <w:tc>
          <w:tcPr>
            <w:tcW w:w="1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 - 13%</w:t>
            </w:r>
          </w:p>
        </w:tc>
      </w:tr>
    </w:tbl>
    <w:p>
      <w:pPr>
        <w:spacing w:after="0" w:line="215"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The Company determines the fair value for its contingent consideration obligations using an income approach whereby the Company assesses the probability and timing of the achievement of the applicable milestones, which are based on contractually negotiated financial or operating targets that vary by acquisition transaction, such as revenues, gross margin, EBITDA and assets under custody. The contingent payments are estimated using a probability weighted, multi-scenario analysis of expected future performance of the acquired businesses. The Company then discounts these expected payment amounts to calculate the fair value as of the valuation date. The Company's management evaluates the underlying projections and other related factors used in determining fair value each period and makes updates when there have been significant changes in management's expectations.</w:t>
      </w:r>
    </w:p>
    <w:p>
      <w:pPr>
        <w:spacing w:after="0" w:line="99"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auto"/>
        </w:rPr>
        <w:t>The principal significant unobservable input used in the valuations of the Company's contingent consideration obligations is a risk-adjusted discount rate. Whereas management's underlying projections adjust for market penetration and adoption rates, the discount rate is risk-adjusted for key factors such as advisor attrition, advisor recruitment, expenses and overhead costs, average client assets, revenue generation of client assets and credit</w:t>
      </w:r>
    </w:p>
    <w:p>
      <w:pPr>
        <w:sectPr>
          <w:pgSz w:w="11900" w:h="16838" w:orient="portrait"/>
          <w:cols w:equalWidth="0" w:num="1">
            <w:col w:w="11420"/>
          </w:cols>
          <w:pgMar w:left="240" w:top="441" w:right="2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441" w:right="23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risk. An increase in the discount rate will result in a decrease in the fair value of contingent consideration. Conversely, a decrease in the discount rate will result in an increase in the fair value of contingent consideration.</w:t>
      </w:r>
    </w:p>
    <w:p>
      <w:pPr>
        <w:spacing w:after="0" w:line="88" w:lineRule="exact"/>
        <w:rPr>
          <w:sz w:val="20"/>
          <w:szCs w:val="20"/>
          <w:color w:val="auto"/>
        </w:rPr>
      </w:pPr>
    </w:p>
    <w:p>
      <w:pPr>
        <w:jc w:val="both"/>
        <w:ind w:right="120" w:firstLine="486"/>
        <w:spacing w:after="0" w:line="250" w:lineRule="auto"/>
        <w:rPr>
          <w:sz w:val="20"/>
          <w:szCs w:val="20"/>
          <w:color w:val="auto"/>
        </w:rPr>
      </w:pPr>
      <w:r>
        <w:rPr>
          <w:rFonts w:ascii="Arial" w:cs="Arial" w:eastAsia="Arial" w:hAnsi="Arial"/>
          <w:sz w:val="18"/>
          <w:szCs w:val="18"/>
          <w:color w:val="auto"/>
        </w:rPr>
        <w:t>The contingent consideration obligation related to the acquisition of NRP is based on the achievement of certain revenue-based targets for the twelve-month period ending November 30, 2013 (the "Performance Measurement Period"), in aggregate for those advisors joining LPL Financial LLC ("LPL Financial") subsequent to the NRP acquisition for whom retirement plans comprise a significant part of their business.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first nine months of 2013, as a result of greater than expected recruitment of new advisors who serve retirement plans, which growth is expected to continue throughout the Performance Measurement Period, the Company revised its revenue estimates and made certain changes in the probability assumptions with respect to the likelihood of achieving the revenue targets. These revisions, combined with implied interest, resulted in a $7.7 million increase in the fair value of the contingent consideration obligation related to NRP during the nine months ended September 30, 2013 which is recorded in other expenses in the unaudited condensed consolidated statements of income.</w:t>
      </w:r>
    </w:p>
    <w:p>
      <w:pPr>
        <w:spacing w:after="0" w:line="97"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The contingent consideration obligation related to the acquisition of Concord is based on the achievement of targeted levels of gross margin attributed to Concord for the year ending December 31, 2013. Gross margin is calculated as Concord net revenues less production expenses. Net revenue includes revenues attributed to Concord's business activities and assets under administration on Concord's software platform. Production expenses include all expenses directly incurred to generate Concord net revenues, including commission and advisory expense and brokerage, clearing and exchange expense. During the first quarter of 2013, the Company revised its estimates of the amount and timing of projected 2013 gross margin and adjusted its assumptions regarding the likelihood of payment. The revisions resulted in a $3.8 million decrease in the fair value of the contingent consideration obligation related to Concord during the nine months ended September 30, 2013 which is recorded in other expenses in the unaudited condensed consolidated statements of income. The fair value of the contingent consideration obligation as of September 30, 2013 reflects assumptions regarding the likelihood and amount of payment under the transaction agreements, including as a result of pending disputes with certain contractual counterparties. The maximum amount of contingent consideration under the agreement is $15.0 million.</w:t>
      </w:r>
    </w:p>
    <w:p>
      <w:pPr>
        <w:spacing w:after="0" w:line="104"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established a contingent consideration liability related to the acquisition of Veritat, based on the achievement of targeted levels of assets under management and earnings, as well as, the retention of key employees. During the third quarter of 2013, the Company ceased operations of NestWise, which held the assets acquired from Veritat. Based on this information, the Company revised its estimate of the potential payment obligation that it may be required to pay the former shareholders of Veritat, which resulted in a $7.8 million reduction of the contingent consideration obligation, which was recorded in other expenses in the unaudited condensed consolidated statements of income. At September 30, 2013, the fair value of the contingent consideration obligation reflects assumptions regarding the likelihood and amount of payment under the purchase agreement, including the potential negotiated resolutions with the former shareholders.</w:t>
      </w:r>
    </w:p>
    <w:p>
      <w:pPr>
        <w:spacing w:after="0" w:line="167"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Set forth below is a reconciliation of the Company's aggregate contingent consideration for the nine months ended September 30, 2013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at December 31, 2012</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35,887</w:t>
            </w:r>
          </w:p>
        </w:tc>
      </w:tr>
      <w:tr>
        <w:trPr>
          <w:trHeight w:val="250"/>
        </w:trPr>
        <w:tc>
          <w:tcPr>
            <w:tcW w:w="9940" w:type="dxa"/>
            <w:vAlign w:val="bottom"/>
          </w:tcPr>
          <w:p>
            <w:pPr>
              <w:ind w:left="200"/>
              <w:spacing w:after="0"/>
              <w:rPr>
                <w:sz w:val="20"/>
                <w:szCs w:val="20"/>
                <w:color w:val="auto"/>
              </w:rPr>
            </w:pPr>
            <w:r>
              <w:rPr>
                <w:rFonts w:ascii="Arial" w:cs="Arial" w:eastAsia="Arial" w:hAnsi="Arial"/>
                <w:sz w:val="18"/>
                <w:szCs w:val="18"/>
                <w:color w:val="auto"/>
              </w:rPr>
              <w:t>Net changes in estimated fair value of contingent consideration obligations</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4,131</w:t>
            </w:r>
          </w:p>
        </w:tc>
      </w:tr>
      <w:tr>
        <w:trPr>
          <w:trHeight w:val="257"/>
        </w:trPr>
        <w:tc>
          <w:tcPr>
            <w:tcW w:w="9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Closure of NestWise</w:t>
            </w:r>
          </w:p>
        </w:tc>
        <w:tc>
          <w:tcPr>
            <w:tcW w:w="4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(7,770)</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Fair value at September 30, 2013</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32,248</w:t>
            </w:r>
          </w:p>
        </w:tc>
      </w:tr>
      <w:tr>
        <w:trPr>
          <w:trHeight w:val="20"/>
        </w:trPr>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Held-to-Maturity Securities</w:t>
      </w:r>
    </w:p>
    <w:p>
      <w:pPr>
        <w:spacing w:after="0" w:line="247" w:lineRule="exact"/>
        <w:rPr>
          <w:sz w:val="20"/>
          <w:szCs w:val="20"/>
          <w:color w:val="auto"/>
        </w:rPr>
      </w:pPr>
    </w:p>
    <w:p>
      <w:pPr>
        <w:ind w:right="260" w:firstLine="486"/>
        <w:spacing w:after="0" w:line="253" w:lineRule="auto"/>
        <w:rPr>
          <w:sz w:val="20"/>
          <w:szCs w:val="20"/>
          <w:color w:val="auto"/>
        </w:rPr>
      </w:pPr>
      <w:r>
        <w:rPr>
          <w:rFonts w:ascii="Arial" w:cs="Arial" w:eastAsia="Arial" w:hAnsi="Arial"/>
          <w:sz w:val="18"/>
          <w:szCs w:val="18"/>
          <w:color w:val="auto"/>
        </w:rPr>
        <w:t>The Company holds certain investments in securities including U.S. government notes, which are recorded at amortized cost because the Company has both the intent and the ability to hold these investments to maturity. Interest income is accrued as earned. Premiums and discounts are amortized using a method that approximates the effective yield method over the term of the security and are recorded as an adjustment to the investment yield. The Company discloses the fair value of its securities held-to-maturity using quoted prices in active markets, which is a Level 1 fair value measurement.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41" w:right="2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amortized cost, gross unrealized loss or gain and fair value of securities held-to-maturity were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7"/>
                <w:szCs w:val="17"/>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w:t>
            </w:r>
          </w:p>
        </w:tc>
      </w:tr>
      <w:tr>
        <w:trPr>
          <w:trHeight w:val="246"/>
        </w:trPr>
        <w:tc>
          <w:tcPr>
            <w:tcW w:w="76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2012</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U.S. government notes:</w:t>
            </w:r>
          </w:p>
        </w:tc>
        <w:tc>
          <w:tcPr>
            <w:tcW w:w="2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Amortized cost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6,761</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10,202</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unrealized (loss) gain</w:t>
            </w:r>
          </w:p>
        </w:tc>
        <w:tc>
          <w:tcPr>
            <w:tcW w:w="2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57"/>
        </w:trPr>
        <w:tc>
          <w:tcPr>
            <w:tcW w:w="7640" w:type="dxa"/>
            <w:vAlign w:val="bottom"/>
          </w:tcPr>
          <w:p>
            <w:pPr>
              <w:spacing w:after="0"/>
              <w:rPr>
                <w:sz w:val="20"/>
                <w:szCs w:val="20"/>
                <w:color w:val="auto"/>
              </w:rPr>
            </w:pPr>
            <w:r>
              <w:rPr>
                <w:rFonts w:ascii="Arial" w:cs="Arial" w:eastAsia="Arial" w:hAnsi="Arial"/>
                <w:sz w:val="18"/>
                <w:szCs w:val="18"/>
                <w:color w:val="auto"/>
              </w:rPr>
              <w:t>Fair value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6,724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10,208</w:t>
            </w:r>
          </w:p>
        </w:tc>
      </w:tr>
      <w:tr>
        <w:trPr>
          <w:trHeight w:val="20"/>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September 30, 2013, the securities held-to-maturity were scheduled to mature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After one but</w:t>
            </w:r>
          </w:p>
        </w:tc>
        <w:tc>
          <w:tcPr>
            <w:tcW w:w="180" w:type="dxa"/>
            <w:vAlign w:val="bottom"/>
          </w:tcPr>
          <w:p>
            <w:pPr>
              <w:spacing w:after="0"/>
              <w:rPr>
                <w:sz w:val="17"/>
                <w:szCs w:val="17"/>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rPr>
              <w:t>After five but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6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Within one year</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within five years</w:t>
            </w:r>
          </w:p>
        </w:tc>
        <w:tc>
          <w:tcPr>
            <w:tcW w:w="12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within ten years</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notes — at amortized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6,761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U.S. government notes — at fair value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3,517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1,457</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6,724</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rPr>
              <w:t>6.  Goodwill and Intangible Assets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80" w:type="dxa"/>
            <w:vAlign w:val="bottom"/>
            <w:gridSpan w:val="4"/>
          </w:tcPr>
          <w:p>
            <w:pPr>
              <w:ind w:left="500"/>
              <w:spacing w:after="0"/>
              <w:rPr>
                <w:sz w:val="20"/>
                <w:szCs w:val="20"/>
                <w:color w:val="auto"/>
              </w:rPr>
            </w:pPr>
            <w:r>
              <w:rPr>
                <w:rFonts w:ascii="Arial" w:cs="Arial" w:eastAsia="Arial" w:hAnsi="Arial"/>
                <w:sz w:val="18"/>
                <w:szCs w:val="18"/>
                <w:color w:val="auto"/>
              </w:rPr>
              <w:t>A summary of the activity in goodwill is presented below (in thousands):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80" w:type="dxa"/>
            <w:vAlign w:val="bottom"/>
            <w:gridSpan w:val="2"/>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1,371,523</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Closure of NestWise</w:t>
            </w:r>
          </w:p>
        </w:tc>
        <w:tc>
          <w:tcPr>
            <w:tcW w:w="14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(10,162)</w:t>
            </w: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2013</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1,361,361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In conjunction with the NestWise Closure, certain assets of NestWise, including goodwill, were determined to have no future economic benefit. Accordingly, the Company derecognized $10.2 million of goodwill held at NestWise during the third quarter of 2013, representing the carrying value of goodwill held at NestWise at the time of closure, which is included within other expenses on the unaudited condensed consolidated statements of income.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41"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intangible assets as of September 30, 2013 and December 31, 2012 are as follows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4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514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 Life</w:t>
            </w: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center"/>
              <w:ind w:right="192"/>
              <w:spacing w:after="0"/>
              <w:rPr>
                <w:sz w:val="20"/>
                <w:szCs w:val="20"/>
                <w:color w:val="auto"/>
              </w:rPr>
            </w:pPr>
            <w:r>
              <w:rPr>
                <w:rFonts w:ascii="Arial" w:cs="Arial" w:eastAsia="Arial" w:hAnsi="Arial"/>
                <w:sz w:val="16"/>
                <w:szCs w:val="16"/>
                <w:b w:val="1"/>
                <w:bCs w:val="1"/>
                <w:color w:val="auto"/>
              </w:rPr>
              <w:t>Net</w:t>
            </w:r>
          </w:p>
        </w:tc>
      </w:tr>
      <w:tr>
        <w:trPr>
          <w:trHeight w:val="189"/>
        </w:trPr>
        <w:tc>
          <w:tcPr>
            <w:tcW w:w="514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Carrying</w:t>
            </w:r>
          </w:p>
        </w:tc>
        <w:tc>
          <w:tcPr>
            <w:tcW w:w="18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280" w:type="dxa"/>
            <w:vAlign w:val="bottom"/>
          </w:tcPr>
          <w:p>
            <w:pPr>
              <w:spacing w:after="0"/>
              <w:rPr>
                <w:sz w:val="16"/>
                <w:szCs w:val="16"/>
                <w:color w:val="auto"/>
              </w:rPr>
            </w:pPr>
          </w:p>
        </w:tc>
        <w:tc>
          <w:tcPr>
            <w:tcW w:w="1220" w:type="dxa"/>
            <w:vAlign w:val="bottom"/>
          </w:tcPr>
          <w:p>
            <w:pPr>
              <w:jc w:val="center"/>
              <w:ind w:right="192"/>
              <w:spacing w:after="0"/>
              <w:rPr>
                <w:sz w:val="20"/>
                <w:szCs w:val="20"/>
                <w:color w:val="auto"/>
              </w:rPr>
            </w:pPr>
            <w:r>
              <w:rPr>
                <w:rFonts w:ascii="Arial" w:cs="Arial" w:eastAsia="Arial" w:hAnsi="Arial"/>
                <w:sz w:val="16"/>
                <w:szCs w:val="16"/>
                <w:b w:val="1"/>
                <w:bCs w:val="1"/>
                <w:color w:val="auto"/>
              </w:rPr>
              <w:t>Carrying</w:t>
            </w:r>
          </w:p>
        </w:tc>
      </w:tr>
      <w:tr>
        <w:trPr>
          <w:trHeight w:val="228"/>
        </w:trPr>
        <w:tc>
          <w:tcPr>
            <w:tcW w:w="514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(in years)</w:t>
            </w:r>
          </w:p>
        </w:tc>
        <w:tc>
          <w:tcPr>
            <w:tcW w:w="26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Value</w:t>
            </w:r>
          </w:p>
        </w:tc>
        <w:tc>
          <w:tcPr>
            <w:tcW w:w="18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9"/>
                <w:szCs w:val="19"/>
                <w:color w:val="auto"/>
              </w:rPr>
            </w:pPr>
          </w:p>
        </w:tc>
        <w:tc>
          <w:tcPr>
            <w:tcW w:w="1220" w:type="dxa"/>
            <w:vAlign w:val="bottom"/>
          </w:tcPr>
          <w:p>
            <w:pPr>
              <w:jc w:val="center"/>
              <w:ind w:right="192"/>
              <w:spacing w:after="0"/>
              <w:rPr>
                <w:sz w:val="20"/>
                <w:szCs w:val="20"/>
                <w:color w:val="auto"/>
              </w:rPr>
            </w:pPr>
            <w:r>
              <w:rPr>
                <w:rFonts w:ascii="Arial" w:cs="Arial" w:eastAsia="Arial" w:hAnsi="Arial"/>
                <w:sz w:val="16"/>
                <w:szCs w:val="16"/>
                <w:b w:val="1"/>
                <w:bCs w:val="1"/>
                <w:color w:val="auto"/>
                <w:w w:val="98"/>
              </w:rPr>
              <w:t>Value</w:t>
            </w:r>
          </w:p>
        </w:tc>
      </w:tr>
      <w:tr>
        <w:trPr>
          <w:trHeight w:val="270"/>
        </w:trPr>
        <w:tc>
          <w:tcPr>
            <w:tcW w:w="5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At September 30, 2013:</w:t>
            </w:r>
          </w:p>
        </w:tc>
        <w:tc>
          <w:tcPr>
            <w:tcW w:w="14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r>
      <w:tr>
        <w:trPr>
          <w:trHeight w:val="263"/>
        </w:trPr>
        <w:tc>
          <w:tcPr>
            <w:tcW w:w="5140" w:type="dxa"/>
            <w:vAlign w:val="bottom"/>
          </w:tcPr>
          <w:p>
            <w:pPr>
              <w:ind w:left="40"/>
              <w:spacing w:after="0"/>
              <w:rPr>
                <w:sz w:val="20"/>
                <w:szCs w:val="20"/>
                <w:color w:val="auto"/>
              </w:rPr>
            </w:pPr>
            <w:r>
              <w:rPr>
                <w:rFonts w:ascii="Arial" w:cs="Arial" w:eastAsia="Arial" w:hAnsi="Arial"/>
                <w:sz w:val="18"/>
                <w:szCs w:val="18"/>
                <w:color w:val="auto"/>
              </w:rPr>
              <w:t>Definite-lived intangible assets:</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Advisor and financial institution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439,763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(165,358)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274,405</w:t>
            </w:r>
          </w:p>
        </w:tc>
      </w:tr>
      <w:tr>
        <w:trPr>
          <w:trHeight w:val="263"/>
        </w:trPr>
        <w:tc>
          <w:tcPr>
            <w:tcW w:w="5140" w:type="dxa"/>
            <w:vAlign w:val="bottom"/>
          </w:tcPr>
          <w:p>
            <w:pPr>
              <w:ind w:left="180"/>
              <w:spacing w:after="0"/>
              <w:rPr>
                <w:sz w:val="20"/>
                <w:szCs w:val="20"/>
                <w:color w:val="auto"/>
              </w:rPr>
            </w:pPr>
            <w:r>
              <w:rPr>
                <w:rFonts w:ascii="Arial" w:cs="Arial" w:eastAsia="Arial" w:hAnsi="Arial"/>
                <w:sz w:val="18"/>
                <w:szCs w:val="18"/>
                <w:color w:val="auto"/>
              </w:rPr>
              <w:t>Product sponsor relationships</w:t>
            </w:r>
          </w:p>
        </w:tc>
        <w:tc>
          <w:tcPr>
            <w:tcW w:w="1480" w:type="dxa"/>
            <w:vAlign w:val="bottom"/>
          </w:tcPr>
          <w:p>
            <w:pPr>
              <w:jc w:val="center"/>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230,916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(85,621)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145,295</w:t>
            </w:r>
          </w:p>
        </w:tc>
      </w:tr>
      <w:tr>
        <w:trPr>
          <w:trHeight w:val="277"/>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Client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19,110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13,704</w:t>
            </w:r>
          </w:p>
        </w:tc>
      </w:tr>
      <w:tr>
        <w:trPr>
          <w:trHeight w:val="264"/>
        </w:trPr>
        <w:tc>
          <w:tcPr>
            <w:tcW w:w="5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Trade names</w:t>
            </w: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5"/>
              </w:rPr>
              <w:t>8.6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1,030</w:t>
            </w:r>
          </w:p>
        </w:tc>
      </w:tr>
      <w:tr>
        <w:trPr>
          <w:trHeight w:val="297"/>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definite-lived intangible assets</w:t>
            </w: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690,989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(256,555)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434,434</w:t>
            </w:r>
          </w:p>
        </w:tc>
      </w:tr>
      <w:tr>
        <w:trPr>
          <w:trHeight w:val="230"/>
        </w:trPr>
        <w:tc>
          <w:tcPr>
            <w:tcW w:w="514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Trademark and trade name</w:t>
            </w: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39,819</w:t>
            </w:r>
          </w:p>
        </w:tc>
      </w:tr>
      <w:tr>
        <w:trPr>
          <w:trHeight w:val="297"/>
        </w:trPr>
        <w:tc>
          <w:tcPr>
            <w:tcW w:w="51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intangible assets</w:t>
            </w: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474,253</w:t>
            </w:r>
          </w:p>
        </w:tc>
      </w:tr>
      <w:tr>
        <w:trPr>
          <w:trHeight w:val="278"/>
        </w:trPr>
        <w:tc>
          <w:tcPr>
            <w:tcW w:w="5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At December 31, 2012:</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Definite-lived intangible assets:</w:t>
            </w: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3"/>
        </w:trPr>
        <w:tc>
          <w:tcPr>
            <w:tcW w:w="5140" w:type="dxa"/>
            <w:vAlign w:val="bottom"/>
          </w:tcPr>
          <w:p>
            <w:pPr>
              <w:ind w:left="180"/>
              <w:spacing w:after="0"/>
              <w:rPr>
                <w:sz w:val="20"/>
                <w:szCs w:val="20"/>
                <w:color w:val="auto"/>
              </w:rPr>
            </w:pPr>
            <w:r>
              <w:rPr>
                <w:rFonts w:ascii="Arial" w:cs="Arial" w:eastAsia="Arial" w:hAnsi="Arial"/>
                <w:sz w:val="18"/>
                <w:szCs w:val="18"/>
                <w:color w:val="auto"/>
              </w:rPr>
              <w:t>Advisor and financial institution relationships</w:t>
            </w:r>
          </w:p>
        </w:tc>
        <w:tc>
          <w:tcPr>
            <w:tcW w:w="1480" w:type="dxa"/>
            <w:vAlign w:val="bottom"/>
          </w:tcPr>
          <w:p>
            <w:pPr>
              <w:jc w:val="center"/>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450,164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(157,470)</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292,694</w:t>
            </w:r>
          </w:p>
        </w:tc>
      </w:tr>
      <w:tr>
        <w:trPr>
          <w:trHeight w:val="277"/>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sponsor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230,916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154,686</w:t>
            </w:r>
          </w:p>
        </w:tc>
      </w:tr>
      <w:tr>
        <w:trPr>
          <w:trHeight w:val="263"/>
        </w:trPr>
        <w:tc>
          <w:tcPr>
            <w:tcW w:w="5140" w:type="dxa"/>
            <w:vAlign w:val="bottom"/>
          </w:tcPr>
          <w:p>
            <w:pPr>
              <w:ind w:left="180"/>
              <w:spacing w:after="0"/>
              <w:rPr>
                <w:sz w:val="20"/>
                <w:szCs w:val="20"/>
                <w:color w:val="auto"/>
              </w:rPr>
            </w:pPr>
            <w:r>
              <w:rPr>
                <w:rFonts w:ascii="Arial" w:cs="Arial" w:eastAsia="Arial" w:hAnsi="Arial"/>
                <w:sz w:val="18"/>
                <w:szCs w:val="18"/>
                <w:color w:val="auto"/>
              </w:rPr>
              <w:t>Client relationships</w:t>
            </w:r>
          </w:p>
        </w:tc>
        <w:tc>
          <w:tcPr>
            <w:tcW w:w="1480" w:type="dxa"/>
            <w:vAlign w:val="bottom"/>
          </w:tcPr>
          <w:p>
            <w:pPr>
              <w:jc w:val="center"/>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19,110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15,209</w:t>
            </w:r>
          </w:p>
        </w:tc>
      </w:tr>
      <w:tr>
        <w:trPr>
          <w:trHeight w:val="27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9.3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1,120</w:t>
            </w:r>
          </w:p>
        </w:tc>
      </w:tr>
      <w:tr>
        <w:trPr>
          <w:trHeight w:val="297"/>
        </w:trPr>
        <w:tc>
          <w:tcPr>
            <w:tcW w:w="51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definite-lived intangible assets</w:t>
            </w: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701,390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(237,681)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463,709</w:t>
            </w:r>
          </w:p>
        </w:tc>
      </w:tr>
      <w:tr>
        <w:trPr>
          <w:trHeight w:val="251"/>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64"/>
        </w:trPr>
        <w:tc>
          <w:tcPr>
            <w:tcW w:w="5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Trademark and trade name</w:t>
            </w: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39,819</w:t>
            </w:r>
          </w:p>
        </w:tc>
      </w:tr>
      <w:tr>
        <w:trPr>
          <w:trHeight w:val="257"/>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503,528</w:t>
            </w:r>
          </w:p>
        </w:tc>
      </w:tr>
      <w:tr>
        <w:trPr>
          <w:trHeight w:val="20"/>
        </w:trPr>
        <w:tc>
          <w:tcPr>
            <w:tcW w:w="5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80" w:firstLine="486"/>
        <w:spacing w:after="0" w:line="278" w:lineRule="auto"/>
        <w:rPr>
          <w:sz w:val="20"/>
          <w:szCs w:val="20"/>
          <w:color w:val="auto"/>
        </w:rPr>
      </w:pPr>
      <w:r>
        <w:rPr>
          <w:rFonts w:ascii="Arial" w:cs="Arial" w:eastAsia="Arial" w:hAnsi="Arial"/>
          <w:sz w:val="17"/>
          <w:szCs w:val="17"/>
          <w:color w:val="auto"/>
        </w:rPr>
        <w:t>Total amortization expense of intangible assets was $9.7 million and $10.0 million for the three months ended September 30, 2013 and 2012, respectively, and $29.3 million and $29.8 million for the nine months ended September 30, 2013 and 2012, respectively. Amortization expense for each of the fiscal years ending December 31, 2013 through 2017 and thereafter is estimated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 — remainder</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9,731</w:t>
            </w:r>
          </w:p>
        </w:tc>
      </w:tr>
      <w:tr>
        <w:trPr>
          <w:trHeight w:val="250"/>
        </w:trPr>
        <w:tc>
          <w:tcPr>
            <w:tcW w:w="9900" w:type="dxa"/>
            <w:vAlign w:val="bottom"/>
          </w:tcPr>
          <w:p>
            <w:pPr>
              <w:ind w:left="40"/>
              <w:spacing w:after="0"/>
              <w:rPr>
                <w:sz w:val="20"/>
                <w:szCs w:val="20"/>
                <w:color w:val="auto"/>
              </w:rPr>
            </w:pPr>
            <w:r>
              <w:rPr>
                <w:rFonts w:ascii="Arial" w:cs="Arial" w:eastAsia="Arial" w:hAnsi="Arial"/>
                <w:sz w:val="18"/>
                <w:szCs w:val="18"/>
                <w:color w:val="auto"/>
              </w:rPr>
              <w:t>2014</w:t>
            </w:r>
          </w:p>
        </w:tc>
        <w:tc>
          <w:tcPr>
            <w:tcW w:w="4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38,680</w:t>
            </w:r>
          </w:p>
        </w:tc>
      </w:tr>
      <w:tr>
        <w:trPr>
          <w:trHeight w:val="263"/>
        </w:trPr>
        <w:tc>
          <w:tcPr>
            <w:tcW w:w="9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4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37,775</w:t>
            </w:r>
          </w:p>
        </w:tc>
      </w:tr>
      <w:tr>
        <w:trPr>
          <w:trHeight w:val="250"/>
        </w:trPr>
        <w:tc>
          <w:tcPr>
            <w:tcW w:w="9900" w:type="dxa"/>
            <w:vAlign w:val="bottom"/>
          </w:tcPr>
          <w:p>
            <w:pPr>
              <w:ind w:left="40"/>
              <w:spacing w:after="0"/>
              <w:rPr>
                <w:sz w:val="20"/>
                <w:szCs w:val="20"/>
                <w:color w:val="auto"/>
              </w:rPr>
            </w:pPr>
            <w:r>
              <w:rPr>
                <w:rFonts w:ascii="Arial" w:cs="Arial" w:eastAsia="Arial" w:hAnsi="Arial"/>
                <w:sz w:val="18"/>
                <w:szCs w:val="18"/>
                <w:color w:val="auto"/>
              </w:rPr>
              <w:t>2016</w:t>
            </w:r>
          </w:p>
        </w:tc>
        <w:tc>
          <w:tcPr>
            <w:tcW w:w="4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37,619</w:t>
            </w:r>
          </w:p>
        </w:tc>
      </w:tr>
      <w:tr>
        <w:trPr>
          <w:trHeight w:val="263"/>
        </w:trPr>
        <w:tc>
          <w:tcPr>
            <w:tcW w:w="9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36,752</w:t>
            </w:r>
          </w:p>
        </w:tc>
      </w:tr>
      <w:tr>
        <w:trPr>
          <w:trHeight w:val="250"/>
        </w:trPr>
        <w:tc>
          <w:tcPr>
            <w:tcW w:w="9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273,877</w:t>
            </w:r>
          </w:p>
        </w:tc>
      </w:tr>
      <w:tr>
        <w:trPr>
          <w:trHeight w:val="257"/>
        </w:trPr>
        <w:tc>
          <w:tcPr>
            <w:tcW w:w="9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434,434</w:t>
            </w:r>
          </w:p>
        </w:tc>
      </w:tr>
      <w:tr>
        <w:trPr>
          <w:trHeight w:val="20"/>
        </w:trPr>
        <w:tc>
          <w:tcPr>
            <w:tcW w:w="9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0" w:lineRule="exact"/>
        <w:rPr>
          <w:sz w:val="20"/>
          <w:szCs w:val="20"/>
          <w:color w:val="auto"/>
        </w:rPr>
      </w:pPr>
    </w:p>
    <w:p>
      <w:pPr>
        <w:ind w:right="300" w:firstLine="405"/>
        <w:spacing w:after="0" w:line="253" w:lineRule="auto"/>
        <w:rPr>
          <w:sz w:val="20"/>
          <w:szCs w:val="20"/>
          <w:color w:val="auto"/>
        </w:rPr>
      </w:pPr>
      <w:r>
        <w:rPr>
          <w:rFonts w:ascii="Arial" w:cs="Arial" w:eastAsia="Arial" w:hAnsi="Arial"/>
          <w:sz w:val="18"/>
          <w:szCs w:val="18"/>
          <w:color w:val="auto"/>
        </w:rPr>
        <w:t>The Company’s effective income tax rate differs from the federal corporate tax rate of 35.0%, primarily as a result of state taxes, settlement contingencies and expenses that are not deductible for tax purposes. These items resulted in effective tax rates of 38.6% and 36.8% for the three months ended September 30, 2013 and 2012, respectively, and 39.4% and 39.0% for the nine months ended September 30, 2013 and 2012, respectively. Deferred income taxes reflect the net tax effects of temporary differences between the carrying amounts of assets and liabilities for financial reporting purposes and the amounts used for income tax purposes.</w:t>
      </w:r>
    </w:p>
    <w:p>
      <w:pPr>
        <w:sectPr>
          <w:pgSz w:w="11900" w:h="16838" w:orient="portrait"/>
          <w:cols w:equalWidth="0" w:num="1">
            <w:col w:w="11400"/>
          </w:cols>
          <w:pgMar w:left="240" w:top="441" w:right="259" w:bottom="1440" w:gutter="0" w:footer="0" w:header="0"/>
        </w:sect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00"/>
          </w:cols>
          <w:pgMar w:left="240" w:top="441" w:right="259" w:bottom="1440" w:gutter="0" w:footer="0" w:header="0"/>
          <w:type w:val="continuous"/>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auto"/>
        </w:rPr>
        <w:t>For the three and nine months ended September 30, 2012, the Company's effective tax rate was impacted by matters related to its stock acquisition of Concord that lowered the rate by approximately 3.0% for the three months ended September 30, 2012.</w:t>
      </w:r>
    </w:p>
    <w:p>
      <w:pPr>
        <w:spacing w:after="0" w:line="174"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Indebtedness</w:t>
      </w:r>
    </w:p>
    <w:p>
      <w:pPr>
        <w:spacing w:after="0" w:line="225"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b w:val="1"/>
          <w:bCs w:val="1"/>
          <w:i w:val="1"/>
          <w:iCs w:val="1"/>
          <w:color w:val="auto"/>
        </w:rPr>
        <w:t xml:space="preserve">Senior Secured Credit Facilities </w:t>
      </w:r>
      <w:r>
        <w:rPr>
          <w:rFonts w:ascii="Arial" w:cs="Arial" w:eastAsia="Arial" w:hAnsi="Arial"/>
          <w:sz w:val="18"/>
          <w:szCs w:val="18"/>
          <w:color w:val="auto"/>
        </w:rPr>
        <w:t>— On May 13, 2013, the Company entered into the First Amendment and Incremental Assumption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(“Amended Credit Agreement”) with its wholly owned subsidiary, LPL Holdings, Inc., the other Credit Parties signatory thereto, the Several Lenders parties thereto, Bank of America, N.A. as Administrative Agent, and other parties thereto. The Amended Credit Agreement supplements and amends the Company's Credit Agreement, dated as of March 29, 2012 (“Previous Credit Agreement”).</w:t>
      </w:r>
    </w:p>
    <w:p>
      <w:pPr>
        <w:spacing w:after="0" w:line="199"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The Previous Credit Agreement had established a Term Loan A with an initial principal amount of $735.0 million maturing on March 29, 2017 ("Term Loan A"), a Term Loan B with an initial principal amount of $615.0 million maturing on March 29, 2019 ("Prior Term Loan B") and a revolving credit facility with borrowing capacity of $250.0 million maturing on March 29, 2017 ("Revolving Credit Facility").</w:t>
      </w:r>
    </w:p>
    <w:p>
      <w:pPr>
        <w:spacing w:after="0" w:line="202" w:lineRule="exact"/>
        <w:rPr>
          <w:sz w:val="20"/>
          <w:szCs w:val="20"/>
          <w:color w:val="auto"/>
        </w:rPr>
      </w:pPr>
    </w:p>
    <w:p>
      <w:pPr>
        <w:ind w:right="400" w:firstLine="486"/>
        <w:spacing w:after="0" w:line="256" w:lineRule="auto"/>
        <w:rPr>
          <w:sz w:val="20"/>
          <w:szCs w:val="20"/>
          <w:color w:val="auto"/>
        </w:rPr>
      </w:pPr>
      <w:r>
        <w:rPr>
          <w:rFonts w:ascii="Arial" w:cs="Arial" w:eastAsia="Arial" w:hAnsi="Arial"/>
          <w:sz w:val="18"/>
          <w:szCs w:val="18"/>
          <w:color w:val="auto"/>
        </w:rPr>
        <w:t>Quarterly repayments of the principal for Term Loan A were scheduled to be 5.0% for the twelve months ended March 31, 2014 and 10.0% for the twelve months ended March 31, 2015, 2016 and 2017 (“Mandatory Amortization”), with the remaining principal due upon maturity.</w:t>
      </w:r>
    </w:p>
    <w:p>
      <w:pPr>
        <w:spacing w:after="0" w:line="202"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Pursuant to the Amended Credit Agreement, the Company amended Prior Term Loan B to increase its borrowing to an aggregate principal amount of $1,083.9 million (“Amended Term Loan B”). On May 13, 2013, the Company used the proceeds of Amended Term Loan B to (i) refinance the remaining outstanding balance of $608.9 million on Prior Term Loan B and (ii) repay a portion of the outstanding balance on Term Loan A in an aggregate principal amount of $238.9 million (“Term Loan A Repayment”). The remaining loan proceeds are available for working capital requirements and other general corporate purposes. The maturity date of Amended Term Loan B is March 29, 2019. The amount and maturity of the Revolving Credit Facility was not changed in the Amended Credit Agreement.</w:t>
      </w:r>
    </w:p>
    <w:p>
      <w:pPr>
        <w:spacing w:after="0" w:line="209"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 Term Loan A Repayment prepaid the Mandatory Amortization. Quarterly repayments of the principal for Amended Term Loan B will total 1.0% per year with the remaining principal due upon maturity. Any outstanding principal under the Revolving Credit Facility will be due upon maturity.</w:t>
      </w:r>
    </w:p>
    <w:p>
      <w:pPr>
        <w:spacing w:after="0" w:line="202"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In connection with the execution of the Amended Credit Agreement, the Company incurred $7.4 million in costs that are capitalized as debt issuance costs in the unaudited condensed consolidated statements of financial condition. This refinancing resulted in the prepayment of all outstanding principal borrowings on Prior Term Loan B. In the second quarter of 2013, the Company accelerated the recognition of $8.0 million of unamortized costs attributable to Prior Term Loan B related to the Previous Credit Agreement. This accelerated recognition has been recorded as a loss on extinguishment of debt within the unaudited condensed consolidated statements of income for the nine months ended September 30, 2013.</w:t>
      </w:r>
    </w:p>
    <w:p>
      <w:pPr>
        <w:spacing w:after="0" w:line="209"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The Amended Credit Agreement subjects the Company to certain financial and non-financial covenants. As of September 30, 2013, the Company was in compliance with such covenants.</w:t>
      </w:r>
    </w:p>
    <w:p>
      <w:pPr>
        <w:spacing w:after="0" w:line="196"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As of September 30, 2013, the Revolving Credit Facility was being used to support the issuance of $21.4 million of irrevocable letters of credit for the construction of the Company's future San Diego office building and other items. The remaining $228.6 million was undrawn at September 30, 2013.</w:t>
      </w:r>
    </w:p>
    <w:p>
      <w:pPr>
        <w:spacing w:after="0" w:line="202"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Borrowings under Term Loan A and Amended Term Loan B bear interest at a base rate equal to either one, two, three, six, nine or twelve-month LIBOR (the "Eurodollar Rate") plus the applicable margin, or an alternative base rate (“ABR”) plus the applicable margin. The ABR is equal to the greatest of (a) the prime rate in effect on such day, (b) the effective federal funds rate in effect on such day plus 0.50%, (c) the Eurodollar Rate plus 1.00% and (d) solely in the case of Amended Term Loan B, 1.75%. The Company may voluntarily repay outstanding loans under its Amended Credit Agreement at any time without premium or penalty, other than customary breakage costs with respect to LIBOR loans and with the exception of certain repricing transactions in respect of Amended Term</w:t>
      </w: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41" w:right="29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Loan B consummated before November 13, 2013, which will be subject to a premium of 1.0% of the principal amount of Amended Term Loan B subject to such repricing transaction.</w:t>
      </w:r>
    </w:p>
    <w:p>
      <w:pPr>
        <w:spacing w:after="0" w:line="196"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Borrowings under Prior Term Loan B bore interest at a base rate equal to either the Eurodollar Rate plus the applicable margin or an ABR plus the applicable margin. The ABR was equal to the greatest of (a) the prime rate in effect on such day, (b) the effective federal funds rate in effect on such day plus 0.50%, (c) the Eurodollar Rate plus 1.00% and (d) 2.00%.</w:t>
      </w:r>
    </w:p>
    <w:p>
      <w:pPr>
        <w:spacing w:after="0" w:line="202"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applicable margin for borrowings with respect to both Term Loan A and Amended Term Loan B is currently 1.50% for base rate borrowings and 2.50% for LIBOR borrowings. The LIBOR rate with respect to Amended Term Loan B shall in no event be less than 0.75%. The applicable margin for borrowings under the Revolving Credit Facility is currently 1.50% for base rate borrowings and 2.50% for LIBOR borrowings with a commitment fee of 0.50%.</w:t>
      </w:r>
    </w:p>
    <w:p>
      <w:pPr>
        <w:spacing w:after="0" w:line="204"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The applicable margin for borrowings under the Previous Credit Agreement with respect to Prior Term Loan B was 2.00% for base rate borrowings and 3.00% for LIBOR borrowings. The LIBOR rate with respect to Prior Term Loan B had a floor of 1.00%.</w:t>
      </w:r>
    </w:p>
    <w:p>
      <w:pPr>
        <w:spacing w:after="0" w:line="196"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The Previous Credit Agreement, dated as of March 29, 2012, allowed the Company to repay all outstanding principal borrowings under the Company's Third Amended and Restated Credit Agreement, dated as of May 24, 2010 ("Original Credit Agreement"). Accordingly, in the first quarter of 2012, the Company accelerated the recognition of $16.5 million of debt issuance costs related to borrowings under the Original Credit Agreement, which has been recorded as loss on extinguishment of debt within the unaudited condensed consolidated statements of income.</w:t>
      </w:r>
    </w:p>
    <w:p>
      <w:pPr>
        <w:spacing w:after="0" w:line="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outstanding borrowings were as follows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7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September 30, 2013</w:t>
            </w:r>
          </w:p>
        </w:tc>
        <w:tc>
          <w:tcPr>
            <w:tcW w:w="5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December 31, 2012</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Interest</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Interest</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780" w:type="dxa"/>
            <w:vAlign w:val="bottom"/>
          </w:tcPr>
          <w:p>
            <w:pPr>
              <w:spacing w:after="0"/>
              <w:rPr>
                <w:sz w:val="21"/>
                <w:szCs w:val="21"/>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Maturity</w:t>
            </w:r>
          </w:p>
        </w:tc>
        <w:tc>
          <w:tcPr>
            <w:tcW w:w="180" w:type="dxa"/>
            <w:vAlign w:val="bottom"/>
          </w:tcPr>
          <w:p>
            <w:pPr>
              <w:spacing w:after="0"/>
              <w:rPr>
                <w:sz w:val="21"/>
                <w:szCs w:val="21"/>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1"/>
                <w:szCs w:val="21"/>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Rate</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Rate</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80" w:type="dxa"/>
            <w:vAlign w:val="bottom"/>
          </w:tcPr>
          <w:p>
            <w:pPr>
              <w:ind w:left="80"/>
              <w:spacing w:after="0"/>
              <w:rPr>
                <w:sz w:val="20"/>
                <w:szCs w:val="20"/>
                <w:color w:val="auto"/>
              </w:rPr>
            </w:pPr>
            <w:r>
              <w:rPr>
                <w:rFonts w:ascii="Arial" w:cs="Arial" w:eastAsia="Arial" w:hAnsi="Arial"/>
                <w:sz w:val="18"/>
                <w:szCs w:val="18"/>
                <w:color w:val="auto"/>
              </w:rPr>
              <w:t>Senior secured term loans:</w:t>
            </w: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7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Term Loan A</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3/29/2017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459,375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707,438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63"/>
        </w:trPr>
        <w:tc>
          <w:tcPr>
            <w:tcW w:w="3780" w:type="dxa"/>
            <w:vAlign w:val="bottom"/>
          </w:tcPr>
          <w:p>
            <w:pPr>
              <w:ind w:left="840"/>
              <w:spacing w:after="0"/>
              <w:rPr>
                <w:sz w:val="20"/>
                <w:szCs w:val="20"/>
                <w:color w:val="auto"/>
              </w:rPr>
            </w:pPr>
            <w:r>
              <w:rPr>
                <w:rFonts w:ascii="Arial" w:cs="Arial" w:eastAsia="Arial" w:hAnsi="Arial"/>
                <w:sz w:val="18"/>
                <w:szCs w:val="18"/>
                <w:color w:val="auto"/>
              </w:rPr>
              <w:t>Prior Term Loan B</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3/29/2019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610,387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Amended Term Loan B</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3/29/2019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1,078,431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(2)</w:t>
            </w: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80" w:type="dxa"/>
            <w:vAlign w:val="bottom"/>
          </w:tcPr>
          <w:p>
            <w:pPr>
              <w:ind w:left="680"/>
              <w:spacing w:after="0"/>
              <w:rPr>
                <w:sz w:val="20"/>
                <w:szCs w:val="20"/>
                <w:color w:val="auto"/>
              </w:rPr>
            </w:pPr>
            <w:r>
              <w:rPr>
                <w:rFonts w:ascii="Arial" w:cs="Arial" w:eastAsia="Arial" w:hAnsi="Arial"/>
                <w:sz w:val="18"/>
                <w:szCs w:val="18"/>
                <w:color w:val="auto"/>
              </w:rPr>
              <w:t>Total borrowings</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1,537,806</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1,317,825</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current borrowings (maturities within</w:t>
            </w: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12 months)</w:t>
            </w: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10,839</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42,900</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80" w:type="dxa"/>
            <w:vAlign w:val="bottom"/>
          </w:tcPr>
          <w:p>
            <w:pPr>
              <w:ind w:left="180"/>
              <w:spacing w:after="0"/>
              <w:rPr>
                <w:sz w:val="20"/>
                <w:szCs w:val="20"/>
                <w:color w:val="auto"/>
              </w:rPr>
            </w:pPr>
            <w:r>
              <w:rPr>
                <w:rFonts w:ascii="Arial" w:cs="Arial" w:eastAsia="Arial" w:hAnsi="Arial"/>
                <w:sz w:val="18"/>
                <w:szCs w:val="18"/>
                <w:color w:val="auto"/>
              </w:rPr>
              <w:t>Long-term borrowings — net of current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1,526,967</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1,274,925</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80" w:type="dxa"/>
            <w:vAlign w:val="bottom"/>
          </w:tcPr>
          <w:p>
            <w:pPr>
              <w:ind w:left="180"/>
              <w:spacing w:after="0"/>
              <w:rPr>
                <w:sz w:val="20"/>
                <w:szCs w:val="20"/>
                <w:color w:val="auto"/>
              </w:rPr>
            </w:pPr>
            <w:r>
              <w:rPr>
                <w:rFonts w:ascii="Arial" w:cs="Arial" w:eastAsia="Arial" w:hAnsi="Arial"/>
                <w:sz w:val="18"/>
                <w:szCs w:val="18"/>
                <w:color w:val="auto"/>
              </w:rPr>
              <w:t>portion</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0</wp:posOffset>
            </wp:positionV>
            <wp:extent cx="771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17145</wp:posOffset>
            </wp:positionV>
            <wp:extent cx="771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0</wp:posOffset>
            </wp:positionV>
            <wp:extent cx="771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17145</wp:posOffset>
            </wp:positionV>
            <wp:extent cx="7715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w:t>
      </w:r>
    </w:p>
    <w:p>
      <w:pPr>
        <w:ind w:left="660" w:right="180" w:hanging="652"/>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September 30, 2013, the variable interest rate for Term Loan A is based on the one-month LIBOR of 0.18%, plus the applicable interest rate margin of 2.50%.</w:t>
      </w:r>
    </w:p>
    <w:p>
      <w:pPr>
        <w:spacing w:after="0" w:line="88" w:lineRule="exact"/>
        <w:rPr>
          <w:rFonts w:ascii="Arial" w:cs="Arial" w:eastAsia="Arial" w:hAnsi="Arial"/>
          <w:sz w:val="18"/>
          <w:szCs w:val="18"/>
          <w:color w:val="auto"/>
        </w:rPr>
      </w:pPr>
    </w:p>
    <w:p>
      <w:pPr>
        <w:ind w:left="660" w:right="160" w:hanging="652"/>
        <w:spacing w:after="0" w:line="25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variable interest rate for Amended Term Loan B is based on the greater of the LIBOR rate for the period selected (one, three, six, nine or twelve months) or 0.75%, plus the applicable interest rate margin of 2.50%. As of September 30, 2013, the Company elected the following variable interest rates for borrowings under its Amended Term Loan B: six-month LIBOR for $537.8 million which was designated on September 26, 2013 at an interest rate of 0.37%; and six-month LIBOR for $540.6 million which was designated on June 26, 2013 at an interest rate of 0.42%.</w:t>
      </w:r>
    </w:p>
    <w:p>
      <w:pPr>
        <w:spacing w:after="0" w:line="97" w:lineRule="exact"/>
        <w:rPr>
          <w:rFonts w:ascii="Arial" w:cs="Arial" w:eastAsia="Arial" w:hAnsi="Arial"/>
          <w:sz w:val="18"/>
          <w:szCs w:val="18"/>
          <w:color w:val="auto"/>
        </w:rPr>
      </w:pPr>
    </w:p>
    <w:p>
      <w:pPr>
        <w:ind w:left="660" w:right="240" w:hanging="652"/>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December 31, 2012, the variable interest rate for Term Loan A is based on the one-month LIBOR of 0.21%, plus the applicable interest rate margin of 2.50%.</w:t>
      </w:r>
    </w:p>
    <w:p>
      <w:pPr>
        <w:spacing w:after="0" w:line="88" w:lineRule="exact"/>
        <w:rPr>
          <w:rFonts w:ascii="Arial" w:cs="Arial" w:eastAsia="Arial" w:hAnsi="Arial"/>
          <w:sz w:val="18"/>
          <w:szCs w:val="18"/>
          <w:color w:val="auto"/>
        </w:rPr>
      </w:pPr>
    </w:p>
    <w:p>
      <w:pPr>
        <w:ind w:left="660" w:right="60" w:hanging="652"/>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December 31, 2012, the variable interest rate for Prior Term Loan B is based on the greater of the one-month LIBOR of 0.21% or 1.00%, plus the applicable interest rate margin of 3.00%.</w:t>
      </w:r>
    </w:p>
    <w:p>
      <w:pPr>
        <w:spacing w:after="0" w:line="282" w:lineRule="exact"/>
        <w:rPr>
          <w:sz w:val="20"/>
          <w:szCs w:val="20"/>
          <w:color w:val="auto"/>
        </w:rPr>
      </w:pPr>
    </w:p>
    <w:p>
      <w:pPr>
        <w:ind w:right="220" w:firstLine="486"/>
        <w:spacing w:after="0" w:line="287" w:lineRule="auto"/>
        <w:rPr>
          <w:sz w:val="20"/>
          <w:szCs w:val="20"/>
          <w:color w:val="auto"/>
        </w:rPr>
      </w:pPr>
      <w:r>
        <w:rPr>
          <w:rFonts w:ascii="Arial" w:cs="Arial" w:eastAsia="Arial" w:hAnsi="Arial"/>
          <w:sz w:val="18"/>
          <w:szCs w:val="18"/>
          <w:b w:val="1"/>
          <w:bCs w:val="1"/>
          <w:i w:val="1"/>
          <w:iCs w:val="1"/>
          <w:color w:val="auto"/>
        </w:rPr>
        <w:t xml:space="preserve">Bank Loans Payable </w:t>
      </w:r>
      <w:r>
        <w:rPr>
          <w:rFonts w:ascii="Arial" w:cs="Arial" w:eastAsia="Arial" w:hAnsi="Arial"/>
          <w:sz w:val="18"/>
          <w:szCs w:val="18"/>
          <w:color w:val="auto"/>
        </w:rPr>
        <w:t>— The Company maintains three uncommitted lines of credit. Two of the lines have unspecified limits, which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dependent on the Company’s ability to provide sufficient collateral. The other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4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line had a $200.0 million and $150.0 million limit at September 30, 2013 and December 31, 2012, respectively, and allows for both collateralized and uncollateralized borrowings. The lines were utilized in 2013 and 2012; however, there were no balances outstanding at September 30, 2013 or December 31, 2012.</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borrowing activity in the revolving and uncommitted line of credit facilities (dollars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80" w:type="dxa"/>
            <w:vAlign w:val="bottom"/>
            <w:gridSpan w:val="5"/>
          </w:tcPr>
          <w:p>
            <w:pPr>
              <w:jc w:val="center"/>
              <w:ind w:right="680"/>
              <w:spacing w:after="0"/>
              <w:rPr>
                <w:sz w:val="20"/>
                <w:szCs w:val="20"/>
                <w:color w:val="auto"/>
              </w:rPr>
            </w:pPr>
            <w:r>
              <w:rPr>
                <w:rFonts w:ascii="Arial" w:cs="Arial" w:eastAsia="Arial" w:hAnsi="Arial"/>
                <w:sz w:val="18"/>
                <w:szCs w:val="18"/>
                <w:b w:val="1"/>
                <w:bCs w:val="1"/>
                <w:color w:val="auto"/>
                <w:w w:val="99"/>
              </w:rPr>
              <w:t>Three Months Ended</w:t>
            </w:r>
          </w:p>
        </w:tc>
        <w:tc>
          <w:tcPr>
            <w:tcW w:w="340" w:type="dxa"/>
            <w:vAlign w:val="bottom"/>
          </w:tcPr>
          <w:p>
            <w:pPr>
              <w:spacing w:after="0"/>
              <w:rPr>
                <w:sz w:val="17"/>
                <w:szCs w:val="17"/>
                <w:color w:val="auto"/>
              </w:rPr>
            </w:pPr>
          </w:p>
        </w:tc>
        <w:tc>
          <w:tcPr>
            <w:tcW w:w="26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r>
      <w:tr>
        <w:trPr>
          <w:trHeight w:val="246"/>
        </w:trPr>
        <w:tc>
          <w:tcPr>
            <w:tcW w:w="5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8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1"/>
                <w:szCs w:val="21"/>
                <w:color w:val="auto"/>
              </w:rPr>
            </w:pPr>
          </w:p>
        </w:tc>
        <w:tc>
          <w:tcPr>
            <w:tcW w:w="26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64"/>
        </w:trPr>
        <w:tc>
          <w:tcPr>
            <w:tcW w:w="514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3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balance outstanding</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4,637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144</w:t>
            </w: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Weighted-average interest rate</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w:t>
            </w:r>
          </w:p>
        </w:tc>
      </w:tr>
    </w:tbl>
    <w:p>
      <w:pPr>
        <w:spacing w:after="0" w:line="229" w:lineRule="exact"/>
        <w:rPr>
          <w:sz w:val="20"/>
          <w:szCs w:val="20"/>
          <w:color w:val="auto"/>
        </w:rPr>
      </w:pPr>
    </w:p>
    <w:p>
      <w:pPr>
        <w:ind w:right="500" w:firstLine="486"/>
        <w:spacing w:after="0" w:line="262" w:lineRule="auto"/>
        <w:rPr>
          <w:sz w:val="20"/>
          <w:szCs w:val="20"/>
          <w:color w:val="auto"/>
        </w:rPr>
      </w:pPr>
      <w:r>
        <w:rPr>
          <w:rFonts w:ascii="Arial" w:cs="Arial" w:eastAsia="Arial" w:hAnsi="Arial"/>
          <w:sz w:val="18"/>
          <w:szCs w:val="18"/>
          <w:color w:val="auto"/>
        </w:rPr>
        <w:t>The minimum calendar year payments and maturities of the senior secured borrowings as of September 30, 2013 are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2013 — remainder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2,710</w:t>
            </w:r>
          </w:p>
        </w:tc>
      </w:tr>
      <w:tr>
        <w:trPr>
          <w:trHeight w:val="250"/>
        </w:trPr>
        <w:tc>
          <w:tcPr>
            <w:tcW w:w="9940" w:type="dxa"/>
            <w:vAlign w:val="bottom"/>
          </w:tcPr>
          <w:p>
            <w:pPr>
              <w:ind w:left="80"/>
              <w:spacing w:after="0"/>
              <w:rPr>
                <w:sz w:val="20"/>
                <w:szCs w:val="20"/>
                <w:color w:val="auto"/>
              </w:rPr>
            </w:pPr>
            <w:r>
              <w:rPr>
                <w:rFonts w:ascii="Arial" w:cs="Arial" w:eastAsia="Arial" w:hAnsi="Arial"/>
                <w:sz w:val="18"/>
                <w:szCs w:val="18"/>
                <w:color w:val="auto"/>
              </w:rPr>
              <w:t>2014</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10,838</w:t>
            </w:r>
          </w:p>
        </w:tc>
      </w:tr>
      <w:tr>
        <w:trPr>
          <w:trHeight w:val="263"/>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2015</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10,838</w:t>
            </w:r>
          </w:p>
        </w:tc>
      </w:tr>
      <w:tr>
        <w:trPr>
          <w:trHeight w:val="250"/>
        </w:trPr>
        <w:tc>
          <w:tcPr>
            <w:tcW w:w="9940" w:type="dxa"/>
            <w:vAlign w:val="bottom"/>
          </w:tcPr>
          <w:p>
            <w:pPr>
              <w:ind w:left="8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10,838</w:t>
            </w:r>
          </w:p>
        </w:tc>
      </w:tr>
      <w:tr>
        <w:trPr>
          <w:trHeight w:val="263"/>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2017</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470,214</w:t>
            </w:r>
          </w:p>
        </w:tc>
      </w:tr>
      <w:tr>
        <w:trPr>
          <w:trHeight w:val="250"/>
        </w:trPr>
        <w:tc>
          <w:tcPr>
            <w:tcW w:w="99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1,032,368</w:t>
            </w:r>
          </w:p>
        </w:tc>
      </w:tr>
      <w:tr>
        <w:trPr>
          <w:trHeight w:val="257"/>
        </w:trPr>
        <w:tc>
          <w:tcPr>
            <w:tcW w:w="9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1,537,806</w:t>
            </w:r>
          </w:p>
        </w:tc>
      </w:tr>
      <w:tr>
        <w:trPr>
          <w:trHeight w:val="20"/>
        </w:trPr>
        <w:tc>
          <w:tcPr>
            <w:tcW w:w="9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355" w:lineRule="exact"/>
        <w:rPr>
          <w:sz w:val="20"/>
          <w:szCs w:val="20"/>
          <w:color w:val="auto"/>
        </w:rPr>
      </w:pPr>
    </w:p>
    <w:p>
      <w:pPr>
        <w:ind w:right="120" w:firstLine="648"/>
        <w:spacing w:after="0" w:line="251" w:lineRule="auto"/>
        <w:rPr>
          <w:sz w:val="20"/>
          <w:szCs w:val="20"/>
          <w:color w:val="auto"/>
        </w:rPr>
      </w:pPr>
      <w:r>
        <w:rPr>
          <w:rFonts w:ascii="Arial" w:cs="Arial" w:eastAsia="Arial" w:hAnsi="Arial"/>
          <w:sz w:val="18"/>
          <w:szCs w:val="18"/>
          <w:color w:val="auto"/>
        </w:rPr>
        <w:t>In the second quarter of 2013, in conjunction with its commitment to expand its Service Value Commitment, the Company entered into a long-term contractual obligation (the "Agreement") with a third-party provider to enhance the quality, speed and cost of processes by outsourcing certain functions. The Agreement enables the third-party provider to use the services of its affiliates in India to provide services to the Company. The Agreement provides for the Company to settle the cost of its contractual obligation to the third-party provider in US dollars each month. However, the Agreement provides that on each annual anniversary date, the price for services (denominated in US dollars) is to be adjusted for the then-current exchange rate between the US dollar ("USD") and the Indian rupee ("INR"). The Agreement provides that, once an annual adjustment is calculated, there are no further modifications to the amounts paid by the Company to the third-party provider for fluctuations in the exchange rate between the US dollar and the Indian rupee until the reset on the next anniversary date. The third-party provider bears the risk of currency movement from the date of signing the Agreement until the reset on the first anniversary of its signing, and during each period until the next annual reset. The Company bears the risk of currency movement at each of the annual reset dates following the first anniversary.</w:t>
      </w:r>
    </w:p>
    <w:p>
      <w:pPr>
        <w:spacing w:after="0" w:line="32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To mitigate foreign currency risk arising from these annual anniversary events, the Company uses derivative financial instruments consisting solely of non-deliverable foreign currency contracts, all of which have been designated as cash flow hedges.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4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details related to the non-deliverable foreign currency contracts at September 30, 2013 are as follows: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Contractual INR/USD</w:t>
            </w: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150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Settlement</w:t>
            </w:r>
          </w:p>
        </w:tc>
        <w:tc>
          <w:tcPr>
            <w:tcW w:w="20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rPr>
              <w:t>Hedged Notional</w:t>
            </w:r>
          </w:p>
        </w:tc>
        <w:tc>
          <w:tcPr>
            <w:tcW w:w="20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Foreign Exchange</w:t>
            </w:r>
          </w:p>
        </w:tc>
        <w:tc>
          <w:tcPr>
            <w:tcW w:w="180" w:type="dxa"/>
            <w:vAlign w:val="bottom"/>
          </w:tcPr>
          <w:p>
            <w:pPr>
              <w:spacing w:after="0"/>
              <w:rPr>
                <w:sz w:val="17"/>
                <w:szCs w:val="17"/>
                <w:color w:val="auto"/>
              </w:rPr>
            </w:pPr>
          </w:p>
        </w:tc>
        <w:tc>
          <w:tcPr>
            <w:tcW w:w="176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Hedged Notional</w:t>
            </w:r>
          </w:p>
        </w:tc>
      </w:tr>
      <w:tr>
        <w:trPr>
          <w:trHeight w:val="246"/>
        </w:trPr>
        <w:tc>
          <w:tcPr>
            <w:tcW w:w="3900" w:type="dxa"/>
            <w:vAlign w:val="bottom"/>
          </w:tcPr>
          <w:p>
            <w:pPr>
              <w:ind w:left="40"/>
              <w:spacing w:after="0"/>
              <w:rPr>
                <w:sz w:val="20"/>
                <w:szCs w:val="20"/>
                <w:color w:val="auto"/>
              </w:rPr>
            </w:pPr>
            <w:r>
              <w:rPr>
                <w:rFonts w:ascii="Arial" w:cs="Arial" w:eastAsia="Arial" w:hAnsi="Arial"/>
                <w:sz w:val="16"/>
                <w:szCs w:val="16"/>
                <w:i w:val="1"/>
                <w:iCs w:val="1"/>
                <w:color w:val="auto"/>
              </w:rPr>
              <w:t>(in millions, except foreign exchange rate)</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Date</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Amount (INR)</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Rate</w:t>
            </w:r>
          </w:p>
        </w:tc>
        <w:tc>
          <w:tcPr>
            <w:tcW w:w="180" w:type="dxa"/>
            <w:vAlign w:val="bottom"/>
          </w:tcPr>
          <w:p>
            <w:pPr>
              <w:spacing w:after="0"/>
              <w:rPr>
                <w:sz w:val="21"/>
                <w:szCs w:val="21"/>
                <w:color w:val="auto"/>
              </w:rPr>
            </w:pPr>
          </w:p>
        </w:tc>
        <w:tc>
          <w:tcPr>
            <w:tcW w:w="176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 (USD)</w:t>
            </w:r>
          </w:p>
        </w:tc>
      </w:tr>
      <w:tr>
        <w:trPr>
          <w:trHeight w:val="257"/>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hedge #1</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6/3/2014</w:t>
            </w:r>
          </w:p>
        </w:tc>
        <w:tc>
          <w:tcPr>
            <w:tcW w:w="120" w:type="dxa"/>
            <w:vAlign w:val="bottom"/>
            <w:tcBorders>
              <w:top w:val="single" w:sz="8" w:color="CCEEFF"/>
            </w:tcBorders>
            <w:shd w:val="clear" w:color="auto" w:fill="CCEEFF"/>
          </w:tcPr>
          <w:p>
            <w:pPr>
              <w:spacing w:after="0"/>
              <w:rPr>
                <w:sz w:val="22"/>
                <w:szCs w:val="22"/>
                <w:color w:val="auto"/>
              </w:rPr>
            </w:pPr>
          </w:p>
        </w:tc>
        <w:tc>
          <w:tcPr>
            <w:tcW w:w="1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560.4</w:t>
            </w:r>
          </w:p>
        </w:tc>
        <w:tc>
          <w:tcPr>
            <w:tcW w:w="120" w:type="dxa"/>
            <w:vAlign w:val="bottom"/>
            <w:tcBorders>
              <w:top w:val="single" w:sz="8" w:color="CCEEFF"/>
            </w:tcBorders>
            <w:shd w:val="clear" w:color="auto" w:fill="CCEEFF"/>
          </w:tcPr>
          <w:p>
            <w:pPr>
              <w:spacing w:after="0"/>
              <w:rPr>
                <w:sz w:val="22"/>
                <w:szCs w:val="22"/>
                <w:color w:val="auto"/>
              </w:rPr>
            </w:pPr>
          </w:p>
        </w:tc>
        <w:tc>
          <w:tcPr>
            <w:tcW w:w="1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65.96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63"/>
        </w:trPr>
        <w:tc>
          <w:tcPr>
            <w:tcW w:w="3900" w:type="dxa"/>
            <w:vAlign w:val="bottom"/>
          </w:tcPr>
          <w:p>
            <w:pPr>
              <w:ind w:left="40"/>
              <w:spacing w:after="0"/>
              <w:rPr>
                <w:sz w:val="20"/>
                <w:szCs w:val="20"/>
                <w:color w:val="auto"/>
              </w:rPr>
            </w:pPr>
            <w:r>
              <w:rPr>
                <w:rFonts w:ascii="Arial" w:cs="Arial" w:eastAsia="Arial" w:hAnsi="Arial"/>
                <w:sz w:val="18"/>
                <w:szCs w:val="18"/>
                <w:color w:val="auto"/>
              </w:rPr>
              <w:t>Cash flow hedge #2</w:t>
            </w:r>
          </w:p>
        </w:tc>
        <w:tc>
          <w:tcPr>
            <w:tcW w:w="1380" w:type="dxa"/>
            <w:vAlign w:val="bottom"/>
          </w:tcPr>
          <w:p>
            <w:pPr>
              <w:jc w:val="right"/>
              <w:spacing w:after="0"/>
              <w:rPr>
                <w:sz w:val="20"/>
                <w:szCs w:val="20"/>
                <w:color w:val="auto"/>
              </w:rPr>
            </w:pPr>
            <w:r>
              <w:rPr>
                <w:rFonts w:ascii="Arial" w:cs="Arial" w:eastAsia="Arial" w:hAnsi="Arial"/>
                <w:sz w:val="18"/>
                <w:szCs w:val="18"/>
                <w:color w:val="auto"/>
              </w:rPr>
              <w:t>6/2/2015</w:t>
            </w:r>
          </w:p>
        </w:tc>
        <w:tc>
          <w:tcPr>
            <w:tcW w:w="120" w:type="dxa"/>
            <w:vAlign w:val="bottom"/>
          </w:tcPr>
          <w:p>
            <w:pPr>
              <w:spacing w:after="0"/>
              <w:rPr>
                <w:sz w:val="22"/>
                <w:szCs w:val="22"/>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560.4</w:t>
            </w:r>
          </w:p>
        </w:tc>
        <w:tc>
          <w:tcPr>
            <w:tcW w:w="120" w:type="dxa"/>
            <w:vAlign w:val="bottom"/>
          </w:tcPr>
          <w:p>
            <w:pPr>
              <w:spacing w:after="0"/>
              <w:rPr>
                <w:sz w:val="22"/>
                <w:szCs w:val="22"/>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69.35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7"/>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 hedge #3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6/2/2016</w:t>
            </w:r>
          </w:p>
        </w:tc>
        <w:tc>
          <w:tcPr>
            <w:tcW w:w="12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560.4</w:t>
            </w:r>
          </w:p>
        </w:tc>
        <w:tc>
          <w:tcPr>
            <w:tcW w:w="12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72.21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6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flow hedge #4</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6/2/2017</w:t>
            </w:r>
          </w:p>
        </w:tc>
        <w:tc>
          <w:tcPr>
            <w:tcW w:w="120" w:type="dxa"/>
            <w:vAlign w:val="bottom"/>
            <w:tcBorders>
              <w:bottom w:val="single" w:sz="8" w:color="CCEEFF"/>
            </w:tcBorders>
          </w:tcPr>
          <w:p>
            <w:pPr>
              <w:spacing w:after="0"/>
              <w:rPr>
                <w:sz w:val="22"/>
                <w:szCs w:val="22"/>
                <w:color w:val="auto"/>
              </w:rPr>
            </w:pPr>
          </w:p>
        </w:tc>
        <w:tc>
          <w:tcPr>
            <w:tcW w:w="19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560.4</w:t>
            </w:r>
          </w:p>
        </w:tc>
        <w:tc>
          <w:tcPr>
            <w:tcW w:w="120" w:type="dxa"/>
            <w:vAlign w:val="bottom"/>
            <w:tcBorders>
              <w:bottom w:val="single" w:sz="8" w:color="CCEEFF"/>
            </w:tcBorders>
          </w:tcPr>
          <w:p>
            <w:pPr>
              <w:spacing w:after="0"/>
              <w:rPr>
                <w:sz w:val="22"/>
                <w:szCs w:val="22"/>
                <w:color w:val="auto"/>
              </w:rPr>
            </w:pPr>
          </w:p>
        </w:tc>
        <w:tc>
          <w:tcPr>
            <w:tcW w:w="19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74.20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w:t>
            </w: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hedged amount</w:t>
            </w: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r>
      <w:tr>
        <w:trPr>
          <w:trHeight w:val="20"/>
        </w:trPr>
        <w:tc>
          <w:tcPr>
            <w:tcW w:w="3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The Company held an interest rate swap agreement with a notional balance of $ 65.0 million, which expired on June 30, 2012. The interest rate swap agreement qualified for hedge accounting and was designated as a cash flow hedge against specific payments due on the Company’s Prior Term Loan B. Prior to its expiration the Company assessed the interest rate swap agreement as being highly effective.</w:t>
      </w:r>
    </w:p>
    <w:p>
      <w:pPr>
        <w:spacing w:after="0" w:line="12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1"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 The Company leases certain office space and equipment under various operating leases. These leases are generally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scheduled base rent and maintenance cost increases, which are recognized on a straight-line basis over the period of the leases. Total rental expense for all operating leases was approximately $4.8 million and $5.0 million for the three months ended September 30, 2013 and 2012, respectively, and $14.7 million and $14.1 million for the nine months ended September 30, 2013 and 2012, respectively.</w:t>
      </w:r>
    </w:p>
    <w:p>
      <w:pPr>
        <w:spacing w:after="0" w:line="285" w:lineRule="exact"/>
        <w:rPr>
          <w:sz w:val="20"/>
          <w:szCs w:val="20"/>
          <w:color w:val="auto"/>
        </w:rPr>
      </w:pPr>
    </w:p>
    <w:p>
      <w:pPr>
        <w:ind w:right="640" w:firstLine="486"/>
        <w:spacing w:after="0" w:line="287" w:lineRule="auto"/>
        <w:rPr>
          <w:sz w:val="20"/>
          <w:szCs w:val="20"/>
          <w:color w:val="auto"/>
        </w:rPr>
      </w:pPr>
      <w:r>
        <w:rPr>
          <w:rFonts w:ascii="Arial" w:cs="Arial" w:eastAsia="Arial" w:hAnsi="Arial"/>
          <w:sz w:val="18"/>
          <w:szCs w:val="18"/>
          <w:b w:val="1"/>
          <w:bCs w:val="1"/>
          <w:i w:val="1"/>
          <w:iCs w:val="1"/>
          <w:color w:val="auto"/>
        </w:rPr>
        <w:t xml:space="preserve">Service Contracts </w:t>
      </w:r>
      <w:r>
        <w:rPr>
          <w:rFonts w:ascii="Arial" w:cs="Arial" w:eastAsia="Arial" w:hAnsi="Arial"/>
          <w:sz w:val="18"/>
          <w:szCs w:val="18"/>
          <w:color w:val="auto"/>
        </w:rPr>
        <w:t>— The Company is party to certain long-term contracts for systems and services that enable back office trade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processing and clearing for its product and service offerings.</w:t>
      </w:r>
    </w:p>
    <w:p>
      <w:pPr>
        <w:spacing w:after="0" w:line="283"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Future minimum payments under leases, lease commitments, service contracts and other contractual obligations with remaining terms greater than one year as of September 30, 2013, are as follows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2013 — remainder</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5,340</w:t>
            </w:r>
          </w:p>
        </w:tc>
      </w:tr>
      <w:tr>
        <w:trPr>
          <w:trHeight w:val="250"/>
        </w:trPr>
        <w:tc>
          <w:tcPr>
            <w:tcW w:w="9940" w:type="dxa"/>
            <w:vAlign w:val="bottom"/>
          </w:tcPr>
          <w:p>
            <w:pPr>
              <w:ind w:left="80"/>
              <w:spacing w:after="0"/>
              <w:rPr>
                <w:sz w:val="20"/>
                <w:szCs w:val="20"/>
                <w:color w:val="auto"/>
              </w:rPr>
            </w:pPr>
            <w:r>
              <w:rPr>
                <w:rFonts w:ascii="Arial" w:cs="Arial" w:eastAsia="Arial" w:hAnsi="Arial"/>
                <w:sz w:val="18"/>
                <w:szCs w:val="18"/>
                <w:color w:val="auto"/>
              </w:rPr>
              <w:t>2014</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37,235</w:t>
            </w:r>
          </w:p>
        </w:tc>
      </w:tr>
      <w:tr>
        <w:trPr>
          <w:trHeight w:val="263"/>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2015</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36,659</w:t>
            </w:r>
          </w:p>
        </w:tc>
      </w:tr>
      <w:tr>
        <w:trPr>
          <w:trHeight w:val="250"/>
        </w:trPr>
        <w:tc>
          <w:tcPr>
            <w:tcW w:w="9940" w:type="dxa"/>
            <w:vAlign w:val="bottom"/>
          </w:tcPr>
          <w:p>
            <w:pPr>
              <w:ind w:left="80"/>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35,846</w:t>
            </w:r>
          </w:p>
        </w:tc>
      </w:tr>
      <w:tr>
        <w:trPr>
          <w:trHeight w:val="263"/>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2017</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28,737</w:t>
            </w:r>
          </w:p>
        </w:tc>
      </w:tr>
      <w:tr>
        <w:trPr>
          <w:trHeight w:val="250"/>
        </w:trPr>
        <w:tc>
          <w:tcPr>
            <w:tcW w:w="99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261,095</w:t>
            </w:r>
          </w:p>
        </w:tc>
      </w:tr>
      <w:tr>
        <w:trPr>
          <w:trHeight w:val="257"/>
        </w:trPr>
        <w:tc>
          <w:tcPr>
            <w:tcW w:w="9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Total(1)(2)</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404,912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8890</wp:posOffset>
            </wp:positionV>
            <wp:extent cx="9436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w:t>
      </w:r>
    </w:p>
    <w:p>
      <w:pPr>
        <w:ind w:left="660" w:right="20" w:hanging="652"/>
        <w:spacing w:after="0" w:line="25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second quarter of 2013, the Company entered into a long-term contractual obligation with a third-party service provider to enhance the quality, speed and cost of processes that support the Company by outsourcing certain functions. The table above includes the minimum payments due over the duration of the contract. The contractual obligation may be canceled, subject to a termination penalty that is approximately equal to the initial annual minimum payment. The amount constituting the termination penalty steps down ratably through the passage of time. Future minimum payments have not been reduced by this termination penalty.</w:t>
      </w:r>
    </w:p>
    <w:p>
      <w:pPr>
        <w:spacing w:after="0" w:line="110" w:lineRule="exact"/>
        <w:rPr>
          <w:rFonts w:ascii="Arial" w:cs="Arial" w:eastAsia="Arial" w:hAnsi="Arial"/>
          <w:sz w:val="18"/>
          <w:szCs w:val="18"/>
          <w:color w:val="auto"/>
        </w:rPr>
      </w:pPr>
    </w:p>
    <w:p>
      <w:pPr>
        <w:ind w:left="660" w:right="800" w:hanging="652"/>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minimum payments have not been reduced by minimum sublease rental income of $4.1 million due in the future under noncancellable subleases.</w:t>
      </w:r>
    </w:p>
    <w:p>
      <w:pPr>
        <w:spacing w:after="0" w:line="120" w:lineRule="exact"/>
        <w:rPr>
          <w:sz w:val="20"/>
          <w:szCs w:val="20"/>
          <w:color w:val="auto"/>
        </w:rPr>
      </w:pPr>
    </w:p>
    <w:p>
      <w:pPr>
        <w:jc w:val="both"/>
        <w:ind w:right="240" w:firstLine="486"/>
        <w:spacing w:after="0" w:line="269" w:lineRule="auto"/>
        <w:rPr>
          <w:sz w:val="20"/>
          <w:szCs w:val="20"/>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 The Company occasionally enters into certain types of contracts that contingently require it to indemnify certain parties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third-party claims. The terms of these obligations vary and, because a maximum obligation is not explicitly stated, the Company has determined that it is not possible to make an estimate of the amount that it could be obligated to pay under such contracts.</w:t>
      </w:r>
    </w:p>
    <w:p>
      <w:pPr>
        <w:spacing w:after="0" w:line="298" w:lineRule="exact"/>
        <w:rPr>
          <w:sz w:val="20"/>
          <w:szCs w:val="20"/>
          <w:color w:val="auto"/>
        </w:rPr>
      </w:pPr>
    </w:p>
    <w:p>
      <w:pPr>
        <w:ind w:right="640" w:firstLine="486"/>
        <w:spacing w:after="0" w:line="262" w:lineRule="auto"/>
        <w:rPr>
          <w:sz w:val="20"/>
          <w:szCs w:val="20"/>
          <w:color w:val="auto"/>
        </w:rPr>
      </w:pPr>
      <w:r>
        <w:rPr>
          <w:rFonts w:ascii="Arial" w:cs="Arial" w:eastAsia="Arial" w:hAnsi="Arial"/>
          <w:sz w:val="18"/>
          <w:szCs w:val="18"/>
          <w:color w:val="auto"/>
        </w:rPr>
        <w:t>The Company’s subsidiary, LPL Financial, provides guarantees to securities clearing houses and exchanges under their standard membership agreements, which require a member to guarantee the performance of other</w:t>
      </w:r>
    </w:p>
    <w:p>
      <w:pPr>
        <w:sectPr>
          <w:pgSz w:w="11900" w:h="16838" w:orient="portrait"/>
          <w:cols w:equalWidth="0" w:num="1">
            <w:col w:w="11420"/>
          </w:cols>
          <w:pgMar w:left="240" w:top="441" w:right="23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441" w:right="239" w:bottom="1440" w:gutter="0" w:footer="0" w:header="0"/>
          <w:type w:val="continuous"/>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members. Under these agreements, if a member becomes unable to satisfy its obligations to the clearing houses and exchanges, all other members would be required to meet any shortfall. The Company’s liability under these arrangements is not quantifiable and may exceed the cash and securities it has posted as collateral. However, the potential requirement for the Company to make payments under these agreements is remote. Accordingly, no liability has been recognized for these transactions.</w:t>
      </w:r>
    </w:p>
    <w:p>
      <w:pPr>
        <w:spacing w:after="0" w:line="290"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b w:val="1"/>
          <w:bCs w:val="1"/>
          <w:i w:val="1"/>
          <w:iCs w:val="1"/>
          <w:color w:val="auto"/>
        </w:rPr>
        <w:t xml:space="preserve">Loan Commitments </w:t>
      </w:r>
      <w:r>
        <w:rPr>
          <w:rFonts w:ascii="Arial" w:cs="Arial" w:eastAsia="Arial" w:hAnsi="Arial"/>
          <w:sz w:val="18"/>
          <w:szCs w:val="18"/>
          <w:color w:val="auto"/>
        </w:rPr>
        <w:t>— From time to time, LPL Financial makes loans to its advisors which may be forgivable, primarily to newly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recruited advisors to assist in the transition process. Due to timing differences, LPL Financial may make commitments to issue such loans prior to actually funding them. These commitments are generally contingent upon certain events occurring, including but not limited to the advisor joining LPL Financial. LPL Financial had no significant unfunded commitments at September 30, 2013.</w:t>
      </w:r>
    </w:p>
    <w:p>
      <w:pPr>
        <w:spacing w:after="0" w:line="2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355"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The Company is involved in legal proceedings from time to time arising out of its business operations, including arbitrations and lawsuits involving private claimants, and subpoenas, investigations and other actions by government authorities and self-regulatory organizations. In view of the inherent difficulty of predicting the outcome of such matters, particularly in cases in which claimants seek substantial or indeterminate damages, the Company cannot predict with certainty what the eventual loss or range of loss related to such matters will be. The Company recognizes a liability with regard to a legal proceeding when it believes it is probable a liability has occurred and the amount can be reasonably estimated. If some amount within a range of loss appears at the time to be a better estimate than any other amount within the range, the Company accrues that amount. When no amount within the range is a better estimate than any other amount, however, the Company accrues the minimum amount in the range. The Company maintains insurance coverage, including general liability, errors and omissions, excess entity errors and omissions and fidelity bond insurance. The Company records legal reserves and related insurance recoveries on a gross basis.</w:t>
      </w:r>
    </w:p>
    <w:p>
      <w:pPr>
        <w:spacing w:after="0" w:line="320"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Defense costs with regard to legal proceedings are expensed as incurred and classified as professional services within the unaudited condensed consolidated statements of income. When there is indemnification or insurance, the Company may engage in defense or settlement and subsequently seek reimbursement for such matters.</w:t>
      </w:r>
    </w:p>
    <w:p>
      <w:pPr>
        <w:spacing w:after="0" w:line="292" w:lineRule="exact"/>
        <w:rPr>
          <w:sz w:val="20"/>
          <w:szCs w:val="20"/>
          <w:color w:val="auto"/>
        </w:rPr>
      </w:pPr>
    </w:p>
    <w:p>
      <w:pPr>
        <w:ind w:right="100" w:firstLine="486"/>
        <w:spacing w:after="0" w:line="258" w:lineRule="auto"/>
        <w:rPr>
          <w:sz w:val="20"/>
          <w:szCs w:val="20"/>
          <w:color w:val="auto"/>
        </w:rPr>
      </w:pPr>
      <w:r>
        <w:rPr>
          <w:rFonts w:ascii="Arial" w:cs="Arial" w:eastAsia="Arial" w:hAnsi="Arial"/>
          <w:sz w:val="18"/>
          <w:szCs w:val="18"/>
          <w:i w:val="1"/>
          <w:iCs w:val="1"/>
          <w:color w:val="auto"/>
        </w:rPr>
        <w:t xml:space="preserve">Disputed Matters </w:t>
      </w:r>
      <w:r>
        <w:rPr>
          <w:rFonts w:ascii="Arial" w:cs="Arial" w:eastAsia="Arial" w:hAnsi="Arial"/>
          <w:sz w:val="18"/>
          <w:szCs w:val="18"/>
          <w:color w:val="auto"/>
        </w:rPr>
        <w:t>— Among others, claims involving client complaints or disclosures about risks related to purchased securities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products are typically arbitrated pursuant to the Financial Industry Regulatory Authority's ("FINRA") procedures for arbitration rather than litigated in court. In an arbitration, neutral third parties review evidence in the form of documents and testimony, listen to arguments and render a decision on the disputed matter. Through arbitration, the opportunity for appeal is foregone in virtually all matters as the decisions are final and binding.</w:t>
      </w:r>
    </w:p>
    <w:p>
      <w:pPr>
        <w:spacing w:after="0" w:line="310"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The Company maintains insurance coverage for client claims. With respect to these matters, the estimated losses on the majority of pending matters are less than the applicable deductibles of the insurance policies. The Company believes, based on the information available at this time, after consultation with counsel, consideration of amounts accrued, insurance, if any, and indemnifications provided by the third-party indemnitors, if any, that the outcomes of matters with estimated losses in excess of applicable deductibles will not have a material impact on the unaudited condensed consolidated statements of income, financial condition or cash flows.</w:t>
      </w:r>
    </w:p>
    <w:p>
      <w:pPr>
        <w:spacing w:after="0" w:line="296"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 xml:space="preserve">Regulatory </w:t>
      </w:r>
      <w:r>
        <w:rPr>
          <w:rFonts w:ascii="Arial" w:cs="Arial" w:eastAsia="Arial" w:hAnsi="Arial"/>
          <w:sz w:val="18"/>
          <w:szCs w:val="18"/>
          <w:color w:val="auto"/>
        </w:rPr>
        <w:t>— In July 2012, the Internal Revenue Service (the “IRS”) issued a Notice of Proposed Adjustment (the “Notice”) asserting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is subject to a penalty with respect to an alleged untimely deposit of withholding taxes related to the exercise of certain non-qualified stock options in connection with the Company's initial public offering in 2010. In 2012, the Company recorded an estimate of probable loss within accounts payable and accrued liabilities in the unaudited condensed consolidated statements of financial condition. During the first quarter of 2013, the IRS issued a Summary of Employment Tax Examination (the "Summary") and the Company remitted payment which approximated amounts previously accrued in accordance with the Summary. During the third quarter of 2013, the matter was concluded.</w:t>
      </w:r>
    </w:p>
    <w:p>
      <w:pPr>
        <w:spacing w:after="0" w:line="309"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In June of 2013, the Company reached an agreement with its principal regulator to resolve a matter related to email surveillance and production. During the first quarter of 2013, the Company recorded an estimate of a probable loss within professional services in the unaudited condensed consolidated statement of income and</w:t>
      </w:r>
    </w:p>
    <w:p>
      <w:pPr>
        <w:sectPr>
          <w:pgSz w:w="11900" w:h="16838" w:orient="portrait"/>
          <w:cols w:equalWidth="0" w:num="1">
            <w:col w:w="11400"/>
          </w:cols>
          <w:pgMar w:left="240" w:top="441" w:right="259" w:bottom="1440"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00"/>
          </w:cols>
          <w:pgMar w:left="240" w:top="441" w:right="25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accounts payable and accrued liabilities in the unaudited condensed consolidated statement of financial condition. The outcome of this matter did not differ materially from the amount recorded in the unaudited condensed consolidated statements of income, financial condition or cash flows as of and for the three and nine months ended September 30, 2013.</w:t>
      </w:r>
    </w:p>
    <w:p>
      <w:pPr>
        <w:spacing w:after="0" w:line="288"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b w:val="1"/>
          <w:bCs w:val="1"/>
          <w:i w:val="1"/>
          <w:iCs w:val="1"/>
          <w:color w:val="auto"/>
        </w:rPr>
        <w:t xml:space="preserve">Other Commitments </w:t>
      </w:r>
      <w:r>
        <w:rPr>
          <w:rFonts w:ascii="Arial" w:cs="Arial" w:eastAsia="Arial" w:hAnsi="Arial"/>
          <w:sz w:val="18"/>
          <w:szCs w:val="18"/>
          <w:color w:val="auto"/>
        </w:rPr>
        <w:t>— As of September 30, 2013, the Company had received collateral primarily in connection with client margin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market value of approximately $343.7 million, which it can sell, re-pledge or loan. Of this amount, approximately $25.5 million was pledged with client-owned securities to the Options Clearing Corporation ("OCC") as collateral to secure client obligations related to options positions. Additionally, approximately $140.7 million are held at banks in connection with unutilized secured margin lines of credit; these securities may be used as collateral for loans from these banks. The remainder of $177.5 million has not been re-pledged, loaned or sold, and as of September 30, 2013 there are no restrictions that materially limit the Company's ability to re-pledge, loan or sell the remaining $318.2 million of client collateral.</w:t>
      </w:r>
    </w:p>
    <w:p>
      <w:pPr>
        <w:spacing w:after="0" w:line="313"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As of December 31, 2012, the Company had received collateral primarily in connection with client margin loans with a market value of approximately $375.8 million, which it can sell, re-pledge or loan. Of this amount, approximately $41.5 million had been pledged or loaned as of December 31, 2012; $ 22.2 million was pledged with client-owned securities to the OCC as collateral to secure client obligations related to options positions, and $19.3 million was loaned to the NSCC through participation in its Stock Borrow Program. Additionally, approximately $40.3 million were held at banks in connection with unutilized secured margin lines of credit; these securities may be used as collateral for loans from these banks. The remainder of $294.0 million had not been re-pledged, loaned or sold, and as of December 31, 2012 there were no restrictions that materially limited the Company's ability to re-pledge, loan or sell the remaining $334.3 million of client collateral. In May 2013, the Company ended its participation in the National Securities Clearing Corporation ("NSCC") Stock Borrow Program and all pledged collateral was returned to the Company.</w:t>
      </w:r>
    </w:p>
    <w:p>
      <w:pPr>
        <w:spacing w:after="0" w:line="321"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Trading securities on the unaudited condensed consolidated statements of financial condition includes $0.9 million pledged to clearing organizations at September 30, 2013 and December 31, 2012, respectively.</w:t>
      </w:r>
    </w:p>
    <w:p>
      <w:pPr>
        <w:spacing w:after="0" w:line="304"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LPL Financial provides brokerage, clearing and custody services on a fully disclosed basis; offers its investment advisory programs and platforms; and provides technology and additional processing and related services to the advisors of the broker-dealer subsidiary of a large global insurance company and their clients under a multi-year agreement. Termination fees may be payable by a terminating or breaching party depending on the specific cause of termination.</w:t>
      </w:r>
    </w:p>
    <w:p>
      <w:pPr>
        <w:spacing w:after="0" w:line="128" w:lineRule="exact"/>
        <w:rPr>
          <w:sz w:val="20"/>
          <w:szCs w:val="20"/>
          <w:color w:val="auto"/>
        </w:rPr>
      </w:pPr>
    </w:p>
    <w:p>
      <w:pPr>
        <w:ind w:right="9180" w:firstLine="8"/>
        <w:spacing w:after="0" w:line="388" w:lineRule="auto"/>
        <w:tabs>
          <w:tab w:leader="none" w:pos="45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Stock Plan Summary</w:t>
      </w:r>
    </w:p>
    <w:p>
      <w:pPr>
        <w:spacing w:after="0" w:line="1"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On November 17, 2010, the Company adopted a 2010 Omnibus Incentive Plan (the "2010 Plan"), which provides for the granting of stock options, warrants, restricted stock awards and restricted stock units. The 2010 Plan serves as the successor to the 2005 Stock Option Plan for Incentive Stock Options, the 2005 Stock Option Plan for Non-qualified Stock Options, the 2008 Advisor and Institution Incentive Plan, the 2008 Stock Option Plan and the Director Restricted Stock Plan (collectively, the "Predecessor Plans"). Upon adoption of the 2010 Plan, awards were no longer made under the Predecessor Plans. To the extent not already exercised, awards previously granted under the Predecessor Plans remain outstanding. Stock options granted under the 2010 Plan are either incentive stock options, or non-qualified stock options, as defined in the 2010 Plan. The Company has issued new shares under the 2010 Plan and is also permitted to reissue treasury shares.</w:t>
      </w:r>
    </w:p>
    <w:p>
      <w:pPr>
        <w:spacing w:after="0" w:line="207" w:lineRule="exact"/>
        <w:rPr>
          <w:sz w:val="20"/>
          <w:szCs w:val="20"/>
          <w:color w:val="auto"/>
        </w:rPr>
      </w:pPr>
    </w:p>
    <w:p>
      <w:pPr>
        <w:jc w:val="both"/>
        <w:ind w:right="620" w:firstLine="486"/>
        <w:spacing w:after="0" w:line="256" w:lineRule="auto"/>
        <w:rPr>
          <w:sz w:val="20"/>
          <w:szCs w:val="20"/>
          <w:color w:val="auto"/>
        </w:rPr>
      </w:pPr>
      <w:r>
        <w:rPr>
          <w:rFonts w:ascii="Arial" w:cs="Arial" w:eastAsia="Arial" w:hAnsi="Arial"/>
          <w:sz w:val="18"/>
          <w:szCs w:val="18"/>
          <w:color w:val="auto"/>
        </w:rPr>
        <w:t>Under the 2010 Plan, the Company may grant up to 12.1 million new shares in addition to the shares available for grant under the Predecessor Plans. As of September 30, 2013, the Company had approximately 6.9 million of authorized unissued shares reserved for issuance upon exercise and conversion of outstanding awards.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247"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The Company grants stock options to certain employees, advisors, officers and non-employee directors. The Company has also granted warrants to certain financial institutions. Stock options and warrants generally vest in equal increments over a three- to five-year period and expire on the tenth anniversary following the date of grant.</w:t>
      </w:r>
    </w:p>
    <w:p>
      <w:pPr>
        <w:spacing w:after="0" w:line="202"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The Company recognizes share-based compensation for stock options awarded to employees, officers and directors based on the grant date fair value over the requisite service period of the award, which generally equals</w:t>
      </w:r>
    </w:p>
    <w:p>
      <w:pPr>
        <w:sectPr>
          <w:pgSz w:w="11900" w:h="16838" w:orient="portrait"/>
          <w:cols w:equalWidth="0" w:num="1">
            <w:col w:w="11420"/>
          </w:cols>
          <w:pgMar w:left="240" w:top="441" w:right="239" w:bottom="1440"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441" w:right="239" w:bottom="1440" w:gutter="0" w:footer="0" w:header="0"/>
          <w:type w:val="continuous"/>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vesting period. The Company recognized share-based compensation related to the vesting of these awards of $2.5 million and $4.1 million during the three months ended September 30, 2013 and 2012, respectively, and $9.8 million and $12.4 million during the nine months ended September 30, 2013 and 2012, respectively, which is included in compensation and benefits on the unaudited condensed consolidated statements of income. As of September 30, 2013, total unrecognized compensation cost related to non-vested share-based compensation arrangements granted to employees, officers and directors was $29.8 million, which is expected to be recognized over a weighted-average period of 3.29 years.</w:t>
      </w:r>
    </w:p>
    <w:p>
      <w:pPr>
        <w:spacing w:after="0" w:line="20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recognizes share-based compensation for stock options and warrants awarded to its advisors and to financial institutions based on the fair value of the awards at each interim reporting period. The Company recognized share-based compensation of $1.6 million and $0.1 million during the three months ended September 30, 2013 and 2012, respectively, and $5.9 million and $2.9 million for during the nine months ended September 30, 2013 and 2012, respectively, related to the vesting of stock options and warrants awarded to its advisors and financial institutions, which is classified within commission and advisory expense on the unaudited condensed consolidated statements of income. As of September 30, 2013, total unrecognized compensation cost related to non-vested share-based compensation arrangements granted to advisors and financial institutions was $16.5 million, which is expected to be recognized over a weighted-average period of 3.18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47" w:lineRule="exact"/>
        <w:rPr>
          <w:sz w:val="20"/>
          <w:szCs w:val="20"/>
          <w:color w:val="auto"/>
        </w:rPr>
      </w:pPr>
    </w:p>
    <w:p>
      <w:pPr>
        <w:ind w:right="240" w:firstLine="486"/>
        <w:spacing w:after="0" w:line="252" w:lineRule="auto"/>
        <w:rPr>
          <w:sz w:val="20"/>
          <w:szCs w:val="20"/>
          <w:color w:val="auto"/>
        </w:rPr>
      </w:pPr>
      <w:r>
        <w:rPr>
          <w:rFonts w:ascii="Arial" w:cs="Arial" w:eastAsia="Arial" w:hAnsi="Arial"/>
          <w:sz w:val="18"/>
          <w:szCs w:val="18"/>
          <w:color w:val="auto"/>
        </w:rPr>
        <w:t>The Company recognizes share-based compensation for restricted stock awards and restricted stock units granted to its employees, officers and directors by measuring such awards at their grant date fair value. Share-based compensation is recognized ratably over the requisite service period, which generally equals the vesting period. The Company recognized $ 0.6 million and $0.1 million of share-based compensation related to the vesting of restricted stock awards and restricted stock units during the three months ended September 30, 2013 and 2012, respectively, and $1.6 million and $ 0.4 million during the nine months ended September 30, 2013 and 2012, respectively, which is included in compensation and benefits on the unaudited condensed consolidated statements of income. As of September 30, 2013, total unrecognized compensation cost for restricted stock awards and restricted stock units granted to employees, officers and directors was $6.6 million, which is expected to be recognized over a weighted-average remaining period of 1.49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Nonqualified Deferred Compensation Plan</w:t>
      </w:r>
    </w:p>
    <w:p>
      <w:pPr>
        <w:spacing w:after="0" w:line="139"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On November 19, 2008, the Company established an unfunded, unsecured deferred compensation plan (the "Deferred Compensation Plan") to permit employees and former employees who held non-qualified stock options issued under the 2005 Stock Option Plan for Incentive Stock Options and 2005 Stock Option Plan for Non-qualified Stock Options that were set to expire in 2009 and 2010, to receive stock units under the Deferred Compensation Plan. On February 22, 2012, the Company distributed 1,673,556 shares, net of shares withheld to satisfy withholding tax requirements, pursuant to the terms of the Deferred Compensation Plan. Distributions to participants were made in the form of whole shares of common stock equal to the number of stock units allocated to the participant's account, with fractional shares paid out in cash. Participants authorized the Company to withhold shares from their distribution of common stock to satisfy their withholding tax obligations. Accordingly on February 22, 2012, the Company repurchased 1,149,896 shares and paid $37.5 million of cash consideration related to tax withholdings. The repurchase of shares was executed under the share repurchase program approved by the Board of Directors on August 16, 2011.</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3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Board of Directors has approved several share repurchase programs pursuant to which the Company may repurchase its issued and outstanding shares of common stock from time to time. Repurchased shares are included in treasury stock on the unaudited condensed consolidated statements of financial condition. Purchases may be effected in open market or privately negotiated transactions, including transactions with affiliates, with the timing of purchases and the amount of stock purchased generally determined at the discretion of the Company's management.</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41" w:right="2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For the three months ended September 30, 2013 and 2012, the Company had the following activity under its approved share repurchase programs (in millions, except share and per share data):</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175"/>
        </w:trPr>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Remaining</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62"/>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Repurchase</w:t>
            </w:r>
          </w:p>
        </w:tc>
        <w:tc>
          <w:tcPr>
            <w:tcW w:w="12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at September 30,</w:t>
            </w:r>
          </w:p>
        </w:tc>
        <w:tc>
          <w:tcPr>
            <w:tcW w:w="112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96"/>
        </w:trPr>
        <w:tc>
          <w:tcPr>
            <w:tcW w:w="16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Total Cost</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Total Cost</w:t>
            </w:r>
          </w:p>
        </w:tc>
      </w:tr>
      <w:tr>
        <w:trPr>
          <w:trHeight w:val="25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August 16, 2011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186,190</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27.56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r>
      <w:tr>
        <w:trPr>
          <w:trHeight w:val="260"/>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May 25, 2012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1,719,739</w:t>
            </w:r>
          </w:p>
        </w:tc>
        <w:tc>
          <w:tcPr>
            <w:tcW w:w="30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28.79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49.5</w:t>
            </w:r>
          </w:p>
        </w:tc>
      </w:tr>
      <w:tr>
        <w:trPr>
          <w:trHeight w:val="280"/>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September 27, 2012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759,786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38.40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1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May 28, 2013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200.0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102.7</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2,566,630</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color w:val="auto"/>
              </w:rPr>
              <w:t>37.94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97.3</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102.7</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3,326,416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38.04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126.5</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1,905,929</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28.67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54.6</w:t>
            </w: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920" w:firstLine="648"/>
        <w:spacing w:after="0" w:line="262" w:lineRule="auto"/>
        <w:rPr>
          <w:sz w:val="20"/>
          <w:szCs w:val="20"/>
          <w:color w:val="auto"/>
        </w:rPr>
      </w:pPr>
      <w:r>
        <w:rPr>
          <w:rFonts w:ascii="Arial" w:cs="Arial" w:eastAsia="Arial" w:hAnsi="Arial"/>
          <w:sz w:val="18"/>
          <w:szCs w:val="18"/>
          <w:color w:val="auto"/>
        </w:rPr>
        <w:t>For the nine months ended September 30, 2013 and 2012, the Company had the following activity under its approved share repurchase programs (in millions, except share and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75"/>
        </w:trPr>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Remaining</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62"/>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Repurchase</w:t>
            </w:r>
          </w:p>
        </w:tc>
        <w:tc>
          <w:tcPr>
            <w:tcW w:w="12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at September 30,</w:t>
            </w:r>
          </w:p>
        </w:tc>
        <w:tc>
          <w:tcPr>
            <w:tcW w:w="112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6"/>
        </w:trPr>
        <w:tc>
          <w:tcPr>
            <w:tcW w:w="16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Total Cost</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Total Cost</w:t>
            </w:r>
          </w:p>
        </w:tc>
      </w:tr>
      <w:tr>
        <w:trPr>
          <w:trHeight w:val="25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August 16, 2011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1,891,072</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32.27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61.0</w:t>
            </w:r>
          </w:p>
        </w:tc>
      </w:tr>
      <w:tr>
        <w:trPr>
          <w:trHeight w:val="260"/>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May 25, 2012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1,719,739</w:t>
            </w:r>
          </w:p>
        </w:tc>
        <w:tc>
          <w:tcPr>
            <w:tcW w:w="30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28.79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49.5</w:t>
            </w:r>
          </w:p>
        </w:tc>
      </w:tr>
      <w:tr>
        <w:trPr>
          <w:trHeight w:val="280"/>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September 27, 2012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2,343,651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37.10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87.0</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1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May 28, 2013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200.0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102.7</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2,566,630</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color w:val="auto"/>
              </w:rPr>
              <w:t>37.94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97.3</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102.7</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4,910,281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37.54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184.3</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3,610,811</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110.5</w:t>
            </w: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39"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The payment, timing and amount of any dividends permitted under the Company's credit facilities are subject to approval by the Board of Directors, including both timing and amount. Cash dividends per share of common stock and total cash dividends paid during each quarter were as follows (in millions, except per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74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120" w:type="dxa"/>
            <w:vAlign w:val="bottom"/>
            <w:tcBorders>
              <w:bottom w:val="single" w:sz="8" w:color="auto"/>
            </w:tcBorders>
          </w:tcPr>
          <w:p>
            <w:pPr>
              <w:spacing w:after="0"/>
              <w:rPr>
                <w:sz w:val="21"/>
                <w:szCs w:val="21"/>
                <w:color w:val="auto"/>
              </w:rPr>
            </w:pPr>
          </w:p>
        </w:tc>
      </w:tr>
      <w:tr>
        <w:trPr>
          <w:trHeight w:val="264"/>
        </w:trPr>
        <w:tc>
          <w:tcPr>
            <w:tcW w:w="374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Dividend per Share</w:t>
            </w:r>
          </w:p>
        </w:tc>
        <w:tc>
          <w:tcPr>
            <w:tcW w:w="12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Total Cash Dividend</w:t>
            </w:r>
          </w:p>
        </w:tc>
        <w:tc>
          <w:tcPr>
            <w:tcW w:w="10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Dividend per Share</w:t>
            </w:r>
          </w:p>
        </w:tc>
        <w:tc>
          <w:tcPr>
            <w:tcW w:w="10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Total Cash Dividend</w:t>
            </w:r>
          </w:p>
        </w:tc>
      </w:tr>
      <w:tr>
        <w:trPr>
          <w:trHeight w:val="25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0.135</w:t>
            </w:r>
          </w:p>
        </w:tc>
        <w:tc>
          <w:tcPr>
            <w:tcW w:w="88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37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0.135</w:t>
            </w:r>
          </w:p>
        </w:tc>
        <w:tc>
          <w:tcPr>
            <w:tcW w:w="88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2"/>
                <w:szCs w:val="22"/>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2"/>
                <w:szCs w:val="22"/>
                <w:color w:val="auto"/>
              </w:rPr>
            </w:pPr>
          </w:p>
        </w:tc>
        <w:tc>
          <w:tcPr>
            <w:tcW w:w="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222.6</w:t>
            </w:r>
          </w:p>
        </w:tc>
      </w:tr>
      <w:tr>
        <w:trPr>
          <w:trHeight w:val="27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0.190</w:t>
            </w:r>
          </w:p>
        </w:tc>
        <w:tc>
          <w:tcPr>
            <w:tcW w:w="88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567"/>
        </w:trPr>
        <w:tc>
          <w:tcPr>
            <w:tcW w:w="3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gridSpan w:val="2"/>
          </w:tcPr>
          <w:p>
            <w:pPr>
              <w:jc w:val="right"/>
              <w:ind w:right="550"/>
              <w:spacing w:after="0"/>
              <w:rPr>
                <w:sz w:val="20"/>
                <w:szCs w:val="20"/>
                <w:color w:val="auto"/>
              </w:rPr>
            </w:pPr>
            <w:r>
              <w:rPr>
                <w:rFonts w:ascii="Arial" w:cs="Arial" w:eastAsia="Arial" w:hAnsi="Arial"/>
                <w:sz w:val="18"/>
                <w:szCs w:val="18"/>
                <w:color w:val="auto"/>
              </w:rPr>
              <w:t>23</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44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 average number of shares of common stock outstanding during the period. The computation of diluted earnings per share is similar to the computation of basic earnings per share, except that the denominator is increased to include the number of additional shares of common stock that would have been outstanding if dilutive potential shares of common stock had been issued. The calculation of basic and diluted earnings per share for the three and nine months ended September 30, 2013 and 2012 is as follows (in thousands, except per share data):</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For the Three</w:t>
            </w:r>
          </w:p>
        </w:tc>
        <w:tc>
          <w:tcPr>
            <w:tcW w:w="280" w:type="dxa"/>
            <w:vAlign w:val="bottom"/>
          </w:tcPr>
          <w:p>
            <w:pPr>
              <w:spacing w:after="0"/>
              <w:rPr>
                <w:sz w:val="17"/>
                <w:szCs w:val="17"/>
                <w:color w:val="auto"/>
              </w:rPr>
            </w:pPr>
          </w:p>
        </w:tc>
        <w:tc>
          <w:tcPr>
            <w:tcW w:w="23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For the Nine</w:t>
            </w:r>
          </w:p>
        </w:tc>
      </w:tr>
      <w:tr>
        <w:trPr>
          <w:trHeight w:val="203"/>
        </w:trPr>
        <w:tc>
          <w:tcPr>
            <w:tcW w:w="6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Months Ended</w:t>
            </w:r>
          </w:p>
        </w:tc>
        <w:tc>
          <w:tcPr>
            <w:tcW w:w="280" w:type="dxa"/>
            <w:vAlign w:val="bottom"/>
          </w:tcPr>
          <w:p>
            <w:pPr>
              <w:spacing w:after="0"/>
              <w:rPr>
                <w:sz w:val="17"/>
                <w:szCs w:val="17"/>
                <w:color w:val="auto"/>
              </w:rPr>
            </w:pPr>
          </w:p>
        </w:tc>
        <w:tc>
          <w:tcPr>
            <w:tcW w:w="2360" w:type="dxa"/>
            <w:vAlign w:val="bottom"/>
            <w:gridSpan w:val="4"/>
          </w:tcPr>
          <w:p>
            <w:pPr>
              <w:jc w:val="right"/>
              <w:ind w:right="610"/>
              <w:spacing w:after="0" w:line="202" w:lineRule="exact"/>
              <w:rPr>
                <w:sz w:val="20"/>
                <w:szCs w:val="20"/>
                <w:color w:val="auto"/>
              </w:rPr>
            </w:pPr>
            <w:r>
              <w:rPr>
                <w:rFonts w:ascii="Arial" w:cs="Arial" w:eastAsia="Arial" w:hAnsi="Arial"/>
                <w:sz w:val="18"/>
                <w:szCs w:val="18"/>
                <w:b w:val="1"/>
                <w:bCs w:val="1"/>
                <w:color w:val="auto"/>
              </w:rPr>
              <w:t>Months Ended</w:t>
            </w:r>
          </w:p>
        </w:tc>
      </w:tr>
      <w:tr>
        <w:trPr>
          <w:trHeight w:val="246"/>
        </w:trPr>
        <w:tc>
          <w:tcPr>
            <w:tcW w:w="6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1"/>
                <w:szCs w:val="21"/>
                <w:color w:val="auto"/>
              </w:rPr>
            </w:pPr>
          </w:p>
        </w:tc>
        <w:tc>
          <w:tcPr>
            <w:tcW w:w="23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r>
      <w:tr>
        <w:trPr>
          <w:trHeight w:val="264"/>
        </w:trPr>
        <w:tc>
          <w:tcPr>
            <w:tcW w:w="60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5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37,631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34,299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137,439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114,980</w:t>
            </w: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05"/>
        </w:trPr>
        <w:tc>
          <w:tcPr>
            <w:tcW w:w="6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weighted average number of shares outstanding</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104,271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110,213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105,670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109,997</w:t>
            </w:r>
          </w:p>
        </w:tc>
      </w:tr>
      <w:tr>
        <w:trPr>
          <w:trHeight w:val="26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Dilutive common share equivalents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2,439</w:t>
            </w:r>
          </w:p>
        </w:tc>
      </w:tr>
      <w:tr>
        <w:trPr>
          <w:trHeight w:val="25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number of shares outstanding</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105,705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111,877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106,934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112,436</w:t>
            </w: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05"/>
        </w:trPr>
        <w:tc>
          <w:tcPr>
            <w:tcW w:w="6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w:t>
            </w: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The computation of diluted earnings per share excludes stock options, warrants and restricted stock units that are anti-dilutive. For the three months ended September 30, 2013 and 2012, stock options, warrants and restricted stock units representing common share equivalents of 3,075,389 shares and 4,307,637 shares, respectively, were anti -dilutive. For the nine months ended September 30, 2013 and 2012, stock options, warrants and restricted stock units representing common share equivalents of 3,744,198 shares and 4,120,953 shares, respectively, were anti-dilutive.</w:t>
      </w:r>
    </w:p>
    <w:p>
      <w:pPr>
        <w:spacing w:after="0" w:line="18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47" w:lineRule="exact"/>
        <w:rPr>
          <w:sz w:val="20"/>
          <w:szCs w:val="20"/>
          <w:color w:val="auto"/>
        </w:rPr>
      </w:pPr>
    </w:p>
    <w:p>
      <w:pPr>
        <w:jc w:val="both"/>
        <w:ind w:right="200" w:firstLine="486"/>
        <w:spacing w:after="0" w:line="256" w:lineRule="auto"/>
        <w:rPr>
          <w:sz w:val="20"/>
          <w:szCs w:val="20"/>
          <w:color w:val="auto"/>
        </w:rPr>
      </w:pPr>
      <w:r>
        <w:rPr>
          <w:rFonts w:ascii="Arial" w:cs="Arial" w:eastAsia="Arial" w:hAnsi="Arial"/>
          <w:sz w:val="18"/>
          <w:szCs w:val="18"/>
          <w:color w:val="auto"/>
        </w:rPr>
        <w:t>Aplifi, Inc. ("Aplifi"), a privately held technology company in which the Company holds an equity interest, provides software licensing for annuity order entry and compliance. The Company paid $0.8 million and $0.5 million to Aplifi for such services during the nine months ended September 30, 2013 and 2012, respectively.</w:t>
      </w:r>
    </w:p>
    <w:p>
      <w:pPr>
        <w:spacing w:after="0" w:line="202"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The Company’s significant shareholder, TPG Capital, has an ownership interest in several portfolio companies that provide the Company with services, as noted below:</w:t>
      </w:r>
    </w:p>
    <w:p>
      <w:pPr>
        <w:spacing w:after="0" w:line="196"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American Beacon Advisor, Inc. (“American Beacon”), a company majority-owned by TPG Capital, pays fees in exchange for product distribution and record-keeping services. During the nine months ended September 30, 2013 and 2012, the Company earned $0.4 million and $0.3 million, respectively, in fees from American Beacon.</w:t>
      </w:r>
    </w:p>
    <w:p>
      <w:pPr>
        <w:spacing w:after="0" w:line="202" w:lineRule="exact"/>
        <w:rPr>
          <w:sz w:val="20"/>
          <w:szCs w:val="20"/>
          <w:color w:val="auto"/>
        </w:rPr>
      </w:pPr>
    </w:p>
    <w:p>
      <w:pPr>
        <w:ind w:right="500" w:firstLine="486"/>
        <w:spacing w:after="0" w:line="262" w:lineRule="auto"/>
        <w:rPr>
          <w:sz w:val="20"/>
          <w:szCs w:val="20"/>
          <w:color w:val="auto"/>
        </w:rPr>
      </w:pPr>
      <w:r>
        <w:rPr>
          <w:rFonts w:ascii="Arial" w:cs="Arial" w:eastAsia="Arial" w:hAnsi="Arial"/>
          <w:sz w:val="18"/>
          <w:szCs w:val="18"/>
          <w:color w:val="auto"/>
        </w:rPr>
        <w:t>TPG Capital owns a minority interest in XOJET, Inc. ("XOJET"), which provides chartered aircraft services. The Company paid $0.5 million to XOJET during the nine months ended September 30, 2012.</w:t>
      </w:r>
    </w:p>
    <w:p>
      <w:pPr>
        <w:spacing w:after="0" w:line="196" w:lineRule="exact"/>
        <w:rPr>
          <w:sz w:val="20"/>
          <w:szCs w:val="20"/>
          <w:color w:val="auto"/>
        </w:rPr>
      </w:pPr>
    </w:p>
    <w:p>
      <w:pPr>
        <w:jc w:val="both"/>
        <w:ind w:right="180" w:firstLine="486"/>
        <w:spacing w:after="0" w:line="256" w:lineRule="auto"/>
        <w:rPr>
          <w:sz w:val="20"/>
          <w:szCs w:val="20"/>
          <w:color w:val="auto"/>
        </w:rPr>
      </w:pPr>
      <w:r>
        <w:rPr>
          <w:rFonts w:ascii="Arial" w:cs="Arial" w:eastAsia="Arial" w:hAnsi="Arial"/>
          <w:sz w:val="18"/>
          <w:szCs w:val="18"/>
          <w:color w:val="auto"/>
        </w:rPr>
        <w:t>Certain entities affiliated with SunGard Data Systems Inc. ("SunGard"), a company minority-owned by TPG Capital, provide data center recovery services. The Company paid $0.2 million and $0.2 million to SunGard during the nine months ended September 30, 2013 and 2012, respectively.</w:t>
      </w:r>
    </w:p>
    <w:p>
      <w:pPr>
        <w:spacing w:after="0" w:line="202" w:lineRule="exact"/>
        <w:rPr>
          <w:sz w:val="20"/>
          <w:szCs w:val="20"/>
          <w:color w:val="auto"/>
        </w:rPr>
      </w:pPr>
    </w:p>
    <w:p>
      <w:pPr>
        <w:ind w:right="800" w:firstLine="486"/>
        <w:spacing w:after="0" w:line="262" w:lineRule="auto"/>
        <w:rPr>
          <w:sz w:val="20"/>
          <w:szCs w:val="20"/>
          <w:color w:val="auto"/>
        </w:rPr>
      </w:pPr>
      <w:r>
        <w:rPr>
          <w:rFonts w:ascii="Arial" w:cs="Arial" w:eastAsia="Arial" w:hAnsi="Arial"/>
          <w:sz w:val="18"/>
          <w:szCs w:val="18"/>
          <w:color w:val="auto"/>
        </w:rPr>
        <w:t>TPG Capital provided the Company with consulting services. During the nine months ended September 30, 2013 and 2012, the Company paid $0.1 million and $0.2 million, respectively, to TPG Capital.</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41"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Net Capital and Regulatory Requirements</w:t>
      </w:r>
    </w:p>
    <w:p>
      <w:pPr>
        <w:spacing w:after="0" w:line="20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The Company operates in a highly regulated industry. Applicable laws and regulations restrict permissible activities and investments and require compliance with various financial and customer-related regulations. The consequences of noncompliance can include substantial monetary and non-monetary sanctions. In addition, the Company is also subject to comprehensive examinations and supervision by various governmental and self-regulatory agencies. These regulatory agencies generally have broad discretion to prescribe greater limitations on the operations of a regulated entity for the protection of investors or public interest. Furthermore, where the agencies determine that such operations are unsafe or unsound, fail to comply with applicable law, or are otherwise inconsistent with the laws and regulations or with the supervisory policies, greater restrictions may be imposed.</w:t>
      </w:r>
    </w:p>
    <w:p>
      <w:pPr>
        <w:spacing w:after="0" w:line="16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Company’s registered broker-dealer, LPL Financial, is subject to the SEC’s Uniform Net Capital Rule (Rule 15c3-1 under the Exchange Act), which requires the maintenance of minimum net capital, as defined. Net capital and the related net capital requirement may fluctuate on a daily basis. LPL Financial is a clearing broker-dealer and had net capital of $183.1 million with a minimum net capital requirement of $6.3 million and net capital in excess of the minimum requirement of $176.8 million as of September 30, 2013.</w:t>
      </w:r>
    </w:p>
    <w:p>
      <w:pPr>
        <w:spacing w:after="0" w:line="164" w:lineRule="exact"/>
        <w:rPr>
          <w:sz w:val="20"/>
          <w:szCs w:val="20"/>
          <w:color w:val="auto"/>
        </w:rPr>
      </w:pPr>
    </w:p>
    <w:p>
      <w:pPr>
        <w:ind w:right="340" w:firstLine="486"/>
        <w:spacing w:after="0" w:line="278" w:lineRule="auto"/>
        <w:rPr>
          <w:sz w:val="20"/>
          <w:szCs w:val="20"/>
          <w:color w:val="auto"/>
        </w:rPr>
      </w:pPr>
      <w:r>
        <w:rPr>
          <w:rFonts w:ascii="Arial" w:cs="Arial" w:eastAsia="Arial" w:hAnsi="Arial"/>
          <w:sz w:val="17"/>
          <w:szCs w:val="17"/>
          <w:color w:val="auto"/>
        </w:rPr>
        <w:t>The Company's subsidiary, The Private Trust Company N.A. ("PTC"), operates in a highly regulated industry and is subject to various regulatory capital requirements. Failure to meet minimum capital requirements can initiate certain mandatory and possible additional discretionary actions by regulators that, if undertaken, could have substantial monetary and non-monetary impacts to PTC's operations.</w:t>
      </w:r>
    </w:p>
    <w:p>
      <w:pPr>
        <w:spacing w:after="0" w:line="145"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auto"/>
        </w:rPr>
        <w:t>As of September 30, 2013 and December 31, 2012, LPL Financial and PTC met all capital adequacy requirements to which they are subject.</w:t>
      </w:r>
    </w:p>
    <w:p>
      <w:pPr>
        <w:spacing w:after="0" w:line="17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with Off-Balance-Sheet Credit Risk and Concentrations of Credit Risk</w:t>
      </w:r>
    </w:p>
    <w:p>
      <w:pPr>
        <w:spacing w:after="0" w:line="20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LPL Financial’s client securities activities are transacted on either a cash or margin basis. In margin transactions, LPL Financial extends credit to the advisor's client, subject to various regulatory and internal margin requirements, collateralized by cash and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spacing w:after="0" w:line="165"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LPL Financial is obligated to settle transactions with brokers and other financial institutions even if its advisors' clients fail to meet their obligation to LPL Financial. Clients are required to complete their transactions on the settlement date, generally three business days after the trade date. If clients do not fulfill their contractual obligations, LPL Financial may incur losses. In addition, the Company occasionally enters into certain types of contracts to fulfill its sale of when, as, and if issued securities. When, as, and if issued securities have been authorized but are contingent upon the actual issuance of the security. LPL Financial has established procedures to reduce this risk by generally requiring that clients deposit cash and/or securities into their account prior to placing an order.</w:t>
      </w:r>
    </w:p>
    <w:p>
      <w:pPr>
        <w:spacing w:after="0" w:line="168"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LPL Financial may at times hold equity securities on both a long and short basis that are recorded on the unaudited condensed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marked-to-market daily and are continuously monitored by LPL Financial.</w:t>
      </w:r>
    </w:p>
    <w:p>
      <w:pPr>
        <w:spacing w:after="0" w:line="24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47"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On October 29, 2013, the Board of Directors declared a cash dividend of $0.19 per share on the Company's outstanding common stock to be paid on November 26, 2013 to all stockholders of record on November 11, 2013.</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4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We are the nation's largest independent broker-dealer, a top custodian for registered investment advisors ("RIAs"), and a leading independent consultant to retirement plans. We provide an integrated platform of brokerage and investment advisory services to more than 13,500 independent financial advisors and financial advisors at approximately 700 financial institutions (our "advisors") across the country, enabling them to provide their retail investors (their "clients") with objective, conflict-free financial advice. We also support approximately 4,500 financial advisors who are affiliated and licensed with insurance companies with customized clearing, advisory platforms and technology solutions.</w:t>
      </w:r>
    </w:p>
    <w:p>
      <w:pPr>
        <w:spacing w:after="0" w:line="209" w:lineRule="exact"/>
        <w:rPr>
          <w:sz w:val="20"/>
          <w:szCs w:val="20"/>
          <w:color w:val="auto"/>
        </w:rPr>
      </w:pPr>
    </w:p>
    <w:p>
      <w:pPr>
        <w:ind w:right="380" w:firstLine="486"/>
        <w:spacing w:after="0" w:line="256" w:lineRule="auto"/>
        <w:rPr>
          <w:sz w:val="20"/>
          <w:szCs w:val="20"/>
          <w:color w:val="auto"/>
        </w:rPr>
      </w:pPr>
      <w:r>
        <w:rPr>
          <w:rFonts w:ascii="Arial" w:cs="Arial" w:eastAsia="Arial" w:hAnsi="Arial"/>
          <w:sz w:val="18"/>
          <w:szCs w:val="18"/>
          <w:color w:val="auto"/>
        </w:rPr>
        <w:t>In addition, through our subsidiary companies, we support a diverse client base. Fortigent Holdings Company, Inc., through its subsidiaries, is a leading provider of consulting services and solutions to RIAs, banks and trust companies servicing high net worth clients, while The Private Trust Company N.A. manages trusts and family assets for high net worth clients in all 50 states.</w:t>
      </w:r>
    </w:p>
    <w:p>
      <w:pPr>
        <w:spacing w:after="0" w:line="202"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Our singular focus is to provide our advisors with the front-, middle- and back-office support they need to serve the large and growing market for independent investment advice. We believe we are the only company that offers advisors the unique combination of an integrated technology platform, comprehensive self-clearing services and open-architecture access to leading financial products, all delivered in an environment unencumbered by conflicts from product manufacturing, underwriting or market making.</w:t>
      </w:r>
    </w:p>
    <w:p>
      <w:pPr>
        <w:spacing w:after="0" w:line="164"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For over 20 years, we have served the independent advisor market. We currently support the largest independent advisor base and we believe we have the fourth largest overall advisor base in the United States based on the information available as of the date this Quarterly Report on Form 10-Q was issued. Through our advisors, we are also one of the largest distributors of financial products in the United States. Our scale is a substantial competitive advantage and enables us to more effectively attract and retain advisors. Our unique business model allows us to invest in more resources for our advisors, increasing their revenues and creating a virtuous cycle of growth. We have approximately 3,000 employees with primary offices in Boston, Charlotte and San Diego.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Sources of Revenue</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revenues are derived primarily from fees and commissions from investment products and advisory services offered by our advisors to their clients, a substantial portion of which we pay out to our advisors, as well as fees we receive from our advisors for the use of our technology, custody, clearing, trust and reporting platforms. We also generate asset-based revenues through the distribution of financial products for a broad range of product manufacturers. Under our self-clearing platform, we custody the majority of client assets invested in these financial products, which includes providing statements, transaction processing and ongoing account management. In return for these services, mutual funds, insurance companies, banks and other financial product manufacturers pay us fees based on asset levels or number of accounts managed. We also earn interest from margin loans made to our advisors’ clients.</w:t>
      </w:r>
    </w:p>
    <w:p>
      <w:pPr>
        <w:spacing w:after="0" w:line="20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track recurring revenue, a characterization of net revenue and a statistical measure, which we define to include our revenues from asset-based fees, advisory fees, trailing commissions, cash sweep programs and certain other fees that are based upon accounts and advisors. Because certain recurring revenues are associated with asset balances, they fluctuate depending on the market value of the asset balances and current interest rates. These asset balances, specifically related to advisory fee revenues and asset-based revenues, have approximately a 60% correlation to market fluctuations. Accordingly, recurring revenue can be negatively impacted by adverse external market conditions. However, recurring revenue is meaningful to us despite these fluctuations because it is not based on transaction volumes or other activity-based revenues, which are more difficult to predict, particularly in declining or volatile markets.</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360" w:right="279" w:bottom="1440" w:gutter="0" w:footer="0" w:header="0"/>
        </w:sectPr>
      </w:pPr>
    </w:p>
    <w:bookmarkStart w:id="29" w:name="page30"/>
    <w:bookmarkEnd w:id="29"/>
    <w:p>
      <w:pPr>
        <w:ind w:right="640" w:firstLine="486"/>
        <w:spacing w:after="0" w:line="262" w:lineRule="auto"/>
        <w:rPr>
          <w:sz w:val="20"/>
          <w:szCs w:val="20"/>
          <w:color w:val="auto"/>
        </w:rPr>
      </w:pPr>
      <w:r>
        <w:rPr>
          <w:rFonts w:ascii="Arial" w:cs="Arial" w:eastAsia="Arial" w:hAnsi="Arial"/>
          <w:sz w:val="18"/>
          <w:szCs w:val="18"/>
          <w:color w:val="auto"/>
        </w:rPr>
        <w:t>The table below summarizes the sources of our revenue, the primary drivers of each revenue source and the percentage of each revenue source that represents recurring revenue, a characterization of revenue and a statistical measure:</w:t>
      </w:r>
    </w:p>
    <w:p>
      <w:pPr>
        <w:spacing w:after="0" w:line="116" w:lineRule="exact"/>
        <w:rPr>
          <w:sz w:val="20"/>
          <w:szCs w:val="20"/>
          <w:color w:val="auto"/>
        </w:rPr>
      </w:pPr>
    </w:p>
    <w:tbl>
      <w:tblPr>
        <w:tblLayout w:type="fixed"/>
        <w:tblInd w:w="1110" w:type="dxa"/>
        <w:tblCellMar>
          <w:top w:w="0" w:type="dxa"/>
          <w:left w:w="0" w:type="dxa"/>
          <w:bottom w:w="0" w:type="dxa"/>
          <w:right w:w="0" w:type="dxa"/>
        </w:tblCellMar>
      </w:tblPr>
      <w:tr>
        <w:trPr>
          <w:trHeight w:val="207"/>
        </w:trPr>
        <w:tc>
          <w:tcPr>
            <w:tcW w:w="1500" w:type="dxa"/>
            <w:vAlign w:val="bottom"/>
            <w:tcBorders>
              <w:right w:val="single" w:sz="8" w:color="A5A5A5"/>
            </w:tcBorders>
          </w:tcPr>
          <w:p>
            <w:pPr>
              <w:spacing w:after="0"/>
              <w:rPr>
                <w:sz w:val="18"/>
                <w:szCs w:val="18"/>
                <w:color w:val="auto"/>
              </w:rPr>
            </w:pPr>
          </w:p>
        </w:tc>
        <w:tc>
          <w:tcPr>
            <w:tcW w:w="2420" w:type="dxa"/>
            <w:vAlign w:val="bottom"/>
            <w:tcBorders>
              <w:right w:val="single" w:sz="8" w:color="A5A5A5"/>
            </w:tcBorders>
            <w:shd w:val="clear" w:color="auto" w:fill="000000"/>
          </w:tcPr>
          <w:p>
            <w:pPr>
              <w:spacing w:after="0"/>
              <w:rPr>
                <w:sz w:val="18"/>
                <w:szCs w:val="18"/>
                <w:color w:val="auto"/>
              </w:rPr>
            </w:pPr>
          </w:p>
        </w:tc>
        <w:tc>
          <w:tcPr>
            <w:tcW w:w="2400" w:type="dxa"/>
            <w:vAlign w:val="bottom"/>
            <w:tcBorders>
              <w:right w:val="single" w:sz="8" w:color="A5A5A5"/>
            </w:tcBorders>
            <w:shd w:val="clear" w:color="auto" w:fill="000000"/>
          </w:tcPr>
          <w:p>
            <w:pPr>
              <w:spacing w:after="0"/>
              <w:rPr>
                <w:sz w:val="18"/>
                <w:szCs w:val="18"/>
                <w:color w:val="auto"/>
              </w:rPr>
            </w:pPr>
          </w:p>
        </w:tc>
        <w:tc>
          <w:tcPr>
            <w:tcW w:w="2940" w:type="dxa"/>
            <w:vAlign w:val="bottom"/>
            <w:tcBorders>
              <w:right w:val="single" w:sz="8" w:color="A5A5A5"/>
            </w:tcBorders>
            <w:gridSpan w:val="4"/>
            <w:shd w:val="clear" w:color="auto" w:fill="000000"/>
          </w:tcPr>
          <w:p>
            <w:pPr>
              <w:jc w:val="center"/>
              <w:spacing w:after="0"/>
              <w:rPr>
                <w:sz w:val="20"/>
                <w:szCs w:val="20"/>
                <w:color w:val="auto"/>
              </w:rPr>
            </w:pPr>
            <w:r>
              <w:rPr>
                <w:rFonts w:ascii="Arial" w:cs="Arial" w:eastAsia="Arial" w:hAnsi="Arial"/>
                <w:sz w:val="14"/>
                <w:szCs w:val="14"/>
                <w:color w:val="FFFFFF"/>
              </w:rPr>
              <w:t>For the Nine Months Ended</w:t>
            </w:r>
          </w:p>
        </w:tc>
        <w:tc>
          <w:tcPr>
            <w:tcW w:w="0" w:type="dxa"/>
            <w:vAlign w:val="bottom"/>
          </w:tcPr>
          <w:p>
            <w:pPr>
              <w:spacing w:after="0"/>
              <w:rPr>
                <w:sz w:val="1"/>
                <w:szCs w:val="1"/>
                <w:color w:val="auto"/>
              </w:rPr>
            </w:pPr>
          </w:p>
        </w:tc>
      </w:tr>
      <w:tr>
        <w:trPr>
          <w:trHeight w:val="190"/>
        </w:trPr>
        <w:tc>
          <w:tcPr>
            <w:tcW w:w="1500" w:type="dxa"/>
            <w:vAlign w:val="bottom"/>
            <w:tcBorders>
              <w:right w:val="single" w:sz="8" w:color="A5A5A5"/>
            </w:tcBorders>
          </w:tcPr>
          <w:p>
            <w:pPr>
              <w:spacing w:after="0"/>
              <w:rPr>
                <w:sz w:val="16"/>
                <w:szCs w:val="16"/>
                <w:color w:val="auto"/>
              </w:rPr>
            </w:pPr>
          </w:p>
        </w:tc>
        <w:tc>
          <w:tcPr>
            <w:tcW w:w="2420" w:type="dxa"/>
            <w:vAlign w:val="bottom"/>
            <w:tcBorders>
              <w:right w:val="single" w:sz="8" w:color="A5A5A5"/>
            </w:tcBorders>
            <w:shd w:val="clear" w:color="auto" w:fill="000000"/>
          </w:tcPr>
          <w:p>
            <w:pPr>
              <w:spacing w:after="0"/>
              <w:rPr>
                <w:sz w:val="16"/>
                <w:szCs w:val="16"/>
                <w:color w:val="auto"/>
              </w:rPr>
            </w:pPr>
          </w:p>
        </w:tc>
        <w:tc>
          <w:tcPr>
            <w:tcW w:w="2400" w:type="dxa"/>
            <w:vAlign w:val="bottom"/>
            <w:tcBorders>
              <w:right w:val="single" w:sz="8" w:color="A5A5A5"/>
            </w:tcBorders>
            <w:shd w:val="clear" w:color="auto" w:fill="000000"/>
          </w:tcPr>
          <w:p>
            <w:pPr>
              <w:spacing w:after="0"/>
              <w:rPr>
                <w:sz w:val="16"/>
                <w:szCs w:val="16"/>
                <w:color w:val="auto"/>
              </w:rPr>
            </w:pPr>
          </w:p>
        </w:tc>
        <w:tc>
          <w:tcPr>
            <w:tcW w:w="780" w:type="dxa"/>
            <w:vAlign w:val="bottom"/>
            <w:shd w:val="clear" w:color="auto" w:fill="000000"/>
          </w:tcPr>
          <w:p>
            <w:pPr>
              <w:spacing w:after="0"/>
              <w:rPr>
                <w:sz w:val="16"/>
                <w:szCs w:val="16"/>
                <w:color w:val="auto"/>
              </w:rPr>
            </w:pPr>
          </w:p>
        </w:tc>
        <w:tc>
          <w:tcPr>
            <w:tcW w:w="2160" w:type="dxa"/>
            <w:vAlign w:val="bottom"/>
            <w:tcBorders>
              <w:right w:val="single" w:sz="8" w:color="A5A5A5"/>
            </w:tcBorders>
            <w:gridSpan w:val="3"/>
            <w:shd w:val="clear" w:color="auto" w:fill="000000"/>
          </w:tcPr>
          <w:p>
            <w:pPr>
              <w:jc w:val="center"/>
              <w:ind w:right="748"/>
              <w:spacing w:after="0"/>
              <w:rPr>
                <w:sz w:val="20"/>
                <w:szCs w:val="20"/>
                <w:color w:val="auto"/>
              </w:rPr>
            </w:pPr>
            <w:r>
              <w:rPr>
                <w:rFonts w:ascii="Arial" w:cs="Arial" w:eastAsia="Arial" w:hAnsi="Arial"/>
                <w:sz w:val="14"/>
                <w:szCs w:val="14"/>
                <w:color w:val="FFFFFF"/>
              </w:rPr>
              <w:t>September 30, 2013</w:t>
            </w:r>
          </w:p>
        </w:tc>
        <w:tc>
          <w:tcPr>
            <w:tcW w:w="0" w:type="dxa"/>
            <w:vAlign w:val="bottom"/>
          </w:tcPr>
          <w:p>
            <w:pPr>
              <w:spacing w:after="0"/>
              <w:rPr>
                <w:sz w:val="1"/>
                <w:szCs w:val="1"/>
                <w:color w:val="auto"/>
              </w:rPr>
            </w:pPr>
          </w:p>
        </w:tc>
      </w:tr>
      <w:tr>
        <w:trPr>
          <w:trHeight w:val="202"/>
        </w:trPr>
        <w:tc>
          <w:tcPr>
            <w:tcW w:w="1500" w:type="dxa"/>
            <w:vAlign w:val="bottom"/>
            <w:tcBorders>
              <w:right w:val="single" w:sz="8" w:color="A5A5A5"/>
            </w:tcBorders>
          </w:tcPr>
          <w:p>
            <w:pPr>
              <w:spacing w:after="0"/>
              <w:rPr>
                <w:sz w:val="17"/>
                <w:szCs w:val="17"/>
                <w:color w:val="auto"/>
              </w:rPr>
            </w:pPr>
          </w:p>
        </w:tc>
        <w:tc>
          <w:tcPr>
            <w:tcW w:w="2420" w:type="dxa"/>
            <w:vAlign w:val="bottom"/>
            <w:tcBorders>
              <w:right w:val="single" w:sz="8" w:color="A5A5A5"/>
            </w:tcBorders>
            <w:shd w:val="clear" w:color="auto" w:fill="000000"/>
          </w:tcPr>
          <w:p>
            <w:pPr>
              <w:spacing w:after="0"/>
              <w:rPr>
                <w:sz w:val="17"/>
                <w:szCs w:val="17"/>
                <w:color w:val="auto"/>
              </w:rPr>
            </w:pPr>
          </w:p>
        </w:tc>
        <w:tc>
          <w:tcPr>
            <w:tcW w:w="2400" w:type="dxa"/>
            <w:vAlign w:val="bottom"/>
            <w:tcBorders>
              <w:right w:val="single" w:sz="8" w:color="A5A5A5"/>
            </w:tcBorders>
            <w:shd w:val="clear" w:color="auto" w:fill="000000"/>
          </w:tcPr>
          <w:p>
            <w:pPr>
              <w:spacing w:after="0"/>
              <w:rPr>
                <w:sz w:val="17"/>
                <w:szCs w:val="17"/>
                <w:color w:val="auto"/>
              </w:rPr>
            </w:pPr>
          </w:p>
        </w:tc>
        <w:tc>
          <w:tcPr>
            <w:tcW w:w="780" w:type="dxa"/>
            <w:vAlign w:val="bottom"/>
            <w:shd w:val="clear" w:color="auto" w:fill="000000"/>
          </w:tcPr>
          <w:p>
            <w:pPr>
              <w:jc w:val="center"/>
              <w:ind w:left="128"/>
              <w:spacing w:after="0"/>
              <w:rPr>
                <w:sz w:val="20"/>
                <w:szCs w:val="20"/>
                <w:color w:val="auto"/>
              </w:rPr>
            </w:pPr>
            <w:r>
              <w:rPr>
                <w:rFonts w:ascii="Arial" w:cs="Arial" w:eastAsia="Arial" w:hAnsi="Arial"/>
                <w:sz w:val="14"/>
                <w:szCs w:val="14"/>
                <w:color w:val="FFFFFF"/>
                <w:w w:val="96"/>
              </w:rPr>
              <w:t>Total</w:t>
            </w:r>
          </w:p>
        </w:tc>
        <w:tc>
          <w:tcPr>
            <w:tcW w:w="220" w:type="dxa"/>
            <w:vAlign w:val="bottom"/>
            <w:tcBorders>
              <w:right w:val="single" w:sz="8" w:color="A5A5A5"/>
            </w:tcBorders>
            <w:shd w:val="clear" w:color="auto" w:fill="000000"/>
          </w:tcPr>
          <w:p>
            <w:pPr>
              <w:spacing w:after="0"/>
              <w:rPr>
                <w:sz w:val="17"/>
                <w:szCs w:val="17"/>
                <w:color w:val="auto"/>
              </w:rPr>
            </w:pPr>
          </w:p>
        </w:tc>
        <w:tc>
          <w:tcPr>
            <w:tcW w:w="920" w:type="dxa"/>
            <w:vAlign w:val="bottom"/>
            <w:tcBorders>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w w:val="98"/>
              </w:rPr>
              <w:t>% of Total</w:t>
            </w:r>
          </w:p>
        </w:tc>
        <w:tc>
          <w:tcPr>
            <w:tcW w:w="1020" w:type="dxa"/>
            <w:vAlign w:val="bottom"/>
            <w:tcBorders>
              <w:right w:val="single" w:sz="8" w:color="A5A5A5"/>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500" w:type="dxa"/>
            <w:vAlign w:val="bottom"/>
            <w:tcBorders>
              <w:bottom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shd w:val="clear" w:color="auto" w:fill="000000"/>
          </w:tcPr>
          <w:p>
            <w:pPr>
              <w:ind w:left="540"/>
              <w:spacing w:after="0"/>
              <w:rPr>
                <w:sz w:val="20"/>
                <w:szCs w:val="20"/>
                <w:color w:val="auto"/>
              </w:rPr>
            </w:pPr>
            <w:r>
              <w:rPr>
                <w:rFonts w:ascii="Arial" w:cs="Arial" w:eastAsia="Arial" w:hAnsi="Arial"/>
                <w:sz w:val="14"/>
                <w:szCs w:val="14"/>
                <w:color w:val="FFFFFF"/>
              </w:rPr>
              <w:t>Sources of Revenue</w:t>
            </w:r>
          </w:p>
        </w:tc>
        <w:tc>
          <w:tcPr>
            <w:tcW w:w="2400" w:type="dxa"/>
            <w:vAlign w:val="bottom"/>
            <w:tcBorders>
              <w:bottom w:val="single" w:sz="8" w:color="A5A5A5"/>
              <w:right w:val="single" w:sz="8" w:color="A5A5A5"/>
            </w:tcBorders>
            <w:shd w:val="clear" w:color="auto" w:fill="000000"/>
          </w:tcPr>
          <w:p>
            <w:pPr>
              <w:ind w:left="680"/>
              <w:spacing w:after="0"/>
              <w:rPr>
                <w:sz w:val="20"/>
                <w:szCs w:val="20"/>
                <w:color w:val="auto"/>
              </w:rPr>
            </w:pPr>
            <w:r>
              <w:rPr>
                <w:rFonts w:ascii="Arial" w:cs="Arial" w:eastAsia="Arial" w:hAnsi="Arial"/>
                <w:sz w:val="14"/>
                <w:szCs w:val="14"/>
                <w:color w:val="FFFFFF"/>
              </w:rPr>
              <w:t>Primary Drivers</w:t>
            </w:r>
          </w:p>
        </w:tc>
        <w:tc>
          <w:tcPr>
            <w:tcW w:w="780" w:type="dxa"/>
            <w:vAlign w:val="bottom"/>
            <w:tcBorders>
              <w:bottom w:val="single" w:sz="8" w:color="A5A5A5"/>
            </w:tcBorders>
            <w:shd w:val="clear" w:color="auto" w:fill="000000"/>
          </w:tcPr>
          <w:p>
            <w:pPr>
              <w:jc w:val="center"/>
              <w:ind w:left="108"/>
              <w:spacing w:after="0"/>
              <w:rPr>
                <w:sz w:val="20"/>
                <w:szCs w:val="20"/>
                <w:color w:val="auto"/>
              </w:rPr>
            </w:pPr>
            <w:r>
              <w:rPr>
                <w:rFonts w:ascii="Arial" w:cs="Arial" w:eastAsia="Arial" w:hAnsi="Arial"/>
                <w:sz w:val="14"/>
                <w:szCs w:val="14"/>
                <w:color w:val="FFFFFF"/>
                <w:w w:val="99"/>
              </w:rPr>
              <w:t>(millions)</w:t>
            </w:r>
          </w:p>
        </w:tc>
        <w:tc>
          <w:tcPr>
            <w:tcW w:w="220" w:type="dxa"/>
            <w:vAlign w:val="bottom"/>
            <w:tcBorders>
              <w:bottom w:val="single" w:sz="8" w:color="A5A5A5"/>
              <w:right w:val="single" w:sz="8" w:color="A5A5A5"/>
            </w:tcBorders>
            <w:shd w:val="clear" w:color="auto" w:fill="000000"/>
          </w:tcPr>
          <w:p>
            <w:pPr>
              <w:spacing w:after="0"/>
              <w:rPr>
                <w:sz w:val="15"/>
                <w:szCs w:val="15"/>
                <w:color w:val="auto"/>
              </w:rPr>
            </w:pPr>
          </w:p>
        </w:tc>
        <w:tc>
          <w:tcPr>
            <w:tcW w:w="92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rPr>
              <w:t>Net Revenue</w:t>
            </w:r>
          </w:p>
        </w:tc>
        <w:tc>
          <w:tcPr>
            <w:tcW w:w="102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rPr>
              <w:t>% Recurring</w:t>
            </w: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Advisor-driven</w:t>
            </w: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Commission</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Transactions</w:t>
            </w:r>
          </w:p>
        </w:tc>
        <w:tc>
          <w:tcPr>
            <w:tcW w:w="780" w:type="dxa"/>
            <w:vAlign w:val="bottom"/>
            <w:vMerge w:val="restart"/>
          </w:tcPr>
          <w:p>
            <w:pPr>
              <w:jc w:val="center"/>
              <w:ind w:left="108"/>
              <w:spacing w:after="0"/>
              <w:rPr>
                <w:sz w:val="20"/>
                <w:szCs w:val="20"/>
                <w:color w:val="auto"/>
              </w:rPr>
            </w:pPr>
            <w:r>
              <w:rPr>
                <w:rFonts w:ascii="Arial" w:cs="Arial" w:eastAsia="Arial" w:hAnsi="Arial"/>
                <w:sz w:val="14"/>
                <w:szCs w:val="14"/>
                <w:color w:val="auto"/>
              </w:rPr>
              <w:t>$1,521</w:t>
            </w:r>
          </w:p>
        </w:tc>
        <w:tc>
          <w:tcPr>
            <w:tcW w:w="22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50%</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91"/>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revenue with</w:t>
            </w:r>
          </w:p>
        </w:tc>
        <w:tc>
          <w:tcPr>
            <w:tcW w:w="2420" w:type="dxa"/>
            <w:vAlign w:val="bottom"/>
            <w:tcBorders>
              <w:right w:val="single" w:sz="8" w:color="A5A5A5"/>
            </w:tcBorders>
          </w:tcPr>
          <w:p>
            <w:pPr>
              <w:spacing w:after="0"/>
              <w:rPr>
                <w:sz w:val="7"/>
                <w:szCs w:val="7"/>
                <w:color w:val="auto"/>
              </w:rPr>
            </w:pP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auto"/>
              </w:rPr>
              <w:t>- Brokerage asset levels</w:t>
            </w:r>
          </w:p>
        </w:tc>
        <w:tc>
          <w:tcPr>
            <w:tcW w:w="780" w:type="dxa"/>
            <w:vAlign w:val="bottom"/>
            <w:vMerge w:val="continue"/>
          </w:tcPr>
          <w:p>
            <w:pPr>
              <w:spacing w:after="0"/>
              <w:rPr>
                <w:sz w:val="7"/>
                <w:szCs w:val="7"/>
                <w:color w:val="auto"/>
              </w:rPr>
            </w:pPr>
          </w:p>
        </w:tc>
        <w:tc>
          <w:tcPr>
            <w:tcW w:w="220" w:type="dxa"/>
            <w:vAlign w:val="bottom"/>
            <w:tcBorders>
              <w:right w:val="single" w:sz="8" w:color="A5A5A5"/>
            </w:tcBorders>
          </w:tcPr>
          <w:p>
            <w:pPr>
              <w:spacing w:after="0"/>
              <w:rPr>
                <w:sz w:val="7"/>
                <w:szCs w:val="7"/>
                <w:color w:val="auto"/>
              </w:rPr>
            </w:pPr>
          </w:p>
        </w:tc>
        <w:tc>
          <w:tcPr>
            <w:tcW w:w="920" w:type="dxa"/>
            <w:vAlign w:val="bottom"/>
            <w:tcBorders>
              <w:right w:val="single" w:sz="8" w:color="A5A5A5"/>
            </w:tcBorders>
            <w:vMerge w:val="continue"/>
          </w:tcPr>
          <w:p>
            <w:pPr>
              <w:spacing w:after="0"/>
              <w:rPr>
                <w:sz w:val="7"/>
                <w:szCs w:val="7"/>
                <w:color w:val="auto"/>
              </w:rPr>
            </w:pPr>
          </w:p>
        </w:tc>
        <w:tc>
          <w:tcPr>
            <w:tcW w:w="1020" w:type="dxa"/>
            <w:vAlign w:val="bottom"/>
            <w:tcBorders>
              <w:right w:val="single" w:sz="8" w:color="A5A5A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00" w:type="dxa"/>
            <w:vAlign w:val="bottom"/>
            <w:tcBorders>
              <w:left w:val="single" w:sz="8" w:color="999999"/>
              <w:right w:val="single" w:sz="8" w:color="A5A5A5"/>
            </w:tcBorders>
            <w:vMerge w:val="continue"/>
          </w:tcPr>
          <w:p>
            <w:pPr>
              <w:spacing w:after="0"/>
              <w:rPr>
                <w:sz w:val="8"/>
                <w:szCs w:val="8"/>
                <w:color w:val="auto"/>
              </w:rPr>
            </w:pPr>
          </w:p>
        </w:tc>
        <w:tc>
          <w:tcPr>
            <w:tcW w:w="2420" w:type="dxa"/>
            <w:vAlign w:val="bottom"/>
            <w:tcBorders>
              <w:bottom w:val="single" w:sz="8" w:color="A5A5A5"/>
              <w:right w:val="single" w:sz="8" w:color="A5A5A5"/>
            </w:tcBorders>
          </w:tcPr>
          <w:p>
            <w:pPr>
              <w:spacing w:after="0"/>
              <w:rPr>
                <w:sz w:val="8"/>
                <w:szCs w:val="8"/>
                <w:color w:val="auto"/>
              </w:rPr>
            </w:pPr>
          </w:p>
        </w:tc>
        <w:tc>
          <w:tcPr>
            <w:tcW w:w="2400" w:type="dxa"/>
            <w:vAlign w:val="bottom"/>
            <w:tcBorders>
              <w:bottom w:val="single" w:sz="8" w:color="A5A5A5"/>
              <w:right w:val="single" w:sz="8" w:color="A5A5A5"/>
            </w:tcBorders>
            <w:vMerge w:val="continue"/>
          </w:tcPr>
          <w:p>
            <w:pPr>
              <w:spacing w:after="0"/>
              <w:rPr>
                <w:sz w:val="8"/>
                <w:szCs w:val="8"/>
                <w:color w:val="auto"/>
              </w:rPr>
            </w:pPr>
          </w:p>
        </w:tc>
        <w:tc>
          <w:tcPr>
            <w:tcW w:w="780" w:type="dxa"/>
            <w:vAlign w:val="bottom"/>
            <w:tcBorders>
              <w:bottom w:val="single" w:sz="8" w:color="A5A5A5"/>
            </w:tcBorders>
          </w:tcPr>
          <w:p>
            <w:pPr>
              <w:spacing w:after="0"/>
              <w:rPr>
                <w:sz w:val="8"/>
                <w:szCs w:val="8"/>
                <w:color w:val="auto"/>
              </w:rPr>
            </w:pPr>
          </w:p>
        </w:tc>
        <w:tc>
          <w:tcPr>
            <w:tcW w:w="220" w:type="dxa"/>
            <w:vAlign w:val="bottom"/>
            <w:tcBorders>
              <w:bottom w:val="single" w:sz="8" w:color="A5A5A5"/>
              <w:right w:val="single" w:sz="8" w:color="A5A5A5"/>
            </w:tcBorders>
          </w:tcPr>
          <w:p>
            <w:pPr>
              <w:spacing w:after="0"/>
              <w:rPr>
                <w:sz w:val="8"/>
                <w:szCs w:val="8"/>
                <w:color w:val="auto"/>
              </w:rPr>
            </w:pPr>
          </w:p>
        </w:tc>
        <w:tc>
          <w:tcPr>
            <w:tcW w:w="920" w:type="dxa"/>
            <w:vAlign w:val="bottom"/>
            <w:tcBorders>
              <w:bottom w:val="single" w:sz="8" w:color="A5A5A5"/>
              <w:right w:val="single" w:sz="8" w:color="A5A5A5"/>
            </w:tcBorders>
          </w:tcPr>
          <w:p>
            <w:pPr>
              <w:spacing w:after="0"/>
              <w:rPr>
                <w:sz w:val="8"/>
                <w:szCs w:val="8"/>
                <w:color w:val="auto"/>
              </w:rPr>
            </w:pPr>
          </w:p>
        </w:tc>
        <w:tc>
          <w:tcPr>
            <w:tcW w:w="1020" w:type="dxa"/>
            <w:vAlign w:val="bottom"/>
            <w:tcBorders>
              <w:bottom w:val="single" w:sz="8" w:color="A5A5A5"/>
              <w:right w:val="single" w:sz="8" w:color="A5A5A5"/>
            </w:tcBorders>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1500" w:type="dxa"/>
            <w:vAlign w:val="bottom"/>
            <w:tcBorders>
              <w:left w:val="single" w:sz="8" w:color="999999"/>
              <w:right w:val="single" w:sz="8" w:color="A5A5A5"/>
            </w:tcBorders>
          </w:tcPr>
          <w:p>
            <w:pPr>
              <w:jc w:val="center"/>
              <w:spacing w:after="0" w:line="155" w:lineRule="exact"/>
              <w:rPr>
                <w:sz w:val="20"/>
                <w:szCs w:val="20"/>
                <w:color w:val="auto"/>
              </w:rPr>
            </w:pPr>
            <w:r>
              <w:rPr>
                <w:rFonts w:ascii="Arial" w:cs="Arial" w:eastAsia="Arial" w:hAnsi="Arial"/>
                <w:sz w:val="14"/>
                <w:szCs w:val="14"/>
                <w:color w:val="auto"/>
              </w:rPr>
              <w:t>~85%-90% payout</w:t>
            </w:r>
          </w:p>
        </w:tc>
        <w:tc>
          <w:tcPr>
            <w:tcW w:w="2420" w:type="dxa"/>
            <w:vAlign w:val="bottom"/>
            <w:tcBorders>
              <w:right w:val="single" w:sz="8" w:color="A5A5A5"/>
            </w:tcBorders>
          </w:tcPr>
          <w:p>
            <w:pPr>
              <w:ind w:left="20"/>
              <w:spacing w:after="0" w:line="155" w:lineRule="exact"/>
              <w:rPr>
                <w:sz w:val="20"/>
                <w:szCs w:val="20"/>
                <w:color w:val="auto"/>
              </w:rPr>
            </w:pPr>
            <w:r>
              <w:rPr>
                <w:rFonts w:ascii="Arial" w:cs="Arial" w:eastAsia="Arial" w:hAnsi="Arial"/>
                <w:sz w:val="14"/>
                <w:szCs w:val="14"/>
                <w:b w:val="1"/>
                <w:bCs w:val="1"/>
                <w:color w:val="auto"/>
              </w:rPr>
              <w:t>Advisory</w:t>
            </w:r>
          </w:p>
        </w:tc>
        <w:tc>
          <w:tcPr>
            <w:tcW w:w="2400" w:type="dxa"/>
            <w:vAlign w:val="bottom"/>
            <w:tcBorders>
              <w:right w:val="single" w:sz="8" w:color="A5A5A5"/>
            </w:tcBorders>
          </w:tcPr>
          <w:p>
            <w:pPr>
              <w:spacing w:after="0" w:line="155" w:lineRule="exact"/>
              <w:rPr>
                <w:sz w:val="20"/>
                <w:szCs w:val="20"/>
                <w:color w:val="auto"/>
              </w:rPr>
            </w:pPr>
            <w:r>
              <w:rPr>
                <w:rFonts w:ascii="Arial" w:cs="Arial" w:eastAsia="Arial" w:hAnsi="Arial"/>
                <w:sz w:val="14"/>
                <w:szCs w:val="14"/>
                <w:color w:val="auto"/>
              </w:rPr>
              <w:t>- Asset levels in custodied advisory</w:t>
            </w:r>
          </w:p>
        </w:tc>
        <w:tc>
          <w:tcPr>
            <w:tcW w:w="780" w:type="dxa"/>
            <w:vAlign w:val="bottom"/>
            <w:vMerge w:val="restart"/>
          </w:tcPr>
          <w:p>
            <w:pPr>
              <w:jc w:val="center"/>
              <w:ind w:left="108"/>
              <w:spacing w:after="0"/>
              <w:rPr>
                <w:sz w:val="20"/>
                <w:szCs w:val="20"/>
                <w:color w:val="auto"/>
              </w:rPr>
            </w:pPr>
            <w:r>
              <w:rPr>
                <w:rFonts w:ascii="Arial" w:cs="Arial" w:eastAsia="Arial" w:hAnsi="Arial"/>
                <w:sz w:val="14"/>
                <w:szCs w:val="14"/>
                <w:color w:val="auto"/>
              </w:rPr>
              <w:t>$878</w:t>
            </w:r>
          </w:p>
        </w:tc>
        <w:tc>
          <w:tcPr>
            <w:tcW w:w="220" w:type="dxa"/>
            <w:vAlign w:val="bottom"/>
            <w:tcBorders>
              <w:right w:val="single" w:sz="8" w:color="A5A5A5"/>
            </w:tcBorders>
          </w:tcPr>
          <w:p>
            <w:pPr>
              <w:spacing w:after="0"/>
              <w:rPr>
                <w:sz w:val="13"/>
                <w:szCs w:val="13"/>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29%</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10"/>
        </w:trPr>
        <w:tc>
          <w:tcPr>
            <w:tcW w:w="1500" w:type="dxa"/>
            <w:vAlign w:val="bottom"/>
            <w:tcBorders>
              <w:left w:val="single" w:sz="8" w:color="999999"/>
              <w:bottom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ratio</w:t>
            </w:r>
          </w:p>
        </w:tc>
        <w:tc>
          <w:tcPr>
            <w:tcW w:w="2420" w:type="dxa"/>
            <w:vAlign w:val="bottom"/>
            <w:tcBorders>
              <w:bottom w:val="single" w:sz="8" w:color="A5A5A5"/>
              <w:right w:val="single" w:sz="8" w:color="A5A5A5"/>
            </w:tcBorders>
          </w:tcPr>
          <w:p>
            <w:pPr>
              <w:spacing w:after="0"/>
              <w:rPr>
                <w:sz w:val="18"/>
                <w:szCs w:val="18"/>
                <w:color w:val="auto"/>
              </w:rPr>
            </w:pPr>
          </w:p>
        </w:tc>
        <w:tc>
          <w:tcPr>
            <w:tcW w:w="2400" w:type="dxa"/>
            <w:vAlign w:val="bottom"/>
            <w:tcBorders>
              <w:bottom w:val="single" w:sz="8" w:color="A5A5A5"/>
              <w:right w:val="single" w:sz="8" w:color="A5A5A5"/>
            </w:tcBorders>
          </w:tcPr>
          <w:p>
            <w:pPr>
              <w:ind w:left="160"/>
              <w:spacing w:after="0"/>
              <w:rPr>
                <w:sz w:val="20"/>
                <w:szCs w:val="20"/>
                <w:color w:val="auto"/>
              </w:rPr>
            </w:pPr>
            <w:r>
              <w:rPr>
                <w:rFonts w:ascii="Arial" w:cs="Arial" w:eastAsia="Arial" w:hAnsi="Arial"/>
                <w:sz w:val="14"/>
                <w:szCs w:val="14"/>
                <w:color w:val="auto"/>
              </w:rPr>
              <w:t>programs</w:t>
            </w:r>
          </w:p>
        </w:tc>
        <w:tc>
          <w:tcPr>
            <w:tcW w:w="780" w:type="dxa"/>
            <w:vAlign w:val="bottom"/>
            <w:tcBorders>
              <w:bottom w:val="single" w:sz="8" w:color="A5A5A5"/>
            </w:tcBorders>
            <w:vMerge w:val="continue"/>
          </w:tcPr>
          <w:p>
            <w:pPr>
              <w:spacing w:after="0"/>
              <w:rPr>
                <w:sz w:val="18"/>
                <w:szCs w:val="18"/>
                <w:color w:val="auto"/>
              </w:rPr>
            </w:pPr>
          </w:p>
        </w:tc>
        <w:tc>
          <w:tcPr>
            <w:tcW w:w="220" w:type="dxa"/>
            <w:vAlign w:val="bottom"/>
            <w:tcBorders>
              <w:bottom w:val="single" w:sz="8" w:color="A5A5A5"/>
              <w:right w:val="single" w:sz="8" w:color="A5A5A5"/>
            </w:tcBorders>
          </w:tcPr>
          <w:p>
            <w:pPr>
              <w:spacing w:after="0"/>
              <w:rPr>
                <w:sz w:val="18"/>
                <w:szCs w:val="18"/>
                <w:color w:val="auto"/>
              </w:rPr>
            </w:pPr>
          </w:p>
        </w:tc>
        <w:tc>
          <w:tcPr>
            <w:tcW w:w="920" w:type="dxa"/>
            <w:vAlign w:val="bottom"/>
            <w:tcBorders>
              <w:bottom w:val="single" w:sz="8" w:color="A5A5A5"/>
              <w:right w:val="single" w:sz="8" w:color="A5A5A5"/>
            </w:tcBorders>
            <w:vMerge w:val="continue"/>
          </w:tcPr>
          <w:p>
            <w:pPr>
              <w:spacing w:after="0"/>
              <w:rPr>
                <w:sz w:val="18"/>
                <w:szCs w:val="18"/>
                <w:color w:val="auto"/>
              </w:rPr>
            </w:pPr>
          </w:p>
        </w:tc>
        <w:tc>
          <w:tcPr>
            <w:tcW w:w="1020" w:type="dxa"/>
            <w:vAlign w:val="bottom"/>
            <w:tcBorders>
              <w:bottom w:val="single" w:sz="8" w:color="A5A5A5"/>
              <w:right w:val="single" w:sz="8" w:color="A5A5A5"/>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spacing w:after="0"/>
              <w:rPr>
                <w:sz w:val="16"/>
                <w:szCs w:val="16"/>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Asset-Based</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Cash balances</w:t>
            </w:r>
          </w:p>
        </w:tc>
        <w:tc>
          <w:tcPr>
            <w:tcW w:w="780" w:type="dxa"/>
            <w:vAlign w:val="bottom"/>
          </w:tcPr>
          <w:p>
            <w:pPr>
              <w:spacing w:after="0"/>
              <w:rPr>
                <w:sz w:val="16"/>
                <w:szCs w:val="16"/>
                <w:color w:val="auto"/>
              </w:rPr>
            </w:pPr>
          </w:p>
        </w:tc>
        <w:tc>
          <w:tcPr>
            <w:tcW w:w="22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tcPr>
          <w:p>
            <w:pPr>
              <w:spacing w:after="0"/>
              <w:rPr>
                <w:sz w:val="16"/>
                <w:szCs w:val="16"/>
                <w:color w:val="auto"/>
              </w:rPr>
            </w:pPr>
          </w:p>
        </w:tc>
        <w:tc>
          <w:tcPr>
            <w:tcW w:w="102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Cash Sweep Fees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Interest rates</w:t>
            </w:r>
          </w:p>
        </w:tc>
        <w:tc>
          <w:tcPr>
            <w:tcW w:w="780" w:type="dxa"/>
            <w:vAlign w:val="bottom"/>
          </w:tcPr>
          <w:p>
            <w:pPr>
              <w:spacing w:after="0"/>
              <w:rPr>
                <w:sz w:val="14"/>
                <w:szCs w:val="14"/>
                <w:color w:val="auto"/>
              </w:rPr>
            </w:pPr>
          </w:p>
        </w:tc>
        <w:tc>
          <w:tcPr>
            <w:tcW w:w="22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spacing w:after="0"/>
              <w:rPr>
                <w:sz w:val="14"/>
                <w:szCs w:val="14"/>
                <w:color w:val="auto"/>
              </w:rPr>
            </w:pPr>
          </w:p>
        </w:tc>
        <w:tc>
          <w:tcPr>
            <w:tcW w:w="102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Sponsorship Fees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Client asset levels</w:t>
            </w:r>
          </w:p>
        </w:tc>
        <w:tc>
          <w:tcPr>
            <w:tcW w:w="780" w:type="dxa"/>
            <w:vAlign w:val="bottom"/>
          </w:tcPr>
          <w:p>
            <w:pPr>
              <w:jc w:val="center"/>
              <w:ind w:left="108"/>
              <w:spacing w:after="0"/>
              <w:rPr>
                <w:sz w:val="20"/>
                <w:szCs w:val="20"/>
                <w:color w:val="auto"/>
              </w:rPr>
            </w:pPr>
            <w:r>
              <w:rPr>
                <w:rFonts w:ascii="Arial" w:cs="Arial" w:eastAsia="Arial" w:hAnsi="Arial"/>
                <w:sz w:val="14"/>
                <w:szCs w:val="14"/>
                <w:color w:val="auto"/>
              </w:rPr>
              <w:t>$319</w:t>
            </w:r>
          </w:p>
        </w:tc>
        <w:tc>
          <w:tcPr>
            <w:tcW w:w="22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10%</w:t>
            </w:r>
          </w:p>
        </w:tc>
        <w:tc>
          <w:tcPr>
            <w:tcW w:w="10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7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Record Keeping</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Number of accounts</w:t>
            </w:r>
          </w:p>
        </w:tc>
        <w:tc>
          <w:tcPr>
            <w:tcW w:w="780" w:type="dxa"/>
            <w:vAlign w:val="bottom"/>
          </w:tcPr>
          <w:p>
            <w:pPr>
              <w:spacing w:after="0"/>
              <w:rPr>
                <w:sz w:val="14"/>
                <w:szCs w:val="14"/>
                <w:color w:val="auto"/>
              </w:rPr>
            </w:pPr>
          </w:p>
        </w:tc>
        <w:tc>
          <w:tcPr>
            <w:tcW w:w="22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spacing w:after="0"/>
              <w:rPr>
                <w:sz w:val="14"/>
                <w:szCs w:val="14"/>
                <w:color w:val="auto"/>
              </w:rPr>
            </w:pPr>
          </w:p>
        </w:tc>
        <w:tc>
          <w:tcPr>
            <w:tcW w:w="102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500" w:type="dxa"/>
            <w:vAlign w:val="bottom"/>
            <w:tcBorders>
              <w:left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tcPr>
          <w:p>
            <w:pPr>
              <w:spacing w:after="0"/>
              <w:rPr>
                <w:sz w:val="15"/>
                <w:szCs w:val="15"/>
                <w:color w:val="auto"/>
              </w:rPr>
            </w:pPr>
          </w:p>
        </w:tc>
        <w:tc>
          <w:tcPr>
            <w:tcW w:w="2400" w:type="dxa"/>
            <w:vAlign w:val="bottom"/>
            <w:tcBorders>
              <w:bottom w:val="single" w:sz="8" w:color="A5A5A5"/>
              <w:right w:val="single" w:sz="8" w:color="A5A5A5"/>
            </w:tcBorders>
          </w:tcPr>
          <w:p>
            <w:pPr>
              <w:spacing w:after="0"/>
              <w:rPr>
                <w:sz w:val="15"/>
                <w:szCs w:val="15"/>
                <w:color w:val="auto"/>
              </w:rPr>
            </w:pPr>
          </w:p>
        </w:tc>
        <w:tc>
          <w:tcPr>
            <w:tcW w:w="780" w:type="dxa"/>
            <w:vAlign w:val="bottom"/>
            <w:tcBorders>
              <w:bottom w:val="single" w:sz="8" w:color="A5A5A5"/>
            </w:tcBorders>
          </w:tcPr>
          <w:p>
            <w:pPr>
              <w:spacing w:after="0"/>
              <w:rPr>
                <w:sz w:val="15"/>
                <w:szCs w:val="15"/>
                <w:color w:val="auto"/>
              </w:rPr>
            </w:pPr>
          </w:p>
        </w:tc>
        <w:tc>
          <w:tcPr>
            <w:tcW w:w="220" w:type="dxa"/>
            <w:vAlign w:val="bottom"/>
            <w:tcBorders>
              <w:bottom w:val="single" w:sz="8" w:color="A5A5A5"/>
              <w:right w:val="single" w:sz="8" w:color="A5A5A5"/>
            </w:tcBorders>
          </w:tcPr>
          <w:p>
            <w:pPr>
              <w:spacing w:after="0"/>
              <w:rPr>
                <w:sz w:val="15"/>
                <w:szCs w:val="15"/>
                <w:color w:val="auto"/>
              </w:rPr>
            </w:pPr>
          </w:p>
        </w:tc>
        <w:tc>
          <w:tcPr>
            <w:tcW w:w="920" w:type="dxa"/>
            <w:vAlign w:val="bottom"/>
            <w:tcBorders>
              <w:bottom w:val="single" w:sz="8" w:color="A5A5A5"/>
              <w:right w:val="single" w:sz="8" w:color="A5A5A5"/>
            </w:tcBorders>
          </w:tcPr>
          <w:p>
            <w:pPr>
              <w:spacing w:after="0"/>
              <w:rPr>
                <w:sz w:val="15"/>
                <w:szCs w:val="15"/>
                <w:color w:val="auto"/>
              </w:rPr>
            </w:pPr>
          </w:p>
        </w:tc>
        <w:tc>
          <w:tcPr>
            <w:tcW w:w="102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5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Attachment revenue</w:t>
            </w: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Transaction and Other</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Client activity</w:t>
            </w:r>
          </w:p>
        </w:tc>
        <w:tc>
          <w:tcPr>
            <w:tcW w:w="780" w:type="dxa"/>
            <w:vAlign w:val="bottom"/>
          </w:tcPr>
          <w:p>
            <w:pPr>
              <w:spacing w:after="0"/>
              <w:rPr>
                <w:sz w:val="16"/>
                <w:szCs w:val="16"/>
                <w:color w:val="auto"/>
              </w:rPr>
            </w:pPr>
          </w:p>
        </w:tc>
        <w:tc>
          <w:tcPr>
            <w:tcW w:w="22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tcPr>
          <w:p>
            <w:pPr>
              <w:spacing w:after="0"/>
              <w:rPr>
                <w:sz w:val="16"/>
                <w:szCs w:val="16"/>
                <w:color w:val="auto"/>
              </w:rPr>
            </w:pPr>
          </w:p>
        </w:tc>
        <w:tc>
          <w:tcPr>
            <w:tcW w:w="102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retained by us</w:t>
            </w: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Transactions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Number of clients</w:t>
            </w:r>
          </w:p>
        </w:tc>
        <w:tc>
          <w:tcPr>
            <w:tcW w:w="780" w:type="dxa"/>
            <w:vAlign w:val="bottom"/>
          </w:tcPr>
          <w:p>
            <w:pPr>
              <w:spacing w:after="0"/>
              <w:rPr>
                <w:sz w:val="14"/>
                <w:szCs w:val="14"/>
                <w:color w:val="auto"/>
              </w:rPr>
            </w:pPr>
          </w:p>
        </w:tc>
        <w:tc>
          <w:tcPr>
            <w:tcW w:w="22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spacing w:after="0"/>
              <w:rPr>
                <w:sz w:val="14"/>
                <w:szCs w:val="14"/>
                <w:color w:val="auto"/>
              </w:rPr>
            </w:pPr>
          </w:p>
        </w:tc>
        <w:tc>
          <w:tcPr>
            <w:tcW w:w="102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Client (Investor) Accounts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Number of advisors</w:t>
            </w:r>
          </w:p>
        </w:tc>
        <w:tc>
          <w:tcPr>
            <w:tcW w:w="780" w:type="dxa"/>
            <w:vAlign w:val="bottom"/>
          </w:tcPr>
          <w:p>
            <w:pPr>
              <w:jc w:val="center"/>
              <w:ind w:left="108"/>
              <w:spacing w:after="0"/>
              <w:rPr>
                <w:sz w:val="20"/>
                <w:szCs w:val="20"/>
                <w:color w:val="auto"/>
              </w:rPr>
            </w:pPr>
            <w:r>
              <w:rPr>
                <w:rFonts w:ascii="Arial" w:cs="Arial" w:eastAsia="Arial" w:hAnsi="Arial"/>
                <w:sz w:val="14"/>
                <w:szCs w:val="14"/>
                <w:color w:val="auto"/>
              </w:rPr>
              <w:t>$272</w:t>
            </w:r>
          </w:p>
        </w:tc>
        <w:tc>
          <w:tcPr>
            <w:tcW w:w="22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9%</w:t>
            </w:r>
          </w:p>
        </w:tc>
        <w:tc>
          <w:tcPr>
            <w:tcW w:w="10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Advisor Seat and Technology</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Number of accounts</w:t>
            </w:r>
          </w:p>
        </w:tc>
        <w:tc>
          <w:tcPr>
            <w:tcW w:w="780" w:type="dxa"/>
            <w:vAlign w:val="bottom"/>
          </w:tcPr>
          <w:p>
            <w:pPr>
              <w:spacing w:after="0"/>
              <w:rPr>
                <w:sz w:val="14"/>
                <w:szCs w:val="14"/>
                <w:color w:val="auto"/>
              </w:rPr>
            </w:pPr>
          </w:p>
        </w:tc>
        <w:tc>
          <w:tcPr>
            <w:tcW w:w="22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spacing w:after="0"/>
              <w:rPr>
                <w:sz w:val="14"/>
                <w:szCs w:val="14"/>
                <w:color w:val="auto"/>
              </w:rPr>
            </w:pPr>
          </w:p>
        </w:tc>
        <w:tc>
          <w:tcPr>
            <w:tcW w:w="102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500" w:type="dxa"/>
            <w:vAlign w:val="bottom"/>
            <w:tcBorders>
              <w:left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tcPr>
          <w:p>
            <w:pPr>
              <w:spacing w:after="0"/>
              <w:rPr>
                <w:sz w:val="15"/>
                <w:szCs w:val="15"/>
                <w:color w:val="auto"/>
              </w:rPr>
            </w:pPr>
          </w:p>
        </w:tc>
        <w:tc>
          <w:tcPr>
            <w:tcW w:w="2400" w:type="dxa"/>
            <w:vAlign w:val="bottom"/>
            <w:tcBorders>
              <w:bottom w:val="single" w:sz="8" w:color="A5A5A5"/>
              <w:right w:val="single" w:sz="8" w:color="A5A5A5"/>
            </w:tcBorders>
          </w:tcPr>
          <w:p>
            <w:pPr>
              <w:spacing w:after="0"/>
              <w:rPr>
                <w:sz w:val="20"/>
                <w:szCs w:val="20"/>
                <w:color w:val="auto"/>
              </w:rPr>
            </w:pPr>
            <w:r>
              <w:rPr>
                <w:rFonts w:ascii="Arial" w:cs="Arial" w:eastAsia="Arial" w:hAnsi="Arial"/>
                <w:sz w:val="14"/>
                <w:szCs w:val="14"/>
                <w:color w:val="auto"/>
              </w:rPr>
              <w:t>- Premium technology subscribers</w:t>
            </w:r>
          </w:p>
        </w:tc>
        <w:tc>
          <w:tcPr>
            <w:tcW w:w="780" w:type="dxa"/>
            <w:vAlign w:val="bottom"/>
            <w:tcBorders>
              <w:bottom w:val="single" w:sz="8" w:color="A5A5A5"/>
            </w:tcBorders>
          </w:tcPr>
          <w:p>
            <w:pPr>
              <w:spacing w:after="0"/>
              <w:rPr>
                <w:sz w:val="15"/>
                <w:szCs w:val="15"/>
                <w:color w:val="auto"/>
              </w:rPr>
            </w:pPr>
          </w:p>
        </w:tc>
        <w:tc>
          <w:tcPr>
            <w:tcW w:w="220" w:type="dxa"/>
            <w:vAlign w:val="bottom"/>
            <w:tcBorders>
              <w:bottom w:val="single" w:sz="8" w:color="A5A5A5"/>
              <w:right w:val="single" w:sz="8" w:color="A5A5A5"/>
            </w:tcBorders>
          </w:tcPr>
          <w:p>
            <w:pPr>
              <w:spacing w:after="0"/>
              <w:rPr>
                <w:sz w:val="15"/>
                <w:szCs w:val="15"/>
                <w:color w:val="auto"/>
              </w:rPr>
            </w:pPr>
          </w:p>
        </w:tc>
        <w:tc>
          <w:tcPr>
            <w:tcW w:w="920" w:type="dxa"/>
            <w:vAlign w:val="bottom"/>
            <w:tcBorders>
              <w:bottom w:val="single" w:sz="8" w:color="A5A5A5"/>
              <w:right w:val="single" w:sz="8" w:color="A5A5A5"/>
            </w:tcBorders>
          </w:tcPr>
          <w:p>
            <w:pPr>
              <w:spacing w:after="0"/>
              <w:rPr>
                <w:sz w:val="15"/>
                <w:szCs w:val="15"/>
                <w:color w:val="auto"/>
              </w:rPr>
            </w:pPr>
          </w:p>
        </w:tc>
        <w:tc>
          <w:tcPr>
            <w:tcW w:w="102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spacing w:after="0"/>
              <w:rPr>
                <w:sz w:val="16"/>
                <w:szCs w:val="16"/>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Interest and Other Revenue</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Margin accounts</w:t>
            </w:r>
          </w:p>
        </w:tc>
        <w:tc>
          <w:tcPr>
            <w:tcW w:w="780" w:type="dxa"/>
            <w:vAlign w:val="bottom"/>
            <w:vMerge w:val="restart"/>
          </w:tcPr>
          <w:p>
            <w:pPr>
              <w:jc w:val="center"/>
              <w:ind w:left="108"/>
              <w:spacing w:after="0"/>
              <w:rPr>
                <w:sz w:val="20"/>
                <w:szCs w:val="20"/>
                <w:color w:val="auto"/>
              </w:rPr>
            </w:pPr>
            <w:r>
              <w:rPr>
                <w:rFonts w:ascii="Arial" w:cs="Arial" w:eastAsia="Arial" w:hAnsi="Arial"/>
                <w:sz w:val="14"/>
                <w:szCs w:val="14"/>
                <w:color w:val="auto"/>
              </w:rPr>
              <w:t>$57</w:t>
            </w:r>
          </w:p>
        </w:tc>
        <w:tc>
          <w:tcPr>
            <w:tcW w:w="22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2%</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91"/>
        </w:trPr>
        <w:tc>
          <w:tcPr>
            <w:tcW w:w="1500" w:type="dxa"/>
            <w:vAlign w:val="bottom"/>
            <w:tcBorders>
              <w:left w:val="single" w:sz="8" w:color="999999"/>
              <w:right w:val="single" w:sz="8" w:color="A5A5A5"/>
            </w:tcBorders>
          </w:tcPr>
          <w:p>
            <w:pPr>
              <w:spacing w:after="0"/>
              <w:rPr>
                <w:sz w:val="7"/>
                <w:szCs w:val="7"/>
                <w:color w:val="auto"/>
              </w:rPr>
            </w:pPr>
          </w:p>
        </w:tc>
        <w:tc>
          <w:tcPr>
            <w:tcW w:w="2420" w:type="dxa"/>
            <w:vAlign w:val="bottom"/>
            <w:tcBorders>
              <w:right w:val="single" w:sz="8" w:color="A5A5A5"/>
            </w:tcBorders>
          </w:tcPr>
          <w:p>
            <w:pPr>
              <w:spacing w:after="0"/>
              <w:rPr>
                <w:sz w:val="7"/>
                <w:szCs w:val="7"/>
                <w:color w:val="auto"/>
              </w:rPr>
            </w:pP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auto"/>
              </w:rPr>
              <w:t>- Alternative investment transactions</w:t>
            </w:r>
          </w:p>
        </w:tc>
        <w:tc>
          <w:tcPr>
            <w:tcW w:w="780" w:type="dxa"/>
            <w:vAlign w:val="bottom"/>
            <w:vMerge w:val="continue"/>
          </w:tcPr>
          <w:p>
            <w:pPr>
              <w:spacing w:after="0"/>
              <w:rPr>
                <w:sz w:val="7"/>
                <w:szCs w:val="7"/>
                <w:color w:val="auto"/>
              </w:rPr>
            </w:pPr>
          </w:p>
        </w:tc>
        <w:tc>
          <w:tcPr>
            <w:tcW w:w="220" w:type="dxa"/>
            <w:vAlign w:val="bottom"/>
            <w:tcBorders>
              <w:right w:val="single" w:sz="8" w:color="A5A5A5"/>
            </w:tcBorders>
          </w:tcPr>
          <w:p>
            <w:pPr>
              <w:spacing w:after="0"/>
              <w:rPr>
                <w:sz w:val="7"/>
                <w:szCs w:val="7"/>
                <w:color w:val="auto"/>
              </w:rPr>
            </w:pPr>
          </w:p>
        </w:tc>
        <w:tc>
          <w:tcPr>
            <w:tcW w:w="920" w:type="dxa"/>
            <w:vAlign w:val="bottom"/>
            <w:tcBorders>
              <w:right w:val="single" w:sz="8" w:color="A5A5A5"/>
            </w:tcBorders>
            <w:vMerge w:val="continue"/>
          </w:tcPr>
          <w:p>
            <w:pPr>
              <w:spacing w:after="0"/>
              <w:rPr>
                <w:sz w:val="7"/>
                <w:szCs w:val="7"/>
                <w:color w:val="auto"/>
              </w:rPr>
            </w:pPr>
          </w:p>
        </w:tc>
        <w:tc>
          <w:tcPr>
            <w:tcW w:w="1020" w:type="dxa"/>
            <w:vAlign w:val="bottom"/>
            <w:tcBorders>
              <w:right w:val="single" w:sz="8" w:color="A5A5A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00" w:type="dxa"/>
            <w:vAlign w:val="bottom"/>
            <w:tcBorders>
              <w:left w:val="single" w:sz="8" w:color="999999"/>
              <w:bottom w:val="single" w:sz="8" w:color="999999"/>
              <w:right w:val="single" w:sz="8" w:color="A5A5A5"/>
            </w:tcBorders>
          </w:tcPr>
          <w:p>
            <w:pPr>
              <w:spacing w:after="0"/>
              <w:rPr>
                <w:sz w:val="7"/>
                <w:szCs w:val="7"/>
                <w:color w:val="auto"/>
              </w:rPr>
            </w:pPr>
          </w:p>
        </w:tc>
        <w:tc>
          <w:tcPr>
            <w:tcW w:w="2420" w:type="dxa"/>
            <w:vAlign w:val="bottom"/>
            <w:tcBorders>
              <w:bottom w:val="single" w:sz="8" w:color="A5A5A5"/>
              <w:right w:val="single" w:sz="8" w:color="A5A5A5"/>
            </w:tcBorders>
          </w:tcPr>
          <w:p>
            <w:pPr>
              <w:spacing w:after="0"/>
              <w:rPr>
                <w:sz w:val="7"/>
                <w:szCs w:val="7"/>
                <w:color w:val="auto"/>
              </w:rPr>
            </w:pPr>
          </w:p>
        </w:tc>
        <w:tc>
          <w:tcPr>
            <w:tcW w:w="2400" w:type="dxa"/>
            <w:vAlign w:val="bottom"/>
            <w:tcBorders>
              <w:bottom w:val="single" w:sz="8" w:color="A5A5A5"/>
              <w:right w:val="single" w:sz="8" w:color="A5A5A5"/>
            </w:tcBorders>
            <w:vMerge w:val="continue"/>
          </w:tcPr>
          <w:p>
            <w:pPr>
              <w:spacing w:after="0"/>
              <w:rPr>
                <w:sz w:val="7"/>
                <w:szCs w:val="7"/>
                <w:color w:val="auto"/>
              </w:rPr>
            </w:pPr>
          </w:p>
        </w:tc>
        <w:tc>
          <w:tcPr>
            <w:tcW w:w="780" w:type="dxa"/>
            <w:vAlign w:val="bottom"/>
            <w:tcBorders>
              <w:bottom w:val="single" w:sz="8" w:color="A5A5A5"/>
            </w:tcBorders>
          </w:tcPr>
          <w:p>
            <w:pPr>
              <w:spacing w:after="0"/>
              <w:rPr>
                <w:sz w:val="7"/>
                <w:szCs w:val="7"/>
                <w:color w:val="auto"/>
              </w:rPr>
            </w:pPr>
          </w:p>
        </w:tc>
        <w:tc>
          <w:tcPr>
            <w:tcW w:w="220" w:type="dxa"/>
            <w:vAlign w:val="bottom"/>
            <w:tcBorders>
              <w:bottom w:val="single" w:sz="8" w:color="A5A5A5"/>
              <w:right w:val="single" w:sz="8" w:color="A5A5A5"/>
            </w:tcBorders>
          </w:tcPr>
          <w:p>
            <w:pPr>
              <w:spacing w:after="0"/>
              <w:rPr>
                <w:sz w:val="7"/>
                <w:szCs w:val="7"/>
                <w:color w:val="auto"/>
              </w:rPr>
            </w:pPr>
          </w:p>
        </w:tc>
        <w:tc>
          <w:tcPr>
            <w:tcW w:w="920" w:type="dxa"/>
            <w:vAlign w:val="bottom"/>
            <w:tcBorders>
              <w:bottom w:val="single" w:sz="8" w:color="A5A5A5"/>
              <w:right w:val="single" w:sz="8" w:color="A5A5A5"/>
            </w:tcBorders>
          </w:tcPr>
          <w:p>
            <w:pPr>
              <w:spacing w:after="0"/>
              <w:rPr>
                <w:sz w:val="7"/>
                <w:szCs w:val="7"/>
                <w:color w:val="auto"/>
              </w:rPr>
            </w:pPr>
          </w:p>
        </w:tc>
        <w:tc>
          <w:tcPr>
            <w:tcW w:w="1020" w:type="dxa"/>
            <w:vAlign w:val="bottom"/>
            <w:tcBorders>
              <w:bottom w:val="single" w:sz="8" w:color="A5A5A5"/>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1500" w:type="dxa"/>
            <w:vAlign w:val="bottom"/>
            <w:tcBorders>
              <w:right w:val="single" w:sz="8" w:color="A5A5A5"/>
            </w:tcBorders>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Total Net Revenue</w:t>
            </w:r>
          </w:p>
        </w:tc>
        <w:tc>
          <w:tcPr>
            <w:tcW w:w="2400" w:type="dxa"/>
            <w:vAlign w:val="bottom"/>
            <w:tcBorders>
              <w:right w:val="single" w:sz="8" w:color="A5A5A5"/>
            </w:tcBorders>
          </w:tcPr>
          <w:p>
            <w:pPr>
              <w:spacing w:after="0"/>
              <w:rPr>
                <w:sz w:val="20"/>
                <w:szCs w:val="20"/>
                <w:color w:val="auto"/>
              </w:rPr>
            </w:pPr>
          </w:p>
        </w:tc>
        <w:tc>
          <w:tcPr>
            <w:tcW w:w="780" w:type="dxa"/>
            <w:vAlign w:val="bottom"/>
          </w:tcPr>
          <w:p>
            <w:pPr>
              <w:jc w:val="center"/>
              <w:ind w:left="108"/>
              <w:spacing w:after="0"/>
              <w:rPr>
                <w:sz w:val="20"/>
                <w:szCs w:val="20"/>
                <w:color w:val="auto"/>
              </w:rPr>
            </w:pPr>
            <w:r>
              <w:rPr>
                <w:rFonts w:ascii="Arial" w:cs="Arial" w:eastAsia="Arial" w:hAnsi="Arial"/>
                <w:sz w:val="14"/>
                <w:szCs w:val="14"/>
                <w:color w:val="auto"/>
              </w:rPr>
              <w:t>$3,047</w:t>
            </w:r>
          </w:p>
        </w:tc>
        <w:tc>
          <w:tcPr>
            <w:tcW w:w="220" w:type="dxa"/>
            <w:vAlign w:val="bottom"/>
            <w:tcBorders>
              <w:right w:val="single" w:sz="8" w:color="A5A5A5"/>
            </w:tcBorders>
          </w:tcPr>
          <w:p>
            <w:pPr>
              <w:spacing w:after="0"/>
              <w:rPr>
                <w:sz w:val="20"/>
                <w:szCs w:val="20"/>
                <w:color w:val="auto"/>
              </w:rPr>
            </w:pP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100%</w:t>
            </w:r>
          </w:p>
        </w:tc>
        <w:tc>
          <w:tcPr>
            <w:tcW w:w="10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39"/>
        </w:trPr>
        <w:tc>
          <w:tcPr>
            <w:tcW w:w="1500" w:type="dxa"/>
            <w:vAlign w:val="bottom"/>
            <w:tcBorders>
              <w:right w:val="single" w:sz="8" w:color="A5A5A5"/>
            </w:tcBorders>
          </w:tcPr>
          <w:p>
            <w:pPr>
              <w:spacing w:after="0"/>
              <w:rPr>
                <w:sz w:val="3"/>
                <w:szCs w:val="3"/>
                <w:color w:val="auto"/>
              </w:rPr>
            </w:pPr>
          </w:p>
        </w:tc>
        <w:tc>
          <w:tcPr>
            <w:tcW w:w="2420" w:type="dxa"/>
            <w:vAlign w:val="bottom"/>
            <w:tcBorders>
              <w:bottom w:val="single" w:sz="8" w:color="A5A5A5"/>
            </w:tcBorders>
          </w:tcPr>
          <w:p>
            <w:pPr>
              <w:spacing w:after="0"/>
              <w:rPr>
                <w:sz w:val="3"/>
                <w:szCs w:val="3"/>
                <w:color w:val="auto"/>
              </w:rPr>
            </w:pPr>
          </w:p>
        </w:tc>
        <w:tc>
          <w:tcPr>
            <w:tcW w:w="2400" w:type="dxa"/>
            <w:vAlign w:val="bottom"/>
            <w:tcBorders>
              <w:bottom w:val="single" w:sz="8" w:color="A5A5A5"/>
              <w:right w:val="single" w:sz="8" w:color="A5A5A5"/>
            </w:tcBorders>
          </w:tcPr>
          <w:p>
            <w:pPr>
              <w:spacing w:after="0"/>
              <w:rPr>
                <w:sz w:val="3"/>
                <w:szCs w:val="3"/>
                <w:color w:val="auto"/>
              </w:rPr>
            </w:pPr>
          </w:p>
        </w:tc>
        <w:tc>
          <w:tcPr>
            <w:tcW w:w="780" w:type="dxa"/>
            <w:vAlign w:val="bottom"/>
            <w:tcBorders>
              <w:bottom w:val="single" w:sz="8" w:color="A5A5A5"/>
            </w:tcBorders>
          </w:tcPr>
          <w:p>
            <w:pPr>
              <w:spacing w:after="0"/>
              <w:rPr>
                <w:sz w:val="3"/>
                <w:szCs w:val="3"/>
                <w:color w:val="auto"/>
              </w:rPr>
            </w:pPr>
          </w:p>
        </w:tc>
        <w:tc>
          <w:tcPr>
            <w:tcW w:w="220" w:type="dxa"/>
            <w:vAlign w:val="bottom"/>
            <w:tcBorders>
              <w:bottom w:val="single" w:sz="8" w:color="A5A5A5"/>
              <w:right w:val="single" w:sz="8" w:color="A5A5A5"/>
            </w:tcBorders>
          </w:tcPr>
          <w:p>
            <w:pPr>
              <w:spacing w:after="0"/>
              <w:rPr>
                <w:sz w:val="3"/>
                <w:szCs w:val="3"/>
                <w:color w:val="auto"/>
              </w:rPr>
            </w:pPr>
          </w:p>
        </w:tc>
        <w:tc>
          <w:tcPr>
            <w:tcW w:w="920" w:type="dxa"/>
            <w:vAlign w:val="bottom"/>
            <w:tcBorders>
              <w:bottom w:val="single" w:sz="8" w:color="A5A5A5"/>
              <w:right w:val="single" w:sz="8" w:color="A5A5A5"/>
            </w:tcBorders>
          </w:tcPr>
          <w:p>
            <w:pPr>
              <w:spacing w:after="0"/>
              <w:rPr>
                <w:sz w:val="3"/>
                <w:szCs w:val="3"/>
                <w:color w:val="auto"/>
              </w:rPr>
            </w:pPr>
          </w:p>
        </w:tc>
        <w:tc>
          <w:tcPr>
            <w:tcW w:w="1020" w:type="dxa"/>
            <w:vAlign w:val="bottom"/>
            <w:tcBorders>
              <w:bottom w:val="single" w:sz="8" w:color="A5A5A5"/>
              <w:right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500" w:type="dxa"/>
            <w:vAlign w:val="bottom"/>
            <w:tcBorders>
              <w:right w:val="single" w:sz="8" w:color="A5A5A5"/>
            </w:tcBorders>
          </w:tcPr>
          <w:p>
            <w:pPr>
              <w:spacing w:after="0"/>
              <w:rPr>
                <w:sz w:val="19"/>
                <w:szCs w:val="19"/>
                <w:color w:val="auto"/>
              </w:rPr>
            </w:pPr>
          </w:p>
        </w:tc>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Total Recurring Revenue</w:t>
            </w:r>
          </w:p>
        </w:tc>
        <w:tc>
          <w:tcPr>
            <w:tcW w:w="2400" w:type="dxa"/>
            <w:vAlign w:val="bottom"/>
            <w:tcBorders>
              <w:right w:val="single" w:sz="8" w:color="A5A5A5"/>
            </w:tcBorders>
          </w:tcPr>
          <w:p>
            <w:pPr>
              <w:spacing w:after="0"/>
              <w:rPr>
                <w:sz w:val="19"/>
                <w:szCs w:val="19"/>
                <w:color w:val="auto"/>
              </w:rPr>
            </w:pPr>
          </w:p>
        </w:tc>
        <w:tc>
          <w:tcPr>
            <w:tcW w:w="780" w:type="dxa"/>
            <w:vAlign w:val="bottom"/>
          </w:tcPr>
          <w:p>
            <w:pPr>
              <w:jc w:val="center"/>
              <w:ind w:left="108"/>
              <w:spacing w:after="0"/>
              <w:rPr>
                <w:sz w:val="20"/>
                <w:szCs w:val="20"/>
                <w:color w:val="auto"/>
              </w:rPr>
            </w:pPr>
            <w:r>
              <w:rPr>
                <w:rFonts w:ascii="Arial" w:cs="Arial" w:eastAsia="Arial" w:hAnsi="Arial"/>
                <w:sz w:val="14"/>
                <w:szCs w:val="14"/>
                <w:color w:val="auto"/>
              </w:rPr>
              <w:t>$1,980</w:t>
            </w:r>
          </w:p>
        </w:tc>
        <w:tc>
          <w:tcPr>
            <w:tcW w:w="220" w:type="dxa"/>
            <w:vAlign w:val="bottom"/>
            <w:tcBorders>
              <w:right w:val="single" w:sz="8" w:color="A5A5A5"/>
            </w:tcBorders>
          </w:tcPr>
          <w:p>
            <w:pPr>
              <w:spacing w:after="0"/>
              <w:rPr>
                <w:sz w:val="19"/>
                <w:szCs w:val="19"/>
                <w:color w:val="auto"/>
              </w:rPr>
            </w:pP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65%</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1500" w:type="dxa"/>
            <w:vAlign w:val="bottom"/>
            <w:tcBorders>
              <w:right w:val="single" w:sz="8" w:color="A5A5A5"/>
            </w:tcBorders>
          </w:tcPr>
          <w:p>
            <w:pPr>
              <w:spacing w:after="0"/>
              <w:rPr>
                <w:sz w:val="3"/>
                <w:szCs w:val="3"/>
                <w:color w:val="auto"/>
              </w:rPr>
            </w:pPr>
          </w:p>
        </w:tc>
        <w:tc>
          <w:tcPr>
            <w:tcW w:w="2420" w:type="dxa"/>
            <w:vAlign w:val="bottom"/>
            <w:tcBorders>
              <w:bottom w:val="single" w:sz="8" w:color="A5A5A5"/>
            </w:tcBorders>
          </w:tcPr>
          <w:p>
            <w:pPr>
              <w:spacing w:after="0"/>
              <w:rPr>
                <w:sz w:val="3"/>
                <w:szCs w:val="3"/>
                <w:color w:val="auto"/>
              </w:rPr>
            </w:pPr>
          </w:p>
        </w:tc>
        <w:tc>
          <w:tcPr>
            <w:tcW w:w="2400" w:type="dxa"/>
            <w:vAlign w:val="bottom"/>
            <w:tcBorders>
              <w:bottom w:val="single" w:sz="8" w:color="A5A5A5"/>
              <w:right w:val="single" w:sz="8" w:color="A5A5A5"/>
            </w:tcBorders>
          </w:tcPr>
          <w:p>
            <w:pPr>
              <w:spacing w:after="0"/>
              <w:rPr>
                <w:sz w:val="3"/>
                <w:szCs w:val="3"/>
                <w:color w:val="auto"/>
              </w:rPr>
            </w:pPr>
          </w:p>
        </w:tc>
        <w:tc>
          <w:tcPr>
            <w:tcW w:w="780" w:type="dxa"/>
            <w:vAlign w:val="bottom"/>
            <w:tcBorders>
              <w:bottom w:val="single" w:sz="8" w:color="A5A5A5"/>
            </w:tcBorders>
          </w:tcPr>
          <w:p>
            <w:pPr>
              <w:spacing w:after="0"/>
              <w:rPr>
                <w:sz w:val="3"/>
                <w:szCs w:val="3"/>
                <w:color w:val="auto"/>
              </w:rPr>
            </w:pPr>
          </w:p>
        </w:tc>
        <w:tc>
          <w:tcPr>
            <w:tcW w:w="220" w:type="dxa"/>
            <w:vAlign w:val="bottom"/>
            <w:tcBorders>
              <w:bottom w:val="single" w:sz="8" w:color="A5A5A5"/>
              <w:right w:val="single" w:sz="8" w:color="A5A5A5"/>
            </w:tcBorders>
          </w:tcPr>
          <w:p>
            <w:pPr>
              <w:spacing w:after="0"/>
              <w:rPr>
                <w:sz w:val="3"/>
                <w:szCs w:val="3"/>
                <w:color w:val="auto"/>
              </w:rPr>
            </w:pPr>
          </w:p>
        </w:tc>
        <w:tc>
          <w:tcPr>
            <w:tcW w:w="920" w:type="dxa"/>
            <w:vAlign w:val="bottom"/>
            <w:tcBorders>
              <w:bottom w:val="single" w:sz="8" w:color="A5A5A5"/>
              <w:right w:val="single" w:sz="8" w:color="A5A5A5"/>
            </w:tcBorders>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20" w:right="140" w:hanging="120"/>
        <w:spacing w:after="0" w:line="28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Commission and Advisory Revenues. </w:t>
      </w:r>
      <w:r>
        <w:rPr>
          <w:rFonts w:ascii="Arial" w:cs="Arial" w:eastAsia="Arial" w:hAnsi="Arial"/>
          <w:sz w:val="18"/>
          <w:szCs w:val="18"/>
          <w:color w:val="auto"/>
        </w:rPr>
        <w:t>Commission and advisory revenues both represent advisor-generated revenue, generally 85-90% of which is paid to advisors.</w:t>
      </w:r>
    </w:p>
    <w:p>
      <w:pPr>
        <w:spacing w:after="0" w:line="153" w:lineRule="exact"/>
        <w:rPr>
          <w:sz w:val="20"/>
          <w:szCs w:val="20"/>
          <w:color w:val="auto"/>
        </w:rPr>
      </w:pPr>
    </w:p>
    <w:p>
      <w:pPr>
        <w:ind w:left="1160"/>
        <w:spacing w:after="0" w:line="255" w:lineRule="auto"/>
        <w:rPr>
          <w:sz w:val="20"/>
          <w:szCs w:val="20"/>
          <w:color w:val="auto"/>
        </w:rPr>
      </w:pPr>
      <w:r>
        <w:rPr>
          <w:rFonts w:ascii="Arial" w:cs="Arial" w:eastAsia="Arial" w:hAnsi="Arial"/>
          <w:sz w:val="18"/>
          <w:szCs w:val="18"/>
          <w:b w:val="1"/>
          <w:bCs w:val="1"/>
          <w:i w:val="1"/>
          <w:iCs w:val="1"/>
          <w:color w:val="auto"/>
        </w:rPr>
        <w:t xml:space="preserve">Commission Revenues. </w:t>
      </w:r>
      <w:r>
        <w:rPr>
          <w:rFonts w:ascii="Arial" w:cs="Arial" w:eastAsia="Arial" w:hAnsi="Arial"/>
          <w:sz w:val="18"/>
          <w:szCs w:val="18"/>
          <w:color w:val="auto"/>
        </w:rPr>
        <w:t>We generate two types of commission revenues: transaction-based sales commissions that occur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point of purchase and sale by clients of various types of investment products and trailing commissions. Transaction-based commission revenues primarily represent gross commissions generated by our advisors, primarily from commissions earned on the sale to clients of various financial products such as mutual funds, variable and fixed annuities, alternative investments, general securities, fixed income, insurance, group annuities and options and commodities. The levels of transaction-based commissions can vary from period to period based on the overall economic environment, number of trading days in the reporting period and investment activity of our advisors' clients. We earn trailing commission revenues (a commission that is paid over time, such as 12(b)-1 fees) on mutual funds and variable annuities held by clients of our advisors. Trailing commissions are recurring in nature and are earned based on the current market value of investment holdings in trail-eligible assets.</w:t>
      </w:r>
    </w:p>
    <w:p>
      <w:pPr>
        <w:spacing w:after="0" w:line="182" w:lineRule="exact"/>
        <w:rPr>
          <w:sz w:val="20"/>
          <w:szCs w:val="20"/>
          <w:color w:val="auto"/>
        </w:rPr>
      </w:pPr>
    </w:p>
    <w:p>
      <w:pPr>
        <w:ind w:left="1160" w:right="20"/>
        <w:spacing w:after="0" w:line="257" w:lineRule="auto"/>
        <w:rPr>
          <w:sz w:val="20"/>
          <w:szCs w:val="20"/>
          <w:color w:val="auto"/>
        </w:rPr>
      </w:pPr>
      <w:r>
        <w:rPr>
          <w:rFonts w:ascii="Arial" w:cs="Arial" w:eastAsia="Arial" w:hAnsi="Arial"/>
          <w:sz w:val="18"/>
          <w:szCs w:val="18"/>
          <w:b w:val="1"/>
          <w:bCs w:val="1"/>
          <w:i w:val="1"/>
          <w:iCs w:val="1"/>
          <w:color w:val="auto"/>
        </w:rPr>
        <w:t xml:space="preserve">Advisory Revenues. </w:t>
      </w:r>
      <w:r>
        <w:rPr>
          <w:rFonts w:ascii="Arial" w:cs="Arial" w:eastAsia="Arial" w:hAnsi="Arial"/>
          <w:sz w:val="18"/>
          <w:szCs w:val="18"/>
          <w:color w:val="auto"/>
        </w:rPr>
        <w:t>Advisory revenues represent fees charged on our corporate RIA platform provided through LPL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("LPL Financial") to clients of our advisors based on the value of advisory assets. Advisory fees are typically billed to clients quarterly, in advance, and are recognized as revenue ratably during the quarter. The value of the assets in the advisory account on the billing date determines the amount billed, and accordingly, the revenues earned in the following three month period. The majority of our accounts are billed using values as of the last business day of each calendar quarter. Generally, the advisory revenues collected on our corporate RIA platform range from 0.5% to 3.0% of the underlying assets.</w:t>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382" w:right="279" w:bottom="1440" w:gutter="0" w:footer="0" w:header="0"/>
        </w:sectPr>
      </w:pPr>
    </w:p>
    <w:bookmarkStart w:id="30" w:name="page31"/>
    <w:bookmarkEnd w:id="30"/>
    <w:p>
      <w:pPr>
        <w:ind w:left="1140" w:right="20"/>
        <w:spacing w:after="0" w:line="252" w:lineRule="auto"/>
        <w:rPr>
          <w:sz w:val="20"/>
          <w:szCs w:val="20"/>
          <w:color w:val="auto"/>
        </w:rPr>
      </w:pPr>
      <w:r>
        <w:rPr>
          <w:rFonts w:ascii="Arial" w:cs="Arial" w:eastAsia="Arial" w:hAnsi="Arial"/>
          <w:sz w:val="18"/>
          <w:szCs w:val="18"/>
          <w:color w:val="auto"/>
        </w:rPr>
        <w:t>In addition, we support independent RIAs who conduct their advisory business through separate entities by establishing their own RIA ("Independent RIAs") pursuant to the Investment Advisers Act of 1940, rather than through LPL Financial. The assets held under these investment advisory accounts custodied with LPL Financial are included in our advisory and brokerage assets, net new advisory assets and advisory assets under custody metrics. The advisory revenue generated by an Independent RIA is earned by the Independent RIA, and accordingly is not included in our advisory revenue. However, we charge administrative fees to Independent RIAs including custody and clearing fees, based on the value of assets within these advisory accounts. The administrative fees collected on our Independent RIA platform vary, and can reach a maximum of 0.6% of the underlying assets.</w:t>
      </w:r>
    </w:p>
    <w:p>
      <w:pPr>
        <w:spacing w:after="0" w:line="207" w:lineRule="exact"/>
        <w:rPr>
          <w:sz w:val="20"/>
          <w:szCs w:val="20"/>
          <w:color w:val="auto"/>
        </w:rPr>
      </w:pPr>
    </w:p>
    <w:p>
      <w:pPr>
        <w:ind w:left="1140" w:right="100"/>
        <w:spacing w:after="0" w:line="262" w:lineRule="auto"/>
        <w:rPr>
          <w:sz w:val="20"/>
          <w:szCs w:val="20"/>
          <w:color w:val="auto"/>
        </w:rPr>
      </w:pPr>
      <w:r>
        <w:rPr>
          <w:rFonts w:ascii="Arial" w:cs="Arial" w:eastAsia="Arial" w:hAnsi="Arial"/>
          <w:sz w:val="18"/>
          <w:szCs w:val="18"/>
          <w:color w:val="auto"/>
        </w:rPr>
        <w:t>Furthermore, we support certain financial advisors at broker-dealers affiliated with insurance companies through our customized advisory platforms and charge fees to these advisors based on the value of assets within these advisory accounts.</w:t>
      </w:r>
    </w:p>
    <w:p>
      <w:pPr>
        <w:spacing w:after="0" w:line="174" w:lineRule="exact"/>
        <w:rPr>
          <w:sz w:val="20"/>
          <w:szCs w:val="20"/>
          <w:color w:val="auto"/>
        </w:rPr>
      </w:pPr>
    </w:p>
    <w:p>
      <w:pPr>
        <w:ind w:left="520" w:hanging="120"/>
        <w:spacing w:after="0" w:line="254"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Asset-Based Revenues. </w:t>
      </w:r>
      <w:r>
        <w:rPr>
          <w:rFonts w:ascii="Arial" w:cs="Arial" w:eastAsia="Arial" w:hAnsi="Arial"/>
          <w:sz w:val="18"/>
          <w:szCs w:val="18"/>
          <w:color w:val="auto"/>
        </w:rPr>
        <w:t>Asset-based revenues are comprised of fees from cash sweep programs, our sponsorship programs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product manufacturers and omnibus processing and networking services. Pursuant to contractual arrangements, uninvested cash balances in our advisors’ client accounts are swept into either insured deposit accounts at various banks or third-party money market funds, for which we receive fees, including administrative and record-keeping fees based on account type and the invested balances. In addition, we receive fees from certain financial product manufacturers in connection with sponsorship programs that support our marketing and sales-force education and training efforts. Our omnibus processing and networking revenues represent fees paid to us in exchange for administrative and record-keeping services that we provide to clients of our advisors. Omnibus processing revenues are paid to us by mutual fund product sponsors and based upon the value of custodied assets in advisory accounts and the number of brokerage accounts in which the related mutual fund positions are held. Networking revenues on brokerage assets are correlated to the number of positions we administer and are paid to us by mutual fund and annuity product manufacturers.</w:t>
      </w:r>
    </w:p>
    <w:p>
      <w:pPr>
        <w:spacing w:after="0" w:line="186" w:lineRule="exact"/>
        <w:rPr>
          <w:rFonts w:ascii="Arial" w:cs="Arial" w:eastAsia="Arial" w:hAnsi="Arial"/>
          <w:sz w:val="18"/>
          <w:szCs w:val="18"/>
          <w:color w:val="auto"/>
        </w:rPr>
      </w:pPr>
    </w:p>
    <w:p>
      <w:pPr>
        <w:ind w:left="520" w:right="80" w:hanging="120"/>
        <w:spacing w:after="0" w:line="255"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Transaction and Other Revenues. </w:t>
      </w:r>
      <w:r>
        <w:rPr>
          <w:rFonts w:ascii="Arial" w:cs="Arial" w:eastAsia="Arial" w:hAnsi="Arial"/>
          <w:sz w:val="18"/>
          <w:szCs w:val="18"/>
          <w:color w:val="auto"/>
        </w:rPr>
        <w:t>Revenues earned from transactions and other services provided primarily consist of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and ticket charges, subscription fees, Individual Retirement Account ("IRA") custodian fees, contract and license fees, conference fees and other client account fees. We charge fees to our advisors and their clients for executing certain transactions in brokerage and fee-based advisory accounts. We earn subscription fees for various services provided to our advisors and on IRA custodial services that we provide for their client accounts. We charge monthly administrative fees to our advisors and fees to advisors who subscribe to our reporting services. We charge fees to financial product manufacturers for participating in our training and marketing conferences. In addition, we host certain advisor conferences that serve as training, sales and marketing events, for which we charge a fee for attendance.</w:t>
      </w:r>
    </w:p>
    <w:p>
      <w:pPr>
        <w:spacing w:after="0" w:line="185" w:lineRule="exact"/>
        <w:rPr>
          <w:rFonts w:ascii="Arial" w:cs="Arial" w:eastAsia="Arial" w:hAnsi="Arial"/>
          <w:sz w:val="18"/>
          <w:szCs w:val="18"/>
          <w:color w:val="auto"/>
        </w:rPr>
      </w:pPr>
    </w:p>
    <w:p>
      <w:pPr>
        <w:jc w:val="both"/>
        <w:ind w:left="520" w:right="60" w:hanging="120"/>
        <w:spacing w:after="0" w:line="262"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Other revenue includes marketing re-allowance fees from certain financial product manufacturers, primarily those who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 alternative investments, mark-to-market gains or losses on assets held by us for the advisors' non-qualified deferred compensation plan and our model portfolios, revenues from our retirement partner program, as well as interest income from client margin accounts and cash equivalents, net of operating interest expense and other items.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Expenses</w:t>
      </w:r>
    </w:p>
    <w:p>
      <w:pPr>
        <w:spacing w:after="0" w:line="225" w:lineRule="exact"/>
        <w:rPr>
          <w:sz w:val="20"/>
          <w:szCs w:val="20"/>
          <w:color w:val="auto"/>
        </w:rPr>
      </w:pPr>
    </w:p>
    <w:p>
      <w:pPr>
        <w:ind w:left="520" w:right="100" w:hanging="120"/>
        <w:spacing w:after="0" w:line="255"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Production Expenses. </w:t>
      </w:r>
      <w:r>
        <w:rPr>
          <w:rFonts w:ascii="Arial" w:cs="Arial" w:eastAsia="Arial" w:hAnsi="Arial"/>
          <w:sz w:val="18"/>
          <w:szCs w:val="18"/>
          <w:color w:val="auto"/>
        </w:rPr>
        <w:t>Production expenses are comprised of the following: base payout amounts that are earned by and paid out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advisors based on commission and advisory revenues earned on each client's account (collectively, commission and advisory revenues earned are referred to as gross dealer concessions, or "GDC"); production bonuses earned by advisors based on the levels of commission and advisory revenues they produce; the recognition of share-based compensation expense from stock options and warrants granted to advisors and financial institutions based on the fair value of the awards at each interim reporting period; a mark-to-market gain or loss on amounts designated by advisors as deferred commissions in a non-qualified deferred compensation plan at each interim reporting period; and brokerage, clearing and exchange fees. Our production payout ratio is calculated as production expenses excluding brokerage, clearing and exchange fees, divided by GDC.</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82" w:right="239" w:bottom="1440" w:gutter="0" w:footer="0" w:header="0"/>
        </w:sectPr>
      </w:pPr>
    </w:p>
    <w:bookmarkStart w:id="31" w:name="page32"/>
    <w:bookmarkEnd w:id="31"/>
    <w:p>
      <w:pPr>
        <w:ind w:left="520" w:right="60"/>
        <w:spacing w:after="0" w:line="251" w:lineRule="auto"/>
        <w:rPr>
          <w:sz w:val="20"/>
          <w:szCs w:val="20"/>
          <w:color w:val="auto"/>
        </w:rPr>
      </w:pPr>
      <w:r>
        <w:rPr>
          <w:rFonts w:ascii="Arial" w:cs="Arial" w:eastAsia="Arial" w:hAnsi="Arial"/>
          <w:sz w:val="18"/>
          <w:szCs w:val="18"/>
          <w:color w:val="auto"/>
        </w:rPr>
        <w:t>We characterize components of production payout, which consists of all production expenses except brokerage, clearing and exchange fees, as either GDC sensitive or non-GDC sensitive. Base payout amounts and production bonuses earned by and paid to advisors are characterized as GDC sensitive because they are variable and highly correlated to the level of our commission and advisory revenues in a particular reporting period. Payout characterized as non-GDC sensitive includes share-based compensation expense from stock options and warrants granted to advisors and financial institutions based on the fair value of the awards at each interim reporting period, and mark-to-market gains or losses on amounts designated by advisors as deferred commissions in a non-qualified deferred compensation plan. Non-GDC sensitive payout is correlated to market movement as well as to the value of our stock. We believe that discussion of production payout, viewed in addition to, and not in lieu of, our production expenses, provides useful information to investors regarding our payouts to advisors.</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illustrates production expenses and production payout as components of our payout ratio for the nine months ended</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September 30, 2013:</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Base payout rate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84.04%</w:t>
            </w:r>
          </w:p>
        </w:tc>
        <w:tc>
          <w:tcPr>
            <w:tcW w:w="0" w:type="dxa"/>
            <w:vAlign w:val="bottom"/>
          </w:tcPr>
          <w:p>
            <w:pPr>
              <w:spacing w:after="0"/>
              <w:rPr>
                <w:sz w:val="1"/>
                <w:szCs w:val="1"/>
                <w:color w:val="auto"/>
              </w:rPr>
            </w:pPr>
          </w:p>
        </w:tc>
      </w:tr>
      <w:tr>
        <w:trPr>
          <w:trHeight w:val="250"/>
        </w:trPr>
        <w:tc>
          <w:tcPr>
            <w:tcW w:w="9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Production based bonuses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57"/>
        </w:trPr>
        <w:tc>
          <w:tcPr>
            <w:tcW w:w="9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GDC sensitive payout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86.49%</w:t>
            </w:r>
          </w:p>
        </w:tc>
        <w:tc>
          <w:tcPr>
            <w:tcW w:w="0" w:type="dxa"/>
            <w:vAlign w:val="bottom"/>
          </w:tcPr>
          <w:p>
            <w:pPr>
              <w:spacing w:after="0"/>
              <w:rPr>
                <w:sz w:val="1"/>
                <w:szCs w:val="1"/>
                <w:color w:val="auto"/>
              </w:rPr>
            </w:pPr>
          </w:p>
        </w:tc>
      </w:tr>
      <w:tr>
        <w:trPr>
          <w:trHeight w:val="250"/>
        </w:trPr>
        <w:tc>
          <w:tcPr>
            <w:tcW w:w="9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Non-GDC sensitive payout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57"/>
        </w:trPr>
        <w:tc>
          <w:tcPr>
            <w:tcW w:w="9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Production Payout Ratio</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86.93%</w:t>
            </w:r>
          </w:p>
        </w:tc>
        <w:tc>
          <w:tcPr>
            <w:tcW w:w="0" w:type="dxa"/>
            <w:vAlign w:val="bottom"/>
          </w:tcPr>
          <w:p>
            <w:pPr>
              <w:spacing w:after="0"/>
              <w:rPr>
                <w:sz w:val="1"/>
                <w:szCs w:val="1"/>
                <w:color w:val="auto"/>
              </w:rPr>
            </w:pPr>
          </w:p>
        </w:tc>
      </w:tr>
      <w:tr>
        <w:trPr>
          <w:trHeight w:val="20"/>
        </w:trPr>
        <w:tc>
          <w:tcPr>
            <w:tcW w:w="986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986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9860" w:type="dxa"/>
            <w:vAlign w:val="bottom"/>
          </w:tcPr>
          <w:p>
            <w:pPr>
              <w:ind w:left="80"/>
              <w:spacing w:after="0"/>
              <w:rPr>
                <w:sz w:val="20"/>
                <w:szCs w:val="20"/>
                <w:color w:val="auto"/>
              </w:rPr>
            </w:pPr>
            <w:r>
              <w:rPr>
                <w:rFonts w:ascii="Arial" w:cs="Arial" w:eastAsia="Arial" w:hAnsi="Arial"/>
                <w:sz w:val="18"/>
                <w:szCs w:val="18"/>
                <w:color w:val="auto"/>
              </w:rPr>
              <w:t>See "Results of Operations" for analysis of the production payout ratio for the comparable period in 2012.</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20" w:right="400" w:hanging="120"/>
        <w:spacing w:after="0" w:line="269" w:lineRule="auto"/>
        <w:tabs>
          <w:tab w:leader="none" w:pos="520" w:val="left"/>
        </w:tabs>
        <w:numPr>
          <w:ilvl w:val="1"/>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Compensation and Benefits Expense. </w:t>
      </w:r>
      <w:r>
        <w:rPr>
          <w:rFonts w:ascii="Arial" w:cs="Arial" w:eastAsia="Arial" w:hAnsi="Arial"/>
          <w:sz w:val="18"/>
          <w:szCs w:val="18"/>
          <w:color w:val="auto"/>
        </w:rPr>
        <w:t>Compensation and benefits expense includes salaries and wages and related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and taxes for our employees (including share-based compensation), as well as compensation for temporary employees and consultants.</w:t>
      </w:r>
    </w:p>
    <w:p>
      <w:pPr>
        <w:spacing w:after="0" w:line="168" w:lineRule="exact"/>
        <w:rPr>
          <w:rFonts w:ascii="Arial" w:cs="Arial" w:eastAsia="Arial" w:hAnsi="Arial"/>
          <w:sz w:val="18"/>
          <w:szCs w:val="18"/>
          <w:color w:val="auto"/>
        </w:rPr>
      </w:pPr>
    </w:p>
    <w:p>
      <w:pPr>
        <w:ind w:left="520" w:right="160" w:hanging="120"/>
        <w:spacing w:after="0" w:line="269" w:lineRule="auto"/>
        <w:tabs>
          <w:tab w:leader="none" w:pos="520" w:val="left"/>
        </w:tabs>
        <w:numPr>
          <w:ilvl w:val="1"/>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include promotional fees, occupancy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and data processing, regulatory fees, professional services and other expenses. General and administrative expenses also include expenses for our hosting of certain advisor conferences that serve as training, sales and marketing events.</w:t>
      </w:r>
    </w:p>
    <w:p>
      <w:pPr>
        <w:spacing w:after="0" w:line="168" w:lineRule="exact"/>
        <w:rPr>
          <w:rFonts w:ascii="Arial" w:cs="Arial" w:eastAsia="Arial" w:hAnsi="Arial"/>
          <w:sz w:val="18"/>
          <w:szCs w:val="18"/>
          <w:color w:val="auto"/>
        </w:rPr>
      </w:pPr>
    </w:p>
    <w:p>
      <w:pPr>
        <w:ind w:left="520" w:right="60" w:hanging="120"/>
        <w:spacing w:after="0" w:line="269" w:lineRule="auto"/>
        <w:tabs>
          <w:tab w:leader="none" w:pos="520" w:val="left"/>
        </w:tabs>
        <w:numPr>
          <w:ilvl w:val="1"/>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Depreciation and Amortization Expense. </w:t>
      </w:r>
      <w:r>
        <w:rPr>
          <w:rFonts w:ascii="Arial" w:cs="Arial" w:eastAsia="Arial" w:hAnsi="Arial"/>
          <w:sz w:val="18"/>
          <w:szCs w:val="18"/>
          <w:color w:val="auto"/>
        </w:rPr>
        <w:t>Depreciation and amortization expense represents the benefits received for using long-lived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Those assets consist of significant intangible assets established through our acquisitions, as well as fixed assets which include internally developed software, hardware, leasehold improvements and other equipment.</w:t>
      </w:r>
    </w:p>
    <w:p>
      <w:pPr>
        <w:spacing w:after="0" w:line="168" w:lineRule="exact"/>
        <w:rPr>
          <w:rFonts w:ascii="Arial" w:cs="Arial" w:eastAsia="Arial" w:hAnsi="Arial"/>
          <w:sz w:val="18"/>
          <w:szCs w:val="18"/>
          <w:color w:val="auto"/>
        </w:rPr>
      </w:pPr>
    </w:p>
    <w:p>
      <w:pPr>
        <w:ind w:left="500" w:right="80" w:hanging="168"/>
        <w:spacing w:after="0" w:line="259"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Restructuring Charges. </w:t>
      </w:r>
      <w:r>
        <w:rPr>
          <w:rFonts w:ascii="Arial" w:cs="Arial" w:eastAsia="Arial" w:hAnsi="Arial"/>
          <w:sz w:val="18"/>
          <w:szCs w:val="18"/>
          <w:color w:val="auto"/>
        </w:rPr>
        <w:t>Restructuring charges primarily represent expenses incurred as a result of our expansion of our Service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 announced in 2013 (see Note 3 in the unaudited condensed consolidated financial statements). Restructuring charges also include costs arising from our 2011 consolidation of UVEST Financial Services Group, Inc. ("UVEST") and our 2009 consolidation of Mutual Service Corporation, Associated Financial Group, Inc., Associated Securities Corp., Associated Planners Investment Advisory, Inc. and Waterstone Financial Group, Inc. (collectively referred to herein as the “Affiliated Entities”).</w:t>
      </w:r>
    </w:p>
    <w:p>
      <w:pPr>
        <w:spacing w:after="0" w:line="179" w:lineRule="exact"/>
        <w:rPr>
          <w:rFonts w:ascii="Arial" w:cs="Arial" w:eastAsia="Arial" w:hAnsi="Arial"/>
          <w:sz w:val="18"/>
          <w:szCs w:val="18"/>
          <w:color w:val="auto"/>
        </w:rPr>
      </w:pPr>
    </w:p>
    <w:p>
      <w:pPr>
        <w:ind w:left="520" w:right="220" w:hanging="120"/>
        <w:spacing w:after="0" w:line="256" w:lineRule="auto"/>
        <w:tabs>
          <w:tab w:leader="none" w:pos="520" w:val="left"/>
        </w:tabs>
        <w:numPr>
          <w:ilvl w:val="1"/>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Expenses. </w:t>
      </w:r>
      <w:r>
        <w:rPr>
          <w:rFonts w:ascii="Arial" w:cs="Arial" w:eastAsia="Arial" w:hAnsi="Arial"/>
          <w:sz w:val="18"/>
          <w:szCs w:val="18"/>
          <w:color w:val="auto"/>
        </w:rPr>
        <w:t>Other expenses represent charges incurred arising from the shutdown of our subsidiary NestWise, which ceased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in the third quarter of 2013 (the "NestWise Closure"). The assets and liabilities acquired through the 2012 acquisition of Veritat Advisors Inc. ("Veritat") were held at NestWise as a result of a merger of Veritat into NestWise. In connection with the NestWise Closure, we determined that a majority of the assets held at NestWise, consisting primarily of goodwill and fixed assets, had no future economic benefit. Accordingly, the carrying values of goodwill and fixed assets were derecognized during the third quarter of 2013. Additionally, we revised our estimate of the potential payment obligation that we may be required to pay the former shareholders of Veritat, which resulted in a reduction of the contingent consideration obligation.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8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How We Evaluate Our Business</w:t>
      </w:r>
    </w:p>
    <w:p>
      <w:pPr>
        <w:spacing w:after="0" w:line="247"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We focus on several business and key financial metrics in evaluating the success of our business relationships and our resulting financial position and operating performance. Our business and key financial metrics as of and for the three and nine months ended September 30, 2013 and 2012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gridSpan w:val="5"/>
          </w:tcPr>
          <w:p>
            <w:pPr>
              <w:ind w:left="340"/>
              <w:spacing w:after="0"/>
              <w:rPr>
                <w:sz w:val="20"/>
                <w:szCs w:val="20"/>
                <w:color w:val="auto"/>
              </w:rPr>
            </w:pPr>
            <w:r>
              <w:rPr>
                <w:rFonts w:ascii="Arial" w:cs="Arial" w:eastAsia="Arial" w:hAnsi="Arial"/>
                <w:sz w:val="16"/>
                <w:szCs w:val="16"/>
                <w:b w:val="1"/>
                <w:bCs w:val="1"/>
                <w:color w:val="auto"/>
              </w:rPr>
              <w:t>As of September 30,</w:t>
            </w:r>
          </w:p>
        </w:tc>
        <w:tc>
          <w:tcPr>
            <w:tcW w:w="1440" w:type="dxa"/>
            <w:vAlign w:val="bottom"/>
          </w:tcPr>
          <w:p>
            <w:pPr>
              <w:spacing w:after="0"/>
              <w:rPr>
                <w:sz w:val="19"/>
                <w:szCs w:val="19"/>
                <w:color w:val="auto"/>
              </w:rPr>
            </w:pPr>
          </w:p>
        </w:tc>
      </w:tr>
      <w:tr>
        <w:trPr>
          <w:trHeight w:val="264"/>
        </w:trPr>
        <w:tc>
          <w:tcPr>
            <w:tcW w:w="70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 Change</w:t>
            </w:r>
          </w:p>
        </w:tc>
      </w:tr>
      <w:tr>
        <w:trPr>
          <w:trHeight w:val="385"/>
        </w:trPr>
        <w:tc>
          <w:tcPr>
            <w:tcW w:w="7020" w:type="dxa"/>
            <w:vAlign w:val="bottom"/>
          </w:tcPr>
          <w:p>
            <w:pPr>
              <w:ind w:left="80"/>
              <w:spacing w:after="0"/>
              <w:rPr>
                <w:sz w:val="20"/>
                <w:szCs w:val="20"/>
                <w:color w:val="auto"/>
              </w:rPr>
            </w:pPr>
            <w:r>
              <w:rPr>
                <w:rFonts w:ascii="Arial" w:cs="Arial" w:eastAsia="Arial" w:hAnsi="Arial"/>
                <w:sz w:val="18"/>
                <w:szCs w:val="18"/>
                <w:b w:val="1"/>
                <w:bCs w:val="1"/>
                <w:color w:val="auto"/>
              </w:rPr>
              <w:t xml:space="preserve">Business Metrics </w:t>
            </w:r>
            <w:r>
              <w:rPr>
                <w:rFonts w:ascii="Arial" w:cs="Arial" w:eastAsia="Arial" w:hAnsi="Arial"/>
                <w:sz w:val="16"/>
                <w:szCs w:val="16"/>
                <w:b w:val="1"/>
                <w:bCs w:val="1"/>
                <w:color w:val="auto"/>
              </w:rPr>
              <w:t>(unaudited)</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7"/>
        </w:trPr>
        <w:tc>
          <w:tcPr>
            <w:tcW w:w="7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Advisors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13,563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13,170</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63"/>
        </w:trPr>
        <w:tc>
          <w:tcPr>
            <w:tcW w:w="7020" w:type="dxa"/>
            <w:vAlign w:val="bottom"/>
          </w:tcPr>
          <w:p>
            <w:pPr>
              <w:ind w:left="80"/>
              <w:spacing w:after="0"/>
              <w:rPr>
                <w:sz w:val="20"/>
                <w:szCs w:val="20"/>
                <w:color w:val="auto"/>
              </w:rPr>
            </w:pPr>
            <w:r>
              <w:rPr>
                <w:rFonts w:ascii="Arial" w:cs="Arial" w:eastAsia="Arial" w:hAnsi="Arial"/>
                <w:sz w:val="18"/>
                <w:szCs w:val="18"/>
                <w:color w:val="auto"/>
              </w:rPr>
              <w:t>Advisory and brokerage assets (in billions)(1)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371.4</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7"/>
        </w:trPr>
        <w:tc>
          <w:tcPr>
            <w:tcW w:w="7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Advisory assets under custody (in billions)(2)(3)</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141.1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63"/>
        </w:trPr>
        <w:tc>
          <w:tcPr>
            <w:tcW w:w="7020" w:type="dxa"/>
            <w:vAlign w:val="bottom"/>
          </w:tcPr>
          <w:p>
            <w:pPr>
              <w:ind w:left="80"/>
              <w:spacing w:after="0"/>
              <w:rPr>
                <w:sz w:val="20"/>
                <w:szCs w:val="20"/>
                <w:color w:val="auto"/>
              </w:rPr>
            </w:pPr>
            <w:r>
              <w:rPr>
                <w:rFonts w:ascii="Arial" w:cs="Arial" w:eastAsia="Arial" w:hAnsi="Arial"/>
                <w:sz w:val="18"/>
                <w:szCs w:val="18"/>
                <w:color w:val="auto"/>
              </w:rPr>
              <w:t>Net new advisory assets (in billions)(4)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77"/>
        </w:trPr>
        <w:tc>
          <w:tcPr>
            <w:tcW w:w="7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Insured cash account balances (in billions)(3)</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57"/>
        </w:trPr>
        <w:tc>
          <w:tcPr>
            <w:tcW w:w="7020" w:type="dxa"/>
            <w:vAlign w:val="bottom"/>
          </w:tcPr>
          <w:p>
            <w:pPr>
              <w:ind w:left="80"/>
              <w:spacing w:after="0"/>
              <w:rPr>
                <w:sz w:val="20"/>
                <w:szCs w:val="20"/>
                <w:color w:val="auto"/>
              </w:rPr>
            </w:pPr>
            <w:r>
              <w:rPr>
                <w:rFonts w:ascii="Arial" w:cs="Arial" w:eastAsia="Arial" w:hAnsi="Arial"/>
                <w:sz w:val="18"/>
                <w:szCs w:val="18"/>
                <w:color w:val="auto"/>
              </w:rPr>
              <w:t>Money market account balances (in billions)(3)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w:t>
            </w:r>
          </w:p>
        </w:tc>
      </w:tr>
    </w:tbl>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Arial" w:cs="Arial" w:eastAsia="Arial" w:hAnsi="Arial"/>
                <w:sz w:val="16"/>
                <w:szCs w:val="16"/>
                <w:b w:val="1"/>
                <w:bCs w:val="1"/>
                <w:color w:val="auto"/>
              </w:rPr>
              <w:t>For the Three Months Ended</w:t>
            </w:r>
          </w:p>
        </w:tc>
        <w:tc>
          <w:tcPr>
            <w:tcW w:w="300" w:type="dxa"/>
            <w:vAlign w:val="bottom"/>
          </w:tcPr>
          <w:p>
            <w:pPr>
              <w:spacing w:after="0"/>
              <w:rPr>
                <w:sz w:val="16"/>
                <w:szCs w:val="16"/>
                <w:color w:val="auto"/>
              </w:rPr>
            </w:pPr>
          </w:p>
        </w:tc>
        <w:tc>
          <w:tcPr>
            <w:tcW w:w="268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rPr>
              <w:t>For the Nine Months Ended</w:t>
            </w:r>
          </w:p>
        </w:tc>
      </w:tr>
      <w:tr>
        <w:trPr>
          <w:trHeight w:val="228"/>
        </w:trPr>
        <w:tc>
          <w:tcPr>
            <w:tcW w:w="5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64"/>
        </w:trPr>
        <w:tc>
          <w:tcPr>
            <w:tcW w:w="53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w w:val="95"/>
              </w:rPr>
              <w:t>2012</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w w:val="95"/>
              </w:rPr>
              <w:t>2012</w:t>
            </w:r>
          </w:p>
        </w:tc>
      </w:tr>
      <w:tr>
        <w:trPr>
          <w:trHeight w:val="385"/>
        </w:trPr>
        <w:tc>
          <w:tcPr>
            <w:tcW w:w="5360" w:type="dxa"/>
            <w:vAlign w:val="bottom"/>
          </w:tcPr>
          <w:p>
            <w:pPr>
              <w:ind w:left="80"/>
              <w:spacing w:after="0"/>
              <w:rPr>
                <w:sz w:val="20"/>
                <w:szCs w:val="20"/>
                <w:color w:val="auto"/>
              </w:rPr>
            </w:pPr>
            <w:r>
              <w:rPr>
                <w:rFonts w:ascii="Arial" w:cs="Arial" w:eastAsia="Arial" w:hAnsi="Arial"/>
                <w:sz w:val="18"/>
                <w:szCs w:val="18"/>
                <w:b w:val="1"/>
                <w:bCs w:val="1"/>
                <w:color w:val="auto"/>
              </w:rPr>
              <w:t xml:space="preserve">Financial Metrics </w:t>
            </w:r>
            <w:r>
              <w:rPr>
                <w:rFonts w:ascii="Arial" w:cs="Arial" w:eastAsia="Arial" w:hAnsi="Arial"/>
                <w:sz w:val="16"/>
                <w:szCs w:val="16"/>
                <w:b w:val="1"/>
                <w:bCs w:val="1"/>
                <w:color w:val="auto"/>
              </w:rPr>
              <w:t>(unaudited)</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7"/>
        </w:trPr>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 growth from prior period</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63"/>
        </w:trPr>
        <w:tc>
          <w:tcPr>
            <w:tcW w:w="5360" w:type="dxa"/>
            <w:vAlign w:val="bottom"/>
          </w:tcPr>
          <w:p>
            <w:pPr>
              <w:ind w:left="200"/>
              <w:spacing w:after="0"/>
              <w:rPr>
                <w:sz w:val="20"/>
                <w:szCs w:val="20"/>
                <w:color w:val="auto"/>
              </w:rPr>
            </w:pPr>
            <w:r>
              <w:rPr>
                <w:rFonts w:ascii="Arial" w:cs="Arial" w:eastAsia="Arial" w:hAnsi="Arial"/>
                <w:sz w:val="18"/>
                <w:szCs w:val="18"/>
                <w:color w:val="auto"/>
              </w:rPr>
              <w:t>Recurring revenue as a % of net revenue(5)</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65.2%</w:t>
            </w:r>
          </w:p>
        </w:tc>
      </w:tr>
      <w:tr>
        <w:trPr>
          <w:trHeight w:val="277"/>
        </w:trPr>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(in millions)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115.0</w:t>
            </w:r>
          </w:p>
        </w:tc>
      </w:tr>
      <w:tr>
        <w:trPr>
          <w:trHeight w:val="263"/>
        </w:trPr>
        <w:tc>
          <w:tcPr>
            <w:tcW w:w="5360" w:type="dxa"/>
            <w:vAlign w:val="bottom"/>
          </w:tcPr>
          <w:p>
            <w:pPr>
              <w:ind w:left="200"/>
              <w:spacing w:after="0"/>
              <w:rPr>
                <w:sz w:val="20"/>
                <w:szCs w:val="20"/>
                <w:color w:val="auto"/>
              </w:rPr>
            </w:pPr>
            <w:r>
              <w:rPr>
                <w:rFonts w:ascii="Arial" w:cs="Arial" w:eastAsia="Arial" w:hAnsi="Arial"/>
                <w:sz w:val="18"/>
                <w:szCs w:val="18"/>
                <w:color w:val="auto"/>
              </w:rPr>
              <w:t>Earnings per share (diluted)</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2"/>
                <w:szCs w:val="22"/>
                <w:color w:val="auto"/>
              </w:rPr>
            </w:pP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2"/>
                <w:szCs w:val="22"/>
                <w:color w:val="auto"/>
              </w:rPr>
            </w:pP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1.02</w:t>
            </w:r>
          </w:p>
        </w:tc>
      </w:tr>
      <w:tr>
        <w:trPr>
          <w:trHeight w:val="277"/>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Non-GAAP Measures:</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3"/>
        </w:trPr>
        <w:tc>
          <w:tcPr>
            <w:tcW w:w="5360" w:type="dxa"/>
            <w:vAlign w:val="bottom"/>
          </w:tcPr>
          <w:p>
            <w:pPr>
              <w:ind w:left="200"/>
              <w:spacing w:after="0"/>
              <w:rPr>
                <w:sz w:val="20"/>
                <w:szCs w:val="20"/>
                <w:color w:val="auto"/>
              </w:rPr>
            </w:pPr>
            <w:r>
              <w:rPr>
                <w:rFonts w:ascii="Arial" w:cs="Arial" w:eastAsia="Arial" w:hAnsi="Arial"/>
                <w:sz w:val="18"/>
                <w:szCs w:val="18"/>
                <w:color w:val="auto"/>
              </w:rPr>
              <w:t>Gross margin (in millions)(6)</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317.0</w:t>
            </w:r>
          </w:p>
        </w:tc>
        <w:tc>
          <w:tcPr>
            <w:tcW w:w="100" w:type="dxa"/>
            <w:vAlign w:val="bottom"/>
          </w:tcPr>
          <w:p>
            <w:pPr>
              <w:spacing w:after="0"/>
              <w:rPr>
                <w:sz w:val="22"/>
                <w:szCs w:val="22"/>
                <w:color w:val="auto"/>
              </w:rPr>
            </w:pP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277.1</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927.9</w:t>
            </w:r>
          </w:p>
        </w:tc>
        <w:tc>
          <w:tcPr>
            <w:tcW w:w="100" w:type="dxa"/>
            <w:vAlign w:val="bottom"/>
          </w:tcPr>
          <w:p>
            <w:pPr>
              <w:spacing w:after="0"/>
              <w:rPr>
                <w:sz w:val="22"/>
                <w:szCs w:val="22"/>
                <w:color w:val="auto"/>
              </w:rPr>
            </w:pP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829.7</w:t>
            </w:r>
          </w:p>
        </w:tc>
      </w:tr>
      <w:tr>
        <w:trPr>
          <w:trHeight w:val="277"/>
        </w:trPr>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 as a % of net revenue(6)</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63"/>
        </w:trPr>
        <w:tc>
          <w:tcPr>
            <w:tcW w:w="5360" w:type="dxa"/>
            <w:vAlign w:val="bottom"/>
          </w:tcPr>
          <w:p>
            <w:pPr>
              <w:ind w:left="200"/>
              <w:spacing w:after="0"/>
              <w:rPr>
                <w:sz w:val="20"/>
                <w:szCs w:val="20"/>
                <w:color w:val="auto"/>
              </w:rPr>
            </w:pPr>
            <w:r>
              <w:rPr>
                <w:rFonts w:ascii="Arial" w:cs="Arial" w:eastAsia="Arial" w:hAnsi="Arial"/>
                <w:sz w:val="18"/>
                <w:szCs w:val="18"/>
                <w:color w:val="auto"/>
              </w:rPr>
              <w:t>Adjusted EBITDA (in millions)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2"/>
                <w:szCs w:val="22"/>
                <w:color w:val="auto"/>
              </w:rPr>
            </w:pP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387.2</w:t>
            </w:r>
          </w:p>
        </w:tc>
        <w:tc>
          <w:tcPr>
            <w:tcW w:w="100" w:type="dxa"/>
            <w:vAlign w:val="bottom"/>
          </w:tcPr>
          <w:p>
            <w:pPr>
              <w:spacing w:after="0"/>
              <w:rPr>
                <w:sz w:val="22"/>
                <w:szCs w:val="22"/>
                <w:color w:val="auto"/>
              </w:rPr>
            </w:pP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344.5</w:t>
            </w:r>
          </w:p>
        </w:tc>
      </w:tr>
      <w:tr>
        <w:trPr>
          <w:trHeight w:val="277"/>
        </w:trPr>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Adjusted EBITDA as a % of net revenue</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63"/>
        </w:trPr>
        <w:tc>
          <w:tcPr>
            <w:tcW w:w="5360" w:type="dxa"/>
            <w:vAlign w:val="bottom"/>
          </w:tcPr>
          <w:p>
            <w:pPr>
              <w:ind w:left="200"/>
              <w:spacing w:after="0"/>
              <w:rPr>
                <w:sz w:val="20"/>
                <w:szCs w:val="20"/>
                <w:color w:val="auto"/>
              </w:rPr>
            </w:pPr>
            <w:r>
              <w:rPr>
                <w:rFonts w:ascii="Arial" w:cs="Arial" w:eastAsia="Arial" w:hAnsi="Arial"/>
                <w:sz w:val="18"/>
                <w:szCs w:val="18"/>
                <w:color w:val="auto"/>
              </w:rPr>
              <w:t>Adjusted EBITDA as a % of gross margin(6)</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77"/>
        </w:trPr>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Adjusted Earnings (in millions)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193.6</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171.2</w:t>
            </w:r>
          </w:p>
        </w:tc>
      </w:tr>
      <w:tr>
        <w:trPr>
          <w:trHeight w:val="257"/>
        </w:trPr>
        <w:tc>
          <w:tcPr>
            <w:tcW w:w="5360" w:type="dxa"/>
            <w:vAlign w:val="bottom"/>
          </w:tcPr>
          <w:p>
            <w:pPr>
              <w:ind w:left="200"/>
              <w:spacing w:after="0"/>
              <w:rPr>
                <w:sz w:val="20"/>
                <w:szCs w:val="20"/>
                <w:color w:val="auto"/>
              </w:rPr>
            </w:pPr>
            <w:r>
              <w:rPr>
                <w:rFonts w:ascii="Arial" w:cs="Arial" w:eastAsia="Arial" w:hAnsi="Arial"/>
                <w:sz w:val="18"/>
                <w:szCs w:val="18"/>
                <w:color w:val="auto"/>
              </w:rPr>
              <w:t>Adjusted Earnings per share (diluted)</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2"/>
                <w:szCs w:val="22"/>
                <w:color w:val="auto"/>
              </w:rPr>
            </w:pP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2"/>
                <w:szCs w:val="22"/>
                <w:color w:val="auto"/>
              </w:rPr>
            </w:pP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1.52</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____________</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ind w:left="660" w:right="40" w:hanging="328"/>
        <w:spacing w:after="0" w:line="251"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Advisory and brokerage assets are comprised of assets that are custodied, networked and non-networked and reflect market movement in addition to new assets, inclusive of new business development and net of attrition. Such totals do not include the market value of certain other client assets as of September 30, 2013 and 2012, comprised of $56.6 billion and $41.6 billion, respectively, held in retirement plans supported by advisors licensed with LPL Financial, $12.0 billion and $11.1 billion, respectively, of trust assets supported by Concord Capital Partners ("Concord") and $69.3 billion and $58.7 billion, respectively, of assets supported by Fortigent Holdings Company, Inc. through its subsidiaries. During the third quarter of 2013, we added reporting feeds for four third-party providers with approximately $1.7 billion assets in retirement plans served to our reported retirement plan assets. At September 30, 2013 and 2012, our reported retirement plan assets represent assets that are custodied with 30 third-party providers and 26 third-party providers, respectively, of retirement plan administrative services who provide reporting feeds. We estimate the total assets in retirement plans served to be between $80.0 billion and $95.0 billion at September 30, 2013 and between $65.0 billion and $80.0 billion at September 30, 2012. If we receive reporting feeds in the future from providers for whom we do not currently receive feeds, we intend to include and identify such additional assets.</w:t>
      </w:r>
    </w:p>
    <w:p>
      <w:pPr>
        <w:spacing w:after="0" w:line="103" w:lineRule="exact"/>
        <w:rPr>
          <w:rFonts w:ascii="Arial" w:cs="Arial" w:eastAsia="Arial" w:hAnsi="Arial"/>
          <w:sz w:val="18"/>
          <w:szCs w:val="18"/>
          <w:color w:val="auto"/>
        </w:rPr>
      </w:pPr>
    </w:p>
    <w:p>
      <w:pPr>
        <w:ind w:left="660" w:right="220" w:hanging="328"/>
        <w:spacing w:after="0" w:line="256"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Advisory assets under custody are comprised of advisory assets under management in our corporate RIA platform, and Independent RIA assets in advisory accounts custodied by us. See "Results of Operations" for a tabular presentation of advisory assets under custody.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0" w:right="239" w:bottom="1440" w:gutter="0" w:footer="0" w:header="0"/>
        </w:sectPr>
      </w:pPr>
    </w:p>
    <w:bookmarkStart w:id="33" w:name="page34"/>
    <w:bookmarkEnd w:id="33"/>
    <w:p>
      <w:pPr>
        <w:ind w:left="660" w:right="80" w:hanging="328"/>
        <w:spacing w:after="0" w:line="26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Advisory assets under custody, insured cash account balances and money market account balances are components of advisory and brokerage assets.</w:t>
      </w:r>
    </w:p>
    <w:p>
      <w:pPr>
        <w:spacing w:after="0" w:line="88"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net new advisory assets consisting of funds from new accounts and additional funds deposited into existing advisory accounts that are custodied in our fee-based advisory platforms. Net new advisory assets for the three months ended September 30, 2013 and 2012 were $4.0 billion and $2.9 billion, respectively.</w:t>
      </w:r>
    </w:p>
    <w:p>
      <w:pPr>
        <w:spacing w:after="0" w:line="93" w:lineRule="exact"/>
        <w:rPr>
          <w:rFonts w:ascii="Arial" w:cs="Arial" w:eastAsia="Arial" w:hAnsi="Arial"/>
          <w:sz w:val="18"/>
          <w:szCs w:val="18"/>
          <w:color w:val="auto"/>
        </w:rPr>
      </w:pPr>
    </w:p>
    <w:p>
      <w:pPr>
        <w:jc w:val="both"/>
        <w:ind w:left="660" w:right="340" w:hanging="328"/>
        <w:spacing w:after="0" w:line="25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Recurring revenue, which is a characterization of net revenue and a statistical measure, is derived from sources such as advisory revenues, asset-based revenues, trailing commission revenues, revenues related to our cash sweep programs, interest earned on margin accounts and technology and service revenues, and is not meant as a substitute for net revenues.</w:t>
      </w:r>
    </w:p>
    <w:p>
      <w:pPr>
        <w:spacing w:after="0" w:line="93" w:lineRule="exact"/>
        <w:rPr>
          <w:rFonts w:ascii="Arial" w:cs="Arial" w:eastAsia="Arial" w:hAnsi="Arial"/>
          <w:sz w:val="18"/>
          <w:szCs w:val="18"/>
          <w:color w:val="auto"/>
        </w:rPr>
      </w:pPr>
    </w:p>
    <w:p>
      <w:pPr>
        <w:ind w:left="660" w:right="20" w:hanging="328"/>
        <w:spacing w:after="0" w:line="25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Gross margin is calculated as net revenues less production expenses. Production expenses consist of the following expense categories from our unaudited condensed consolidated statements of income: (i) commission and advisory and (ii) brokerage, clearing and exchange. All other expense categories, including depreciation and amortization, are considered general and administrative in nature. As our gross margin amounts do not include any depreciation and amortization expense, we consider our gross margin amounts to be non-GAAP measures that may not be comparable to those of others in our industry.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47"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Adjusted EBITDA is defined as EBITDA (net income plus interest expense, income tax expense, depreciation and amortization), further adjusted to exclude certain non-cash charges and other adjustments set forth below. We present Adjusted EBITDA because we consider it an important measure of our performance. Adjusted EBITDA is a useful financial metric in assessing our operating performance from period to period because it excludes certain items that we believe are not representative of our core business, such as certain material non-cash items and other adjustments.</w:t>
      </w:r>
    </w:p>
    <w:p>
      <w:pPr>
        <w:spacing w:after="0" w:line="206"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We believe that Adjusted EBITDA, viewed in addition to, and not in lieu of, our reported GAAP results, provides useful information to investors regarding our performance and overall results of operations due to the following exclusions:</w:t>
      </w:r>
    </w:p>
    <w:p>
      <w:pPr>
        <w:spacing w:after="0" w:line="196" w:lineRule="exact"/>
        <w:rPr>
          <w:sz w:val="20"/>
          <w:szCs w:val="20"/>
          <w:color w:val="auto"/>
        </w:rPr>
      </w:pPr>
    </w:p>
    <w:p>
      <w:pPr>
        <w:ind w:left="520" w:right="260" w:hanging="120"/>
        <w:spacing w:after="0" w:line="256"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because non-cash equity grants made to employees, officers and non-employee directors at a certain price and point in time do not necessarily reflect how our business is performing at any particular time, the related share-based compensation expense is not a key measure of our current operating performance and</w:t>
      </w:r>
    </w:p>
    <w:p>
      <w:pPr>
        <w:spacing w:after="0" w:line="201" w:lineRule="exact"/>
        <w:rPr>
          <w:rFonts w:ascii="Arial" w:cs="Arial" w:eastAsia="Arial" w:hAnsi="Arial"/>
          <w:sz w:val="18"/>
          <w:szCs w:val="18"/>
          <w:color w:val="auto"/>
        </w:rPr>
      </w:pPr>
    </w:p>
    <w:p>
      <w:pPr>
        <w:ind w:left="520" w:hanging="120"/>
        <w:spacing w:after="0" w:line="256"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because costs associated with acquisitions and the resulting integrations, debt refinancing and restructuring and conversions costs can vary from period to period and transaction to transaction, expenses associated with these activities are not considered a key measure of our operating performance.</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use Adjusted EBITDA:</w:t>
      </w:r>
    </w:p>
    <w:p>
      <w:pPr>
        <w:spacing w:after="0" w:line="225" w:lineRule="exact"/>
        <w:rPr>
          <w:sz w:val="20"/>
          <w:szCs w:val="20"/>
          <w:color w:val="auto"/>
        </w:rPr>
      </w:pPr>
    </w:p>
    <w:p>
      <w:pPr>
        <w:ind w:left="520" w:hanging="120"/>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a measure of operating performance;</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budgets and forecasts;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evaluate the effectiveness of our business strategies;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communications with our board of directors (the "Board of Directors") concerning our financial performance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a factor in determining employee and executive bonuses.</w:t>
      </w:r>
    </w:p>
    <w:p>
      <w:pPr>
        <w:spacing w:after="0" w:line="225"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Adjusted EBITDA is a non-GAAP measure and does not purport to be an alternative to net income as a measure of operating performance or to cash flows from operating activities as a measure of liquidity. Adjusted EBITDA is not a measure of net income, operating income or any other performance measure derived in accordance with GAAP.</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382" w:right="319" w:bottom="1440" w:gutter="0" w:footer="0" w:header="0"/>
        </w:sectPr>
      </w:pPr>
    </w:p>
    <w:bookmarkStart w:id="34" w:name="page35"/>
    <w:bookmarkEnd w:id="34"/>
    <w:p>
      <w:pPr>
        <w:ind w:right="500" w:firstLine="486"/>
        <w:spacing w:after="0" w:line="262" w:lineRule="auto"/>
        <w:rPr>
          <w:sz w:val="20"/>
          <w:szCs w:val="20"/>
          <w:color w:val="auto"/>
        </w:rPr>
      </w:pPr>
      <w:r>
        <w:rPr>
          <w:rFonts w:ascii="Arial" w:cs="Arial" w:eastAsia="Arial" w:hAnsi="Arial"/>
          <w:sz w:val="18"/>
          <w:szCs w:val="18"/>
          <w:color w:val="auto"/>
        </w:rPr>
        <w:t>Adjusted EBITDA has limitations as an analytical tool and should not be considered in isolation or as a substitute for analysis of our results as reported under GAAP. Some of these limitations are:</w:t>
      </w:r>
    </w:p>
    <w:p>
      <w:pPr>
        <w:spacing w:after="0" w:line="196" w:lineRule="exact"/>
        <w:rPr>
          <w:sz w:val="20"/>
          <w:szCs w:val="20"/>
          <w:color w:val="auto"/>
        </w:rPr>
      </w:pPr>
    </w:p>
    <w:p>
      <w:pPr>
        <w:ind w:left="520" w:hanging="120"/>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Adjusted EBITDA does not reflect all cash expenditures, future requirements for capital expenditures or contractual commitments;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225" w:lineRule="exact"/>
        <w:rPr>
          <w:rFonts w:ascii="Arial" w:cs="Arial" w:eastAsia="Arial" w:hAnsi="Arial"/>
          <w:sz w:val="18"/>
          <w:szCs w:val="18"/>
          <w:color w:val="auto"/>
        </w:rPr>
      </w:pPr>
    </w:p>
    <w:p>
      <w:pPr>
        <w:ind w:left="520" w:right="340" w:hanging="120"/>
        <w:spacing w:after="0" w:line="262"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Adjusted EBITDA does not reflect the significant interest expense, or the cash requirements necessary to service interest or principal payments, on our debt and</w:t>
      </w:r>
    </w:p>
    <w:p>
      <w:pPr>
        <w:spacing w:after="0" w:line="196" w:lineRule="exact"/>
        <w:rPr>
          <w:rFonts w:ascii="Arial" w:cs="Arial" w:eastAsia="Arial" w:hAnsi="Arial"/>
          <w:sz w:val="18"/>
          <w:szCs w:val="18"/>
          <w:color w:val="auto"/>
        </w:rPr>
      </w:pPr>
    </w:p>
    <w:p>
      <w:pPr>
        <w:ind w:left="520" w:right="340" w:hanging="120"/>
        <w:spacing w:after="0" w:line="291"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Adjusted EBITDA can differ significantly from company to company depending on long-term strategic decisions regarding capital structure, the tax jurisdictions in which companies operate and capital investments, limiting its usefulness as a comparative measure.</w:t>
      </w:r>
    </w:p>
    <w:p>
      <w:pPr>
        <w:spacing w:after="0" w:line="174"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Adjusted EBITDA should not be considered as a measure of discretionary cash available to us to invest in our business. We compensate for its limitations by relying primarily on the GAAP results and using Adjusted EBITDA as supplemental information.</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 forth below is a reconciliation from our net income to Adjusted EBITDA, a non-GAAP measure, for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and 2012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For the Three Months Ended</w:t>
            </w:r>
          </w:p>
        </w:tc>
        <w:tc>
          <w:tcPr>
            <w:tcW w:w="360" w:type="dxa"/>
            <w:vAlign w:val="bottom"/>
          </w:tcPr>
          <w:p>
            <w:pPr>
              <w:spacing w:after="0"/>
              <w:rPr>
                <w:sz w:val="16"/>
                <w:szCs w:val="16"/>
                <w:color w:val="auto"/>
              </w:rPr>
            </w:pPr>
          </w:p>
        </w:tc>
        <w:tc>
          <w:tcPr>
            <w:tcW w:w="2500" w:type="dxa"/>
            <w:vAlign w:val="bottom"/>
            <w:gridSpan w:val="4"/>
          </w:tcPr>
          <w:p>
            <w:pPr>
              <w:jc w:val="right"/>
              <w:ind w:right="271"/>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28"/>
        </w:trPr>
        <w:tc>
          <w:tcPr>
            <w:tcW w:w="5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9"/>
                <w:szCs w:val="19"/>
                <w:color w:val="auto"/>
              </w:rPr>
            </w:pPr>
          </w:p>
        </w:tc>
        <w:tc>
          <w:tcPr>
            <w:tcW w:w="2500" w:type="dxa"/>
            <w:vAlign w:val="bottom"/>
            <w:gridSpan w:val="4"/>
          </w:tcPr>
          <w:p>
            <w:pPr>
              <w:jc w:val="right"/>
              <w:ind w:right="77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64"/>
        </w:trPr>
        <w:tc>
          <w:tcPr>
            <w:tcW w:w="55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51"/>
        </w:trPr>
        <w:tc>
          <w:tcPr>
            <w:tcW w:w="5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37,631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34,299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137,439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114,980</w:t>
            </w:r>
          </w:p>
        </w:tc>
        <w:tc>
          <w:tcPr>
            <w:tcW w:w="0" w:type="dxa"/>
            <w:vAlign w:val="bottom"/>
          </w:tcPr>
          <w:p>
            <w:pPr>
              <w:spacing w:after="0"/>
              <w:rPr>
                <w:sz w:val="1"/>
                <w:szCs w:val="1"/>
                <w:color w:val="auto"/>
              </w:rPr>
            </w:pPr>
          </w:p>
        </w:tc>
      </w:tr>
      <w:tr>
        <w:trPr>
          <w:trHeight w:val="263"/>
        </w:trPr>
        <w:tc>
          <w:tcPr>
            <w:tcW w:w="558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13,363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12,826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38,190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42,297</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23,671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19,939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89,316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73,429</w:t>
            </w:r>
          </w:p>
        </w:tc>
        <w:tc>
          <w:tcPr>
            <w:tcW w:w="0" w:type="dxa"/>
            <w:vAlign w:val="bottom"/>
          </w:tcPr>
          <w:p>
            <w:pPr>
              <w:spacing w:after="0"/>
              <w:rPr>
                <w:sz w:val="1"/>
                <w:szCs w:val="1"/>
                <w:color w:val="auto"/>
              </w:rPr>
            </w:pPr>
          </w:p>
        </w:tc>
      </w:tr>
      <w:tr>
        <w:trPr>
          <w:trHeight w:val="263"/>
        </w:trPr>
        <w:tc>
          <w:tcPr>
            <w:tcW w:w="5580" w:type="dxa"/>
            <w:vAlign w:val="bottom"/>
          </w:tcPr>
          <w:p>
            <w:pPr>
              <w:ind w:left="80"/>
              <w:spacing w:after="0"/>
              <w:rPr>
                <w:sz w:val="20"/>
                <w:szCs w:val="20"/>
                <w:color w:val="auto"/>
              </w:rPr>
            </w:pPr>
            <w:r>
              <w:rPr>
                <w:rFonts w:ascii="Arial" w:cs="Arial" w:eastAsia="Arial" w:hAnsi="Arial"/>
                <w:sz w:val="18"/>
                <w:szCs w:val="18"/>
                <w:color w:val="auto"/>
              </w:rPr>
              <w:t>Amortization of intangible assets(1)</w:t>
            </w:r>
          </w:p>
        </w:tc>
        <w:tc>
          <w:tcPr>
            <w:tcW w:w="2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9,731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9,971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29,275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29,751</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 of fixed assets</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11,701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8,452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32,176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23,259</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EBITDA</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96,097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85,487</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326,396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283,716</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EBITDA Adjustments:</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80" w:type="dxa"/>
            <w:vAlign w:val="bottom"/>
          </w:tcPr>
          <w:p>
            <w:pPr>
              <w:ind w:left="260"/>
              <w:spacing w:after="0"/>
              <w:rPr>
                <w:sz w:val="20"/>
                <w:szCs w:val="20"/>
                <w:color w:val="auto"/>
              </w:rPr>
            </w:pPr>
            <w:r>
              <w:rPr>
                <w:rFonts w:ascii="Arial" w:cs="Arial" w:eastAsia="Arial" w:hAnsi="Arial"/>
                <w:sz w:val="18"/>
                <w:szCs w:val="18"/>
                <w:color w:val="auto"/>
              </w:rPr>
              <w:t>Employee share-based compensation expense(2)</w:t>
            </w:r>
          </w:p>
        </w:tc>
        <w:tc>
          <w:tcPr>
            <w:tcW w:w="2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2,957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4,439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11,405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13,775</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Acquisition and integration related expenses(3)</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3,630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10,528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7,356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17,442</w:t>
            </w:r>
          </w:p>
        </w:tc>
        <w:tc>
          <w:tcPr>
            <w:tcW w:w="0" w:type="dxa"/>
            <w:vAlign w:val="bottom"/>
          </w:tcPr>
          <w:p>
            <w:pPr>
              <w:spacing w:after="0"/>
              <w:rPr>
                <w:sz w:val="1"/>
                <w:szCs w:val="1"/>
                <w:color w:val="auto"/>
              </w:rPr>
            </w:pPr>
          </w:p>
        </w:tc>
      </w:tr>
      <w:tr>
        <w:trPr>
          <w:trHeight w:val="263"/>
        </w:trPr>
        <w:tc>
          <w:tcPr>
            <w:tcW w:w="5580" w:type="dxa"/>
            <w:vAlign w:val="bottom"/>
          </w:tcPr>
          <w:p>
            <w:pPr>
              <w:ind w:left="260"/>
              <w:spacing w:after="0"/>
              <w:rPr>
                <w:sz w:val="20"/>
                <w:szCs w:val="20"/>
                <w:color w:val="auto"/>
              </w:rPr>
            </w:pPr>
            <w:r>
              <w:rPr>
                <w:rFonts w:ascii="Arial" w:cs="Arial" w:eastAsia="Arial" w:hAnsi="Arial"/>
                <w:sz w:val="18"/>
                <w:szCs w:val="18"/>
                <w:color w:val="auto"/>
              </w:rPr>
              <w:t>Restructuring and conversion costs(4)</w:t>
            </w:r>
          </w:p>
        </w:tc>
        <w:tc>
          <w:tcPr>
            <w:tcW w:w="2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7,340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1,217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20,925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Debt extinguishment costs(5)</w:t>
            </w:r>
          </w:p>
        </w:tc>
        <w:tc>
          <w:tcPr>
            <w:tcW w:w="2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7,968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16,652</w:t>
            </w:r>
          </w:p>
        </w:tc>
        <w:tc>
          <w:tcPr>
            <w:tcW w:w="0" w:type="dxa"/>
            <w:vAlign w:val="bottom"/>
          </w:tcPr>
          <w:p>
            <w:pPr>
              <w:spacing w:after="0"/>
              <w:rPr>
                <w:sz w:val="1"/>
                <w:szCs w:val="1"/>
                <w:color w:val="auto"/>
              </w:rPr>
            </w:pPr>
          </w:p>
        </w:tc>
      </w:tr>
      <w:tr>
        <w:trPr>
          <w:trHeight w:val="263"/>
        </w:trPr>
        <w:tc>
          <w:tcPr>
            <w:tcW w:w="5580" w:type="dxa"/>
            <w:vAlign w:val="bottom"/>
          </w:tcPr>
          <w:p>
            <w:pPr>
              <w:ind w:left="260"/>
              <w:spacing w:after="0"/>
              <w:rPr>
                <w:sz w:val="20"/>
                <w:szCs w:val="20"/>
                <w:color w:val="auto"/>
              </w:rPr>
            </w:pPr>
            <w:r>
              <w:rPr>
                <w:rFonts w:ascii="Arial" w:cs="Arial" w:eastAsia="Arial" w:hAnsi="Arial"/>
                <w:sz w:val="18"/>
                <w:szCs w:val="18"/>
                <w:color w:val="auto"/>
              </w:rPr>
              <w:t>Equity issuance and related offering costs(6)</w:t>
            </w: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4,040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Other(7)</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10,259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2,289</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13,198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EBITDA Adjustments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24,186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22,513</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60,852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60,818</w:t>
            </w: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120,283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108,000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387,248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344,534</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80" w:hanging="328"/>
        <w:spacing w:after="0" w:line="26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amortization of intangible assets as a result of our purchase accounting adjustments from our merger transaction in 2005 and our various acquisitions.</w:t>
      </w:r>
    </w:p>
    <w:p>
      <w:pPr>
        <w:spacing w:after="0" w:line="88" w:lineRule="exact"/>
        <w:rPr>
          <w:rFonts w:ascii="Arial" w:cs="Arial" w:eastAsia="Arial" w:hAnsi="Arial"/>
          <w:sz w:val="18"/>
          <w:szCs w:val="18"/>
          <w:color w:val="auto"/>
        </w:rPr>
      </w:pPr>
    </w:p>
    <w:p>
      <w:pPr>
        <w:ind w:left="660" w:right="60" w:hanging="328"/>
        <w:spacing w:after="0" w:line="25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share-based compensation expense for equity awards granted to employees, officers and directors. Such awards are measured based on the grant-date fair value and recognized over the requisite service period of the individual awards, which generally equals the vesting period.</w:t>
      </w:r>
    </w:p>
    <w:p>
      <w:pPr>
        <w:spacing w:after="0" w:line="93" w:lineRule="exact"/>
        <w:rPr>
          <w:rFonts w:ascii="Arial" w:cs="Arial" w:eastAsia="Arial" w:hAnsi="Arial"/>
          <w:sz w:val="18"/>
          <w:szCs w:val="18"/>
          <w:color w:val="auto"/>
        </w:rPr>
      </w:pPr>
    </w:p>
    <w:p>
      <w:pPr>
        <w:ind w:left="660" w:right="100" w:hanging="328"/>
        <w:spacing w:after="0" w:line="25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 including changes in the estimated fair value of future payments, or contingent consideration, required to be made to former shareholders of certain acquired entities. In the first quarter of 2013, we revised our estimate of the potential payment obligation that we may be required to pay the former shareholders of Concord, which resulted in a $3.8 million decrease in the estimated fair value of contingent consideration during the nine months ended September 30, 2013.</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98" w:right="239" w:bottom="1440" w:gutter="0" w:footer="0" w:header="0"/>
        </w:sectPr>
      </w:pPr>
    </w:p>
    <w:bookmarkStart w:id="35" w:name="page36"/>
    <w:bookmarkEnd w:id="35"/>
    <w:p>
      <w:pPr>
        <w:ind w:left="660" w:right="120" w:hanging="328"/>
        <w:spacing w:after="0" w:line="25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organizational restructuring charges, conversion and other related costs resulting from the expansion of our Service Value Commitment, the 2011 consolidation of UVEST and the 2009 consolidation of the Affiliated Entities. As of September 30, 2013, we have recognized approximately 28% of costs related to the expansion of our Service Value Commitment, which is expected to be completed in 2015. As of September 30, 2013, approximately 91% and 99% of costs related to the 2011 consolidation of UVEST and the 2009 consolidation of the Affiliated Entities, respectively, have been recognized. The remaining costs for the 2011 consolidation of UVEST and the 2009 consolidation of the Affiliated Entities largely consist of the amortization of transition payments that have been made in connection with these two consolidations for the retention of advisors and financial institutions that are expected to be recognized into earnings by December 2014.</w:t>
      </w:r>
    </w:p>
    <w:p>
      <w:pPr>
        <w:spacing w:after="0" w:line="98" w:lineRule="exact"/>
        <w:rPr>
          <w:rFonts w:ascii="Arial" w:cs="Arial" w:eastAsia="Arial" w:hAnsi="Arial"/>
          <w:sz w:val="18"/>
          <w:szCs w:val="18"/>
          <w:color w:val="auto"/>
        </w:rPr>
      </w:pPr>
    </w:p>
    <w:p>
      <w:pPr>
        <w:ind w:left="660" w:right="20" w:hanging="328"/>
        <w:spacing w:after="0" w:line="25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expenses incurred resulting from the early extinguishment and repayment of amounts outstanding on our prior senior secured credit facilities, including the write-off of unamortized debt issuance costs that had no economic benefit, as well as various other charges incurred in connection with the repayment under prior senior secured credit facilities and the establishment of new senior secured credit facilities. Results for the nine months ended September 30, 2013 include a write-off of $8.0 million related to the May 2013 refinancing and amendment of our previous credit agreement. Results for the nine months ended September 30, 2012 include a write off of $16.5 million related to the March 2012 refinancing and replacement of our original credit agreement.</w:t>
      </w:r>
    </w:p>
    <w:p>
      <w:pPr>
        <w:spacing w:after="0" w:line="100" w:lineRule="exact"/>
        <w:rPr>
          <w:rFonts w:ascii="Arial" w:cs="Arial" w:eastAsia="Arial" w:hAnsi="Arial"/>
          <w:sz w:val="18"/>
          <w:szCs w:val="18"/>
          <w:color w:val="auto"/>
        </w:rPr>
      </w:pPr>
    </w:p>
    <w:p>
      <w:pPr>
        <w:ind w:left="660" w:hanging="328"/>
        <w:spacing w:after="0" w:line="25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equity issuance and offering costs incurred in the first and second quarters of 2012, related to the closing of a secondary offering in the second quarter of 2012. In addition, results for the three and nine months ended September 30, 2012 include a $3.9 million charge relating to the late deposit of withholding taxes related to the exercise of certain non-qualified stock options in connection with the Company's 2010 initial public offering.</w:t>
      </w:r>
    </w:p>
    <w:p>
      <w:pPr>
        <w:spacing w:after="0" w:line="96" w:lineRule="exact"/>
        <w:rPr>
          <w:rFonts w:ascii="Arial" w:cs="Arial" w:eastAsia="Arial" w:hAnsi="Arial"/>
          <w:sz w:val="18"/>
          <w:szCs w:val="18"/>
          <w:color w:val="auto"/>
        </w:rPr>
      </w:pPr>
    </w:p>
    <w:p>
      <w:pPr>
        <w:ind w:left="660" w:right="20" w:hanging="328"/>
        <w:spacing w:after="0" w:line="25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certain excise and other taxes. In addition, results for the third quarter of 2013 include costs related to the NestWise Closure, consisting primarily of severance and termination benefits, $6.9 million of fixed asset charges that were determined to have no future economic benefit and the derecognition of $10.2 million of goodwill. In addition, we revised our estimate of the potential payment obligation that we may be required to pay the former shareholders of Veritat, which resulted in a $7.8 million decrease in the estimated fair value of contingent consideration during the third quarter of 2013. Results for the nine months ended September 30, 2013 also include $2.7 million of severance and termination benefits related to a change in management structure.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Earnings and Adjusted Earnings per share</w:t>
      </w:r>
    </w:p>
    <w:p>
      <w:pPr>
        <w:spacing w:after="0" w:line="247" w:lineRule="exact"/>
        <w:rPr>
          <w:sz w:val="20"/>
          <w:szCs w:val="20"/>
          <w:color w:val="auto"/>
        </w:rPr>
      </w:pPr>
    </w:p>
    <w:p>
      <w:pPr>
        <w:ind w:right="500" w:firstLine="486"/>
        <w:spacing w:after="0" w:line="250" w:lineRule="auto"/>
        <w:rPr>
          <w:sz w:val="20"/>
          <w:szCs w:val="20"/>
          <w:color w:val="auto"/>
        </w:rPr>
      </w:pPr>
      <w:r>
        <w:rPr>
          <w:rFonts w:ascii="Arial" w:cs="Arial" w:eastAsia="Arial" w:hAnsi="Arial"/>
          <w:sz w:val="18"/>
          <w:szCs w:val="18"/>
          <w:color w:val="auto"/>
        </w:rPr>
        <w:t>Adjusted Earnings represents net income before: (a) share-based compensation expense, (b) amortization of intangible assets and software resulting from our merger transaction in 2005 and our various acquisitions, a component of depreciation and amortization,</w:t>
      </w:r>
    </w:p>
    <w:p>
      <w:pPr>
        <w:spacing w:after="0" w:line="1" w:lineRule="exact"/>
        <w:rPr>
          <w:sz w:val="20"/>
          <w:szCs w:val="20"/>
          <w:color w:val="auto"/>
        </w:rPr>
      </w:pPr>
    </w:p>
    <w:p>
      <w:pPr>
        <w:ind w:right="20" w:firstLine="8"/>
        <w:spacing w:after="0" w:line="262" w:lineRule="auto"/>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acquisition and integration related expenses, (d) restructuring and conversion costs, (e) debt extinguishment costs and (f) other. Reconciling items are tax effected using the income tax rates in effect for the applicable period, adjusted for any potentially non-deductible amounts.</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per share represents Adjusted Earnings divided by weighted average outstanding shares on a fully diluted basis.</w:t>
      </w:r>
    </w:p>
    <w:p>
      <w:pPr>
        <w:spacing w:after="0" w:line="225"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We prepared Adjusted Earnings and Adjusted Earnings per share to eliminate the effects of items that we do not consider indicative of our core operating performance.</w:t>
      </w:r>
    </w:p>
    <w:p>
      <w:pPr>
        <w:spacing w:after="0" w:line="196"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We believe that Adjusted Earnings and Adjusted Earnings per share, viewed in addition to, and not in lieu of, our reported GAAP results provide useful information to investors regarding our performance and overall results of operations for the following reasons:</w:t>
      </w:r>
    </w:p>
    <w:p>
      <w:pPr>
        <w:spacing w:after="0" w:line="196" w:lineRule="exact"/>
        <w:rPr>
          <w:sz w:val="20"/>
          <w:szCs w:val="20"/>
          <w:color w:val="auto"/>
        </w:rPr>
      </w:pPr>
    </w:p>
    <w:p>
      <w:pPr>
        <w:ind w:left="520" w:right="180" w:hanging="120"/>
        <w:spacing w:after="0" w:line="256"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because non-cash equity grants made to employees, officers and non-employee directors at a certain price and point in time do not necessarily reflect how our business is performing, the related share-based compensation expense is not a key measure of our current operating performance;</w:t>
      </w:r>
    </w:p>
    <w:p>
      <w:pPr>
        <w:spacing w:after="0" w:line="201" w:lineRule="exact"/>
        <w:rPr>
          <w:rFonts w:ascii="Arial" w:cs="Arial" w:eastAsia="Arial" w:hAnsi="Arial"/>
          <w:sz w:val="18"/>
          <w:szCs w:val="18"/>
          <w:color w:val="auto"/>
        </w:rPr>
      </w:pPr>
    </w:p>
    <w:p>
      <w:pPr>
        <w:ind w:left="520" w:right="260" w:hanging="120"/>
        <w:spacing w:after="0" w:line="256"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because costs associated with acquisitions and related integrations, debt refinancing and restructuring and conversions can vary from period to period and transaction to transaction, expenses associated with these activities are not considered a key measure of our operating performance and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82" w:right="239" w:bottom="1440" w:gutter="0" w:footer="0" w:header="0"/>
        </w:sectPr>
      </w:pPr>
    </w:p>
    <w:bookmarkStart w:id="36" w:name="page37"/>
    <w:bookmarkEnd w:id="36"/>
    <w:p>
      <w:pPr>
        <w:ind w:left="520" w:right="40" w:hanging="120"/>
        <w:spacing w:after="0" w:line="254"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because amortization expenses can vary substantially from company to company and from period to period depending upon each company’s financing and accounting methods, the fair value and average expected life of acquired intangible assets and the method by which assets were acquired, the amortization of intangible assets obtained in acquisitions is not considered a key measure in comparing our operating performance.</w:t>
      </w:r>
    </w:p>
    <w:p>
      <w:pPr>
        <w:spacing w:after="0" w:line="164" w:lineRule="exact"/>
        <w:rPr>
          <w:sz w:val="20"/>
          <w:szCs w:val="20"/>
          <w:color w:val="auto"/>
        </w:rPr>
      </w:pPr>
    </w:p>
    <w:p>
      <w:pPr>
        <w:jc w:val="both"/>
        <w:ind w:right="360" w:firstLine="486"/>
        <w:spacing w:after="0" w:line="254" w:lineRule="auto"/>
        <w:rPr>
          <w:sz w:val="20"/>
          <w:szCs w:val="20"/>
          <w:color w:val="auto"/>
        </w:rPr>
      </w:pPr>
      <w:r>
        <w:rPr>
          <w:rFonts w:ascii="Arial" w:cs="Arial" w:eastAsia="Arial" w:hAnsi="Arial"/>
          <w:sz w:val="18"/>
          <w:szCs w:val="18"/>
          <w:color w:val="auto"/>
        </w:rPr>
        <w:t>Since 2010, we have used Adjusted Earnings for internal management reporting and evaluation purposes. We also believe Adjusted Earnings and Adjusted Earnings per share are useful to investors in evaluating our operating performance because securities analysts use them as supplemental measures to evaluate the overall performance of companies, and our investor and analyst presentations, which are generally available to investors through our website, include references to Adjusted Earnings and Adjusted Earnings per share.</w:t>
      </w:r>
    </w:p>
    <w:p>
      <w:pPr>
        <w:spacing w:after="0" w:line="164"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Adjusted Earnings and Adjusted Earnings per share are not measures of our financial performance under GAAP and should not be considered as an alternative to net income or earnings per share or any other performance measure derived in accordance with GAAP, or as an alternative to cash flows from operating activities as a measure of our profitability or liquidity.</w:t>
      </w:r>
    </w:p>
    <w:p>
      <w:pPr>
        <w:spacing w:after="0" w:line="202"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Although Adjusted Earnings and Adjusted Earnings per share are frequently used by securities analysts and others in their evaluation of companies, they have limitations as analytical tools, and you should not consider Adjusted Earnings and Adjusted Earnings per share in isolation, or as substitutes for an analysis of our results as reported under GAAP. In particular you should consider:</w:t>
      </w:r>
    </w:p>
    <w:p>
      <w:pPr>
        <w:spacing w:after="0" w:line="202" w:lineRule="exact"/>
        <w:rPr>
          <w:sz w:val="20"/>
          <w:szCs w:val="20"/>
          <w:color w:val="auto"/>
        </w:rPr>
      </w:pPr>
    </w:p>
    <w:p>
      <w:pPr>
        <w:ind w:left="520" w:right="40" w:hanging="120"/>
        <w:spacing w:after="0" w:line="262"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our cash expenditures, or future requirements for capital expenditures or contractual commitments;</w:t>
      </w:r>
    </w:p>
    <w:p>
      <w:pPr>
        <w:spacing w:after="0" w:line="196" w:lineRule="exact"/>
        <w:rPr>
          <w:rFonts w:ascii="Arial" w:cs="Arial" w:eastAsia="Arial" w:hAnsi="Arial"/>
          <w:sz w:val="18"/>
          <w:szCs w:val="18"/>
          <w:color w:val="auto"/>
        </w:rPr>
      </w:pPr>
    </w:p>
    <w:p>
      <w:pPr>
        <w:ind w:left="520" w:hanging="120"/>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changes in, or cash requirements for, our working capital needs and</w:t>
      </w:r>
    </w:p>
    <w:p>
      <w:pPr>
        <w:spacing w:after="0" w:line="225" w:lineRule="exact"/>
        <w:rPr>
          <w:rFonts w:ascii="Arial" w:cs="Arial" w:eastAsia="Arial" w:hAnsi="Arial"/>
          <w:sz w:val="18"/>
          <w:szCs w:val="18"/>
          <w:color w:val="auto"/>
        </w:rPr>
      </w:pPr>
    </w:p>
    <w:p>
      <w:pPr>
        <w:ind w:left="520" w:right="160" w:hanging="120"/>
        <w:spacing w:after="0" w:line="262"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Earnings and Adjusted Earnings per share differently than we do, limiting their usefulness as comparative measures.</w:t>
      </w:r>
    </w:p>
    <w:p>
      <w:pPr>
        <w:spacing w:after="0" w:line="19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Management compensates for the inherent limitations associated with using Adjusted Earnings and Adjusted Earnings per share through disclosure of such limitations, presentation of our financial statements in accordance with GAAP and reconciliation of Adjusted Earnings to the most directly comparable GAAP measure, net income.</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598" w:right="279" w:bottom="1440" w:gutter="0" w:footer="0" w:header="0"/>
        </w:sectPr>
      </w:pPr>
    </w:p>
    <w:bookmarkStart w:id="37" w:name="page38"/>
    <w:bookmarkEnd w:id="37"/>
    <w:p>
      <w:pPr>
        <w:ind w:right="320" w:firstLine="486"/>
        <w:spacing w:after="0" w:line="262" w:lineRule="auto"/>
        <w:rPr>
          <w:sz w:val="20"/>
          <w:szCs w:val="20"/>
          <w:color w:val="auto"/>
        </w:rPr>
      </w:pPr>
      <w:r>
        <w:rPr>
          <w:rFonts w:ascii="Arial" w:cs="Arial" w:eastAsia="Arial" w:hAnsi="Arial"/>
          <w:sz w:val="18"/>
          <w:szCs w:val="18"/>
          <w:color w:val="auto"/>
        </w:rPr>
        <w:t>The following table sets forth a reconciliation of net income to the non-GAAP measures Adjusted Earnings and Adjusted Earnings per share for the three and nine months ended September 30, 2013 and 2012 (in thousands, except per share data):</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For the Three Months Ended</w:t>
            </w:r>
          </w:p>
        </w:tc>
        <w:tc>
          <w:tcPr>
            <w:tcW w:w="360" w:type="dxa"/>
            <w:vAlign w:val="bottom"/>
          </w:tcPr>
          <w:p>
            <w:pPr>
              <w:spacing w:after="0"/>
              <w:rPr>
                <w:sz w:val="16"/>
                <w:szCs w:val="16"/>
                <w:color w:val="auto"/>
              </w:rPr>
            </w:pPr>
          </w:p>
        </w:tc>
        <w:tc>
          <w:tcPr>
            <w:tcW w:w="2500" w:type="dxa"/>
            <w:vAlign w:val="bottom"/>
            <w:gridSpan w:val="4"/>
          </w:tcPr>
          <w:p>
            <w:pPr>
              <w:jc w:val="right"/>
              <w:ind w:right="271"/>
              <w:spacing w:after="0"/>
              <w:rPr>
                <w:sz w:val="20"/>
                <w:szCs w:val="20"/>
                <w:color w:val="auto"/>
              </w:rPr>
            </w:pPr>
            <w:r>
              <w:rPr>
                <w:rFonts w:ascii="Arial" w:cs="Arial" w:eastAsia="Arial" w:hAnsi="Arial"/>
                <w:sz w:val="16"/>
                <w:szCs w:val="16"/>
                <w:b w:val="1"/>
                <w:bCs w:val="1"/>
                <w:color w:val="auto"/>
              </w:rPr>
              <w:t>For the Nine Months Ended</w:t>
            </w:r>
          </w:p>
        </w:tc>
      </w:tr>
      <w:tr>
        <w:trPr>
          <w:trHeight w:val="228"/>
        </w:trPr>
        <w:tc>
          <w:tcPr>
            <w:tcW w:w="5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9"/>
                <w:szCs w:val="19"/>
                <w:color w:val="auto"/>
              </w:rPr>
            </w:pPr>
          </w:p>
        </w:tc>
        <w:tc>
          <w:tcPr>
            <w:tcW w:w="2500" w:type="dxa"/>
            <w:vAlign w:val="bottom"/>
            <w:gridSpan w:val="4"/>
          </w:tcPr>
          <w:p>
            <w:pPr>
              <w:jc w:val="right"/>
              <w:ind w:right="771"/>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5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2012</w:t>
            </w:r>
          </w:p>
        </w:tc>
      </w:tr>
      <w:tr>
        <w:trPr>
          <w:trHeight w:val="251"/>
        </w:trPr>
        <w:tc>
          <w:tcPr>
            <w:tcW w:w="5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6"/>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37,631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34,299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137,439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114,980</w:t>
            </w:r>
          </w:p>
        </w:tc>
      </w:tr>
      <w:tr>
        <w:trPr>
          <w:trHeight w:val="263"/>
        </w:trPr>
        <w:tc>
          <w:tcPr>
            <w:tcW w:w="5580" w:type="dxa"/>
            <w:vAlign w:val="bottom"/>
          </w:tcPr>
          <w:p>
            <w:pPr>
              <w:ind w:left="80"/>
              <w:spacing w:after="0"/>
              <w:rPr>
                <w:sz w:val="20"/>
                <w:szCs w:val="20"/>
                <w:color w:val="auto"/>
              </w:rPr>
            </w:pPr>
            <w:r>
              <w:rPr>
                <w:rFonts w:ascii="Arial" w:cs="Arial" w:eastAsia="Arial" w:hAnsi="Arial"/>
                <w:sz w:val="18"/>
                <w:szCs w:val="18"/>
                <w:color w:val="auto"/>
              </w:rPr>
              <w:t>After-Tax:</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EBITDA Adjustments(1)</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3"/>
        </w:trPr>
        <w:tc>
          <w:tcPr>
            <w:tcW w:w="5580" w:type="dxa"/>
            <w:vAlign w:val="bottom"/>
          </w:tcPr>
          <w:p>
            <w:pPr>
              <w:ind w:left="260"/>
              <w:spacing w:after="0"/>
              <w:rPr>
                <w:sz w:val="20"/>
                <w:szCs w:val="20"/>
                <w:color w:val="auto"/>
              </w:rPr>
            </w:pPr>
            <w:r>
              <w:rPr>
                <w:rFonts w:ascii="Arial" w:cs="Arial" w:eastAsia="Arial" w:hAnsi="Arial"/>
                <w:sz w:val="18"/>
                <w:szCs w:val="18"/>
                <w:color w:val="auto"/>
              </w:rPr>
              <w:t>Employee share-based compensation expense(2)</w:t>
            </w:r>
          </w:p>
        </w:tc>
        <w:tc>
          <w:tcPr>
            <w:tcW w:w="2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3,357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8,255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10,330</w:t>
            </w:r>
          </w:p>
        </w:tc>
      </w:tr>
      <w:tr>
        <w:trPr>
          <w:trHeight w:val="277"/>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Acquisition and integration related expenses(3)</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2,240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4,307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3,186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9,014</w:t>
            </w:r>
          </w:p>
        </w:tc>
      </w:tr>
      <w:tr>
        <w:trPr>
          <w:trHeight w:val="263"/>
        </w:trPr>
        <w:tc>
          <w:tcPr>
            <w:tcW w:w="5580" w:type="dxa"/>
            <w:vAlign w:val="bottom"/>
          </w:tcPr>
          <w:p>
            <w:pPr>
              <w:ind w:left="260"/>
              <w:spacing w:after="0"/>
              <w:rPr>
                <w:sz w:val="20"/>
                <w:szCs w:val="20"/>
                <w:color w:val="auto"/>
              </w:rPr>
            </w:pPr>
            <w:r>
              <w:rPr>
                <w:rFonts w:ascii="Arial" w:cs="Arial" w:eastAsia="Arial" w:hAnsi="Arial"/>
                <w:sz w:val="18"/>
                <w:szCs w:val="18"/>
                <w:color w:val="auto"/>
              </w:rPr>
              <w:t>Restructuring and conversion costs</w:t>
            </w:r>
          </w:p>
        </w:tc>
        <w:tc>
          <w:tcPr>
            <w:tcW w:w="2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4,529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12,911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3,326</w:t>
            </w:r>
          </w:p>
        </w:tc>
      </w:tr>
      <w:tr>
        <w:trPr>
          <w:trHeight w:val="277"/>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Debt extinguishment costs</w:t>
            </w:r>
          </w:p>
        </w:tc>
        <w:tc>
          <w:tcPr>
            <w:tcW w:w="2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4,916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10,274</w:t>
            </w:r>
          </w:p>
        </w:tc>
      </w:tr>
      <w:tr>
        <w:trPr>
          <w:trHeight w:val="263"/>
        </w:trPr>
        <w:tc>
          <w:tcPr>
            <w:tcW w:w="5580" w:type="dxa"/>
            <w:vAlign w:val="bottom"/>
          </w:tcPr>
          <w:p>
            <w:pPr>
              <w:ind w:left="260"/>
              <w:spacing w:after="0"/>
              <w:rPr>
                <w:sz w:val="20"/>
                <w:szCs w:val="20"/>
                <w:color w:val="auto"/>
              </w:rPr>
            </w:pPr>
            <w:r>
              <w:rPr>
                <w:rFonts w:ascii="Arial" w:cs="Arial" w:eastAsia="Arial" w:hAnsi="Arial"/>
                <w:sz w:val="18"/>
                <w:szCs w:val="18"/>
                <w:color w:val="auto"/>
              </w:rPr>
              <w:t>Equity issuance and related offering costs(4)</w:t>
            </w: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3,986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4,262</w:t>
            </w:r>
          </w:p>
        </w:tc>
      </w:tr>
      <w:tr>
        <w:trPr>
          <w:trHeight w:val="270"/>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Other(5)</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6,993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1,412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8,806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1,895</w:t>
            </w:r>
          </w:p>
        </w:tc>
      </w:tr>
      <w:tr>
        <w:trPr>
          <w:trHeight w:val="250"/>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EBITDA Adjustments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15,915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13,813</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38,074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39,101</w:t>
            </w:r>
          </w:p>
        </w:tc>
      </w:tr>
      <w:tr>
        <w:trPr>
          <w:trHeight w:val="25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assets(1)</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6,152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18,063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18,356</w:t>
            </w:r>
          </w:p>
        </w:tc>
      </w:tr>
      <w:tr>
        <w:trPr>
          <w:trHeight w:val="264"/>
        </w:trPr>
        <w:tc>
          <w:tcPr>
            <w:tcW w:w="5580" w:type="dxa"/>
            <w:vAlign w:val="bottom"/>
          </w:tcPr>
          <w:p>
            <w:pPr>
              <w:ind w:left="180"/>
              <w:spacing w:after="0"/>
              <w:rPr>
                <w:sz w:val="20"/>
                <w:szCs w:val="20"/>
                <w:color w:val="auto"/>
              </w:rPr>
            </w:pPr>
            <w:r>
              <w:rPr>
                <w:rFonts w:ascii="Arial" w:cs="Arial" w:eastAsia="Arial" w:hAnsi="Arial"/>
                <w:sz w:val="18"/>
                <w:szCs w:val="18"/>
                <w:color w:val="auto"/>
              </w:rPr>
              <w:t>Acquisition related benefit for a net operating loss carry-forward(6)</w:t>
            </w: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(1,265)</w:t>
            </w:r>
          </w:p>
        </w:tc>
      </w:tr>
      <w:tr>
        <w:trPr>
          <w:trHeight w:val="257"/>
        </w:trPr>
        <w:tc>
          <w:tcPr>
            <w:tcW w:w="55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Adjusted Earnings</w:t>
            </w: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59,550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52,999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193,576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171,172</w:t>
            </w:r>
          </w:p>
        </w:tc>
      </w:tr>
      <w:tr>
        <w:trPr>
          <w:trHeight w:val="20"/>
        </w:trPr>
        <w:tc>
          <w:tcPr>
            <w:tcW w:w="5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0"/>
        </w:trPr>
        <w:tc>
          <w:tcPr>
            <w:tcW w:w="5580" w:type="dxa"/>
            <w:vAlign w:val="bottom"/>
          </w:tcPr>
          <w:p>
            <w:pPr>
              <w:ind w:left="80"/>
              <w:spacing w:after="0"/>
              <w:rPr>
                <w:sz w:val="20"/>
                <w:szCs w:val="20"/>
                <w:color w:val="auto"/>
              </w:rPr>
            </w:pPr>
            <w:r>
              <w:rPr>
                <w:rFonts w:ascii="Arial" w:cs="Arial" w:eastAsia="Arial" w:hAnsi="Arial"/>
                <w:sz w:val="18"/>
                <w:szCs w:val="18"/>
                <w:color w:val="auto"/>
              </w:rPr>
              <w:t>Adjusted Earnings per share(7)</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1.52</w:t>
            </w:r>
          </w:p>
        </w:tc>
      </w:tr>
      <w:tr>
        <w:trPr>
          <w:trHeight w:val="277"/>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Weighted average shares outstanding — diluted</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105,705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111,877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106,934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112,436</w:t>
            </w:r>
          </w:p>
        </w:tc>
      </w:tr>
      <w:tr>
        <w:trPr>
          <w:trHeight w:val="215"/>
        </w:trPr>
        <w:tc>
          <w:tcPr>
            <w:tcW w:w="5580" w:type="dxa"/>
            <w:vAlign w:val="bottom"/>
          </w:tcPr>
          <w:p>
            <w:pPr>
              <w:spacing w:after="0"/>
              <w:rPr>
                <w:sz w:val="20"/>
                <w:szCs w:val="20"/>
                <w:color w:val="auto"/>
              </w:rPr>
            </w:pPr>
            <w:r>
              <w:rPr>
                <w:rFonts w:ascii="Arial" w:cs="Arial" w:eastAsia="Arial" w:hAnsi="Arial"/>
                <w:sz w:val="18"/>
                <w:szCs w:val="18"/>
                <w:color w:val="auto"/>
              </w:rPr>
              <w:t>____________</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ind w:left="660" w:right="380" w:hanging="328"/>
        <w:spacing w:after="0" w:line="291"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Generally, EBITDA Adjustments and amortization of intangible assets have been tax effected using a federal rate of 35.0% and the applicable effective state rate which was 3.30%, net of the federal tax benefit, for the periods presented, except as noted below.</w:t>
      </w:r>
    </w:p>
    <w:p>
      <w:pPr>
        <w:spacing w:after="0" w:line="66" w:lineRule="exact"/>
        <w:rPr>
          <w:rFonts w:ascii="Arial" w:cs="Arial" w:eastAsia="Arial" w:hAnsi="Arial"/>
          <w:sz w:val="17"/>
          <w:szCs w:val="17"/>
          <w:color w:val="auto"/>
        </w:rPr>
      </w:pPr>
    </w:p>
    <w:p>
      <w:pPr>
        <w:ind w:left="660" w:right="80" w:hanging="328"/>
        <w:spacing w:after="0" w:line="252"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after-tax expense of non-qualified stock options for which we receive a tax deduction upon exercise, restricted stock awards for which we receive a tax deduction upon vesting and the full expense impact of incentive stock options granted to employees that have vested and qualify for preferential tax treatment and conversely for which we do not receive a tax deduction. Share-based compensation expense for vesting of incentive stock options was $0.9 million and $1.6 million for the three months ended September 30, 2013 and 2012, respectively, and $3.2 million and $4.8 million for the nine months ended September 30, 2013 and 2012, respectively.</w:t>
      </w:r>
    </w:p>
    <w:p>
      <w:pPr>
        <w:spacing w:after="0" w:line="100" w:lineRule="exact"/>
        <w:rPr>
          <w:rFonts w:ascii="Arial" w:cs="Arial" w:eastAsia="Arial" w:hAnsi="Arial"/>
          <w:sz w:val="18"/>
          <w:szCs w:val="18"/>
          <w:color w:val="auto"/>
        </w:rPr>
      </w:pPr>
    </w:p>
    <w:p>
      <w:pPr>
        <w:ind w:left="660" w:right="200" w:hanging="328"/>
        <w:spacing w:after="0" w:line="256"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after-tax expense of acquisition and related costs for which we receive a tax deduction. In addition, the results for the nine months ended September 30, 2013 reflect a $3.8 million reduction of expense related to the estimated fair value of contingent consideration for the stock acquisition of Concord, that is also not deductible for tax purposes.</w:t>
      </w:r>
    </w:p>
    <w:p>
      <w:pPr>
        <w:spacing w:after="0" w:line="93" w:lineRule="exact"/>
        <w:rPr>
          <w:rFonts w:ascii="Arial" w:cs="Arial" w:eastAsia="Arial" w:hAnsi="Arial"/>
          <w:sz w:val="18"/>
          <w:szCs w:val="18"/>
          <w:color w:val="auto"/>
        </w:rPr>
      </w:pPr>
    </w:p>
    <w:p>
      <w:pPr>
        <w:ind w:left="660" w:hanging="328"/>
        <w:spacing w:after="0" w:line="25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after-tax expense of equity issuance and offering costs related to the closing of a secondary offering that occurred in the second quarter of 2012. Results for the three and nine months ended September 30, 2012 include the full expense impact of a $3.9 million charge relating to the late deposit of withholding taxes related to the exercise of certain non-qualified stock options in connection with the Company's 2010 initial public offering, that is not deductible for tax purposes.</w:t>
      </w:r>
    </w:p>
    <w:p>
      <w:pPr>
        <w:spacing w:after="0" w:line="96" w:lineRule="exact"/>
        <w:rPr>
          <w:rFonts w:ascii="Arial" w:cs="Arial" w:eastAsia="Arial" w:hAnsi="Arial"/>
          <w:sz w:val="18"/>
          <w:szCs w:val="18"/>
          <w:color w:val="auto"/>
        </w:rPr>
      </w:pPr>
    </w:p>
    <w:p>
      <w:pPr>
        <w:ind w:left="660" w:right="20" w:hanging="328"/>
        <w:spacing w:after="0" w:line="25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after-tax expense of excise and other taxes, the after-tax expense of severance and termination benefits, derecognition of fixed assets related to the NestWise Closure for which we receive a tax deduction, the full expense impact of the derecognition of $10.2 million of goodwill and a $7.8 million decrease in the estimated fair value of contingent consideration related to the NestWise Closure for which we do not receive a tax deduction.</w:t>
      </w:r>
    </w:p>
    <w:p>
      <w:pPr>
        <w:spacing w:after="0" w:line="96" w:lineRule="exact"/>
        <w:rPr>
          <w:rFonts w:ascii="Arial" w:cs="Arial" w:eastAsia="Arial" w:hAnsi="Arial"/>
          <w:sz w:val="18"/>
          <w:szCs w:val="18"/>
          <w:color w:val="auto"/>
        </w:rPr>
      </w:pPr>
    </w:p>
    <w:p>
      <w:pPr>
        <w:ind w:left="660" w:right="540" w:hanging="328"/>
        <w:spacing w:after="0" w:line="262"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expected tax benefit available to us from the accumulated net operating losses of Concord that arose prior to our acquisition; such benefits were recorded in the third quarter of 2012.</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82" w:right="239" w:bottom="1440" w:gutter="0" w:footer="0" w:header="0"/>
        </w:sectPr>
      </w:pPr>
    </w:p>
    <w:bookmarkStart w:id="38" w:name="page39"/>
    <w:bookmarkEnd w:id="38"/>
    <w:p>
      <w:pPr>
        <w:ind w:left="660" w:right="300" w:hanging="328"/>
        <w:spacing w:after="0" w:line="256"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Adjusted Earnings, a non-GAAP measure, divided by weighted average number of shares outstanding on a fully diluted basis. Set forth below is a reconciliation of earnings per share on a fully diluted basis, as calculated in accordance with GAAP to Adjusted Earnings per share: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Pr>
          <w:p>
            <w:pPr>
              <w:spacing w:after="0"/>
              <w:rPr>
                <w:sz w:val="16"/>
                <w:szCs w:val="16"/>
                <w:color w:val="auto"/>
              </w:rPr>
            </w:pPr>
          </w:p>
        </w:tc>
        <w:tc>
          <w:tcPr>
            <w:tcW w:w="298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rPr>
              <w:t>For the Three Months Ended</w:t>
            </w:r>
          </w:p>
        </w:tc>
        <w:tc>
          <w:tcPr>
            <w:tcW w:w="360" w:type="dxa"/>
            <w:vAlign w:val="bottom"/>
          </w:tcPr>
          <w:p>
            <w:pPr>
              <w:spacing w:after="0"/>
              <w:rPr>
                <w:sz w:val="16"/>
                <w:szCs w:val="16"/>
                <w:color w:val="auto"/>
              </w:rPr>
            </w:pPr>
          </w:p>
        </w:tc>
        <w:tc>
          <w:tcPr>
            <w:tcW w:w="2500" w:type="dxa"/>
            <w:vAlign w:val="bottom"/>
            <w:gridSpan w:val="4"/>
          </w:tcPr>
          <w:p>
            <w:pPr>
              <w:jc w:val="right"/>
              <w:ind w:right="271"/>
              <w:spacing w:after="0"/>
              <w:rPr>
                <w:sz w:val="20"/>
                <w:szCs w:val="20"/>
                <w:color w:val="auto"/>
              </w:rPr>
            </w:pPr>
            <w:r>
              <w:rPr>
                <w:rFonts w:ascii="Arial" w:cs="Arial" w:eastAsia="Arial" w:hAnsi="Arial"/>
                <w:sz w:val="16"/>
                <w:szCs w:val="16"/>
                <w:b w:val="1"/>
                <w:bCs w:val="1"/>
                <w:color w:val="auto"/>
              </w:rPr>
              <w:t>For the Nine Months Ended</w:t>
            </w:r>
          </w:p>
        </w:tc>
      </w:tr>
      <w:tr>
        <w:trPr>
          <w:trHeight w:val="228"/>
        </w:trPr>
        <w:tc>
          <w:tcPr>
            <w:tcW w:w="5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100" w:type="dxa"/>
            <w:vAlign w:val="bottom"/>
            <w:gridSpan w:val="5"/>
          </w:tcPr>
          <w:p>
            <w:pPr>
              <w:jc w:val="center"/>
              <w:ind w:right="960"/>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9"/>
                <w:szCs w:val="19"/>
                <w:color w:val="auto"/>
              </w:rPr>
            </w:pPr>
          </w:p>
        </w:tc>
        <w:tc>
          <w:tcPr>
            <w:tcW w:w="2500" w:type="dxa"/>
            <w:vAlign w:val="bottom"/>
            <w:gridSpan w:val="4"/>
          </w:tcPr>
          <w:p>
            <w:pPr>
              <w:jc w:val="right"/>
              <w:ind w:right="771"/>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58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2012</w:t>
            </w:r>
          </w:p>
        </w:tc>
      </w:tr>
      <w:tr>
        <w:trPr>
          <w:trHeight w:val="251"/>
        </w:trPr>
        <w:tc>
          <w:tcPr>
            <w:tcW w:w="5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6"/>
        </w:trPr>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Earnings per share — diluted</w:t>
            </w:r>
          </w:p>
        </w:tc>
        <w:tc>
          <w:tcPr>
            <w:tcW w:w="88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After-Tax:</w:t>
            </w: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EBITDA Adjustments per share</w:t>
            </w: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Amortization of intangible assets per share</w:t>
            </w:r>
          </w:p>
        </w:tc>
        <w:tc>
          <w:tcPr>
            <w:tcW w:w="880" w:type="dxa"/>
            <w:vAlign w:val="bottom"/>
          </w:tcPr>
          <w:p>
            <w:pPr>
              <w:spacing w:after="0"/>
              <w:rPr>
                <w:sz w:val="22"/>
                <w:szCs w:val="22"/>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0.16</w:t>
            </w:r>
          </w:p>
        </w:tc>
      </w:tr>
      <w:tr>
        <w:trPr>
          <w:trHeight w:val="27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related benefit for a net operating loss carry-forward</w:t>
            </w:r>
          </w:p>
        </w:tc>
        <w:tc>
          <w:tcPr>
            <w:tcW w:w="88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Adjusted Earnings per share</w:t>
            </w:r>
          </w:p>
        </w:tc>
        <w:tc>
          <w:tcPr>
            <w:tcW w:w="88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1.52</w:t>
            </w:r>
          </w:p>
        </w:tc>
      </w:tr>
      <w:tr>
        <w:trPr>
          <w:trHeight w:val="20"/>
        </w:trPr>
        <w:tc>
          <w:tcPr>
            <w:tcW w:w="5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Value Commitment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Program</w:t>
      </w:r>
    </w:p>
    <w:p>
      <w:pPr>
        <w:spacing w:after="0" w:line="135"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On February 5, 2013, we committed to an expansion of our Service Value Commitment, an ongoing effort to position us for sustainable long-term growth by improving the service experience of our advisors and delivering efficiencies in our operating model. We have assessed our information technology delivery, governance, organization and strategy and committed to undertake a course of action (the “Program”) to reposition our labor force and invest in technology, human capital, marketing and other key areas to enable future growth.</w:t>
      </w:r>
    </w:p>
    <w:p>
      <w:pPr>
        <w:spacing w:after="0" w:line="96"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The Program is expected to be completed in 2015, and we estimate total charges of $65.0 million for technology transformation costs, outsourcing and other related costs, employee severance obligations and other related costs, and non-cash charges for impairment of certain fixed assets related to internally developed software.</w:t>
      </w:r>
    </w:p>
    <w:p>
      <w:pPr>
        <w:spacing w:after="0" w:line="94"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We expect to incur approximately $ 22.0 million of expense during 2013 and as of September 30, 2013, we had incurred $18.2 million consisting of: $9.3 million for outsourcing and other services such as parallel processing provided by outside consultants; $6.5 million for the implementation of foundational changes to our technology platform and outsourcing of our disaster recovery facilities; an $0.8 million asset impairment charge for equipment that was determined to have no future economic benefit; and $1.6 million for employee severance and termination benefits related to approximately 35 positions within Finance and Insurance Processing that were outsourced in the third quarter of 2013. We remain focused on the next wave of outsourced functions, including various compliance and back office processing activities expected to be completed in the fourth quarter of 2013. By 2015, we expect annual pre-tax savings of approximately $30.0 million to $35.0 million. See Note 3 in the unaudited condensed consolidated financial statements for additional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35"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During the second quarter of 2013 and in conjunction with the Program, we entered into a long-term contractual obligation (the "Agreement") with a third-party provider to enhance the quality, speed and cost of our processes by outsourcing certain functions. The Agreement enables the third-party provider to use the services of its affiliates in India to provide services to us. The Agreement provides that we settle the cost of our contractual obligation to the third-party provider each month in US dollars. However, the Agreement provides that on each annual anniversary date, the price for services (as denominated in US dollars) is to be adjusted for the then-current exchange rate between the US dollar and the Indian rupee. The Agreement provides that, once an annual adjustment is calculated, there are no further modifications to the amounts paid by us to the third-party provider for fluctuations in the exchange rate until the reset on the next anniversary date. The third-party provider bears the risk of currency movement from the date of signing the Agreement until the reset on the first anniversary of its signing, and during each period until the next annual reset. We bear the risk of currency movement at each annual reset date following the first anniversary.</w:t>
      </w:r>
    </w:p>
    <w:p>
      <w:pPr>
        <w:spacing w:after="0" w:line="104"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Upon completion of the Program, we estimate annual costs for our long-term contractual obligation with the third-party provider to be approximately $13.0 million to $14.0 million annually. To mitigate foreign currency risk arising from annual anniversary adjustments, we use derivative financial instruments consisting solely of non-deliverable foreign currency contracts, all of which have been designated as cash flow hedges. Through these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82" w:right="239" w:bottom="1440" w:gutter="0" w:footer="0" w:header="0"/>
        </w:sectPr>
      </w:pPr>
    </w:p>
    <w:bookmarkStart w:id="39" w:name="page40"/>
    <w:bookmarkEnd w:id="39"/>
    <w:p>
      <w:pPr>
        <w:ind w:right="160"/>
        <w:spacing w:after="0" w:line="262" w:lineRule="auto"/>
        <w:rPr>
          <w:sz w:val="20"/>
          <w:szCs w:val="20"/>
          <w:color w:val="auto"/>
        </w:rPr>
      </w:pPr>
      <w:r>
        <w:rPr>
          <w:rFonts w:ascii="Arial" w:cs="Arial" w:eastAsia="Arial" w:hAnsi="Arial"/>
          <w:sz w:val="18"/>
          <w:szCs w:val="18"/>
          <w:color w:val="auto"/>
        </w:rPr>
        <w:t>instruments, we believe we have mitigated foreign currency risk arising from a substantial portion of our contract obligation with the third-party provider. We will continue to assess the effectiveness of our use of cash flow hedges to mitigate risk from foreign currency contracts.</w:t>
      </w:r>
    </w:p>
    <w:p>
      <w:pPr>
        <w:spacing w:after="0" w:line="88" w:lineRule="exact"/>
        <w:rPr>
          <w:sz w:val="20"/>
          <w:szCs w:val="20"/>
          <w:color w:val="auto"/>
        </w:rPr>
      </w:pPr>
    </w:p>
    <w:p>
      <w:pPr>
        <w:ind w:right="480" w:firstLine="486"/>
        <w:spacing w:after="0" w:line="262" w:lineRule="auto"/>
        <w:rPr>
          <w:sz w:val="20"/>
          <w:szCs w:val="20"/>
          <w:color w:val="auto"/>
        </w:rPr>
      </w:pPr>
      <w:r>
        <w:rPr>
          <w:rFonts w:ascii="Arial" w:cs="Arial" w:eastAsia="Arial" w:hAnsi="Arial"/>
          <w:sz w:val="18"/>
          <w:szCs w:val="18"/>
          <w:color w:val="auto"/>
        </w:rPr>
        <w:t>See Notes 2 and 9 of our unaudited condensed consolidated financial statements for additional information regarding our derivative financial instruments.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Integrations and Divestitures</w:t>
      </w:r>
    </w:p>
    <w:p>
      <w:pPr>
        <w:spacing w:after="0" w:line="301"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From time to time we undertake acquisitions and/or divestitures based on opportunities in the competitive landscape. These activities are part of our overall growth strategy, but can distort comparability when reviewing revenue and expense trends for periods presented. The following describes significant acquisition and integration activities and other events that have impacted our 2013 and 2012 results.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NestWise Closure</w:t>
      </w:r>
    </w:p>
    <w:p>
      <w:pPr>
        <w:spacing w:after="0" w:line="297"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In August of 2013, we ceased the operations of our subsidiary, NestWise. The assets and liabilities acquired through our 2012 acquisition of Veritat were held at NestWise as a result of a merger of Veritat into NestWise. In connection with the NestWise Closure, we determined that a majority of the assets held at NestWise, comprised primarily of $10.2 million of goodwill and $6.9 million of fixed assets, had no future economic benefit. Accordingly, goodwill and fixed assets were derecognized during the third quarter of 2013. We also evaluated the contingent consideration due to the former shareholders of Veritat and reduced the estimate of the liability by $7.8 million in the third quarter of 2013.</w:t>
      </w:r>
    </w:p>
    <w:p>
      <w:pPr>
        <w:spacing w:after="0" w:line="247"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For the nine months ended September 30, 2013, the net revenues of NestWise were immaterial and expenses totaled $15.5 million. We believe financial resources earmarked for NestWise can be more effectively deployed in other areas of our business and will be redeployed into our core business consulting activities for both advisors and financial institutions for training development.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Fortigent Holdings Company, Inc.</w:t>
      </w:r>
    </w:p>
    <w:p>
      <w:pPr>
        <w:spacing w:after="0" w:line="29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On April 23, 2012, we acquired all of the outstanding common stock of Fortigent Holdings Company, Inc. and its wholly owned subsidiaries Fortigent, LLC, a registered investment advisory firm, Fortigent Reporting Company, LLC and Fortigent Strategies Company, LLC (together, "Fortigent"). Fortigent is a leading provider of solutions and consulting services to RIAs, banks and trust companies servicing high net worth clients. This strategic acquisition further enhanced our capabilities and offered an extension of our existing services for wealth management advisors. As of September 30, 2013, $2.8 million remained in an escrow account to be paid to former shareholders of Fortigent in accordance with the terms of the stock purchase agreement.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Concord Capital Partners</w:t>
      </w:r>
    </w:p>
    <w:p>
      <w:pPr>
        <w:spacing w:after="0" w:line="297"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On June 22, 2011, we acquired all of the outstanding common stock of Concord. Concord provides technology and open architecture investment management solutions for trust departments of financial institutions. We may be required to pay future consideration that is based on the achievement of certain gross margin-based milestones for the year ending December 31, 2013. We estimated the fair value of the contingent consideration at the close of the transaction and re-measure contingent consideration at fair value at each interim reporting period with changes recognized in earnings (see Note 4 in the unaudited condensed consolidated financial statements). The maximum amount of contingent consideration is $15.0 million.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National Retirement Partners, Inc.</w:t>
      </w:r>
    </w:p>
    <w:p>
      <w:pPr>
        <w:spacing w:after="0" w:line="29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On February 9, 2011, we acquired certain assets of National Retirement Partners, Inc. (“NRP”). NRP's advisors offer retirement products, consulting, and investment services to retirement plan sponsors and plan participants as well as comprehensive financial services to plan participants. As part of the acquisition, 206 advisors previously registered with NRP transferred their securities and advisory licenses and registrations to LPL Financial. We may be required to pay future consideration to former shareholders of NRP that is contingent upon the achievement of certain revenue-based milestones in the third year following the acquisition. We estimated the fair value of the remaining contingent consideration at the close of the transaction and we re-measure contingent consideration at fair value at each interim reporting period with changes recognized in earnings (see Note 4 in the unaudited condensed consolidated financial statements).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9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Economic Overview and Impact of Financial Market Events</w:t>
      </w:r>
    </w:p>
    <w:p>
      <w:pPr>
        <w:spacing w:after="0" w:line="139"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Our business is directly and indirectly sensitive to several macro-economic factors, primarily in the United States. One of these factors is the current and expected future level of short-term interest rates, particularly overnight rates. Late in the third quarter, the Federal Reserve decided to refrain from tapering its $85 billion in monthly bond purchases in response to continuing economic concerns. The target range for the federal funds rate, as stated by the Federal Reserve, remained at 0.0% to 0.25% during the three months ended September 30, 2013. Further, the Federal Reserve has indicated that it expects rates to remain in the range for as long as the unemployment rate remains above 6.5%, inflation continues to be as projected, which is no more than 0.5% above the Federal Reserve’s 2.0% long-term goal, and inflation expectations continue to be well anchored. The Federal Reserve has indicated that future tapering of quantitative easing or interest rate increases will be based on a balanced approach consistent with its longer-term goals of maximum employment and inflation of 2.0%.</w:t>
      </w:r>
    </w:p>
    <w:p>
      <w:pPr>
        <w:spacing w:after="0" w:line="19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a result of the Federal Reserve’s continued addition of liquidity into the market through its bond purchases, the average Federal Reserve effective federal funds rate decreased by 6 basis points year-over-year to 0.09% in the third quarter of 2013. The low interest rate environment continued to pressure our revenues from our cash sweep programs and continued to diminish investor demand for fixed income securities and fixed annuities.</w:t>
      </w:r>
    </w:p>
    <w:p>
      <w:pPr>
        <w:spacing w:after="0" w:line="200"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Another macro-economic factor is the valuation of equity securities across the various markets in the United States. Building upon steady growth in the first six months of 2013, the equity markets in the United States continued to grow during the third quarter. Actions by the Federal Reserve described above helped to send the S&amp;P 500 index to a record close of 1,726 on September 18, 2013. The S&amp;P 500 index closed the quarter at 1,682, up 4.7% from its close on June 30, 2013. Over the first nine months of 2013, the S&amp;P 500 index has increased by 17.9% compared to an increase of 14.5% over the first nine months of 2012. While equity markets continue to improve, lingering economic worries remain about spending cuts, U.S. and global growth rates, a persistent high unemployment level and debt ceiling concerns.</w:t>
      </w:r>
    </w:p>
    <w:p>
      <w:pPr>
        <w:spacing w:after="0" w:line="10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the United States, economic growth continued but at a restrained pace during the first nine months of 2013 as the housing sector continued to show signs of further improvement, coupled with modest growth in consumer and business spending. Sequestration became effective on March 1, 2013, which restrained federal expenditures during the second and third quarters of 2013. The ongoing political disputes in Washington over the United States debt ceiling, credit rating and budget impasse, has increased domestic and international concerns which could have an impact on financial markets and the broader economy.</w:t>
      </w:r>
    </w:p>
    <w:p>
      <w:pPr>
        <w:spacing w:after="0" w:line="206"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Despite the economic challenges, our business continued to grow, largely based on the maturation of new advisors and productivity of our existing advisors, as we reported record levels of both commission and advisory revenues.</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20"/>
          </w:cols>
          <w:pgMar w:left="240" w:top="5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jc w:val="both"/>
        <w:ind w:right="100" w:firstLine="486"/>
        <w:spacing w:after="0" w:line="256" w:lineRule="auto"/>
        <w:rPr>
          <w:sz w:val="20"/>
          <w:szCs w:val="20"/>
          <w:color w:val="auto"/>
        </w:rPr>
      </w:pPr>
      <w:r>
        <w:rPr>
          <w:rFonts w:ascii="Arial" w:cs="Arial" w:eastAsia="Arial" w:hAnsi="Arial"/>
          <w:sz w:val="18"/>
          <w:szCs w:val="18"/>
          <w:color w:val="auto"/>
        </w:rPr>
        <w:t>The following discussion presents an analysis of our results of operations for the three and nine months ended September 30, 2013 and 2012. Where appropriate, we have identified specific events and changes that affect comparability or identification or monitoring of trends, and where possible and practical, have quantified the impact of such items.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4"/>
          </w:tcPr>
          <w:p>
            <w:pPr>
              <w:jc w:val="right"/>
              <w:ind w:right="43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4"/>
          </w:tcPr>
          <w:p>
            <w:pPr>
              <w:jc w:val="right"/>
              <w:ind w:right="590"/>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8"/>
        </w:trPr>
        <w:tc>
          <w:tcPr>
            <w:tcW w:w="3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264"/>
        </w:trPr>
        <w:tc>
          <w:tcPr>
            <w:tcW w:w="3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 Change</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45"/>
        </w:trPr>
        <w:tc>
          <w:tcPr>
            <w:tcW w:w="3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0" w:type="dxa"/>
            <w:vAlign w:val="bottom"/>
            <w:gridSpan w:val="5"/>
          </w:tcPr>
          <w:p>
            <w:pPr>
              <w:jc w:val="center"/>
              <w:spacing w:after="0"/>
              <w:rPr>
                <w:sz w:val="20"/>
                <w:szCs w:val="20"/>
                <w:color w:val="auto"/>
              </w:rPr>
            </w:pPr>
            <w:r>
              <w:rPr>
                <w:rFonts w:ascii="Arial" w:cs="Arial" w:eastAsia="Arial" w:hAnsi="Arial"/>
                <w:sz w:val="14"/>
                <w:szCs w:val="14"/>
                <w:b w:val="1"/>
                <w:bCs w:val="1"/>
                <w:color w:val="auto"/>
              </w:rPr>
              <w:t>(In thousands, unaudited)</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134"/>
        </w:trPr>
        <w:tc>
          <w:tcPr>
            <w:tcW w:w="3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70"/>
        </w:trPr>
        <w:tc>
          <w:tcPr>
            <w:tcW w:w="31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3"/>
        </w:trPr>
        <w:tc>
          <w:tcPr>
            <w:tcW w:w="3180" w:type="dxa"/>
            <w:vAlign w:val="bottom"/>
          </w:tcPr>
          <w:p>
            <w:pPr>
              <w:ind w:left="80"/>
              <w:spacing w:after="0"/>
              <w:rPr>
                <w:sz w:val="20"/>
                <w:szCs w:val="20"/>
                <w:color w:val="auto"/>
              </w:rPr>
            </w:pPr>
            <w:r>
              <w:rPr>
                <w:rFonts w:ascii="Arial" w:cs="Arial" w:eastAsia="Arial" w:hAnsi="Arial"/>
                <w:sz w:val="18"/>
                <w:szCs w:val="18"/>
                <w:color w:val="auto"/>
              </w:rPr>
              <w:t>Commission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527,419</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442,129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2"/>
                <w:szCs w:val="22"/>
                <w:color w:val="auto"/>
              </w:rPr>
            </w:pPr>
          </w:p>
        </w:tc>
        <w:tc>
          <w:tcPr>
            <w:tcW w:w="30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1,521,390</w:t>
            </w:r>
          </w:p>
        </w:tc>
        <w:tc>
          <w:tcPr>
            <w:tcW w:w="12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1,353,025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12.4 %</w:t>
            </w:r>
          </w:p>
        </w:tc>
      </w:tr>
      <w:tr>
        <w:trPr>
          <w:trHeight w:val="277"/>
        </w:trPr>
        <w:tc>
          <w:tcPr>
            <w:tcW w:w="3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Advisory</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299,101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267,334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878,421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786,507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11.7 %</w:t>
            </w:r>
          </w:p>
        </w:tc>
      </w:tr>
      <w:tr>
        <w:trPr>
          <w:trHeight w:val="263"/>
        </w:trPr>
        <w:tc>
          <w:tcPr>
            <w:tcW w:w="3180" w:type="dxa"/>
            <w:vAlign w:val="bottom"/>
          </w:tcPr>
          <w:p>
            <w:pPr>
              <w:ind w:left="80"/>
              <w:spacing w:after="0"/>
              <w:rPr>
                <w:sz w:val="20"/>
                <w:szCs w:val="20"/>
                <w:color w:val="auto"/>
              </w:rPr>
            </w:pPr>
            <w:r>
              <w:rPr>
                <w:rFonts w:ascii="Arial" w:cs="Arial" w:eastAsia="Arial" w:hAnsi="Arial"/>
                <w:sz w:val="18"/>
                <w:szCs w:val="18"/>
                <w:color w:val="auto"/>
              </w:rPr>
              <w:t>Asset-based</w:t>
            </w:r>
          </w:p>
        </w:tc>
        <w:tc>
          <w:tcPr>
            <w:tcW w:w="24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107,447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100,024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318,718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300,049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6.2 %</w:t>
            </w:r>
          </w:p>
        </w:tc>
      </w:tr>
      <w:tr>
        <w:trPr>
          <w:trHeight w:val="277"/>
        </w:trPr>
        <w:tc>
          <w:tcPr>
            <w:tcW w:w="3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Transaction and other</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93,799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84,730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271,808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238,196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14.1 %</w:t>
            </w:r>
          </w:p>
        </w:tc>
      </w:tr>
      <w:tr>
        <w:trPr>
          <w:trHeight w:val="264"/>
        </w:trPr>
        <w:tc>
          <w:tcPr>
            <w:tcW w:w="31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25,446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13,011</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56,591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39,067</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44.9 %</w:t>
            </w:r>
          </w:p>
        </w:tc>
      </w:tr>
      <w:tr>
        <w:trPr>
          <w:trHeight w:val="270"/>
        </w:trPr>
        <w:tc>
          <w:tcPr>
            <w:tcW w:w="31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revenues</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1,053,212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907,228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3,046,928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2,716,844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12.1 %</w:t>
            </w:r>
          </w:p>
        </w:tc>
      </w:tr>
      <w:tr>
        <w:trPr>
          <w:trHeight w:val="257"/>
        </w:trPr>
        <w:tc>
          <w:tcPr>
            <w:tcW w:w="3180" w:type="dxa"/>
            <w:vAlign w:val="bottom"/>
          </w:tcPr>
          <w:p>
            <w:pPr>
              <w:ind w:left="80"/>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7"/>
        </w:trPr>
        <w:tc>
          <w:tcPr>
            <w:tcW w:w="3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Production</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736,195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630,103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2,119,033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1,887,146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12.3 %</w:t>
            </w:r>
          </w:p>
        </w:tc>
      </w:tr>
      <w:tr>
        <w:trPr>
          <w:trHeight w:val="263"/>
        </w:trPr>
        <w:tc>
          <w:tcPr>
            <w:tcW w:w="3180" w:type="dxa"/>
            <w:vAlign w:val="bottom"/>
          </w:tcPr>
          <w:p>
            <w:pPr>
              <w:ind w:left="80"/>
              <w:spacing w:after="0"/>
              <w:rPr>
                <w:sz w:val="20"/>
                <w:szCs w:val="20"/>
                <w:color w:val="auto"/>
              </w:rPr>
            </w:pPr>
            <w:r>
              <w:rPr>
                <w:rFonts w:ascii="Arial" w:cs="Arial" w:eastAsia="Arial" w:hAnsi="Arial"/>
                <w:sz w:val="18"/>
                <w:szCs w:val="18"/>
                <w:color w:val="auto"/>
              </w:rPr>
              <w:t>Compensation and benefits</w:t>
            </w:r>
          </w:p>
        </w:tc>
        <w:tc>
          <w:tcPr>
            <w:tcW w:w="24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102,310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91,309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299,317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273,355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9.5 %</w:t>
            </w:r>
          </w:p>
        </w:tc>
      </w:tr>
      <w:tr>
        <w:trPr>
          <w:trHeight w:val="277"/>
        </w:trPr>
        <w:tc>
          <w:tcPr>
            <w:tcW w:w="3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102,834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99,118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265,075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251,141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63"/>
        </w:trPr>
        <w:tc>
          <w:tcPr>
            <w:tcW w:w="318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21,432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18,423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61,451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53,010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15.9 %</w:t>
            </w:r>
          </w:p>
        </w:tc>
      </w:tr>
      <w:tr>
        <w:trPr>
          <w:trHeight w:val="277"/>
        </w:trPr>
        <w:tc>
          <w:tcPr>
            <w:tcW w:w="3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Restructuring charges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6,482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1,211</w:t>
            </w:r>
          </w:p>
        </w:tc>
        <w:tc>
          <w:tcPr>
            <w:tcW w:w="132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19,851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4,962</w:t>
            </w:r>
          </w:p>
        </w:tc>
        <w:tc>
          <w:tcPr>
            <w:tcW w:w="136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r>
      <w:tr>
        <w:trPr>
          <w:trHeight w:val="264"/>
        </w:trPr>
        <w:tc>
          <w:tcPr>
            <w:tcW w:w="31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9,294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tcPr>
          <w:p>
            <w:pPr>
              <w:jc w:val="right"/>
              <w:ind w:right="12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9,294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tcPr>
          <w:p>
            <w:pPr>
              <w:jc w:val="right"/>
              <w:ind w:right="179"/>
              <w:spacing w:after="0"/>
              <w:rPr>
                <w:sz w:val="20"/>
                <w:szCs w:val="20"/>
                <w:color w:val="auto"/>
              </w:rPr>
            </w:pPr>
            <w:r>
              <w:rPr>
                <w:rFonts w:ascii="Arial" w:cs="Arial" w:eastAsia="Arial" w:hAnsi="Arial"/>
                <w:sz w:val="18"/>
                <w:szCs w:val="18"/>
                <w:color w:val="auto"/>
              </w:rPr>
              <w:t>*</w:t>
            </w:r>
          </w:p>
        </w:tc>
      </w:tr>
      <w:tr>
        <w:trPr>
          <w:trHeight w:val="264"/>
        </w:trPr>
        <w:tc>
          <w:tcPr>
            <w:tcW w:w="31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978,547</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840,164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2,774,021</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2,469,614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12.3 %</w:t>
            </w:r>
          </w:p>
        </w:tc>
      </w:tr>
      <w:tr>
        <w:trPr>
          <w:trHeight w:val="250"/>
        </w:trPr>
        <w:tc>
          <w:tcPr>
            <w:tcW w:w="3180" w:type="dxa"/>
            <w:vAlign w:val="bottom"/>
          </w:tcPr>
          <w:p>
            <w:pPr>
              <w:ind w:left="80"/>
              <w:spacing w:after="0"/>
              <w:rPr>
                <w:sz w:val="20"/>
                <w:szCs w:val="20"/>
                <w:color w:val="auto"/>
              </w:rPr>
            </w:pPr>
            <w:r>
              <w:rPr>
                <w:rFonts w:ascii="Arial" w:cs="Arial" w:eastAsia="Arial" w:hAnsi="Arial"/>
                <w:sz w:val="18"/>
                <w:szCs w:val="18"/>
                <w:color w:val="auto"/>
              </w:rPr>
              <w:t>Non-operating interest expense</w:t>
            </w: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13,363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12,826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38,190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42,297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77"/>
        </w:trPr>
        <w:tc>
          <w:tcPr>
            <w:tcW w:w="3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7,962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16,524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57"/>
        </w:trPr>
        <w:tc>
          <w:tcPr>
            <w:tcW w:w="3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Total expenses</w:t>
            </w: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991,910</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852,990</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2,820,173</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2,528,435</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11.5 %</w:t>
            </w:r>
          </w:p>
        </w:tc>
      </w:tr>
      <w:tr>
        <w:trPr>
          <w:trHeight w:val="193"/>
        </w:trPr>
        <w:tc>
          <w:tcPr>
            <w:tcW w:w="318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b w:val="1"/>
                <w:bCs w:val="1"/>
                <w:color w:val="auto"/>
              </w:rPr>
              <w:t>Income before provision for income</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52"/>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taxes</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61,302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54,238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226,755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188,409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20.4 %</w:t>
            </w:r>
          </w:p>
        </w:tc>
      </w:tr>
      <w:tr>
        <w:trPr>
          <w:trHeight w:val="277"/>
        </w:trPr>
        <w:tc>
          <w:tcPr>
            <w:tcW w:w="31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Provision for income taxes</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23,671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19,939</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89,316</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73,429</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21.6 %</w:t>
            </w:r>
          </w:p>
        </w:tc>
      </w:tr>
      <w:tr>
        <w:trPr>
          <w:trHeight w:val="257"/>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37,631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34,299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137,439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114,980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19.5 %</w:t>
            </w:r>
          </w:p>
        </w:tc>
      </w:tr>
      <w:tr>
        <w:trPr>
          <w:trHeight w:val="20"/>
        </w:trPr>
        <w:tc>
          <w:tcPr>
            <w:tcW w:w="3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243"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The following table sets forth our commission revenue, by product category, included in our unaudited condensed consolidated statements of income for the three months ended September 30, 2013 and 2012 (dollars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4"/>
        </w:trPr>
        <w:tc>
          <w:tcPr>
            <w:tcW w:w="31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2013</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 Total</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 Total</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3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Variable annuities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189,401</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189,874</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63"/>
        </w:trPr>
        <w:tc>
          <w:tcPr>
            <w:tcW w:w="3180" w:type="dxa"/>
            <w:vAlign w:val="bottom"/>
          </w:tcPr>
          <w:p>
            <w:pPr>
              <w:ind w:left="8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135,992</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122,779</w:t>
            </w: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13,213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10.8 %</w:t>
            </w:r>
          </w:p>
        </w:tc>
      </w:tr>
      <w:tr>
        <w:trPr>
          <w:trHeight w:val="277"/>
        </w:trPr>
        <w:tc>
          <w:tcPr>
            <w:tcW w:w="3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Alternative investments</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81,193</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31,214</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49,979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160.1 %</w:t>
            </w:r>
          </w:p>
        </w:tc>
      </w:tr>
      <w:tr>
        <w:trPr>
          <w:trHeight w:val="263"/>
        </w:trPr>
        <w:tc>
          <w:tcPr>
            <w:tcW w:w="3180" w:type="dxa"/>
            <w:vAlign w:val="bottom"/>
          </w:tcPr>
          <w:p>
            <w:pPr>
              <w:ind w:left="80"/>
              <w:spacing w:after="0"/>
              <w:rPr>
                <w:sz w:val="20"/>
                <w:szCs w:val="20"/>
                <w:color w:val="auto"/>
              </w:rPr>
            </w:pPr>
            <w:r>
              <w:rPr>
                <w:rFonts w:ascii="Arial" w:cs="Arial" w:eastAsia="Arial" w:hAnsi="Arial"/>
                <w:sz w:val="18"/>
                <w:szCs w:val="18"/>
                <w:color w:val="auto"/>
              </w:rPr>
              <w:t>Fixed annuities</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35,772</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24,443</w:t>
            </w: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11,329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46.3 %</w:t>
            </w:r>
          </w:p>
        </w:tc>
      </w:tr>
      <w:tr>
        <w:trPr>
          <w:trHeight w:val="277"/>
        </w:trPr>
        <w:tc>
          <w:tcPr>
            <w:tcW w:w="3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Equities</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32,429</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23,306</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9,123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39.1 %</w:t>
            </w:r>
          </w:p>
        </w:tc>
      </w:tr>
      <w:tr>
        <w:trPr>
          <w:trHeight w:val="263"/>
        </w:trPr>
        <w:tc>
          <w:tcPr>
            <w:tcW w:w="3180" w:type="dxa"/>
            <w:vAlign w:val="bottom"/>
          </w:tcPr>
          <w:p>
            <w:pPr>
              <w:ind w:left="80"/>
              <w:spacing w:after="0"/>
              <w:rPr>
                <w:sz w:val="20"/>
                <w:szCs w:val="20"/>
                <w:color w:val="auto"/>
              </w:rPr>
            </w:pPr>
            <w:r>
              <w:rPr>
                <w:rFonts w:ascii="Arial" w:cs="Arial" w:eastAsia="Arial" w:hAnsi="Arial"/>
                <w:sz w:val="18"/>
                <w:szCs w:val="18"/>
                <w:color w:val="auto"/>
              </w:rPr>
              <w:t>Fixed income</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21,352</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19,226</w:t>
            </w: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2,126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11.1 %</w:t>
            </w:r>
          </w:p>
        </w:tc>
      </w:tr>
      <w:tr>
        <w:trPr>
          <w:trHeight w:val="277"/>
        </w:trPr>
        <w:tc>
          <w:tcPr>
            <w:tcW w:w="3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Insurance</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19,125</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18,877</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63"/>
        </w:trPr>
        <w:tc>
          <w:tcPr>
            <w:tcW w:w="3180" w:type="dxa"/>
            <w:vAlign w:val="bottom"/>
          </w:tcPr>
          <w:p>
            <w:pPr>
              <w:ind w:left="80"/>
              <w:spacing w:after="0"/>
              <w:rPr>
                <w:sz w:val="20"/>
                <w:szCs w:val="20"/>
                <w:color w:val="auto"/>
              </w:rPr>
            </w:pPr>
            <w:r>
              <w:rPr>
                <w:rFonts w:ascii="Arial" w:cs="Arial" w:eastAsia="Arial" w:hAnsi="Arial"/>
                <w:sz w:val="18"/>
                <w:szCs w:val="18"/>
                <w:color w:val="auto"/>
              </w:rPr>
              <w:t>Group variable annuities</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12,019</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12,151</w:t>
            </w: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7"/>
        </w:trPr>
        <w:tc>
          <w:tcPr>
            <w:tcW w:w="3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50"/>
        </w:trPr>
        <w:tc>
          <w:tcPr>
            <w:tcW w:w="3180" w:type="dxa"/>
            <w:vAlign w:val="bottom"/>
          </w:tcPr>
          <w:p>
            <w:pPr>
              <w:ind w:left="200"/>
              <w:spacing w:after="0"/>
              <w:rPr>
                <w:sz w:val="20"/>
                <w:szCs w:val="20"/>
                <w:color w:val="auto"/>
              </w:rPr>
            </w:pPr>
            <w:r>
              <w:rPr>
                <w:rFonts w:ascii="Arial" w:cs="Arial" w:eastAsia="Arial" w:hAnsi="Arial"/>
                <w:sz w:val="18"/>
                <w:szCs w:val="18"/>
                <w:b w:val="1"/>
                <w:bCs w:val="1"/>
                <w:color w:val="auto"/>
              </w:rPr>
              <w:t>Total commission 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527,419</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442,129</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85,290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19.3 %</w:t>
            </w:r>
          </w:p>
        </w:tc>
      </w:tr>
      <w:tr>
        <w:trPr>
          <w:trHeight w:val="20"/>
        </w:trPr>
        <w:tc>
          <w:tcPr>
            <w:tcW w:w="3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40" w:firstLine="486"/>
        <w:spacing w:after="0" w:line="256" w:lineRule="auto"/>
        <w:rPr>
          <w:sz w:val="20"/>
          <w:szCs w:val="20"/>
          <w:color w:val="auto"/>
        </w:rPr>
      </w:pPr>
      <w:r>
        <w:rPr>
          <w:rFonts w:ascii="Arial" w:cs="Arial" w:eastAsia="Arial" w:hAnsi="Arial"/>
          <w:sz w:val="18"/>
          <w:szCs w:val="18"/>
          <w:color w:val="auto"/>
        </w:rPr>
        <w:t>Commission revenue increased by $85.3 million, or 19.3%, for the three months ended September 30, 2013 compared with 2012, due to an increase in sales-based activity for alternative investments, fixed annuities and equities and increases in trail revenues for variable annuities and mutual funds.</w:t>
      </w:r>
    </w:p>
    <w:p>
      <w:pPr>
        <w:spacing w:after="0" w:line="148"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Increases in commissions earned on sales of alternative investments reflects investors' increasing preferences for diversification, as income-producing alternative strategies continue to grow in popularity and investors seek opportunities to earn a return outside of the traditional equity and fixed income markets. Alternative investments include non-traded real estate investment trusts (“REITs”) and business development companies. Commission activities in the third quarter of 2013 benefited as several large REITs sold in prior years and held by clients were involved in capital market transactions which provided liquidity to clients of our advisors. In addition, several large REITs that were approaching the end of their respective offering periods contributed to the increase in commission revenues associated with alternative investments.</w:t>
      </w:r>
    </w:p>
    <w:p>
      <w:pPr>
        <w:spacing w:after="0" w:line="155" w:lineRule="exact"/>
        <w:rPr>
          <w:sz w:val="20"/>
          <w:szCs w:val="20"/>
          <w:color w:val="auto"/>
        </w:rPr>
      </w:pPr>
    </w:p>
    <w:p>
      <w:pPr>
        <w:ind w:right="740" w:firstLine="486"/>
        <w:spacing w:after="0" w:line="262" w:lineRule="auto"/>
        <w:rPr>
          <w:sz w:val="20"/>
          <w:szCs w:val="20"/>
          <w:color w:val="auto"/>
        </w:rPr>
      </w:pPr>
      <w:r>
        <w:rPr>
          <w:rFonts w:ascii="Arial" w:cs="Arial" w:eastAsia="Arial" w:hAnsi="Arial"/>
          <w:sz w:val="18"/>
          <w:szCs w:val="18"/>
          <w:color w:val="auto"/>
        </w:rPr>
        <w:t>The increase in fixed annuities is attributed primarily to an increase in longer-term interest rates and increased demand for index annuities.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0" w:right="239" w:bottom="1440" w:gutter="0" w:footer="0" w:header="0"/>
        </w:sectPr>
      </w:pPr>
    </w:p>
    <w:bookmarkStart w:id="43" w:name="page44"/>
    <w:bookmarkEnd w:id="43"/>
    <w:p>
      <w:pPr>
        <w:ind w:right="860" w:firstLine="486"/>
        <w:spacing w:after="0" w:line="262" w:lineRule="auto"/>
        <w:rPr>
          <w:sz w:val="20"/>
          <w:szCs w:val="20"/>
          <w:color w:val="auto"/>
        </w:rPr>
      </w:pPr>
      <w:r>
        <w:rPr>
          <w:rFonts w:ascii="Arial" w:cs="Arial" w:eastAsia="Arial" w:hAnsi="Arial"/>
          <w:sz w:val="18"/>
          <w:szCs w:val="18"/>
          <w:color w:val="auto"/>
        </w:rPr>
        <w:t>The following table sets forth our commission revenue, by product category, included in our unaudited condensed consolidated statements of income for the nine months ended September 30, 2013 and 2012 (dollars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b w:val="1"/>
                <w:bCs w:val="1"/>
                <w:color w:val="auto"/>
              </w:rPr>
              <w:t>Nine Months Ended September 30,</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4"/>
        </w:trPr>
        <w:tc>
          <w:tcPr>
            <w:tcW w:w="32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rPr>
              <w:t>% Total</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3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Variable annuities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597,925</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570,739</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27,186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63"/>
        </w:trPr>
        <w:tc>
          <w:tcPr>
            <w:tcW w:w="3280" w:type="dxa"/>
            <w:vAlign w:val="bottom"/>
          </w:tcPr>
          <w:p>
            <w:pPr>
              <w:ind w:left="80"/>
              <w:spacing w:after="0"/>
              <w:rPr>
                <w:sz w:val="20"/>
                <w:szCs w:val="20"/>
                <w:color w:val="auto"/>
              </w:rPr>
            </w:pPr>
            <w:r>
              <w:rPr>
                <w:rFonts w:ascii="Arial" w:cs="Arial" w:eastAsia="Arial" w:hAnsi="Arial"/>
                <w:sz w:val="18"/>
                <w:szCs w:val="18"/>
                <w:color w:val="auto"/>
              </w:rPr>
              <w:t>Mutual funds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423,289</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367,584</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55,705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15.2 %</w:t>
            </w:r>
          </w:p>
        </w:tc>
      </w:tr>
      <w:tr>
        <w:trPr>
          <w:trHeight w:val="277"/>
        </w:trPr>
        <w:tc>
          <w:tcPr>
            <w:tcW w:w="3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Alternative investments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168,001</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102,808</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65,193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63.4 %</w:t>
            </w:r>
          </w:p>
        </w:tc>
      </w:tr>
      <w:tr>
        <w:trPr>
          <w:trHeight w:val="263"/>
        </w:trPr>
        <w:tc>
          <w:tcPr>
            <w:tcW w:w="3280" w:type="dxa"/>
            <w:vAlign w:val="bottom"/>
          </w:tcPr>
          <w:p>
            <w:pPr>
              <w:ind w:left="80"/>
              <w:spacing w:after="0"/>
              <w:rPr>
                <w:sz w:val="20"/>
                <w:szCs w:val="20"/>
                <w:color w:val="auto"/>
              </w:rPr>
            </w:pPr>
            <w:r>
              <w:rPr>
                <w:rFonts w:ascii="Arial" w:cs="Arial" w:eastAsia="Arial" w:hAnsi="Arial"/>
                <w:sz w:val="18"/>
                <w:szCs w:val="18"/>
                <w:color w:val="auto"/>
              </w:rPr>
              <w:t>Equities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88,889</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72,669</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16,220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22.3 %</w:t>
            </w:r>
          </w:p>
        </w:tc>
      </w:tr>
      <w:tr>
        <w:trPr>
          <w:trHeight w:val="277"/>
        </w:trPr>
        <w:tc>
          <w:tcPr>
            <w:tcW w:w="3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Fixed annuities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77,544</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80,262</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63"/>
        </w:trPr>
        <w:tc>
          <w:tcPr>
            <w:tcW w:w="3280" w:type="dxa"/>
            <w:vAlign w:val="bottom"/>
          </w:tcPr>
          <w:p>
            <w:pPr>
              <w:ind w:left="80"/>
              <w:spacing w:after="0"/>
              <w:rPr>
                <w:sz w:val="20"/>
                <w:szCs w:val="20"/>
                <w:color w:val="auto"/>
              </w:rPr>
            </w:pPr>
            <w:r>
              <w:rPr>
                <w:rFonts w:ascii="Arial" w:cs="Arial" w:eastAsia="Arial" w:hAnsi="Arial"/>
                <w:sz w:val="18"/>
                <w:szCs w:val="18"/>
                <w:color w:val="auto"/>
              </w:rPr>
              <w:t>Fixed income</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65,814</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61,706</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4,108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6.7 %</w:t>
            </w:r>
          </w:p>
        </w:tc>
      </w:tr>
      <w:tr>
        <w:trPr>
          <w:trHeight w:val="277"/>
        </w:trPr>
        <w:tc>
          <w:tcPr>
            <w:tcW w:w="3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Insurance</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60,993</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58,470</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2,523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63"/>
        </w:trPr>
        <w:tc>
          <w:tcPr>
            <w:tcW w:w="3280" w:type="dxa"/>
            <w:vAlign w:val="bottom"/>
          </w:tcPr>
          <w:p>
            <w:pPr>
              <w:ind w:left="80"/>
              <w:spacing w:after="0"/>
              <w:rPr>
                <w:sz w:val="20"/>
                <w:szCs w:val="20"/>
                <w:color w:val="auto"/>
              </w:rPr>
            </w:pPr>
            <w:r>
              <w:rPr>
                <w:rFonts w:ascii="Arial" w:cs="Arial" w:eastAsia="Arial" w:hAnsi="Arial"/>
                <w:sz w:val="18"/>
                <w:szCs w:val="18"/>
                <w:color w:val="auto"/>
              </w:rPr>
              <w:t>Group variable annuities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38,229</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38,042</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0.5 %</w:t>
            </w:r>
          </w:p>
        </w:tc>
      </w:tr>
      <w:tr>
        <w:trPr>
          <w:trHeight w:val="277"/>
        </w:trPr>
        <w:tc>
          <w:tcPr>
            <w:tcW w:w="3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50"/>
        </w:trPr>
        <w:tc>
          <w:tcPr>
            <w:tcW w:w="3280" w:type="dxa"/>
            <w:vAlign w:val="bottom"/>
          </w:tcPr>
          <w:p>
            <w:pPr>
              <w:ind w:left="200"/>
              <w:spacing w:after="0"/>
              <w:rPr>
                <w:sz w:val="20"/>
                <w:szCs w:val="20"/>
                <w:color w:val="auto"/>
              </w:rPr>
            </w:pPr>
            <w:r>
              <w:rPr>
                <w:rFonts w:ascii="Arial" w:cs="Arial" w:eastAsia="Arial" w:hAnsi="Arial"/>
                <w:sz w:val="18"/>
                <w:szCs w:val="18"/>
                <w:b w:val="1"/>
                <w:bCs w:val="1"/>
                <w:color w:val="auto"/>
              </w:rPr>
              <w:t>Total commission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1,521,390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1,353,025</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168,365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12.4 %</w:t>
            </w:r>
          </w:p>
        </w:tc>
      </w:tr>
      <w:tr>
        <w:trPr>
          <w:trHeight w:val="20"/>
        </w:trPr>
        <w:tc>
          <w:tcPr>
            <w:tcW w:w="3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Commission revenue increased by $168.4 million, or 12.4%, for the nine months ended September 30, 2013 compared with the same period in 2012, due primarily to an increase in sales-based activity for alternative investments, equities and mutual funds and increases in trail revenues for variable annuities and mutual funds. This growth reflects improved market conditions and growth of the underlying assets. Additionally, commission revenues from fixed income, primarily driven by unit investment trusts and 529 college savings plans, and insurance products also contributed to the overall growth in commission revenue. Such overall growth reflects market-wide growth, increased investor engagement that has driven advisor productivity and the overall growth in our advisor count over the past twelve months.</w:t>
      </w:r>
    </w:p>
    <w:p>
      <w:pPr>
        <w:spacing w:after="0" w:line="114"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The increase in commission revenues associated with alternative investments reflects investors' preferences for diversification, as income-producing alternative strategies continue to grow in popularity and investors continue to seek opportunities to earn return outside of the traditional equity and fixed income markets.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Revenues</w:t>
      </w:r>
    </w:p>
    <w:p>
      <w:pPr>
        <w:spacing w:after="0" w:line="243"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The following table summarizes the activity within our advisory assets under custody for the three and nine months ended September 30, 2013 and 2012 (in billions):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For the Three Months Ended</w:t>
            </w:r>
          </w:p>
        </w:tc>
        <w:tc>
          <w:tcPr>
            <w:tcW w:w="260" w:type="dxa"/>
            <w:vAlign w:val="bottom"/>
          </w:tcPr>
          <w:p>
            <w:pPr>
              <w:spacing w:after="0"/>
              <w:rPr>
                <w:sz w:val="16"/>
                <w:szCs w:val="16"/>
                <w:color w:val="auto"/>
              </w:rPr>
            </w:pPr>
          </w:p>
        </w:tc>
        <w:tc>
          <w:tcPr>
            <w:tcW w:w="260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rPr>
              <w:t>For the Nine Months Ended</w:t>
            </w:r>
          </w:p>
        </w:tc>
      </w:tr>
      <w:tr>
        <w:trPr>
          <w:trHeight w:val="228"/>
        </w:trPr>
        <w:tc>
          <w:tcPr>
            <w:tcW w:w="5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9"/>
                <w:szCs w:val="19"/>
                <w:color w:val="auto"/>
              </w:rPr>
            </w:pPr>
          </w:p>
        </w:tc>
        <w:tc>
          <w:tcPr>
            <w:tcW w:w="2600" w:type="dxa"/>
            <w:vAlign w:val="bottom"/>
            <w:gridSpan w:val="4"/>
          </w:tcPr>
          <w:p>
            <w:pPr>
              <w:jc w:val="right"/>
              <w:ind w:right="772"/>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5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2012</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 Beginning of period</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132.4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122.1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101.6</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Net new advisory assets</w:t>
            </w:r>
          </w:p>
        </w:tc>
        <w:tc>
          <w:tcPr>
            <w:tcW w:w="24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8.2</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 impact and other</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Balance - End of period</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141.1</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118.6</w:t>
            </w:r>
          </w:p>
        </w:tc>
      </w:tr>
      <w:tr>
        <w:trPr>
          <w:trHeight w:val="20"/>
        </w:trPr>
        <w:tc>
          <w:tcPr>
            <w:tcW w:w="5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Net new advisory assets for the three and nine months ended September 30, 2013 and 2012 have a limited impact on advisory fee revenue for those respective periods. Rather, net new advisory assets for those respective periods are anticipated to be a driver of advisory revenue in future reporting periods. Net new advisory assets were $ 4.0 billion for the three months ended September 30, 2013 resulting from the continued shift by our existing advisors from brokerage towards more advisory business.</w:t>
      </w:r>
    </w:p>
    <w:p>
      <w:pPr>
        <w:spacing w:after="0" w:line="204"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Advisory revenues increased by $31.8 million, or 11.9%, for the three months ended September 30, 2013 compared to the same period in 2012, which is in line with the underlying relevant asset growth. Advisory revenue for a particular quarter is predominately driven by the prior quarter-end advisory assets under management. At June 30, 2013, advisory assets under management were $106.4 billion, an 11.2% increase over the balance at June 30, 2012, driven by market appreciation and strong net new asset flows. During this same period, the S&amp;P 500 was 17.9% higher than the S&amp;P 500 on the applicable dates in the third quarter of 2012. The Independent RIA model has continued to grow rapidly as advisors seek the freedom to run their business in a manner which best enables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82" w:right="239" w:bottom="1440" w:gutter="0" w:footer="0" w:header="0"/>
        </w:sectPr>
      </w:pPr>
    </w:p>
    <w:bookmarkStart w:id="44" w:name="page45"/>
    <w:bookmarkEnd w:id="44"/>
    <w:p>
      <w:pPr>
        <w:ind w:right="60"/>
        <w:spacing w:after="0" w:line="253" w:lineRule="auto"/>
        <w:rPr>
          <w:sz w:val="20"/>
          <w:szCs w:val="20"/>
          <w:color w:val="auto"/>
        </w:rPr>
      </w:pPr>
      <w:r>
        <w:rPr>
          <w:rFonts w:ascii="Arial" w:cs="Arial" w:eastAsia="Arial" w:hAnsi="Arial"/>
          <w:sz w:val="18"/>
          <w:szCs w:val="18"/>
          <w:color w:val="auto"/>
        </w:rPr>
        <w:t>them to meet their clients' needs. This continued shift of advisors to the Independent RIA platform (the assets of which we do not include in our calculation of advisory assets under management) has caused the rate of revenue growth of advisory assets under management to lag behind the rate of growth of advisory assets under custody. Advisory revenues do not include fees charged by Independent RIA advisors for which there also is no corresponding payout. However, there are administrative fees charged to Independent RIA advisors including custody and clearing fees, based on the value of assets.</w:t>
      </w:r>
    </w:p>
    <w:p>
      <w:pPr>
        <w:spacing w:after="0" w:line="206"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Advisory revenues increased by $91.9 million, or 11.7%, for the nine months ended September 30, 2013 compared with the same period in 2012. This growth is attributable to the same net new advisory asset flows and shift of advisors toward more advisory business that has impacted our quarterly performance, and to a positive market impact for the nine months ended September 30, 2013.</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composition of our advisory assets under custody as of September 30, 2013 and 2012 (in billions):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6"/>
                <w:szCs w:val="16"/>
                <w:b w:val="1"/>
                <w:bCs w:val="1"/>
                <w:color w:val="auto"/>
              </w:rPr>
              <w:t>As of September 30,</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64"/>
        </w:trPr>
        <w:tc>
          <w:tcPr>
            <w:tcW w:w="7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Advisory assets under management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64"/>
        </w:trPr>
        <w:tc>
          <w:tcPr>
            <w:tcW w:w="7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Independent RIA assets in advisory accounts custodied by LPL Financial</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18.6</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57.5%</w:t>
            </w:r>
          </w:p>
        </w:tc>
      </w:tr>
      <w:tr>
        <w:trPr>
          <w:trHeight w:val="257"/>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advisory assets under custody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118.6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0"/>
        </w:trPr>
        <w:tc>
          <w:tcPr>
            <w:tcW w:w="7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Growth of the Independent RIA assets in advisory accounts custodied by LPL Financial has outpaced the growth in advisory assets under management on a percentage basis. This growth is consistent with the industry trend as more advisors shift their business toward the Independent RIA model.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Asset-Based Revenues</w:t>
      </w:r>
    </w:p>
    <w:p>
      <w:pPr>
        <w:spacing w:after="0" w:line="20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Asset-based revenues increased by $ 7.4 million, or 7.4%, to $107.4 million for the three months ended September 30, 2013 compared with the same period in 2012. Revenues for record-keeping services, which are largely based on the underlying asset values, increased due to the impact of the higher average market indices on the value of such underlying assets and net new sales of eligible assets. The S&amp;P 500 index for the three months ended September 30, 2013 averaged 1,675, an increase of 19.6% over the average in the prior year period. Asset-based revenues also include revenues from our cash sweep programs, which decreased by $ 5.1 million, or 14.8%, to $29.3 million for the three months ended September 30, 2013 from $34.4 million for the three months ended September 30, 2012. The decrease in our cash sweep revenues is a result of a year-over-year 6 basis point decline in the average effective rate for federal funds to 0.09% for the three months ended September 30, 2013, which was partially offset by an increase of 14.5% in average assets in our cash sweep programs, which were $25.3 billion and $22.1 billion for the three months ended September 30, 2013 and 2012, respectively.</w:t>
      </w:r>
    </w:p>
    <w:p>
      <w:pPr>
        <w:spacing w:after="0" w:line="172" w:lineRule="exact"/>
        <w:rPr>
          <w:sz w:val="20"/>
          <w:szCs w:val="20"/>
          <w:color w:val="auto"/>
        </w:rPr>
      </w:pPr>
    </w:p>
    <w:p>
      <w:pPr>
        <w:ind w:firstLine="486"/>
        <w:spacing w:after="0" w:line="250" w:lineRule="auto"/>
        <w:rPr>
          <w:sz w:val="20"/>
          <w:szCs w:val="20"/>
          <w:color w:val="auto"/>
        </w:rPr>
      </w:pPr>
      <w:r>
        <w:rPr>
          <w:rFonts w:ascii="Arial" w:cs="Arial" w:eastAsia="Arial" w:hAnsi="Arial"/>
          <w:sz w:val="18"/>
          <w:szCs w:val="18"/>
          <w:color w:val="auto"/>
        </w:rPr>
        <w:t>Asset-based revenues increased by $ 18.7 million, or 6.2%, to $318.7 million for the nine months ended September 30, 2013 compared with the same period in 2012. Revenues for record-keeping services and from product sponsors, which are each largely based on the underlying asset values, increased due to the impact of the higher average market indices on the value of such underlying assets and net new sales of eligible assets. The S&amp;P 500 index for the nine months ended September 30, 2013 averaged 1,601, an increase of 17.2% over the average in the prior year period. Asset-based revenues also include revenues from our cash sweep programs, which decreased by $11.0 million, or 10.7%, to $91.8 million for the nine months ended September 30, 2013 from $ 102.9 million for the nine months ended September 30, 2012. The decrease resulted from a re-pricing of certain contracts that underlie our cash sweep programs, partially offset by an increase of</w:t>
      </w:r>
    </w:p>
    <w:p>
      <w:pPr>
        <w:spacing w:after="0" w:line="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9.0% in average assets in our cash sweep programs, which were $24.1 billion and $ 22.1 billion for the nine months ended September 30, 2013 and 2012, respectively, as retail investors increased their percentage of cash assets in response to the volatility in the financial markets.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Other Revenues</w:t>
      </w:r>
    </w:p>
    <w:p>
      <w:pPr>
        <w:spacing w:after="0" w:line="203"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Transaction and other revenues increased by $9.1 million, or 10.7%, for the three months ended September 30, 2013 compared with the same period in 2012, due to higher trade volumes in certain advisory accounts and a 2.0% increase in the average number of advisors. Additionally, we had greater levels of attendance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82" w:right="239" w:bottom="1440" w:gutter="0" w:footer="0" w:header="0"/>
        </w:sectPr>
      </w:pPr>
    </w:p>
    <w:bookmarkStart w:id="45" w:name="page46"/>
    <w:bookmarkEnd w:id="45"/>
    <w:p>
      <w:pPr>
        <w:ind w:right="160"/>
        <w:spacing w:after="0" w:line="262" w:lineRule="auto"/>
        <w:rPr>
          <w:sz w:val="20"/>
          <w:szCs w:val="20"/>
          <w:color w:val="auto"/>
        </w:rPr>
      </w:pPr>
      <w:r>
        <w:rPr>
          <w:rFonts w:ascii="Arial" w:cs="Arial" w:eastAsia="Arial" w:hAnsi="Arial"/>
          <w:sz w:val="18"/>
          <w:szCs w:val="18"/>
          <w:color w:val="auto"/>
        </w:rPr>
        <w:t>at our annual advisor conference in the third quarter of 2013 compared to the same period in 2012, resulting in additional conference revenue of $0.9 million for the three months ended September 30, 2013.</w:t>
      </w:r>
    </w:p>
    <w:p>
      <w:pPr>
        <w:spacing w:after="0" w:line="156"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Transaction and other revenues increased by $33.6 million, or 14.1%, for the nine months ended September 30, 2013 compared with the same period in 2012. Transaction and other revenues increased due to higher trade volumes in certain advisory accounts and a 2.5% increase in the average number of advisors. Additionally, our April 2012 acquisition of Fortigent contributed an incremental $4.2 million in revenues for the nine months ended September 30, 2013 compared with 2012.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03"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Other revenue increased $12.4 million, or 95.6%, to $25.4 million for the three months ended September 30, 2013 compared with the same period in 2012. The primary contributor to such increase for the three months ended September 30, 2013 were direct investment marketing allowances received from product sponsor programs, which increased by $ 12.6 million compared to the same period in 2012, driven primarily by increased sales of alternative investments. Other revenue includes gains or losses on assets held for the advisor non-qualified deferred compensation plan. Gains were $1.6 million for the three months ended September 30, 2013, compared to losses of $1.3 million for the three months ended September 30, 2012. The gains or losses on assets held for the advisor non-qualified deferred compensation plan are offset by increases or decreases in non-GDC sensitive production expenses as noted below.</w:t>
      </w:r>
    </w:p>
    <w:p>
      <w:pPr>
        <w:spacing w:after="0" w:line="16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Other revenue increased $17.5 million, or 44.9%, to $56.6 million for the nine months ended September 30, 2013 compared to 2012. The primary contributor to this increase for the nine months ended September 30, 2013 were direct investment marketing allowances received from product sponsor programs, which increased by $15.6 million compared to the same period in 2012, driven primarily by increased sales of alternative investments. Other revenue includes gains or losses on assets held for the advisor non-qualified deferred compensation plan. Gains were $ 4.3 million for the three months ended September 30, 2013, compared to gains of $1.6 million for the same period in 2012. The gains or losses on assets held for the advisor non-qualified deferred compensation plan are offset by increases or decreases in non-GDC sensitive production expenses as noted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Expenses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production payout ratio for the three and nine months ended September 30, 2013 and 2012: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262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rPr>
              <w:t>For the Three Months Ended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rPr>
              <w:t>For the Nine Months Ended</w:t>
            </w:r>
          </w:p>
        </w:tc>
        <w:tc>
          <w:tcPr>
            <w:tcW w:w="1020" w:type="dxa"/>
            <w:vAlign w:val="bottom"/>
          </w:tcPr>
          <w:p>
            <w:pPr>
              <w:spacing w:after="0"/>
              <w:rPr>
                <w:sz w:val="16"/>
                <w:szCs w:val="16"/>
                <w:color w:val="auto"/>
              </w:rPr>
            </w:pPr>
          </w:p>
        </w:tc>
      </w:tr>
      <w:tr>
        <w:trPr>
          <w:trHeight w:val="228"/>
        </w:trPr>
        <w:tc>
          <w:tcPr>
            <w:tcW w:w="4040" w:type="dxa"/>
            <w:vAlign w:val="bottom"/>
          </w:tcPr>
          <w:p>
            <w:pPr>
              <w:spacing w:after="0"/>
              <w:rPr>
                <w:sz w:val="19"/>
                <w:szCs w:val="19"/>
                <w:color w:val="auto"/>
              </w:rPr>
            </w:pPr>
          </w:p>
        </w:tc>
        <w:tc>
          <w:tcPr>
            <w:tcW w:w="26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Pr>
          <w:p>
            <w:pPr>
              <w:spacing w:after="0"/>
              <w:rPr>
                <w:sz w:val="19"/>
                <w:szCs w:val="19"/>
                <w:color w:val="auto"/>
              </w:rPr>
            </w:pPr>
          </w:p>
        </w:tc>
      </w:tr>
      <w:tr>
        <w:trPr>
          <w:trHeight w:val="264"/>
        </w:trPr>
        <w:tc>
          <w:tcPr>
            <w:tcW w:w="404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c>
          <w:tcPr>
            <w:tcW w:w="10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257"/>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Base payout rate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84.06%</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8 bps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84.04%</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(16 bps)</w:t>
            </w:r>
          </w:p>
        </w:tc>
      </w:tr>
      <w:tr>
        <w:trPr>
          <w:trHeight w:val="264"/>
        </w:trPr>
        <w:tc>
          <w:tcPr>
            <w:tcW w:w="4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Production based bonuses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 bps)</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 bps</w:t>
            </w:r>
          </w:p>
        </w:tc>
      </w:tr>
      <w:tr>
        <w:trPr>
          <w:trHeight w:val="257"/>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GDC sensitive payout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87.28%</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87.22%</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6 bps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86.49%</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86.64%</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 bps)</w:t>
            </w:r>
          </w:p>
        </w:tc>
      </w:tr>
      <w:tr>
        <w:trPr>
          <w:trHeight w:val="264"/>
        </w:trPr>
        <w:tc>
          <w:tcPr>
            <w:tcW w:w="4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Non-GDC sensitive payout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23 bps</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23 bps</w:t>
            </w:r>
          </w:p>
        </w:tc>
      </w:tr>
      <w:tr>
        <w:trPr>
          <w:trHeight w:val="257"/>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Production Payout Ratio</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87.70%</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29 bps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86.85%</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 bps</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Production expenses increased by $106.1 million, or 16.8%, for the three months ended September 30, 2013 compared with the same period in 2012. The increase largely correlates with our commission and advisory revenues, which increased by 16.5% during the same period. Our production payout ratio was 87.70% for the three months ended September 30, 2013, compared to 87.41% for the prior year period. This increase of 29 basis points in our total production payout ratio arose primarily from increases in the non-GDC sensitive payout components which were partially offset by a lower rate for production-based bonuses. The increase in non-GDC sensitive payout is attributable to increased advisor share-based compensation for the three months ended September 30, 2013 compared to the three months ended September 30, 2012 that correlates to an increase in the price of our stock at September 30, 2013 compared to September 30, 2012, and incremental production expenses related to the advisor non -qualified deferred compensation plan, as noted above. The decrease in our production based bonuses for the three months ended September 30, 2013 compared with the same year ago period reflects the realization of benefits from changes in the production based payout programs that were implemented during 2012.</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57" w:right="239" w:bottom="1440" w:gutter="0" w:footer="0" w:header="0"/>
        </w:sectPr>
      </w:pPr>
    </w:p>
    <w:bookmarkStart w:id="46" w:name="page47"/>
    <w:bookmarkEnd w:id="46"/>
    <w:p>
      <w:pPr>
        <w:ind w:firstLine="486"/>
        <w:spacing w:after="0" w:line="252" w:lineRule="auto"/>
        <w:rPr>
          <w:sz w:val="20"/>
          <w:szCs w:val="20"/>
          <w:color w:val="auto"/>
        </w:rPr>
      </w:pPr>
      <w:r>
        <w:rPr>
          <w:rFonts w:ascii="Arial" w:cs="Arial" w:eastAsia="Arial" w:hAnsi="Arial"/>
          <w:sz w:val="18"/>
          <w:szCs w:val="18"/>
          <w:color w:val="auto"/>
        </w:rPr>
        <w:t>Production expenses increased by $231.9 million, or 12.3%, for the nine months ended September 30, 2013 compared with the same period in 2012. The increase correlates with our commission and advisory revenues, which increased by 12.2% during the same period. Our production payout was 86.93% for the nine months ended September 30, 2013, compared to 86.85% for the prior year period. The base payout rate decreased by 16 basis points in part due to the growth of our advisory platform, which on average has a lower base rate than our brokerage platform. The increase in non-GDC sensitive payout is attributable to increased advisor share-based compensation for the nine months ended September 30, 2013 compared to the nine months ended September 30, 2012 correlating to market movement in our stock and production expenses related to the advisor non-qualified deferred compensation plan as noted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 Expense</w:t>
      </w:r>
    </w:p>
    <w:p>
      <w:pPr>
        <w:spacing w:after="0" w:line="203"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Compensation and benefits expense increased by $11.0 million, or 12.0%, for the three months ended September 30, 2013 compared with the same period in 2012. The increase was primarily due to higher staffing levels necessary to support increased levels of advisor and client activities and to expand our capabilities in compliance, control and service. Our average number of full-time employees increased 5.5% from 2,932 for the three months ended September 30, 2012 to 3,094 for the three months ended September 30, 2013. Compensation costs also increased due to severance and termination benefits attributed to a change in management structure and the NestWise Closure. Benefits expense in the period increased by $3.0 million as we experienced an increase in claims in several of our self-insured employee medical benefit programs.</w:t>
      </w:r>
    </w:p>
    <w:p>
      <w:pPr>
        <w:spacing w:after="0" w:line="16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Compensation and benefits expense increased by $26.0 million, or 9.5%, for the nine months ended September 30, 2013 compared with the same period in 2012. Our average number of full-time employees increased 5.8% from 2,847 for the nine months ended September 30, 2012 to 3,012 for the nine months ended September 30, 2013, due to higher staffing levels to support increased levels of advisor and client activities, as well as to costs associated with our 2012 acquisition of Fortigent.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General and administrative expenses increased by $3.7 million, or 3.7%, to $102.8 million for the three months ended September 30,</w:t>
      </w:r>
    </w:p>
    <w:p>
      <w:pPr>
        <w:spacing w:after="0" w:line="9"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2013 compared with the same period in 2012, due to an increase in business development expenses of $1.5 million primarily related to recruiter promotions, and an increase in conference expenses of $2.4 million.</w:t>
      </w:r>
    </w:p>
    <w:p>
      <w:pPr>
        <w:spacing w:after="0" w:line="156"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auto"/>
        </w:rPr>
        <w:t>General and administrative expenses increased by $ 13.9 million, or 5.5%, to $ 265.1 million for the nine months ended September 30, 2013 compared with the same period in 2012. The primary drivers are a $5.0 million increase for non-depreciable equipment and licensing fees, a $4.2 million increase in recruiter promotions, a $3.7 million increase in conference expenses and a $2.3 million increase in expenses related to our acquisition of Fortigent in 2012.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03" w:lineRule="exact"/>
        <w:rPr>
          <w:sz w:val="20"/>
          <w:szCs w:val="20"/>
          <w:color w:val="auto"/>
        </w:rPr>
      </w:pPr>
    </w:p>
    <w:p>
      <w:pPr>
        <w:jc w:val="both"/>
        <w:ind w:right="160" w:firstLine="486"/>
        <w:spacing w:after="0" w:line="256" w:lineRule="auto"/>
        <w:rPr>
          <w:sz w:val="20"/>
          <w:szCs w:val="20"/>
          <w:color w:val="auto"/>
        </w:rPr>
      </w:pPr>
      <w:r>
        <w:rPr>
          <w:rFonts w:ascii="Arial" w:cs="Arial" w:eastAsia="Arial" w:hAnsi="Arial"/>
          <w:sz w:val="18"/>
          <w:szCs w:val="18"/>
          <w:color w:val="auto"/>
        </w:rPr>
        <w:t>For the three and nine months ended September 30, 2013, depreciation and amortization increased by $3.0 million, or 16.3%, and $8.4 million, or 15.9%, respectively, compared to the respective period in 2012. The amortization of internally developed software and depreciation of equipment and leasehold improvements in our new office facility in Boston contributed to these increases.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w:t>
      </w:r>
    </w:p>
    <w:p>
      <w:pPr>
        <w:spacing w:after="0" w:line="243"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Other expenses for the three and nine months ended September 30, 2013 include the derecognition of fixed assets of $6.9 million and goodwill of $10.2 million, incurred as a result of the NestWise Closure, which ceased operations during the third quarter of 2013. The assets were from the 2012 acquisition of Veritat by NestWise, and were determined to have no future economic benefit. Additionally, we revised our estimate of the potential payment obligation that we may be required to pay the former shareholders of Veritat, which resulted in a $7.8 million decrease in the estimated fair value of contingent consideration during the three and nine months ended September 30,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57"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Restructuring Charges</w:t>
      </w:r>
    </w:p>
    <w:p>
      <w:pPr>
        <w:spacing w:after="0" w:line="243" w:lineRule="exact"/>
        <w:rPr>
          <w:sz w:val="20"/>
          <w:szCs w:val="20"/>
          <w:color w:val="auto"/>
        </w:rPr>
      </w:pPr>
    </w:p>
    <w:p>
      <w:pPr>
        <w:ind w:right="1020" w:firstLine="486"/>
        <w:spacing w:after="0" w:line="262" w:lineRule="auto"/>
        <w:rPr>
          <w:sz w:val="20"/>
          <w:szCs w:val="20"/>
          <w:color w:val="auto"/>
        </w:rPr>
      </w:pPr>
      <w:r>
        <w:rPr>
          <w:rFonts w:ascii="Arial" w:cs="Arial" w:eastAsia="Arial" w:hAnsi="Arial"/>
          <w:sz w:val="18"/>
          <w:szCs w:val="18"/>
          <w:color w:val="auto"/>
        </w:rPr>
        <w:t>Restructuring charges represent expenses incurred as a result of our expansion of our Service Value Commitment, our 2011 consolidation of UVEST and our 2009 consolidation of the Affiliated Entities.</w:t>
      </w:r>
    </w:p>
    <w:p>
      <w:pPr>
        <w:spacing w:after="0" w:line="102"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Restructuring charges were $6.5 million and $19.9 million for the three and nine months ended September 30, 2013, respectively. These charges relate primarily to consulting fees paid to support our technology transformation and to develop our detailed outsourcing plans, as well as employee severance obligations and other related costs and non-cash charges for impairment incurred through our expansion of our Service Value Commitment. Refer to Note 3 of our unaudited condensed consolidated financial statements for additional details regarding this matter.</w:t>
      </w:r>
    </w:p>
    <w:p>
      <w:pPr>
        <w:spacing w:after="0" w:line="111"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Restructuring charges were $1.2 million and $5.0 million for the three and nine months ended September 30, 2012, respectively. These charges relate primarily to technology costs and other expenditures incurred for the conversion and transfer of advisors and their client accounts from UVEST to LPL Financial.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 represents non-operating interest expense for our senior secured credit facilities.</w:t>
      </w:r>
    </w:p>
    <w:p>
      <w:pPr>
        <w:spacing w:after="0" w:line="185" w:lineRule="exact"/>
        <w:rPr>
          <w:sz w:val="20"/>
          <w:szCs w:val="20"/>
          <w:color w:val="auto"/>
        </w:rPr>
      </w:pPr>
    </w:p>
    <w:p>
      <w:pPr>
        <w:jc w:val="both"/>
        <w:ind w:right="320" w:firstLine="486"/>
        <w:spacing w:after="0" w:line="254" w:lineRule="auto"/>
        <w:rPr>
          <w:sz w:val="20"/>
          <w:szCs w:val="20"/>
          <w:color w:val="auto"/>
        </w:rPr>
      </w:pPr>
      <w:r>
        <w:rPr>
          <w:rFonts w:ascii="Arial" w:cs="Arial" w:eastAsia="Arial" w:hAnsi="Arial"/>
          <w:sz w:val="18"/>
          <w:szCs w:val="18"/>
          <w:color w:val="auto"/>
        </w:rPr>
        <w:t>Interest expense increased $0.5 million, or 4.2%, for the three months ended September 30, 2013 compared with the same period in 2012. The increase in interest expense for 2013 is due primarily to an increase in debt resulting from our refinancing in May 2013, partially offset by a reduction in the effective interest rate on our outstanding borrowings under the terms of the credit agreement underlying the May 2013 refinancing.</w:t>
      </w:r>
    </w:p>
    <w:p>
      <w:pPr>
        <w:spacing w:after="0" w:line="16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Interest expense decreased $4.1 million, or 9.7%, for the nine months ended September 30, 2013 compared with 2012. The reduction in interest expense for 2013 is due primarily to a reduction in the effective interest rate on our outstanding borrowings as a result of the debt refinancing in March 2012. Additionally, the maturity of an interest rate swap agreement with a notional value of $65.0 million on June 30, 2012, reduced interest expense by $0.7 million for the nine months ended September 30, 2013 compared to the same period in 2012.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43" w:lineRule="exact"/>
        <w:rPr>
          <w:sz w:val="20"/>
          <w:szCs w:val="20"/>
          <w:color w:val="auto"/>
        </w:rPr>
      </w:pPr>
    </w:p>
    <w:p>
      <w:pPr>
        <w:ind w:right="80" w:firstLine="500"/>
        <w:spacing w:after="0" w:line="253" w:lineRule="auto"/>
        <w:rPr>
          <w:sz w:val="20"/>
          <w:szCs w:val="20"/>
          <w:color w:val="auto"/>
        </w:rPr>
      </w:pPr>
      <w:r>
        <w:rPr>
          <w:rFonts w:ascii="Arial" w:cs="Arial" w:eastAsia="Arial" w:hAnsi="Arial"/>
          <w:sz w:val="18"/>
          <w:szCs w:val="18"/>
          <w:color w:val="auto"/>
        </w:rPr>
        <w:t>Losses from the extinguishment of debt totaled $8.0 million and $16.5 million for the nine months ending September 30, 2013 and 2012, respectively. In May 2013, we refinanced and amended our previous credit agreement and effectively increased our borrowing by approximately $ 236.1 million, with net proceeds used primarily for working capital requirements and other general corporate purposes. Accordingly, we wrote off $8.0 million of unamortized debt issuance costs that had no future economic benefit related to our prior credit agreement. Refer to Note 8 of our unaudited condensed consolidated financial statements for additional details regarding this matter.</w:t>
      </w:r>
    </w:p>
    <w:p>
      <w:pPr>
        <w:spacing w:after="0" w:line="206" w:lineRule="exact"/>
        <w:rPr>
          <w:sz w:val="20"/>
          <w:szCs w:val="20"/>
          <w:color w:val="auto"/>
        </w:rPr>
      </w:pPr>
    </w:p>
    <w:p>
      <w:pPr>
        <w:ind w:right="40" w:firstLine="500"/>
        <w:spacing w:after="0" w:line="254" w:lineRule="auto"/>
        <w:rPr>
          <w:sz w:val="20"/>
          <w:szCs w:val="20"/>
          <w:color w:val="auto"/>
        </w:rPr>
      </w:pPr>
      <w:r>
        <w:rPr>
          <w:rFonts w:ascii="Arial" w:cs="Arial" w:eastAsia="Arial" w:hAnsi="Arial"/>
          <w:sz w:val="18"/>
          <w:szCs w:val="18"/>
          <w:color w:val="auto"/>
        </w:rPr>
        <w:t>In March 2012, we refinanced and replaced the debt outstanding under our original credit agreement primarily to extend the maturities of our borrowings. In connection with this refinancing, we wrote off $ 16.5 million of unamortized debt issuance costs that had no future economic benefit related to the original credit agreement. Refer to Note 8 of our unaudited condensed consolidated financial statements for additional details regarding this matter.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43"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estimate our full-year effective income tax rate at the end of each interim reporting period. This estimate is used in providing for income taxes on a year-to-date basis and may change in subsequent interim periods. The tax rate in any quarter can be affected positively and negatively by adjustments that are required to be reported in the quarter in which resolution of the item occurs. The effective income tax rates reflect the impact of state taxes, settlement contingencies and expenses that are not deductible for tax purposes.</w:t>
      </w:r>
    </w:p>
    <w:p>
      <w:pPr>
        <w:spacing w:after="0" w:line="164"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During the three months ended September 30, 2013, we recorded income tax expense of $23.7 million, compared with $19.9 million in the prior year period. Our effective income tax rate was 38.6% and 36.8% for the three months ended September 30, 2013 and 2012, respectively.</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364" w:right="259" w:bottom="1440" w:gutter="0" w:footer="0" w:header="0"/>
        </w:sectPr>
      </w:pPr>
    </w:p>
    <w:bookmarkStart w:id="48" w:name="page49"/>
    <w:bookmarkEnd w:id="48"/>
    <w:p>
      <w:pPr>
        <w:ind w:right="20" w:firstLine="486"/>
        <w:spacing w:after="0" w:line="291" w:lineRule="auto"/>
        <w:rPr>
          <w:sz w:val="20"/>
          <w:szCs w:val="20"/>
          <w:color w:val="auto"/>
        </w:rPr>
      </w:pPr>
      <w:r>
        <w:rPr>
          <w:rFonts w:ascii="Arial" w:cs="Arial" w:eastAsia="Arial" w:hAnsi="Arial"/>
          <w:sz w:val="17"/>
          <w:szCs w:val="17"/>
          <w:color w:val="auto"/>
        </w:rPr>
        <w:t>During the nine months ended September 30, 2013, we recorded income tax expense of $89.3 million, compared with $73.4 million in the prior year period. Our effective income tax rate was 39.4% and 39.0% for the nine months ended September 30, 2013 and 2012, respectively.</w:t>
      </w:r>
    </w:p>
    <w:p>
      <w:pPr>
        <w:spacing w:after="0" w:line="134"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For the three and nine months ended September 30, 2012, the Company's effective tax rate was impacted by matters related to its stock acquisition of Concord that lowered the rate by approximately 3.0% for the three months ended September 30, 2012.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Senior management establishes our liquidity and capital policies. These policies include senior management’s review of short- and long-term cash flow forecasts, review of monthly capital expenditures and daily monitoring of liquidity for our subsidiaries. Decisions on the allocation of capital are based upon, among other things, projected profitability and cash flow, risks of the business, regulatory capital requirements and future liquidity needs for strategic activities. Our Treasury Department assists in evaluating, monitoring and controlling the business activities that impact our financial condition, liquidity and capital structure and maintains relationships with various lenders. The objectives of these policies are to support the executive business strategies while ensuring ongoing and sufficient liquidity.</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summary of changes in our cash flow for the nine months ended September 30, 2013 and 2012 is provided below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00" w:type="dxa"/>
            <w:vAlign w:val="bottom"/>
          </w:tcPr>
          <w:p>
            <w:pPr>
              <w:spacing w:after="0"/>
              <w:rPr>
                <w:sz w:val="19"/>
                <w:szCs w:val="19"/>
                <w:color w:val="auto"/>
              </w:rPr>
            </w:pPr>
          </w:p>
        </w:tc>
        <w:tc>
          <w:tcPr>
            <w:tcW w:w="332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For the Nine Months Ended September 30,</w:t>
            </w:r>
          </w:p>
        </w:tc>
      </w:tr>
      <w:tr>
        <w:trPr>
          <w:trHeight w:val="264"/>
        </w:trPr>
        <w:tc>
          <w:tcPr>
            <w:tcW w:w="8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2012</w:t>
            </w:r>
          </w:p>
        </w:tc>
      </w:tr>
      <w:tr>
        <w:trPr>
          <w:trHeight w:val="270"/>
        </w:trPr>
        <w:tc>
          <w:tcPr>
            <w:tcW w:w="8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cash flows provided by (used in):</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810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141,907</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101,427</w:t>
            </w:r>
          </w:p>
        </w:tc>
      </w:tr>
      <w:tr>
        <w:trPr>
          <w:trHeight w:val="277"/>
        </w:trPr>
        <w:tc>
          <w:tcPr>
            <w:tcW w:w="8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Investing activities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(67,624)</w:t>
            </w:r>
          </w:p>
        </w:tc>
      </w:tr>
      <w:tr>
        <w:trPr>
          <w:trHeight w:val="264"/>
        </w:trPr>
        <w:tc>
          <w:tcPr>
            <w:tcW w:w="81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Financing activities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18,341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(308,604)</w:t>
            </w:r>
          </w:p>
        </w:tc>
      </w:tr>
      <w:tr>
        <w:trPr>
          <w:trHeight w:val="257"/>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119,479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(274,801)</w:t>
            </w:r>
          </w:p>
        </w:tc>
      </w:tr>
      <w:tr>
        <w:trPr>
          <w:trHeight w:val="264"/>
        </w:trPr>
        <w:tc>
          <w:tcPr>
            <w:tcW w:w="81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Cash and cash equivalents — beginning of period</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466,261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720,772</w:t>
            </w:r>
          </w:p>
        </w:tc>
      </w:tr>
      <w:tr>
        <w:trPr>
          <w:trHeight w:val="257"/>
        </w:trPr>
        <w:tc>
          <w:tcPr>
            <w:tcW w:w="8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and cash equivalents — end of period</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585,740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445,971</w:t>
            </w:r>
          </w:p>
        </w:tc>
      </w:tr>
      <w:tr>
        <w:trPr>
          <w:trHeight w:val="20"/>
        </w:trPr>
        <w:tc>
          <w:tcPr>
            <w:tcW w:w="8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700" w:firstLine="486"/>
        <w:spacing w:after="0" w:line="262" w:lineRule="auto"/>
        <w:rPr>
          <w:sz w:val="20"/>
          <w:szCs w:val="20"/>
          <w:color w:val="auto"/>
        </w:rPr>
      </w:pPr>
      <w:r>
        <w:rPr>
          <w:rFonts w:ascii="Arial" w:cs="Arial" w:eastAsia="Arial" w:hAnsi="Arial"/>
          <w:sz w:val="18"/>
          <w:szCs w:val="18"/>
          <w:color w:val="auto"/>
        </w:rPr>
        <w:t>Cash requirements and liquidity needs are primarily funded through our cash flow from operations and our capacity for additional borrowing.</w:t>
      </w:r>
    </w:p>
    <w:p>
      <w:pPr>
        <w:spacing w:after="0" w:line="19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Net cash provided by or used in operating activities includes net income adjusted for non-cash expenses such as depreciation and amortization, restructuring related charges, share-based compensation, amortization of debt issuance costs, deferred income tax provision and changes in operating assets and liabilities. Operating assets and liabilities include balances related to settlement and funding of client transactions, receivables from product sponsors and accrued commissions and advisory expenses due to our advisors. Operating assets and liabilities that arise from the settlement and funding of transactions by our advisors’ clients are the principal cause of changes to our net cash from operating activities and can fluctuate significantly from day to day and period to period depending on overall trends and clients' behaviors.</w:t>
      </w:r>
    </w:p>
    <w:p>
      <w:pPr>
        <w:spacing w:after="0" w:line="209"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Net cash provided by operating activities for the nine months ended September 30, 2013 totaled $141.9 million. Net cash provided by operating activities for the nine months ended September 30, 2012 totaled $101.4 million. The change in cash flows between periods primarily reflects the impact of client trading and settlement activity, which represented a net use of funds of $90.8 million in 2013 compared to a net use of funds of $40.3 million in 2012. The increased use of cash in client trading and settlement activities was offset in part by higher levels of net income which was $137.4 million for the nine months ended September 30, 2013 compared to $115.0 million for the same period in the prior year, and depreciation and amortization which was $61.5 million for the nine months ended September 30, 2013 compared to $53.0 million for the same period in the prior year. Additionally, $8.0 million of unamortized debt issuance costs were written off as a charge to earnings during the nine months ended September 30, 2013 stemming from our May 2013 debt refinancing, compared to $16.5 million for the same period in the prior year related to our March 2012 debt refinancing.</w:t>
      </w:r>
    </w:p>
    <w:p>
      <w:pPr>
        <w:spacing w:after="0" w:line="213" w:lineRule="exact"/>
        <w:rPr>
          <w:sz w:val="20"/>
          <w:szCs w:val="20"/>
          <w:color w:val="auto"/>
        </w:rPr>
      </w:pPr>
    </w:p>
    <w:p>
      <w:pPr>
        <w:jc w:val="both"/>
        <w:ind w:right="280" w:firstLine="486"/>
        <w:spacing w:after="0" w:line="256" w:lineRule="auto"/>
        <w:rPr>
          <w:sz w:val="20"/>
          <w:szCs w:val="20"/>
          <w:color w:val="auto"/>
        </w:rPr>
      </w:pPr>
      <w:r>
        <w:rPr>
          <w:rFonts w:ascii="Arial" w:cs="Arial" w:eastAsia="Arial" w:hAnsi="Arial"/>
          <w:sz w:val="18"/>
          <w:szCs w:val="18"/>
          <w:color w:val="auto"/>
        </w:rPr>
        <w:t>Net cash used in investing activities for the nine months ended September 30, 2013 and 2012 totaled $40.8 million and $67.6 million, respectively. The net cash used in 2013 primarily consists of $40.8 million in capital expenditures. The net cash used in 2012 included $32.5 million in capital expenditures and $43.7 million for the acquisitions of Fortigent and Veritat.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57" w:right="239" w:bottom="1440" w:gutter="0" w:footer="0" w:header="0"/>
        </w:sectPr>
      </w:pPr>
    </w:p>
    <w:bookmarkStart w:id="49" w:name="page50"/>
    <w:bookmarkEnd w:id="49"/>
    <w:p>
      <w:pPr>
        <w:ind w:right="160" w:firstLine="486"/>
        <w:spacing w:after="0" w:line="252" w:lineRule="auto"/>
        <w:rPr>
          <w:sz w:val="20"/>
          <w:szCs w:val="20"/>
          <w:color w:val="auto"/>
        </w:rPr>
      </w:pPr>
      <w:r>
        <w:rPr>
          <w:rFonts w:ascii="Arial" w:cs="Arial" w:eastAsia="Arial" w:hAnsi="Arial"/>
          <w:sz w:val="18"/>
          <w:szCs w:val="18"/>
          <w:color w:val="auto"/>
        </w:rPr>
        <w:t>Net cash provided by financing activities for the nine months ended September 30, 2013 was $ 18.3 million. Net cash used in financing activities for the nine months ended September 30, 2012 totaled $308.6 million. Cash flows provided by financing activities in 2013 include $1,079.0 million in proceeds from our new senior secured credit facilities and $28.2 million in proceeds from stock option exercises, partially offset by $863.9 million to pay down term loans under our senior secured credit facilities, $175.7 million for repurchases of common stock and $48.7 million of regular cash dividends paid. Cash flows used in financing activities in 2012 include $222.6 million of special cash dividends paid, regular cash dividends of $13.2 million which were instituted in the third quarter of 2012 and $107.5 million for repurchases of common stock, partially offset by $49.8 million from excess tax benefits arising from share-based compensation.</w:t>
      </w:r>
    </w:p>
    <w:p>
      <w:pPr>
        <w:spacing w:after="0" w:line="207"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We believe that based on current levels of operations and anticipated growth, cash flow from operations, together with other available sources of funds, which includes three uncommitted lines of credit available and the revolving credit facility established through our amended credit agreement, will be adequate to satisfy our working capital needs, the payment of all of our obligations and the funding of anticipated capital expenditures for the foreseeable future. In addition, we have certain capital adequacy requirements due to our registered broker-dealer entity and bank trust subsidiaries and have met all such requirements and expect to continue to do so for the foreseeable future. We regularly evaluate our existing indebtedness, including refinancing thereof, based on a number of factors, including our capital requirements, future prospects, contractual restrictions, the availability of refinancing on attractive terms and general market conditions.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4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 Board of Directors has approved several share repurchase programs pursuant to which we may repurchase issued and outstanding shares of our common stock. Purchases may be effected in open market or privately negotiated transactions, including transactions with our affiliates, with the timing of purchases and the amount of stock purchased generally determined at our discretion within the constraints of our credit agreement and general operating needs.</w:t>
      </w:r>
    </w:p>
    <w:p>
      <w:pPr>
        <w:spacing w:after="0" w:line="204"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For the three months ended September 30, 2013 and 2012, we had the following activity under our approved share repurchase programs (in millions, except share and per share data):</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175"/>
        </w:trPr>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Remaining</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62"/>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Repurchase</w:t>
            </w:r>
          </w:p>
        </w:tc>
        <w:tc>
          <w:tcPr>
            <w:tcW w:w="12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at September 30,</w:t>
            </w:r>
          </w:p>
        </w:tc>
        <w:tc>
          <w:tcPr>
            <w:tcW w:w="112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96"/>
        </w:trPr>
        <w:tc>
          <w:tcPr>
            <w:tcW w:w="16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Total Cost</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Total Cost</w:t>
            </w:r>
          </w:p>
        </w:tc>
      </w:tr>
      <w:tr>
        <w:trPr>
          <w:trHeight w:val="25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August 16, 2011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186,190</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27.56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r>
      <w:tr>
        <w:trPr>
          <w:trHeight w:val="260"/>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May 25, 2012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1,719,739</w:t>
            </w:r>
          </w:p>
        </w:tc>
        <w:tc>
          <w:tcPr>
            <w:tcW w:w="30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28.79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49.5</w:t>
            </w:r>
          </w:p>
        </w:tc>
      </w:tr>
      <w:tr>
        <w:trPr>
          <w:trHeight w:val="280"/>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September 27, 2012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759,786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38.40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1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May 28, 2013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200.0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102.7</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2,566,630</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color w:val="auto"/>
              </w:rPr>
              <w:t>37.94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97.3</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102.7</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3,326,416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38.04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126.5</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1,905,929</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28.67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54.6</w:t>
            </w: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720" w:firstLine="648"/>
        <w:spacing w:after="0" w:line="262" w:lineRule="auto"/>
        <w:rPr>
          <w:sz w:val="20"/>
          <w:szCs w:val="20"/>
          <w:color w:val="auto"/>
        </w:rPr>
      </w:pPr>
      <w:r>
        <w:rPr>
          <w:rFonts w:ascii="Arial" w:cs="Arial" w:eastAsia="Arial" w:hAnsi="Arial"/>
          <w:sz w:val="18"/>
          <w:szCs w:val="18"/>
          <w:color w:val="auto"/>
        </w:rPr>
        <w:t>For the nine months ended September 30, 2013 and 2012, we had the following activity under our approved share repurchase programs (in millions, except share and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75"/>
        </w:trPr>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Remaining</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62"/>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Repurchase</w:t>
            </w:r>
          </w:p>
        </w:tc>
        <w:tc>
          <w:tcPr>
            <w:tcW w:w="12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at September 30,</w:t>
            </w:r>
          </w:p>
        </w:tc>
        <w:tc>
          <w:tcPr>
            <w:tcW w:w="112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6"/>
        </w:trPr>
        <w:tc>
          <w:tcPr>
            <w:tcW w:w="16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Total Cost</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Total Cost</w:t>
            </w:r>
          </w:p>
        </w:tc>
      </w:tr>
      <w:tr>
        <w:trPr>
          <w:trHeight w:val="25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August 16, 2011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1,891,072</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32.27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61.0</w:t>
            </w:r>
          </w:p>
        </w:tc>
      </w:tr>
      <w:tr>
        <w:trPr>
          <w:trHeight w:val="260"/>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May 25, 2012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1,719,739</w:t>
            </w:r>
          </w:p>
        </w:tc>
        <w:tc>
          <w:tcPr>
            <w:tcW w:w="30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28.79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49.5</w:t>
            </w:r>
          </w:p>
        </w:tc>
      </w:tr>
      <w:tr>
        <w:trPr>
          <w:trHeight w:val="280"/>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September 27, 2012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2,343,651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37.10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87.0</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1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May 28, 2013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200.0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102.7</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2,566,630</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color w:val="auto"/>
              </w:rPr>
              <w:t>37.94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97.3</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102.7</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4,910,281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37.54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184.3</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3,610,811</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110.5</w:t>
            </w: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9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Issuance Under 2008 Nonqualified Deferred Compensation Plan</w:t>
      </w:r>
    </w:p>
    <w:p>
      <w:pPr>
        <w:spacing w:after="0" w:line="24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On February 22, 2012, we distributed 1,673,556 shares, net of shares withheld to satisfy withholding tax requirements of the participants, pursuant to the terms of our 2008 Nonqualified Deferred Compensation Plan. Distributions to participants were made in the form of whole shares of common stock equal to the number of stock units allocated to the participant's account and fractional shares were paid out in cash. Participants authorized us to withhold shares from their distribution of common stock to satisfy their withholding tax obligations. On February 22, 2012 we repurchased 1,149,896 shares and made the related withholding tax payment of approximately $37.5 million.</w:t>
      </w:r>
    </w:p>
    <w:p>
      <w:pPr>
        <w:spacing w:after="0" w:line="206"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In calculating earnings per share and diluted earnings per share using the two-class method, we were required to allocate a portion of our earnings to employees that held stock units that contained non-forfeitable rights to dividends or dividend equivalents under our 2008 Nonqualified Deferred Compensation Plan. After the distribution of shares under the 2008 Nonqualified Deferred Compensation Plan, the two-class method was no longer applicable. This distribution of shares did not have a material impact on earnings per share or diluted earnings per share. However, the distribution increased the weighted average share count for the three and nine months ended September 30, 2012 by approximately 850,000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39"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 payment, timing and amount of any dividends permitted under our credit facilities are subject to approval by our Board of Directors. Cash dividends per share of common stock and total cash dividends paid during each quarter were as follows (in millions, except per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74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120" w:type="dxa"/>
            <w:vAlign w:val="bottom"/>
            <w:tcBorders>
              <w:bottom w:val="single" w:sz="8" w:color="auto"/>
            </w:tcBorders>
          </w:tcPr>
          <w:p>
            <w:pPr>
              <w:spacing w:after="0"/>
              <w:rPr>
                <w:sz w:val="21"/>
                <w:szCs w:val="21"/>
                <w:color w:val="auto"/>
              </w:rPr>
            </w:pPr>
          </w:p>
        </w:tc>
      </w:tr>
      <w:tr>
        <w:trPr>
          <w:trHeight w:val="264"/>
        </w:trPr>
        <w:tc>
          <w:tcPr>
            <w:tcW w:w="374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Dividend per Share</w:t>
            </w:r>
          </w:p>
        </w:tc>
        <w:tc>
          <w:tcPr>
            <w:tcW w:w="12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Total Cash Dividend</w:t>
            </w:r>
          </w:p>
        </w:tc>
        <w:tc>
          <w:tcPr>
            <w:tcW w:w="10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Dividend per Share</w:t>
            </w:r>
          </w:p>
        </w:tc>
        <w:tc>
          <w:tcPr>
            <w:tcW w:w="10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Total Cash Dividend</w:t>
            </w:r>
          </w:p>
        </w:tc>
      </w:tr>
      <w:tr>
        <w:trPr>
          <w:trHeight w:val="25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0.135</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37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0.135</w:t>
            </w:r>
          </w:p>
        </w:tc>
        <w:tc>
          <w:tcPr>
            <w:tcW w:w="120" w:type="dxa"/>
            <w:vAlign w:val="bottom"/>
          </w:tcPr>
          <w:p>
            <w:pPr>
              <w:spacing w:after="0"/>
              <w:rPr>
                <w:sz w:val="22"/>
                <w:szCs w:val="22"/>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2"/>
                <w:szCs w:val="22"/>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2"/>
                <w:szCs w:val="22"/>
                <w:color w:val="auto"/>
              </w:rPr>
            </w:pPr>
          </w:p>
        </w:tc>
        <w:tc>
          <w:tcPr>
            <w:tcW w:w="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222.6</w:t>
            </w:r>
          </w:p>
        </w:tc>
      </w:tr>
      <w:tr>
        <w:trPr>
          <w:trHeight w:val="27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0.190</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bl>
    <w:p>
      <w:pPr>
        <w:spacing w:after="0" w:line="269"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On October 29, 2013, the Board of Directors declared a cash dividend of $0.19 per share on our outstanding common stock to be paid on November 26, 2013 to all stockholders of record on November 11, 2013.</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w:t>
      </w:r>
    </w:p>
    <w:p>
      <w:pPr>
        <w:spacing w:after="0" w:line="301"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July 2012, the Internal Revenue Service (“IRS”) issued a Notice of Proposed Adjustment (the “Notice”) asserting we are subject to a penalty with respect to an alleged untimely deposit of withholding taxes related to the exercise of certain non-qualified stock options in connection with our initial public offering in 2010. In 2012, we recorded an estimate of probable loss within accounts payable and accrued liabilities in our unaudited condensed consolidated statements of financial condition. During the first quarter of 2013, the IRS issued a Summary of Employment Tax Examination (the "Summary") and we remitted payment which approximated amounts previously accrued in accordance with the Summary. During the third quarter of 2013, the matter was concluded with no impact beyond the amounts previously recorded to our unaudited condensed consolidated statements of income, financial condition or cash flows.</w:t>
      </w:r>
    </w:p>
    <w:p>
      <w:pPr>
        <w:spacing w:after="0" w:line="20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In the second quarter of 2013, we reached an agreement with our principal regulator to resolve a matter related to email surveillance and production. During the first quarter of 2013, we recorded an estimate of a probable loss within professional services and accounts payable and accrued liabilities in our unaudited condensed consolidated statements of income and financial condition, respectively. The outcome of this matter did not differ materially from the amount recorded in our unaudited condensed consolidated statements of income, financial condition or cash flows as of and for the three and nine months ended September 30, 2013.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247"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Our primary requirement for working capital relates to funds we loan to our advisors’ clients for trading conducted on margin and funds we are required to maintain at clearing organizations to support these clients’ trading activities. We have several sources of funds that enable us to meet increases in working capital requirements that relate to increases in client margin activities and balances. These sources include cash and cash equivalents on hand, cash and securities segregated under federal and other regulations, and proceeds from re-pledging or selling client securities in margin accounts. When a client purchases securities on margin or uses securities as collateral to borrow from us on margin, we are permitted, pursuant to the applicable securities industry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0" w:right="239" w:bottom="1440" w:gutter="0" w:footer="0" w:header="0"/>
        </w:sectPr>
      </w:pPr>
    </w:p>
    <w:bookmarkStart w:id="51" w:name="page52"/>
    <w:bookmarkEnd w:id="51"/>
    <w:p>
      <w:pPr>
        <w:ind w:right="40"/>
        <w:spacing w:after="0" w:line="252" w:lineRule="auto"/>
        <w:rPr>
          <w:sz w:val="20"/>
          <w:szCs w:val="20"/>
          <w:color w:val="auto"/>
        </w:rPr>
      </w:pPr>
      <w:r>
        <w:rPr>
          <w:rFonts w:ascii="Arial" w:cs="Arial" w:eastAsia="Arial" w:hAnsi="Arial"/>
          <w:sz w:val="18"/>
          <w:szCs w:val="18"/>
          <w:color w:val="auto"/>
        </w:rPr>
        <w:t>regulations, to re-pledge, loan or sell securities which collateralize those margin accounts. As of September 30, 2013, we had received collateral in connection primarily with client margin loans with a fair value of approximately $ 343.7 million, which can be re-pledged, loaned or sold. Of this amount, approximately $25.5 million has been pledged to the Options Clearing Corporation ("OCC") as collateral to secure certain client obligations related to options positions. Additionally, approximately $140.7 million are held at banks in connection with uncommitted lines of credit, which were unutilized at September 30, 2013; these securities may be used as collateral for loans from these banks. The remainder of $177.5 million has not been re-pledged, loaned or sold. There are no restrictions that materially limit our ability to re-pledge, loan or sell the remaining $318.2 million of client collateral. In May 2013, we ended our participation in the National Securities Clearing Corporation ("NSCC") Stock Borrow Program and all pledged collateral was returned to us.</w:t>
      </w:r>
    </w:p>
    <w:p>
      <w:pPr>
        <w:spacing w:after="0" w:line="206"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Our other working capital needs are primarily related to regulatory capital requirements at our broker-dealer and bank trust subsidiaries and software development, which we have satisfied in the past from internally generated cash flows.</w:t>
      </w:r>
    </w:p>
    <w:p>
      <w:pPr>
        <w:spacing w:after="0" w:line="196"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Notwithstanding the self-funding nature of our operations, 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on our uncommitted lines of credit at our broker-dealer subsidiary LPL Financial, and/or under our revolving credit facility.</w:t>
      </w:r>
    </w:p>
    <w:p>
      <w:pPr>
        <w:spacing w:after="0" w:line="204"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Our registered broker-dealer, LPL Financial, is subject to the SEC’s Uniform Net Capital Rule, which requires the maintenance of minimum net capital. LPL Financial computes net capital requirements under the alternative method, which requires firms to maintain minimum net capital, as defined, equal to the greater of $250,000 or 2.0% of aggregate debit balances arising from client transactions.</w:t>
      </w:r>
    </w:p>
    <w:p>
      <w:pPr>
        <w:spacing w:after="0" w:line="202" w:lineRule="exact"/>
        <w:rPr>
          <w:sz w:val="20"/>
          <w:szCs w:val="20"/>
          <w:color w:val="auto"/>
        </w:rPr>
      </w:pPr>
    </w:p>
    <w:p>
      <w:pPr>
        <w:jc w:val="both"/>
        <w:ind w:right="140" w:firstLine="486"/>
        <w:spacing w:after="0" w:line="256" w:lineRule="auto"/>
        <w:rPr>
          <w:sz w:val="20"/>
          <w:szCs w:val="20"/>
          <w:color w:val="auto"/>
        </w:rPr>
      </w:pPr>
      <w:r>
        <w:rPr>
          <w:rFonts w:ascii="Arial" w:cs="Arial" w:eastAsia="Arial" w:hAnsi="Arial"/>
          <w:sz w:val="18"/>
          <w:szCs w:val="18"/>
          <w:color w:val="auto"/>
        </w:rPr>
        <w:t>LPL Financial is also subject to the National Futures Association's ("NFA") financial requirements and is required to maintain net capital that is in excess of or equal to the greatest of NFA's minimum financial requirements. Currently, the highest NFA requirement is the minimum net capital calculated pursuant to the SEC's Uniform Net Capital Rule.</w:t>
      </w:r>
    </w:p>
    <w:p>
      <w:pPr>
        <w:spacing w:after="0" w:line="202"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In addition to the minimum net capital requirements, the SEC and FINRA have established "early warning" capital requirements for broker-dealers that, when exceeded, limit certain activities of the broker-dealer. Early warning requirements provide advance warning that a firm's net capital is dropping toward its minimum requirement, allowing time for initiation of corrective action. For LPL Financial, an early warning level is reached if its ratio of aggregate customer debit balances falls below 5.0% of net capital. At September 30, 2013, LPL Financial's net capital was $183.1 million and its early warning requirement was $15.9 million. LPL Financial typically maintains net capital in excess of the early warning level to maintain its ability to grow its business, demonstrate the stability of its operations and provide a safeguard in the event of sustained levels of market volatility, as experienced by the securities industry in 2008. At September 30, 2013, LPL Financial's excess net capital was $176.8 million.</w:t>
      </w:r>
    </w:p>
    <w:p>
      <w:pPr>
        <w:spacing w:after="0" w:line="206"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LPL Financial's ability to pay dividends greater than 10% of its excess net capital during any 35 day rolling period requires approval from FINRA. In addition, payment of dividends is restricted if LPL Financial's net capital would be less than 5.0% of aggregate customer debit balances.</w:t>
      </w:r>
    </w:p>
    <w:p>
      <w:pPr>
        <w:spacing w:after="0" w:line="202"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Prior to July 16, 2012, UVEST was also a registered broker-dealer and computed net capital requirements under the aggregate indebtedness method, which requires firms to maintain minimum net capital, as defined, of not less than 6.67% of aggregate indebtedness. In connection with the consolidation of UVEST with LPL Financial, UVEST's registration with FINRA was withdrawn effective July 16, 2012 and is no longer subject to net capital filing requirements.</w:t>
      </w:r>
    </w:p>
    <w:p>
      <w:pPr>
        <w:spacing w:after="0" w:line="204"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Our subsidiary, The Private Trust Company N.A. ("PTC"), is subject to various regulatory capital requirements. Failure by any of our subsidiaries to meet their respective minimum capital requirements can initiate certain mandatory and possible additional discretionary actions by regulators that, if undertaken, could have a direct material effect on our unaudited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Assessment</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ability to meet our debt service obligations and reduce our total debt will depend upon our future performance, which, in turn, will be subject to general economic, financial, business, competitive, legislative, regulatory and other conditions, many of which are beyond our control. In addition, our operating results, cash flow and capital resources may not be sufficient for repayment of our indebtedness in the future. Some risks that could materially adversely affect our ability to meet our debt service obligations include, but are not limited to, general</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90" w:right="279" w:bottom="1440" w:gutter="0" w:footer="0" w:header="0"/>
        </w:sectPr>
      </w:pPr>
    </w:p>
    <w:bookmarkStart w:id="52" w:name="page53"/>
    <w:bookmarkEnd w:id="52"/>
    <w:p>
      <w:pPr>
        <w:ind w:right="40"/>
        <w:spacing w:after="0" w:line="256" w:lineRule="auto"/>
        <w:rPr>
          <w:sz w:val="20"/>
          <w:szCs w:val="20"/>
          <w:color w:val="auto"/>
        </w:rPr>
      </w:pPr>
      <w:r>
        <w:rPr>
          <w:rFonts w:ascii="Arial" w:cs="Arial" w:eastAsia="Arial" w:hAnsi="Arial"/>
          <w:sz w:val="18"/>
          <w:szCs w:val="18"/>
          <w:color w:val="auto"/>
        </w:rPr>
        <w:t>economic conditions and economic activity in the financial markets. The performance of our business is correlated with the economy and financial markets, and a slowdown in the economy or financial markets could adversely affect our business, results of operations, cash flows or financial condition.</w:t>
      </w:r>
    </w:p>
    <w:p>
      <w:pPr>
        <w:spacing w:after="0" w:line="20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seek additional capital or restructure or refinance our indebtedness. These measures may not be successful and may not permit us to meet our scheduled debt service obligations. In the absence of sufficient cash flows and capital resources, we could face substantial liquidity constraints and might be required to dispose of material assets or operations to meet our debt service and other obligations. However, our senior secured credit agreement will restrict our ability to dispose of assets and our use of proceeds from any such dispositions. We may not be able to consummate those dispositions, and even if we could consummate such dispositions, we may not be able to obtain the proceeds that we could realize from them and, in any event, any such proceeds may not be adequate to meet any debt service obligations then due.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8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On May 13, 2013, we entered into the First Amendment and Incremental Assumption Agreement (“Amended Credit Agreement”) with our wholly owned subsidiary, LPL Holdings, Inc., the other Credit Parties signatory thereto, the several Lenders parties thereto, Bank of America, N.A. as Administrative Agent, and other parties thereto. The Amended Credit Agreement supplements and amends the Company's Credit Agreement, dated as of March 29, 2012 (“Previous Credit Agreement”).</w:t>
      </w:r>
    </w:p>
    <w:p>
      <w:pPr>
        <w:spacing w:after="0" w:line="308" w:lineRule="exact"/>
        <w:rPr>
          <w:sz w:val="20"/>
          <w:szCs w:val="20"/>
          <w:color w:val="auto"/>
        </w:rPr>
      </w:pPr>
    </w:p>
    <w:p>
      <w:pPr>
        <w:ind w:right="460" w:firstLine="486"/>
        <w:spacing w:after="0" w:line="256" w:lineRule="auto"/>
        <w:rPr>
          <w:sz w:val="20"/>
          <w:szCs w:val="20"/>
          <w:color w:val="auto"/>
        </w:rPr>
      </w:pPr>
      <w:r>
        <w:rPr>
          <w:rFonts w:ascii="Arial" w:cs="Arial" w:eastAsia="Arial" w:hAnsi="Arial"/>
          <w:sz w:val="18"/>
          <w:szCs w:val="18"/>
          <w:color w:val="auto"/>
        </w:rPr>
        <w:t>Pursuant to the Previous Credit Agreement, the Company established a Term Loan A of $735.0 million maturing on March 29, 2017 ("Term Loan A"), a Term Loan B of $ 615.0 million maturing on March 29, 2019 ("Prior Term Loan B") and a revolving credit facility with borrowing capacity of $250.0 million maturing on March 29, 2017 ("Revolving Credit Facility").</w:t>
      </w:r>
    </w:p>
    <w:p>
      <w:pPr>
        <w:spacing w:after="0" w:line="310"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Pursuant to the Amended Credit Agreement, the Company amended Prior Term Loan B to increase its borrowings to an aggregate principal amount of $1,083.9 million (“Amended Term Loan B”). On May 13, 2013, we used the proceeds of Amended Term Loan B to (i) refinance the remaining outstanding balance of $608.9 million on Prior Term Loan B and (ii) repay a portion of the outstanding balance on Term Loan A in an aggregate principal amount of $238.9 million (“Term Loan A Repayment”). The remaining loan proceeds are available for working capital requirements and other general corporate purposes. The maturity date of Amended Term Loan B is March 29, 2019. The amount and maturity of the Revolving Credit Facility was not changed in the Amended Credit Agreement.</w:t>
      </w:r>
    </w:p>
    <w:p>
      <w:pPr>
        <w:spacing w:after="0" w:line="31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In connection with the execution of the Amended Credit Agreement, we incurred $7.4 million in costs that are capitalized as debt issuance costs in the unaudited condensed consolidated statements of financial condition. Because this refinancing resulted in the repayment of all outstanding principal borrowings on Prior Term Loan B, we accelerated the recognition of $8.0 million of unamortized costs attributable to Prior Term Loan B related to the Previous Credit Agreement. This accelerated recognition has been recorded as a loss on extinguishment of debt within the unaudited condensed consolidated statements of income for the nine months ended September 30, 2013.</w:t>
      </w:r>
    </w:p>
    <w:p>
      <w:pPr>
        <w:spacing w:after="0" w:line="314"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In addition, we maintain three uncommitted lines of credit at LPL Financial. Two of the lines have unspecified limits, and are primarily dependent on our ability to provide sufficient collateral. The other line had a $200.0 million and $150.0 million limit at September 30, 2013 and December 31, 2012, respectively, and allows for both collateralized and uncollateralized borrowings. The lines were utilized in 2013 and 2012; however, there were no balances outstanding at September 30, 2013 or December 31, 2012.</w:t>
      </w:r>
    </w:p>
    <w:p>
      <w:pPr>
        <w:spacing w:after="0" w:line="312"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We also were party to an interest rate swap agreement, in a notional amount of $65.0 million, to mitigate interest rate risk by hedging the variability of a portion of our floating-rate senior secured term loan. This agreement expired on June 30, 2012. While our term loan is unhedged as of September 30, 2013, the risk of variability on our floating interest rate is partially mitigated by the client margin loans, which carry floating interest rates, as well as fees received from our cash sweep programs. At September 30, 2013, our receivables from our advisors’ clients for margin loan activity were approximately $245.5 million, and the balance of deposits in the cash sweep programs was $25.5 billion.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90"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93"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Borrowings under Term Loan A and Amended Term Loan B bear interest at a base rate equal to either one, two, three, six, nine or twelve-month LIBOR (the "Eurodollar Rate") plus the applicable margin, or an alternative base rate (“ABR”) plus the applicable margin. The ABR is equal to the greatest of (a) the prime rate in effect on such day, (b) the effective federal funds rate in effect on such day plus 0.50%, (c) the Eurodollar Rate plus 1.00% and (d) solely in the case of Amended Term Loan B, 1.75%.</w:t>
      </w:r>
    </w:p>
    <w:p>
      <w:pPr>
        <w:spacing w:after="0" w:line="312"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The applicable margin for borrowings with respect to Term Loan A, Amended Term Loan B and the Revolving Credit Facility is currently 1.50% for base rate borrowings and 2.50% for LIBOR borrowings. The applicable margin on our term loans and Revolving Credit Facility could change depending on our total leverage ratio.</w:t>
      </w:r>
    </w:p>
    <w:p>
      <w:pPr>
        <w:spacing w:after="0" w:line="310" w:lineRule="exact"/>
        <w:rPr>
          <w:sz w:val="20"/>
          <w:szCs w:val="20"/>
          <w:color w:val="auto"/>
        </w:rPr>
      </w:pPr>
    </w:p>
    <w:p>
      <w:pPr>
        <w:jc w:val="both"/>
        <w:ind w:right="180" w:firstLine="648"/>
        <w:spacing w:after="0" w:line="254" w:lineRule="auto"/>
        <w:rPr>
          <w:sz w:val="20"/>
          <w:szCs w:val="20"/>
          <w:color w:val="auto"/>
        </w:rPr>
      </w:pPr>
      <w:r>
        <w:rPr>
          <w:rFonts w:ascii="Arial" w:cs="Arial" w:eastAsia="Arial" w:hAnsi="Arial"/>
          <w:sz w:val="18"/>
          <w:szCs w:val="18"/>
          <w:color w:val="auto"/>
        </w:rPr>
        <w:t>The applicable borrowing rates for Term Loan A were not affected by the refinancing on May 13, 2013. Borrowings under Prior Term Loan B bore interest at rates similar to the Amended Term Loan B except that the applicable margin for borrowings under the Previous Credit Agreement was 2.00% for base rate borrowings and 3.00% for LIBOR borrowings and the LIBOR rate with respect to Prior Term Loan B was subject to a floor of 1.00%.</w:t>
      </w:r>
    </w:p>
    <w:p>
      <w:pPr>
        <w:spacing w:after="0" w:line="258"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addition to paying interest on outstanding principal under the Amended Credit Agreement, we are required to pay a commitment fee to the lenders under the Revolving Credit Facility in respect of the unutilized commitments thereunder. The commitment fee rate at September 30, 2013 was 0.50% for our Revolving Credit Facility, but is subject to change depending on our leverage ratio. Prior to the closing of the Previous Credit Agreement on March 29, 2012, the commitment fee was 0.75% on our previous revolving credit facility. We must also pay customary letter of credit fees.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Prepayments</w:t>
      </w:r>
    </w:p>
    <w:p>
      <w:pPr>
        <w:spacing w:after="0" w:line="139"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The Amended Credit Agreement (not including the Revolving Credit Facility) requires us to prepay outstanding amounts under our senior secured term loan facility subject to certain exceptions, with:</w:t>
      </w:r>
    </w:p>
    <w:p>
      <w:pPr>
        <w:spacing w:after="0" w:line="88" w:lineRule="exact"/>
        <w:rPr>
          <w:sz w:val="20"/>
          <w:szCs w:val="20"/>
          <w:color w:val="auto"/>
        </w:rPr>
      </w:pPr>
    </w:p>
    <w:p>
      <w:pPr>
        <w:ind w:left="520" w:hanging="120"/>
        <w:spacing w:after="0" w:line="256"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50% (percentage will be reduced to 0% if our total leverage ratio is 3.00 to 1.00 or less) of our annual excess cash flow (as defined in the Amended Credit Agreement) adjusted for, among other things, changes in our net working capital (as of September 30, 2013 our total leverage ratio was 2.42);</w:t>
      </w:r>
    </w:p>
    <w:p>
      <w:pPr>
        <w:spacing w:after="0" w:line="93" w:lineRule="exact"/>
        <w:rPr>
          <w:rFonts w:ascii="Arial" w:cs="Arial" w:eastAsia="Arial" w:hAnsi="Arial"/>
          <w:sz w:val="18"/>
          <w:szCs w:val="18"/>
          <w:color w:val="auto"/>
        </w:rPr>
      </w:pPr>
    </w:p>
    <w:p>
      <w:pPr>
        <w:ind w:left="520" w:right="20" w:hanging="120"/>
        <w:spacing w:after="0" w:line="256"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100% of the net cash proceeds of all non-ordinary course asset sales or other dispositions of property (including insurance recoveries), if we do not reinvest or commit to reinvest those proceeds in assets to be used in our business or to make certain other permitted investments within 15 months as long as such reinvestment is completed within 180 days and</w:t>
      </w:r>
    </w:p>
    <w:p>
      <w:pPr>
        <w:spacing w:after="0" w:line="93" w:lineRule="exact"/>
        <w:rPr>
          <w:rFonts w:ascii="Arial" w:cs="Arial" w:eastAsia="Arial" w:hAnsi="Arial"/>
          <w:sz w:val="18"/>
          <w:szCs w:val="18"/>
          <w:color w:val="auto"/>
        </w:rPr>
      </w:pPr>
    </w:p>
    <w:p>
      <w:pPr>
        <w:ind w:left="520" w:right="900" w:hanging="120"/>
        <w:spacing w:after="0" w:line="262"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100% of the net cash proceeds of any incurrence of debt, other than proceeds from debt permitted under the Amended Credit Agreement.</w:t>
      </w:r>
    </w:p>
    <w:p>
      <w:pPr>
        <w:spacing w:after="0" w:line="88"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Mandatory prepayments in respect of the incurrence of any debt can be applied by us to scheduled installments of principal of Term Loan A and Amended Term Loan B in any order at our direction. Any other mandatory prepayments described above will be applied to scheduled installments of principal of Term Loan A and Amended Term Loan B in direct order. We may voluntarily repay outstanding term loans under the Amended Credit Agreement at any time without premium or penalty, other than customary “breakage” costs with respect to LIBOR loans, and with the exception of certain repricing transactions in respect to Amended Term Loan B consummated before November 13, 2013, which will be subject to a premium of 1.0% of the principal amount of Amended Term Loan B subject to such repricing transaction.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193"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Under the Previous Credit Agreement, we were required to make quarterly repayments of the principal for Term Loan A totaling 5.0% for the twelve months ended March 31, 2014 and 10.0% for each of the twelve months ended March 31, 2015, 2016 and 2017 (“Mandatory Amortization”), with the remaining principal due upon maturity. The Term Loan A Repayment of $238.9 million was equal to this Mandatory Amortization. As a result of the refinancing described above, the Company has no required repayments of principal for Term Loan A until its maturity on March 29, 2017.</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Quarterly repayments of the principal for Amended Term Loan B will total 1.0% per year with the remaining principal due upon maturity.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outstanding principal under the Revolving Credit Facility will be due upon maturity.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68"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loans under the Amended Credit Agreement are secured primarily through pledges of the capital stock in certain of our subsidiaries.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 and Events of Default</w:t>
      </w:r>
    </w:p>
    <w:p>
      <w:pPr>
        <w:spacing w:after="0" w:line="139"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The Amended Credit Agreement contains a number of covenants that, among other things, restrict, subject to certain exceptions, our ability to:</w:t>
      </w:r>
    </w:p>
    <w:p>
      <w:pPr>
        <w:spacing w:after="0" w:line="88" w:lineRule="exact"/>
        <w:rPr>
          <w:sz w:val="20"/>
          <w:szCs w:val="20"/>
          <w:color w:val="auto"/>
        </w:rPr>
      </w:pPr>
    </w:p>
    <w:p>
      <w:pPr>
        <w:ind w:left="520" w:hanging="120"/>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 dividends and distributions or repurchase our capital stock;</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investments, loans or advances;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prepay certain subordinated indebtedness;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amend material agreements governing certain subordinated indebtedness and</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 our lines of business.</w:t>
      </w:r>
    </w:p>
    <w:p>
      <w:pPr>
        <w:spacing w:after="0" w:line="117"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Our Amended Credit Agreement prohibits us from paying dividends and distributions or repurchasing our capital stock except for limited purposes, including, but not limited to payments in connection with: (i) redemption, repurchase, retirement or other acquisition of our equity interests from present or former officers, managers, consultants, employees and directors upon the death, disability, retirement, or termination of employment of any such person or otherwise in accordance with any stock option or stock appreciation rights plan, any management or employee stock ownership plan, stock subscription plan, employment termination agreement or any employment agreements or stockholders’ agreement, in an aggregate amount not to exceed $10.0 million in any fiscal year plus the amount of cash proceeds from certain equity issuances to such persons, and the amount of certain key-man life insurance proceeds, (ii) franchise taxes, general corporate and operating expenses not to exceed $3.0 million in any fiscal year, and fees and expenses related to any unsuccessful equity or debt offering permitted by the Amended Credit Agreement, (iii) tax liabilities to the extent attributable to our business and our subsidiaries and (iv) dividends and other distributions in an aggregate amount not to exceed the sum of (a) the greater of (i) $250,000,000 and (ii) 6.75% of our consolidated total assets, (b) the available amount (as defined in the Amended Credit Agreement), (c) the available equity amount (as defined in the Amended Credit Agreement) and (d) the incremental dividend amount (as defined in the Amended Credit Agreement). Notwithstanding the foregoing, we may make unlimited dividends and distributions provided that after giving pro forma effect thereto, our total leverage ratio does not exceed 2.0. As of September 30, 2013, we have the ability to make dividends and distributions or repurchase our capital stock totaling $364.4 million, subject to approval by the Board of Directors.</w:t>
      </w:r>
    </w:p>
    <w:p>
      <w:pPr>
        <w:spacing w:after="0" w:line="102"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share repurchase programs approved in May 2012, September 2012 and May 2013 were authorized by the Board of Directors pursuant to item (iv) above. Our special dividend of $2.00 per share to common stockholders, approved on March 30, 2012, was authorized by the Board of Directors pursuant to a one-time exception to the restriction on dividends. Any future declarations of quarterly cash dividends will be authorized pursuant to item (iv) above.</w:t>
      </w:r>
    </w:p>
    <w:p>
      <w:pPr>
        <w:spacing w:after="0" w:line="9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addition, our financial covenant requirements include a total leverage ratio test and an interest coverage ratio test. Under our total leverage ratio test, we covenant not to allow the ratio of our consolidated total debt (as defined in our Amended Credit Agreement) to an adjusted EBITDA reflecting financial covenants in our Amended Credit Agreement (“Credit Agreement Adjusted EBITDA”) to exceed certain prescribed levels set forth in the Amended Credit Agreement. Under our interest coverage ratio test, we covenant not to allow the ratio of our Credit Agreement Adjusted EBITDA to our consolidated interest expense (as defined in our Amended Credit Agreement) to be less than certain prescribed levels set forth in the Amended Credit Agreement. Each of our financial ratios is measured at the end of each fiscal quarter.</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68" w:right="259" w:bottom="1440" w:gutter="0" w:footer="0" w:header="0"/>
        </w:sectPr>
      </w:pPr>
    </w:p>
    <w:bookmarkStart w:id="55" w:name="page56"/>
    <w:bookmarkEnd w:id="55"/>
    <w:p>
      <w:pPr>
        <w:ind w:right="180" w:firstLine="486"/>
        <w:spacing w:after="0" w:line="256" w:lineRule="auto"/>
        <w:rPr>
          <w:sz w:val="20"/>
          <w:szCs w:val="20"/>
          <w:color w:val="auto"/>
        </w:rPr>
      </w:pPr>
      <w:r>
        <w:rPr>
          <w:rFonts w:ascii="Arial" w:cs="Arial" w:eastAsia="Arial" w:hAnsi="Arial"/>
          <w:sz w:val="18"/>
          <w:szCs w:val="18"/>
          <w:color w:val="auto"/>
        </w:rPr>
        <w:t>Our Amended Credit Agreement provides us with a right to cure in the event we fail to comply with our leverage ratio test or our interest coverage test. We must exercise this right to cure within ten days of the delivery of our quarterly certificate calculating the financial ratios for that quarter.</w:t>
      </w:r>
    </w:p>
    <w:p>
      <w:pPr>
        <w:spacing w:after="0" w:line="94"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If we fail to comply with these covenants and are unable to cure, we could face substantial liquidity problems and could be forced to sell assets, seek additional capital or seek to restructure or refinance our indebtedness. These alternative measures may not be successful or feasible. Our Amended Credit Agreement restricts our ability to sell assets. Even if we could consummate those sales, the proceeds that we realize from them may not be adequate to meet any debt service obligations then due. Furthermore, if an event of default were to occur with respect to our Amended Credit Agreement, our creditors could, among other things, accelerate the maturity of our indebtedness.</w:t>
      </w:r>
    </w:p>
    <w:p>
      <w:pPr>
        <w:spacing w:after="0" w:line="97" w:lineRule="exact"/>
        <w:rPr>
          <w:sz w:val="20"/>
          <w:szCs w:val="20"/>
          <w:color w:val="auto"/>
        </w:rPr>
      </w:pPr>
    </w:p>
    <w:p>
      <w:pPr>
        <w:ind w:right="820" w:firstLine="486"/>
        <w:spacing w:after="0" w:line="262" w:lineRule="auto"/>
        <w:rPr>
          <w:sz w:val="20"/>
          <w:szCs w:val="20"/>
          <w:color w:val="auto"/>
        </w:rPr>
      </w:pPr>
      <w:r>
        <w:rPr>
          <w:rFonts w:ascii="Arial" w:cs="Arial" w:eastAsia="Arial" w:hAnsi="Arial"/>
          <w:sz w:val="18"/>
          <w:szCs w:val="18"/>
          <w:color w:val="auto"/>
        </w:rPr>
        <w:t>As of September 30, 2013 and December 31, 2012 we were in compliance with all of our covenant requirements. Our covenant requirements and actual ratios as of September 30, 2013 and December 31, 2012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880" w:type="dxa"/>
            <w:vAlign w:val="bottom"/>
            <w:gridSpan w:val="4"/>
          </w:tcPr>
          <w:p>
            <w:pPr>
              <w:ind w:left="640"/>
              <w:spacing w:after="0"/>
              <w:rPr>
                <w:sz w:val="20"/>
                <w:szCs w:val="20"/>
                <w:color w:val="auto"/>
              </w:rPr>
            </w:pPr>
            <w:r>
              <w:rPr>
                <w:rFonts w:ascii="Arial" w:cs="Arial" w:eastAsia="Arial" w:hAnsi="Arial"/>
                <w:sz w:val="16"/>
                <w:szCs w:val="16"/>
                <w:b w:val="1"/>
                <w:bCs w:val="1"/>
                <w:color w:val="auto"/>
              </w:rPr>
              <w:t>September 30, 2013</w:t>
            </w:r>
          </w:p>
        </w:tc>
        <w:tc>
          <w:tcPr>
            <w:tcW w:w="2720" w:type="dxa"/>
            <w:vAlign w:val="bottom"/>
            <w:gridSpan w:val="3"/>
          </w:tcPr>
          <w:p>
            <w:pPr>
              <w:ind w:left="640"/>
              <w:spacing w:after="0"/>
              <w:rPr>
                <w:sz w:val="20"/>
                <w:szCs w:val="20"/>
                <w:color w:val="auto"/>
              </w:rPr>
            </w:pPr>
            <w:r>
              <w:rPr>
                <w:rFonts w:ascii="Arial" w:cs="Arial" w:eastAsia="Arial" w:hAnsi="Arial"/>
                <w:sz w:val="16"/>
                <w:szCs w:val="16"/>
                <w:b w:val="1"/>
                <w:bCs w:val="1"/>
                <w:color w:val="auto"/>
              </w:rPr>
              <w:t>December 31, 2012</w:t>
            </w:r>
          </w:p>
        </w:tc>
        <w:tc>
          <w:tcPr>
            <w:tcW w:w="0" w:type="dxa"/>
            <w:vAlign w:val="bottom"/>
          </w:tcPr>
          <w:p>
            <w:pPr>
              <w:spacing w:after="0"/>
              <w:rPr>
                <w:sz w:val="1"/>
                <w:szCs w:val="1"/>
                <w:color w:val="auto"/>
              </w:rPr>
            </w:pPr>
          </w:p>
        </w:tc>
      </w:tr>
      <w:tr>
        <w:trPr>
          <w:trHeight w:val="198"/>
        </w:trPr>
        <w:tc>
          <w:tcPr>
            <w:tcW w:w="58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Financial Ratio</w:t>
            </w:r>
          </w:p>
        </w:tc>
        <w:tc>
          <w:tcPr>
            <w:tcW w:w="16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rPr>
              <w:t>Covenant</w:t>
            </w: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rPr>
              <w:t>Covenant</w:t>
            </w: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820" w:type="dxa"/>
            <w:vAlign w:val="bottom"/>
            <w:gridSpan w:val="3"/>
            <w:vMerge w:val="continue"/>
          </w:tcPr>
          <w:p>
            <w:pPr>
              <w:spacing w:after="0"/>
              <w:rPr>
                <w:sz w:val="15"/>
                <w:szCs w:val="15"/>
                <w:color w:val="auto"/>
              </w:rPr>
            </w:pPr>
          </w:p>
        </w:tc>
        <w:tc>
          <w:tcPr>
            <w:tcW w:w="162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rPr>
              <w:t>Requirement</w:t>
            </w:r>
          </w:p>
        </w:tc>
        <w:tc>
          <w:tcPr>
            <w:tcW w:w="1260" w:type="dxa"/>
            <w:vAlign w:val="bottom"/>
            <w:gridSpan w:val="2"/>
          </w:tcPr>
          <w:p>
            <w:pPr>
              <w:ind w:left="120"/>
              <w:spacing w:after="0" w:line="181" w:lineRule="exact"/>
              <w:rPr>
                <w:sz w:val="20"/>
                <w:szCs w:val="20"/>
                <w:color w:val="auto"/>
              </w:rPr>
            </w:pPr>
            <w:r>
              <w:rPr>
                <w:rFonts w:ascii="Arial" w:cs="Arial" w:eastAsia="Arial" w:hAnsi="Arial"/>
                <w:sz w:val="16"/>
                <w:szCs w:val="16"/>
                <w:b w:val="1"/>
                <w:bCs w:val="1"/>
                <w:color w:val="auto"/>
              </w:rPr>
              <w:t>Actual Ratio</w:t>
            </w:r>
          </w:p>
        </w:tc>
        <w:tc>
          <w:tcPr>
            <w:tcW w:w="158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rPr>
              <w:t>Requirement</w:t>
            </w:r>
          </w:p>
        </w:tc>
        <w:tc>
          <w:tcPr>
            <w:tcW w:w="11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Actual Ratio</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Leverage Test (Maximum)</w:t>
            </w: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2.38</w:t>
            </w:r>
          </w:p>
        </w:tc>
        <w:tc>
          <w:tcPr>
            <w:tcW w:w="0" w:type="dxa"/>
            <w:vAlign w:val="bottom"/>
          </w:tcPr>
          <w:p>
            <w:pPr>
              <w:spacing w:after="0"/>
              <w:rPr>
                <w:sz w:val="1"/>
                <w:szCs w:val="1"/>
                <w:color w:val="auto"/>
              </w:rPr>
            </w:pPr>
          </w:p>
        </w:tc>
      </w:tr>
      <w:tr>
        <w:trPr>
          <w:trHeight w:val="257"/>
        </w:trPr>
        <w:tc>
          <w:tcPr>
            <w:tcW w:w="5820" w:type="dxa"/>
            <w:vAlign w:val="bottom"/>
            <w:gridSpan w:val="3"/>
          </w:tcPr>
          <w:p>
            <w:pPr>
              <w:ind w:left="40"/>
              <w:spacing w:after="0"/>
              <w:rPr>
                <w:sz w:val="20"/>
                <w:szCs w:val="20"/>
                <w:color w:val="auto"/>
              </w:rPr>
            </w:pPr>
            <w:r>
              <w:rPr>
                <w:rFonts w:ascii="Arial" w:cs="Arial" w:eastAsia="Arial" w:hAnsi="Arial"/>
                <w:sz w:val="18"/>
                <w:szCs w:val="18"/>
                <w:color w:val="auto"/>
              </w:rPr>
              <w:t>Interest Coverage (Minimum)</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2"/>
                <w:szCs w:val="22"/>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9.03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auto"/>
        </w:rPr>
        <w:t>Set forth below is a reconciliation from EBITDA, Adjusted EBITDA and Credit Agreement Adjusted EBITDA to our net income for the trailing twelve months ended September 30, 2013 and December 31, 2012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1320" w:type="dxa"/>
            <w:vAlign w:val="bottom"/>
          </w:tcPr>
          <w:p>
            <w:pPr>
              <w:jc w:val="right"/>
              <w:ind w:right="13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83"/>
        </w:trPr>
        <w:tc>
          <w:tcPr>
            <w:tcW w:w="83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174,377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151,918</w:t>
            </w:r>
          </w:p>
        </w:tc>
        <w:tc>
          <w:tcPr>
            <w:tcW w:w="0" w:type="dxa"/>
            <w:vAlign w:val="bottom"/>
          </w:tcPr>
          <w:p>
            <w:pPr>
              <w:spacing w:after="0"/>
              <w:rPr>
                <w:sz w:val="1"/>
                <w:szCs w:val="1"/>
                <w:color w:val="auto"/>
              </w:rPr>
            </w:pPr>
          </w:p>
        </w:tc>
      </w:tr>
      <w:tr>
        <w:trPr>
          <w:trHeight w:val="263"/>
        </w:trPr>
        <w:tc>
          <w:tcPr>
            <w:tcW w:w="834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50,719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54,826</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114,560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98,673</w:t>
            </w:r>
          </w:p>
        </w:tc>
        <w:tc>
          <w:tcPr>
            <w:tcW w:w="0" w:type="dxa"/>
            <w:vAlign w:val="bottom"/>
          </w:tcPr>
          <w:p>
            <w:pPr>
              <w:spacing w:after="0"/>
              <w:rPr>
                <w:sz w:val="1"/>
                <w:szCs w:val="1"/>
                <w:color w:val="auto"/>
              </w:rPr>
            </w:pPr>
          </w:p>
        </w:tc>
      </w:tr>
      <w:tr>
        <w:trPr>
          <w:trHeight w:val="263"/>
        </w:trPr>
        <w:tc>
          <w:tcPr>
            <w:tcW w:w="8340" w:type="dxa"/>
            <w:vAlign w:val="bottom"/>
          </w:tcPr>
          <w:p>
            <w:pPr>
              <w:ind w:left="80"/>
              <w:spacing w:after="0"/>
              <w:rPr>
                <w:sz w:val="20"/>
                <w:szCs w:val="20"/>
                <w:color w:val="auto"/>
              </w:rPr>
            </w:pPr>
            <w:r>
              <w:rPr>
                <w:rFonts w:ascii="Arial" w:cs="Arial" w:eastAsia="Arial" w:hAnsi="Arial"/>
                <w:sz w:val="18"/>
                <w:szCs w:val="18"/>
                <w:color w:val="auto"/>
              </w:rPr>
              <w:t>Amortization of intangible assets(1)</w:t>
            </w: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39,066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39,542</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 of fixed assets</w:t>
            </w: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41,171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32,254</w:t>
            </w:r>
          </w:p>
        </w:tc>
        <w:tc>
          <w:tcPr>
            <w:tcW w:w="0" w:type="dxa"/>
            <w:vAlign w:val="bottom"/>
          </w:tcPr>
          <w:p>
            <w:pPr>
              <w:spacing w:after="0"/>
              <w:rPr>
                <w:sz w:val="1"/>
                <w:szCs w:val="1"/>
                <w:color w:val="auto"/>
              </w:rPr>
            </w:pPr>
          </w:p>
        </w:tc>
      </w:tr>
      <w:tr>
        <w:trPr>
          <w:trHeight w:val="250"/>
        </w:trPr>
        <w:tc>
          <w:tcPr>
            <w:tcW w:w="8340" w:type="dxa"/>
            <w:vAlign w:val="bottom"/>
          </w:tcPr>
          <w:p>
            <w:pPr>
              <w:ind w:left="80"/>
              <w:spacing w:after="0"/>
              <w:rPr>
                <w:sz w:val="20"/>
                <w:szCs w:val="20"/>
                <w:color w:val="auto"/>
              </w:rPr>
            </w:pPr>
            <w:r>
              <w:rPr>
                <w:rFonts w:ascii="Arial" w:cs="Arial" w:eastAsia="Arial" w:hAnsi="Arial"/>
                <w:sz w:val="18"/>
                <w:szCs w:val="18"/>
                <w:color w:val="auto"/>
              </w:rPr>
              <w:t>EBITDA</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419,893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377,213</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EBITDA Adjustments:</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340" w:type="dxa"/>
            <w:vAlign w:val="bottom"/>
          </w:tcPr>
          <w:p>
            <w:pPr>
              <w:ind w:left="220"/>
              <w:spacing w:after="0"/>
              <w:rPr>
                <w:sz w:val="20"/>
                <w:szCs w:val="20"/>
                <w:color w:val="auto"/>
              </w:rPr>
            </w:pPr>
            <w:r>
              <w:rPr>
                <w:rFonts w:ascii="Arial" w:cs="Arial" w:eastAsia="Arial" w:hAnsi="Arial"/>
                <w:sz w:val="18"/>
                <w:szCs w:val="18"/>
                <w:color w:val="auto"/>
              </w:rPr>
              <w:t>Employee share-based compensation expense(2)</w:t>
            </w: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15,174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17,544</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integration related expenses(3)</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20,474</w:t>
            </w:r>
          </w:p>
        </w:tc>
        <w:tc>
          <w:tcPr>
            <w:tcW w:w="0" w:type="dxa"/>
            <w:vAlign w:val="bottom"/>
          </w:tcPr>
          <w:p>
            <w:pPr>
              <w:spacing w:after="0"/>
              <w:rPr>
                <w:sz w:val="1"/>
                <w:szCs w:val="1"/>
                <w:color w:val="auto"/>
              </w:rPr>
            </w:pPr>
          </w:p>
        </w:tc>
      </w:tr>
      <w:tr>
        <w:trPr>
          <w:trHeight w:val="263"/>
        </w:trPr>
        <w:tc>
          <w:tcPr>
            <w:tcW w:w="8340" w:type="dxa"/>
            <w:vAlign w:val="bottom"/>
          </w:tcPr>
          <w:p>
            <w:pPr>
              <w:ind w:left="220"/>
              <w:spacing w:after="0"/>
              <w:rPr>
                <w:sz w:val="20"/>
                <w:szCs w:val="20"/>
                <w:color w:val="auto"/>
              </w:rPr>
            </w:pPr>
            <w:r>
              <w:rPr>
                <w:rFonts w:ascii="Arial" w:cs="Arial" w:eastAsia="Arial" w:hAnsi="Arial"/>
                <w:sz w:val="18"/>
                <w:szCs w:val="18"/>
                <w:color w:val="auto"/>
              </w:rPr>
              <w:t>Restructuring and conversion costs(4)</w:t>
            </w: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21,680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6,146</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extinguishment costs(5)</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16,652</w:t>
            </w:r>
          </w:p>
        </w:tc>
        <w:tc>
          <w:tcPr>
            <w:tcW w:w="0" w:type="dxa"/>
            <w:vAlign w:val="bottom"/>
          </w:tcPr>
          <w:p>
            <w:pPr>
              <w:spacing w:after="0"/>
              <w:rPr>
                <w:sz w:val="1"/>
                <w:szCs w:val="1"/>
                <w:color w:val="auto"/>
              </w:rPr>
            </w:pPr>
          </w:p>
        </w:tc>
      </w:tr>
      <w:tr>
        <w:trPr>
          <w:trHeight w:val="263"/>
        </w:trPr>
        <w:tc>
          <w:tcPr>
            <w:tcW w:w="8340" w:type="dxa"/>
            <w:vAlign w:val="bottom"/>
          </w:tcPr>
          <w:p>
            <w:pPr>
              <w:ind w:left="220"/>
              <w:spacing w:after="0"/>
              <w:rPr>
                <w:sz w:val="20"/>
                <w:szCs w:val="20"/>
                <w:color w:val="auto"/>
              </w:rPr>
            </w:pPr>
            <w:r>
              <w:rPr>
                <w:rFonts w:ascii="Arial" w:cs="Arial" w:eastAsia="Arial" w:hAnsi="Arial"/>
                <w:sz w:val="18"/>
                <w:szCs w:val="18"/>
                <w:color w:val="auto"/>
              </w:rPr>
              <w:t>Equity issuance and related offering costs(6)</w:t>
            </w: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Other(7)</w:t>
            </w: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22,093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11,967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EBITDA Adjustments</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77,303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77,269</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497,196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454,482</w:t>
            </w:r>
          </w:p>
        </w:tc>
        <w:tc>
          <w:tcPr>
            <w:tcW w:w="0" w:type="dxa"/>
            <w:vAlign w:val="bottom"/>
          </w:tcPr>
          <w:p>
            <w:pPr>
              <w:spacing w:after="0"/>
              <w:rPr>
                <w:sz w:val="1"/>
                <w:szCs w:val="1"/>
                <w:color w:val="auto"/>
              </w:rPr>
            </w:pPr>
          </w:p>
        </w:tc>
      </w:tr>
      <w:tr>
        <w:trPr>
          <w:trHeight w:val="263"/>
        </w:trPr>
        <w:tc>
          <w:tcPr>
            <w:tcW w:w="8340" w:type="dxa"/>
            <w:vAlign w:val="bottom"/>
          </w:tcPr>
          <w:p>
            <w:pPr>
              <w:ind w:left="220"/>
              <w:spacing w:after="0"/>
              <w:rPr>
                <w:sz w:val="20"/>
                <w:szCs w:val="20"/>
                <w:color w:val="auto"/>
              </w:rPr>
            </w:pPr>
            <w:r>
              <w:rPr>
                <w:rFonts w:ascii="Arial" w:cs="Arial" w:eastAsia="Arial" w:hAnsi="Arial"/>
                <w:sz w:val="18"/>
                <w:szCs w:val="18"/>
                <w:color w:val="auto"/>
              </w:rPr>
              <w:t>Advisor and financial institution share-based compensation expense(8)</w:t>
            </w: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6,877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Other(9)</w:t>
            </w: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6,681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4,190</w:t>
            </w:r>
          </w:p>
        </w:tc>
        <w:tc>
          <w:tcPr>
            <w:tcW w:w="0" w:type="dxa"/>
            <w:vAlign w:val="bottom"/>
          </w:tcPr>
          <w:p>
            <w:pPr>
              <w:spacing w:after="0"/>
              <w:rPr>
                <w:sz w:val="1"/>
                <w:szCs w:val="1"/>
                <w:color w:val="auto"/>
              </w:rPr>
            </w:pPr>
          </w:p>
        </w:tc>
      </w:tr>
      <w:tr>
        <w:trPr>
          <w:trHeight w:val="257"/>
        </w:trPr>
        <w:tc>
          <w:tcPr>
            <w:tcW w:w="8340" w:type="dxa"/>
            <w:vAlign w:val="bottom"/>
          </w:tcPr>
          <w:p>
            <w:pPr>
              <w:ind w:left="80"/>
              <w:spacing w:after="0"/>
              <w:rPr>
                <w:sz w:val="20"/>
                <w:szCs w:val="20"/>
                <w:color w:val="auto"/>
              </w:rPr>
            </w:pPr>
            <w:r>
              <w:rPr>
                <w:rFonts w:ascii="Arial" w:cs="Arial" w:eastAsia="Arial" w:hAnsi="Arial"/>
                <w:sz w:val="18"/>
                <w:szCs w:val="18"/>
                <w:color w:val="auto"/>
              </w:rPr>
              <w:t>Credit Agreement 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510,754</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462,479</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8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amortization of intangible assets as a result of our purchase accounting adjustments from our merger transaction in 2005 and various acquisitions.</w:t>
      </w:r>
    </w:p>
    <w:p>
      <w:pPr>
        <w:spacing w:after="0" w:line="88"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share-based compensation expense for equity awards granted to employees, officers and directors. Such awards are measured based on the grant date fair value and recognized over the requisite service period of the individual awards, which generally equals the vesting period.</w:t>
      </w:r>
    </w:p>
    <w:p>
      <w:pPr>
        <w:spacing w:after="0" w:line="93" w:lineRule="exact"/>
        <w:rPr>
          <w:rFonts w:ascii="Arial" w:cs="Arial" w:eastAsia="Arial" w:hAnsi="Arial"/>
          <w:sz w:val="18"/>
          <w:szCs w:val="18"/>
          <w:color w:val="auto"/>
        </w:rPr>
      </w:pPr>
    </w:p>
    <w:p>
      <w:pPr>
        <w:ind w:left="660" w:right="100" w:hanging="328"/>
        <w:spacing w:after="0" w:line="25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 including changes in the estimated fair value of future payments, or contingent consideration, required to be made to former shareholders of certain acquired entities. In the first quarter of 2013, we revised our estimate of the potential payment obligation that we may be required to pay the former shareholders of Concord, which</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82" w:right="239" w:bottom="1440" w:gutter="0" w:footer="0" w:header="0"/>
        </w:sectPr>
      </w:pPr>
    </w:p>
    <w:bookmarkStart w:id="56" w:name="page57"/>
    <w:bookmarkEnd w:id="56"/>
    <w:p>
      <w:pPr>
        <w:ind w:left="660" w:right="200"/>
        <w:spacing w:after="0" w:line="309" w:lineRule="auto"/>
        <w:rPr>
          <w:sz w:val="20"/>
          <w:szCs w:val="20"/>
          <w:color w:val="auto"/>
        </w:rPr>
      </w:pPr>
      <w:r>
        <w:rPr>
          <w:rFonts w:ascii="Arial" w:cs="Arial" w:eastAsia="Arial" w:hAnsi="Arial"/>
          <w:sz w:val="18"/>
          <w:szCs w:val="18"/>
          <w:color w:val="auto"/>
        </w:rPr>
        <w:t>resulted in a $3.8 million decrease in the estimated fair value of contingent consideration during the twelve months ended September 30, 2013.</w:t>
      </w:r>
    </w:p>
    <w:p>
      <w:pPr>
        <w:spacing w:after="0" w:line="61" w:lineRule="exact"/>
        <w:rPr>
          <w:sz w:val="20"/>
          <w:szCs w:val="20"/>
          <w:color w:val="auto"/>
        </w:rPr>
      </w:pPr>
    </w:p>
    <w:p>
      <w:pPr>
        <w:ind w:left="660" w:hanging="328"/>
        <w:spacing w:after="0" w:line="25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organizational restructuring charges, conversion and other related costs incurred resulting from the expansion of our Service Value Commitment, the 2011 consolidation of UVEST and the 2009 consolidation of the Affiliated Entities. As of September 30, 2013, we have recognized approximately 28% of costs related to the expansion of the Service Value Commitment, which is expected to be completed in 2015. As of September 30, 2013, approximately 91% and 99% of costs related to the 2011 consolidation of UVEST and the 2009 consolidation of the Affiliated Entities, respectively, have been recognized. The remaining costs for the 2011 consolidation of UVEST and the 2009 consolidation of the Affiliated Entities largely consist of the amortization of transition payments that have been made in connection with these two consolidations for the retention of advisors and financial institutions that are expected to be recognized into earnings by December 2014.</w:t>
      </w:r>
    </w:p>
    <w:p>
      <w:pPr>
        <w:spacing w:after="0" w:line="98" w:lineRule="exact"/>
        <w:rPr>
          <w:rFonts w:ascii="Arial" w:cs="Arial" w:eastAsia="Arial" w:hAnsi="Arial"/>
          <w:sz w:val="18"/>
          <w:szCs w:val="18"/>
          <w:color w:val="auto"/>
        </w:rPr>
      </w:pPr>
    </w:p>
    <w:p>
      <w:pPr>
        <w:ind w:left="660" w:right="260" w:hanging="328"/>
        <w:spacing w:after="0" w:line="25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expenses incurred resulting from the early extinguishment and repayment of amounts outstanding under our Previous Credit Agreement and Original Credit Agreement for the trailing twelve months ended September 30, 2013 and December 31, 2012, respectively, including the write-off of $8.0 million and $16.5 million, respectively, of unamortized debt issuance costs that have no future economic benefit, as well as various other charges incurred in connection with the establishment of the Amended Credit Agreement and the Previous Credit Agreement, respectively.</w:t>
      </w:r>
    </w:p>
    <w:p>
      <w:pPr>
        <w:spacing w:after="0" w:line="97" w:lineRule="exact"/>
        <w:rPr>
          <w:rFonts w:ascii="Arial" w:cs="Arial" w:eastAsia="Arial" w:hAnsi="Arial"/>
          <w:sz w:val="18"/>
          <w:szCs w:val="18"/>
          <w:color w:val="auto"/>
        </w:rPr>
      </w:pPr>
    </w:p>
    <w:p>
      <w:pPr>
        <w:ind w:left="660" w:right="20" w:hanging="328"/>
        <w:spacing w:after="0" w:line="25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equity issuance and offering costs incurred in the twelve months ended September 30, 2013 and December 31, 2012, related to the closing of the secondary offering in the second quarter of 2012. In addition, results for the twelve months ended December 31, 2012 include a $3.9 million charge for the late deposit of withholding taxes related to the exercise of certain non-qualified stock options in connection with the 2010 initial public offering (see Note 10 in the unaudited condensed consolidated financial statements).</w:t>
      </w:r>
    </w:p>
    <w:p>
      <w:pPr>
        <w:spacing w:after="0" w:line="97" w:lineRule="exact"/>
        <w:rPr>
          <w:rFonts w:ascii="Arial" w:cs="Arial" w:eastAsia="Arial" w:hAnsi="Arial"/>
          <w:sz w:val="18"/>
          <w:szCs w:val="18"/>
          <w:color w:val="auto"/>
        </w:rPr>
      </w:pPr>
    </w:p>
    <w:p>
      <w:pPr>
        <w:ind w:left="660" w:right="20" w:hanging="328"/>
        <w:spacing w:after="0" w:line="251"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for the twelve months ended September 30, 2013 and December 31, 2012 include approximately$7.0 million for consulting services and technology development aimed at enhancing our performance in support of our advisors while operating at a lower cost under the Program. In addition, results for the twelve months ended September 30, 2013 and December 31, 2012 include asset impairment charges of $4.8 million and $4.0 million, respectively, for certain fixed assets related to internally developed software that were determined to have no estimated fair value. During the third quarter of 2013, we incurred costs related to the NestWise Closure, consisting primarily of severance and termination benefits, $6.9 million of fixed asset charges that were determined to have no future economic benefit and the derecognition of $10.2 million of goodwill. In addition, we revised our estimate of the potential payment obligation that we may be required to pay the former shareholders of Veritat, which resulted in a $7.8 million decrease in the estimated fair value of contingent consideration. In the first quarter of 2013, we incurred $2.7 million of severance and termination benefits related to a change in management structure.</w:t>
      </w:r>
    </w:p>
    <w:p>
      <w:pPr>
        <w:spacing w:after="0" w:line="104" w:lineRule="exact"/>
        <w:rPr>
          <w:rFonts w:ascii="Arial" w:cs="Arial" w:eastAsia="Arial" w:hAnsi="Arial"/>
          <w:sz w:val="18"/>
          <w:szCs w:val="18"/>
          <w:color w:val="auto"/>
        </w:rPr>
      </w:pPr>
    </w:p>
    <w:p>
      <w:pPr>
        <w:ind w:left="660" w:right="160" w:hanging="328"/>
        <w:spacing w:after="0" w:line="256"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Credit Agreement Adjusted EBITDA excludes the recognition of share-based compensation expense from stock options and warrants granted to advisors and financial institutions based on the fair value of the awards at each interim reporting period under the Black-Scholes valuation model.</w:t>
      </w:r>
    </w:p>
    <w:p>
      <w:pPr>
        <w:spacing w:after="0" w:line="201"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other items that are adjustable in accordance with our Amended Credit Agreement to arrive at Credit Agreement Adjusted EBITDA including employee severance costs, employee signing costs, and employee retention or completion bonuses.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9" w:lineRule="exact"/>
        <w:rPr>
          <w:sz w:val="20"/>
          <w:szCs w:val="20"/>
          <w:color w:val="auto"/>
        </w:rPr>
      </w:pPr>
    </w:p>
    <w:p>
      <w:pPr>
        <w:jc w:val="both"/>
        <w:ind w:right="280" w:firstLine="486"/>
        <w:spacing w:after="0" w:line="256" w:lineRule="auto"/>
        <w:rPr>
          <w:sz w:val="20"/>
          <w:szCs w:val="20"/>
          <w:color w:val="auto"/>
        </w:rPr>
      </w:pPr>
      <w:r>
        <w:rPr>
          <w:rFonts w:ascii="Arial" w:cs="Arial" w:eastAsia="Arial" w:hAnsi="Arial"/>
          <w:sz w:val="18"/>
          <w:szCs w:val="18"/>
          <w:color w:val="auto"/>
        </w:rPr>
        <w:t>We enter into various off-balance-sheet arrangements in the ordinary course of business, primarily to meet the needs of our advisors’ clients. These arrangements include firm commitments to extend credit. For information on these arrangements, see Notes 10 and 15 of our unaudited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09"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provides information with respect to our commitments and obligations as of September 30, 2013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6"/>
                <w:szCs w:val="16"/>
                <w:b w:val="1"/>
                <w:bCs w:val="1"/>
                <w:color w:val="auto"/>
              </w:rPr>
              <w:t>Payments Due by Period</w:t>
            </w: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64"/>
        </w:trPr>
        <w:tc>
          <w:tcPr>
            <w:tcW w:w="40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&lt; 1 Year</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1-3 Years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4-5 Years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&gt; 5 Years</w:t>
            </w:r>
          </w:p>
        </w:tc>
      </w:tr>
      <w:tr>
        <w:trPr>
          <w:trHeight w:val="257"/>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Leases and other obligations(1)(2)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411,783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36,398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76,608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58,659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240,118</w:t>
            </w:r>
          </w:p>
        </w:tc>
      </w:tr>
      <w:tr>
        <w:trPr>
          <w:trHeight w:val="263"/>
        </w:trPr>
        <w:tc>
          <w:tcPr>
            <w:tcW w:w="4040" w:type="dxa"/>
            <w:vAlign w:val="bottom"/>
          </w:tcPr>
          <w:p>
            <w:pPr>
              <w:ind w:left="80"/>
              <w:spacing w:after="0"/>
              <w:rPr>
                <w:sz w:val="20"/>
                <w:szCs w:val="20"/>
                <w:color w:val="auto"/>
              </w:rPr>
            </w:pPr>
            <w:r>
              <w:rPr>
                <w:rFonts w:ascii="Arial" w:cs="Arial" w:eastAsia="Arial" w:hAnsi="Arial"/>
                <w:sz w:val="18"/>
                <w:szCs w:val="18"/>
                <w:color w:val="auto"/>
              </w:rPr>
              <w:t>Senior secured term loan facilities(3)</w:t>
            </w:r>
          </w:p>
        </w:tc>
        <w:tc>
          <w:tcPr>
            <w:tcW w:w="28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1,537,805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10,838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21,677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481,052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1,024,238</w:t>
            </w:r>
          </w:p>
        </w:tc>
      </w:tr>
      <w:tr>
        <w:trPr>
          <w:trHeight w:val="277"/>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Commitment fee on revolving line of credit(4)</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4,058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1,159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2,321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4040" w:type="dxa"/>
            <w:vAlign w:val="bottom"/>
          </w:tcPr>
          <w:p>
            <w:pPr>
              <w:ind w:left="80"/>
              <w:spacing w:after="0"/>
              <w:rPr>
                <w:sz w:val="20"/>
                <w:szCs w:val="20"/>
                <w:color w:val="auto"/>
              </w:rPr>
            </w:pPr>
            <w:r>
              <w:rPr>
                <w:rFonts w:ascii="Arial" w:cs="Arial" w:eastAsia="Arial" w:hAnsi="Arial"/>
                <w:sz w:val="18"/>
                <w:szCs w:val="18"/>
                <w:color w:val="auto"/>
              </w:rPr>
              <w:t>Variable interest payments(5):</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4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Term Loan A</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43,587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12,478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24,990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6,119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40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Amended Term Loan B</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190,055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35,401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69,825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68,299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16,530</w:t>
            </w:r>
          </w:p>
        </w:tc>
      </w:tr>
      <w:tr>
        <w:trPr>
          <w:trHeight w:val="257"/>
        </w:trPr>
        <w:tc>
          <w:tcPr>
            <w:tcW w:w="4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contractual cash obligations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2,187,288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96,274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195,421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614,707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1,280,886</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w:t>
      </w:r>
    </w:p>
    <w:p>
      <w:pPr>
        <w:ind w:left="660" w:hanging="328"/>
        <w:spacing w:after="0" w:line="25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second quarter of 2013, we entered into a long-term contractual obligation with a third-party service provider to enhance the quality, speed and cost of processes that support us by outsourcing certain functions. The table above includes the minimum payments due over the duration of the contract. The contractual obligation may be canceled, subject to a termination penalty that is approximately equal to the initial annual minimum payment. The amount of the termination penalty steps down ratably through the passage of time. Future minimum payments have not been reduced by this termination penalty.</w:t>
      </w:r>
    </w:p>
    <w:p>
      <w:pPr>
        <w:spacing w:after="0" w:line="97"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Future minimum payments for applicable leases have not been reduced by minimum sublease rental income of $4.1 million that is due in the future under noncancelable subleases. Note 10 of our unaudited condensed consolidated financial statements provides further detail on operating lease obligations and obligations under noncancelable service contracts.</w:t>
      </w:r>
    </w:p>
    <w:p>
      <w:pPr>
        <w:spacing w:after="0" w:line="93"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principal payments under our Amended Credit Agreement. See Note 8 of our unaudited condensed consolidated financial statements for further detail.</w:t>
      </w:r>
    </w:p>
    <w:p>
      <w:pPr>
        <w:spacing w:after="0" w:line="88" w:lineRule="exact"/>
        <w:rPr>
          <w:rFonts w:ascii="Arial" w:cs="Arial" w:eastAsia="Arial" w:hAnsi="Arial"/>
          <w:sz w:val="18"/>
          <w:szCs w:val="18"/>
          <w:color w:val="auto"/>
        </w:rPr>
      </w:pPr>
    </w:p>
    <w:p>
      <w:pPr>
        <w:ind w:left="660" w:right="780" w:hanging="328"/>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commitment fees for unused borrowings on our Revolving Credit Facility. See Note 8 of our unaudited condensed consolidated financial statements for further detail regarding our Revolving Credit Facility.</w:t>
      </w:r>
    </w:p>
    <w:p>
      <w:pPr>
        <w:spacing w:after="0" w:line="88" w:lineRule="exact"/>
        <w:rPr>
          <w:rFonts w:ascii="Arial" w:cs="Arial" w:eastAsia="Arial" w:hAnsi="Arial"/>
          <w:sz w:val="18"/>
          <w:szCs w:val="18"/>
          <w:color w:val="auto"/>
        </w:rPr>
      </w:pPr>
    </w:p>
    <w:p>
      <w:pPr>
        <w:ind w:left="660" w:right="100" w:hanging="328"/>
        <w:spacing w:after="0" w:line="256"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senior secured term loan facilities bear interest at floating rates. Variable interest payments are shown assuming the applicable LIBOR rates at September 30, 2013 remain unchanged. See Note 8 of our unaudited condensed consolidated financial statements for further detail.</w:t>
      </w:r>
    </w:p>
    <w:p>
      <w:pPr>
        <w:spacing w:after="0" w:line="148"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Our acquisitions of NRP, Concord and Veritat each involve the potential payment of contingent consideration dependent upon the achievement of certain revenue, gross-margin and assets under management milestones. The table above does not reflect any such obligations, as the amounts are uncertain. See Note 4 of our unaudited condensed consolidated financial statements for further discussion of the amount of future contingent consideration we could be required to pay in connection with these acquisitions.</w:t>
      </w:r>
    </w:p>
    <w:p>
      <w:pPr>
        <w:spacing w:after="0" w:line="164"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As of September 30, 2013, we have a liability for unrecognized tax benefits of $21.2 million, which we have netted against income taxes receivable in the unaudited condensed consolidated statements of financial condition. This amount has been excluded from the contractual obligations table because we are unable to reasonably predict the ultimate amount or timing of future tax payments.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use fair value measurements to record certain financial assets and liabilities at fair value and to determine fair value disclosures.</w:t>
      </w:r>
    </w:p>
    <w:p>
      <w:pPr>
        <w:spacing w:after="0" w:line="225" w:lineRule="exact"/>
        <w:rPr>
          <w:sz w:val="20"/>
          <w:szCs w:val="20"/>
          <w:color w:val="auto"/>
        </w:rPr>
      </w:pPr>
    </w:p>
    <w:p>
      <w:pPr>
        <w:ind w:right="300" w:firstLine="486"/>
        <w:spacing w:after="0" w:line="278" w:lineRule="auto"/>
        <w:rPr>
          <w:sz w:val="20"/>
          <w:szCs w:val="20"/>
          <w:color w:val="auto"/>
        </w:rPr>
      </w:pPr>
      <w:r>
        <w:rPr>
          <w:rFonts w:ascii="Arial" w:cs="Arial" w:eastAsia="Arial" w:hAnsi="Arial"/>
          <w:sz w:val="17"/>
          <w:szCs w:val="17"/>
          <w:color w:val="auto"/>
        </w:rPr>
        <w:t>We use prices obtained from an independent third-party pricing service to measure the fair value of our trading securities. We validate prices received from the pricing service using various methods, including comparison to prices received from additional pricing services, comparison to available market prices and review of other relevant market data including implied yields of major categories of securities.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0" w:right="239" w:bottom="1440" w:gutter="0" w:footer="0" w:header="0"/>
        </w:sectPr>
      </w:pPr>
    </w:p>
    <w:bookmarkStart w:id="58" w:name="page59"/>
    <w:bookmarkEnd w:id="58"/>
    <w:p>
      <w:pPr>
        <w:ind w:right="80" w:firstLine="486"/>
        <w:spacing w:after="0" w:line="256" w:lineRule="auto"/>
        <w:rPr>
          <w:sz w:val="20"/>
          <w:szCs w:val="20"/>
          <w:color w:val="auto"/>
        </w:rPr>
      </w:pPr>
      <w:r>
        <w:rPr>
          <w:rFonts w:ascii="Arial" w:cs="Arial" w:eastAsia="Arial" w:hAnsi="Arial"/>
          <w:sz w:val="18"/>
          <w:szCs w:val="18"/>
          <w:color w:val="auto"/>
        </w:rPr>
        <w:t>At September 30, 2013, we did not adjust prices received from the independent third-party pricing service. For certificates of deposit and treasury securities, we utilize market-based inputs including observable market interest rates that correspond to the remaining maturities or next interest reset dates.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We have disclosed in our unaudited condensed consolidated financial statements and in “Item 7-Management’s Discussion and Analysis of Financial Condition and Results of Operations” included in our 2012 Annual Report on Form 10-K, those accounting policies that we consider to be significant in determining our results of operations and financial condition. There have been no material changes to those policies that we consider to be significant since the filing of our 2012 Annual Report on Form 10-K. The accounting principles used in preparing our unaudited condensed consolidated financial statements conform in all material respects to GAAP.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7"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Refer to Note 2 of our unaudited condensed consolidated financial statements for a discussion of recent accounting standards and pronouncements.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maintain trading securities owned and securities sold, but not yet purchased in order to facilitate client transactions, to meet a portion of our clearing deposit requirements at various clearing organizations, and to track the performance of our research models. These securities include mutual funds, debt securities issued by the U.S. government, money market funds, corporate debt securities, certificates of deposit and equity securities.</w:t>
      </w:r>
    </w:p>
    <w:p>
      <w:pPr>
        <w:spacing w:after="0" w:line="204"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Changes in the value of our trading inventory may result from fluctuations in interest rates, credit ratings of the issuer, equity prices and the correlation among these factors. We manage our trading inventory by product type. Our activities to facilitate client transactions generally involve mutual fund activities, including dividend reinvestments. The balances are based upon pending client activities which are monitored by our broker dealer support services department. Because these positions arise from pending client transactions, there are no specific trading or position limits. Positions held to meet clearing deposit requirements consist of U.S. government securities. The amount of securities deposited depends upon the requirements of the clearing organization. The level of securities deposited is monitored by the settlement area within our broker dealer support services department. Our research department develops model portfolios that are used by advisors in developing client portfolios. We currently maintain approximately 180 accounts based on model portfolios. At the time a portfolio is developed, we purchase the securities in that model portfolio in an amount equal to the account minimum for a client. Account minimums vary by product and can range from $10,000 to $250,000 per model. We utilize these positions to track the performance of the research department. The limits on this activity are based at the inception of each new model.</w:t>
      </w:r>
    </w:p>
    <w:p>
      <w:pPr>
        <w:spacing w:after="0" w:line="212"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At September 30, 2013, the fair value of our trading securities owned were $8.8 million. Securities sold, but not yet purchased were $0.3 million at September 30, 2013. See Note 4 of our unaudited condensed consolidated financial statements for information regarding the fair value of trading securities owned and securities sold, but not yet purchased associated with our client facilitation activities. See Note 5 of our unaudited condensed consolidated financial statements for information regarding the fair value of securities held to maturity.</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enter into contracts involving derivatives or other similar financial instruments for trading or proprietary purposes.</w:t>
      </w:r>
    </w:p>
    <w:p>
      <w:pPr>
        <w:spacing w:after="0" w:line="225"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We also have market risk on the fees we earn that are based on the market value of advisory and brokerage assets, assets on which trail commissions are paid and assets eligible for sponsor payments.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47" w:lineRule="exact"/>
        <w:rPr>
          <w:sz w:val="20"/>
          <w:szCs w:val="20"/>
          <w:color w:val="auto"/>
        </w:rPr>
      </w:pPr>
    </w:p>
    <w:p>
      <w:pPr>
        <w:ind w:right="600" w:firstLine="486"/>
        <w:spacing w:after="0" w:line="262" w:lineRule="auto"/>
        <w:rPr>
          <w:sz w:val="20"/>
          <w:szCs w:val="20"/>
          <w:color w:val="auto"/>
        </w:rPr>
      </w:pPr>
      <w:r>
        <w:rPr>
          <w:rFonts w:ascii="Arial" w:cs="Arial" w:eastAsia="Arial" w:hAnsi="Arial"/>
          <w:sz w:val="18"/>
          <w:szCs w:val="18"/>
          <w:color w:val="auto"/>
        </w:rPr>
        <w:t>We are exposed to risk associated with changes in interest rates. As of September 30, 2013, all of the outstanding debt under our Amended Credit Agreement, $1.5 billion, was subject to floating interest rate risk. While</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382" w:right="259" w:bottom="1440" w:gutter="0" w:footer="0" w:header="0"/>
        </w:sectPr>
      </w:pPr>
    </w:p>
    <w:bookmarkStart w:id="59" w:name="page60"/>
    <w:bookmarkEnd w:id="59"/>
    <w:p>
      <w:pPr>
        <w:ind w:right="40"/>
        <w:spacing w:after="0" w:line="262" w:lineRule="auto"/>
        <w:rPr>
          <w:sz w:val="20"/>
          <w:szCs w:val="20"/>
          <w:color w:val="auto"/>
        </w:rPr>
      </w:pPr>
      <w:r>
        <w:rPr>
          <w:rFonts w:ascii="Arial" w:cs="Arial" w:eastAsia="Arial" w:hAnsi="Arial"/>
          <w:sz w:val="18"/>
          <w:szCs w:val="18"/>
          <w:color w:val="auto"/>
        </w:rPr>
        <w:t>our senior secured term loans are subject to increases in interest rates, we do not believe that a short-term change in interest rates would have a material impact on our income before taxes.</w:t>
      </w:r>
    </w:p>
    <w:p>
      <w:pPr>
        <w:spacing w:after="0" w:line="196"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The following table summarizes the impact of increasing interest rates on our interest expense from the variable portion of our debt outstanding at September 30, 2013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Outstanding at</w:t>
            </w:r>
          </w:p>
        </w:tc>
        <w:tc>
          <w:tcPr>
            <w:tcW w:w="16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gridSpan w:val="10"/>
          </w:tcPr>
          <w:p>
            <w:pPr>
              <w:jc w:val="right"/>
              <w:ind w:right="414"/>
              <w:spacing w:after="0"/>
              <w:rPr>
                <w:sz w:val="20"/>
                <w:szCs w:val="20"/>
                <w:color w:val="auto"/>
              </w:rPr>
            </w:pPr>
            <w:r>
              <w:rPr>
                <w:rFonts w:ascii="Arial" w:cs="Arial" w:eastAsia="Arial" w:hAnsi="Arial"/>
                <w:sz w:val="16"/>
                <w:szCs w:val="16"/>
                <w:b w:val="1"/>
                <w:bCs w:val="1"/>
                <w:color w:val="auto"/>
              </w:rPr>
              <w:t>Annual Impact of an Interest Rate Increase of</w:t>
            </w:r>
          </w:p>
        </w:tc>
        <w:tc>
          <w:tcPr>
            <w:tcW w:w="0" w:type="dxa"/>
            <w:vAlign w:val="bottom"/>
          </w:tcPr>
          <w:p>
            <w:pPr>
              <w:spacing w:after="0"/>
              <w:rPr>
                <w:sz w:val="1"/>
                <w:szCs w:val="1"/>
                <w:color w:val="auto"/>
              </w:rPr>
            </w:pPr>
          </w:p>
        </w:tc>
      </w:tr>
      <w:tr>
        <w:trPr>
          <w:trHeight w:val="251"/>
        </w:trPr>
        <w:tc>
          <w:tcPr>
            <w:tcW w:w="4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Variable Interest</w:t>
            </w:r>
          </w:p>
        </w:tc>
        <w:tc>
          <w:tcPr>
            <w:tcW w:w="160" w:type="dxa"/>
            <w:vAlign w:val="bottom"/>
          </w:tcPr>
          <w:p>
            <w:pPr>
              <w:spacing w:after="0"/>
              <w:rPr>
                <w:sz w:val="21"/>
                <w:szCs w:val="21"/>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10 Basis</w:t>
            </w:r>
          </w:p>
        </w:tc>
        <w:tc>
          <w:tcPr>
            <w:tcW w:w="16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25 Basis</w:t>
            </w:r>
          </w:p>
        </w:tc>
        <w:tc>
          <w:tcPr>
            <w:tcW w:w="160" w:type="dxa"/>
            <w:vAlign w:val="bottom"/>
          </w:tcPr>
          <w:p>
            <w:pPr>
              <w:spacing w:after="0"/>
              <w:rPr>
                <w:sz w:val="21"/>
                <w:szCs w:val="21"/>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50 Basis</w:t>
            </w:r>
          </w:p>
        </w:tc>
        <w:tc>
          <w:tcPr>
            <w:tcW w:w="14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6"/>
                <w:szCs w:val="16"/>
                <w:b w:val="1"/>
                <w:bCs w:val="1"/>
                <w:color w:val="auto"/>
              </w:rPr>
              <w:t>100 Basis</w:t>
            </w:r>
          </w:p>
        </w:tc>
        <w:tc>
          <w:tcPr>
            <w:tcW w:w="0" w:type="dxa"/>
            <w:vAlign w:val="bottom"/>
          </w:tcPr>
          <w:p>
            <w:pPr>
              <w:spacing w:after="0"/>
              <w:rPr>
                <w:sz w:val="1"/>
                <w:szCs w:val="1"/>
                <w:color w:val="auto"/>
              </w:rPr>
            </w:pPr>
          </w:p>
        </w:tc>
      </w:tr>
      <w:tr>
        <w:trPr>
          <w:trHeight w:val="283"/>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Senior Secured Term Loans</w:t>
            </w:r>
          </w:p>
        </w:tc>
        <w:tc>
          <w:tcPr>
            <w:tcW w:w="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rPr>
              <w:t>Rates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rPr>
              <w:t>Points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Points</w:t>
            </w:r>
          </w:p>
        </w:tc>
        <w:tc>
          <w:tcPr>
            <w:tcW w:w="0" w:type="dxa"/>
            <w:vAlign w:val="bottom"/>
          </w:tcPr>
          <w:p>
            <w:pPr>
              <w:spacing w:after="0"/>
              <w:rPr>
                <w:sz w:val="1"/>
                <w:szCs w:val="1"/>
                <w:color w:val="auto"/>
              </w:rPr>
            </w:pPr>
          </w:p>
        </w:tc>
      </w:tr>
      <w:tr>
        <w:trPr>
          <w:trHeight w:val="257"/>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Term Loan A(1)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459,375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1,148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2,297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4,594</w:t>
            </w:r>
          </w:p>
        </w:tc>
        <w:tc>
          <w:tcPr>
            <w:tcW w:w="0" w:type="dxa"/>
            <w:vAlign w:val="bottom"/>
          </w:tcPr>
          <w:p>
            <w:pPr>
              <w:spacing w:after="0"/>
              <w:rPr>
                <w:sz w:val="1"/>
                <w:szCs w:val="1"/>
                <w:color w:val="auto"/>
              </w:rPr>
            </w:pPr>
          </w:p>
        </w:tc>
      </w:tr>
      <w:tr>
        <w:trPr>
          <w:trHeight w:val="264"/>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Amended Term Loan B(2)</w:t>
            </w:r>
          </w:p>
        </w:tc>
        <w:tc>
          <w:tcPr>
            <w:tcW w:w="180" w:type="dxa"/>
            <w:vAlign w:val="bottom"/>
          </w:tcPr>
          <w:p>
            <w:pPr>
              <w:spacing w:after="0"/>
              <w:rPr>
                <w:sz w:val="22"/>
                <w:szCs w:val="22"/>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1,078,431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57"/>
        </w:trPr>
        <w:tc>
          <w:tcPr>
            <w:tcW w:w="5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Variable Rate Debt Outstanding</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1,537,806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1,148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3,852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11,521</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1"/>
                <w:szCs w:val="11"/>
                <w:color w:val="auto"/>
              </w:rPr>
              <w:t>_______________________</w:t>
            </w: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7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200" w:hanging="328"/>
        <w:spacing w:after="0" w:line="26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variable interest rate for our Term Loan A is based on the one-month LIBOR of 0.18%, plus the applicable interest rate margin of 2.50%.</w:t>
      </w:r>
    </w:p>
    <w:p>
      <w:pPr>
        <w:spacing w:after="0" w:line="88" w:lineRule="exact"/>
        <w:rPr>
          <w:rFonts w:ascii="Arial" w:cs="Arial" w:eastAsia="Arial" w:hAnsi="Arial"/>
          <w:sz w:val="18"/>
          <w:szCs w:val="18"/>
          <w:color w:val="auto"/>
        </w:rPr>
      </w:pPr>
    </w:p>
    <w:p>
      <w:pPr>
        <w:ind w:left="660" w:right="20" w:hanging="328"/>
        <w:spacing w:after="0" w:line="25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variable interest rate for Amended Term Loan B is based on the greater of the LIBOR rate for the period selected (one, three, six, nine or twelve months) or 0.75%, plus the applicable interest rate margin of 2.50%. As of September 30, 2013, we elected the following variable interest rates for borrowings under its Amended Term Loan B: six-month LIBOR for $537.8 million which was designated on September 26, 2013 at an interest rate of 0.37%; and six-month LIBOR for $540.6 million which was designated on June 26, 2013 at an interest rate of 0.42%.</w:t>
      </w:r>
    </w:p>
    <w:p>
      <w:pPr>
        <w:spacing w:after="0" w:line="165"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offer our advisors and their clients two primary cash sweep programs that are interest rate sensitive: our insured cash programs and money market sweep vehicles involving multiple money market fund providers. Our insured cash programs use multiple non-affiliated banks to provide up to $1.5 million ($3.0 million in joint accounts) of FDIC insurance for client deposits custodied at the banks. While clients earn interest for balances on deposit in the insured cash programs, we earn a fee. Our fees from the insured cash programs are based on prevailing interest rates in the current interest rate environment. Changes in interest rates and fees for the insured cash programs are monitored by our fee and rate setting committee (the “FRS committee”), which governs and approves any changes to our fees. By meeting promptly after interest rates change, or for other market or non-market reasons, the FRS committee balances financial risk of the insured cash programs with products that offer competitive client yields. However, as short-term interest rates hit lower levels, the FRS committee may be compelled to lower fees.</w:t>
      </w:r>
    </w:p>
    <w:p>
      <w:pPr>
        <w:spacing w:after="0" w:line="220" w:lineRule="exact"/>
        <w:rPr>
          <w:sz w:val="20"/>
          <w:szCs w:val="20"/>
          <w:color w:val="auto"/>
        </w:rPr>
      </w:pPr>
    </w:p>
    <w:p>
      <w:pPr>
        <w:jc w:val="both"/>
        <w:ind w:right="440" w:firstLine="486"/>
        <w:spacing w:after="0" w:line="256" w:lineRule="auto"/>
        <w:rPr>
          <w:sz w:val="20"/>
          <w:szCs w:val="20"/>
          <w:color w:val="auto"/>
        </w:rPr>
      </w:pPr>
      <w:r>
        <w:rPr>
          <w:rFonts w:ascii="Arial" w:cs="Arial" w:eastAsia="Arial" w:hAnsi="Arial"/>
          <w:sz w:val="18"/>
          <w:szCs w:val="18"/>
          <w:color w:val="auto"/>
        </w:rPr>
        <w:t>The average Federal Reserve effective federal funds rate ("FFER") for September 2013 was 0.09%. The following table reflects the approximate annual impact to asset-based revenues on our insured cash programs (assuming that client balances at September 30, 2013 remain unchanged) of an upward or downward change in short-term interest rates of one basis point (dollars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Federal Reserve Effective Federal Funds</w:t>
            </w:r>
          </w:p>
        </w:tc>
        <w:tc>
          <w:tcPr>
            <w:tcW w:w="7360" w:type="dxa"/>
            <w:vAlign w:val="bottom"/>
          </w:tcPr>
          <w:p>
            <w:pPr>
              <w:jc w:val="center"/>
              <w:ind w:left="656"/>
              <w:spacing w:after="0"/>
              <w:rPr>
                <w:sz w:val="20"/>
                <w:szCs w:val="20"/>
                <w:color w:val="auto"/>
              </w:rPr>
            </w:pPr>
            <w:r>
              <w:rPr>
                <w:rFonts w:ascii="Arial" w:cs="Arial" w:eastAsia="Arial" w:hAnsi="Arial"/>
                <w:sz w:val="16"/>
                <w:szCs w:val="16"/>
                <w:b w:val="1"/>
                <w:bCs w:val="1"/>
                <w:color w:val="auto"/>
              </w:rPr>
              <w:t>Annualized Increase or Decrease in Asset-Based</w:t>
            </w:r>
          </w:p>
        </w:tc>
        <w:tc>
          <w:tcPr>
            <w:tcW w:w="740" w:type="dxa"/>
            <w:vAlign w:val="bottom"/>
          </w:tcPr>
          <w:p>
            <w:pPr>
              <w:spacing w:after="0"/>
              <w:rPr>
                <w:sz w:val="16"/>
                <w:szCs w:val="16"/>
                <w:color w:val="auto"/>
              </w:rPr>
            </w:pPr>
          </w:p>
        </w:tc>
      </w:tr>
      <w:tr>
        <w:trPr>
          <w:trHeight w:val="228"/>
        </w:trPr>
        <w:tc>
          <w:tcPr>
            <w:tcW w:w="3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Rate</w:t>
            </w:r>
          </w:p>
        </w:tc>
        <w:tc>
          <w:tcPr>
            <w:tcW w:w="7360" w:type="dxa"/>
            <w:vAlign w:val="bottom"/>
          </w:tcPr>
          <w:p>
            <w:pPr>
              <w:jc w:val="center"/>
              <w:ind w:left="656"/>
              <w:spacing w:after="0"/>
              <w:rPr>
                <w:sz w:val="20"/>
                <w:szCs w:val="20"/>
                <w:color w:val="auto"/>
              </w:rPr>
            </w:pPr>
            <w:r>
              <w:rPr>
                <w:rFonts w:ascii="Arial" w:cs="Arial" w:eastAsia="Arial" w:hAnsi="Arial"/>
                <w:sz w:val="16"/>
                <w:szCs w:val="16"/>
                <w:b w:val="1"/>
                <w:bCs w:val="1"/>
                <w:color w:val="auto"/>
              </w:rPr>
              <w:t>Revenues per One Basis Point Change</w:t>
            </w:r>
          </w:p>
        </w:tc>
        <w:tc>
          <w:tcPr>
            <w:tcW w:w="740" w:type="dxa"/>
            <w:vAlign w:val="bottom"/>
          </w:tcPr>
          <w:p>
            <w:pPr>
              <w:spacing w:after="0"/>
              <w:rPr>
                <w:sz w:val="19"/>
                <w:szCs w:val="19"/>
                <w:color w:val="auto"/>
              </w:rPr>
            </w:pPr>
          </w:p>
        </w:tc>
      </w:tr>
      <w:tr>
        <w:trPr>
          <w:trHeight w:val="257"/>
        </w:trPr>
        <w:tc>
          <w:tcPr>
            <w:tcW w:w="3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0.00% - 0.25%</w:t>
            </w:r>
          </w:p>
        </w:tc>
        <w:tc>
          <w:tcPr>
            <w:tcW w:w="120" w:type="dxa"/>
            <w:vAlign w:val="bottom"/>
            <w:tcBorders>
              <w:top w:val="single" w:sz="8" w:color="CCEEFF"/>
            </w:tcBorders>
            <w:shd w:val="clear" w:color="auto" w:fill="CCEEFF"/>
          </w:tcPr>
          <w:p>
            <w:pPr>
              <w:spacing w:after="0"/>
              <w:rPr>
                <w:sz w:val="22"/>
                <w:szCs w:val="22"/>
                <w:color w:val="auto"/>
              </w:rPr>
            </w:pPr>
          </w:p>
        </w:tc>
        <w:tc>
          <w:tcPr>
            <w:tcW w:w="73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r>
      <w:tr>
        <w:trPr>
          <w:trHeight w:val="26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0.26% - 1.25%</w:t>
            </w:r>
          </w:p>
        </w:tc>
        <w:tc>
          <w:tcPr>
            <w:tcW w:w="120" w:type="dxa"/>
            <w:vAlign w:val="bottom"/>
          </w:tcPr>
          <w:p>
            <w:pPr>
              <w:spacing w:after="0"/>
              <w:rPr>
                <w:sz w:val="22"/>
                <w:szCs w:val="22"/>
                <w:color w:val="auto"/>
              </w:rPr>
            </w:pPr>
          </w:p>
        </w:tc>
        <w:tc>
          <w:tcPr>
            <w:tcW w:w="736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800</w:t>
            </w:r>
          </w:p>
        </w:tc>
      </w:tr>
      <w:tr>
        <w:trPr>
          <w:trHeight w:val="277"/>
        </w:trPr>
        <w:tc>
          <w:tcPr>
            <w:tcW w:w="3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1.26% - 2.25%</w:t>
            </w:r>
          </w:p>
        </w:tc>
        <w:tc>
          <w:tcPr>
            <w:tcW w:w="120" w:type="dxa"/>
            <w:vAlign w:val="bottom"/>
            <w:shd w:val="clear" w:color="auto" w:fill="CCEEFF"/>
          </w:tcPr>
          <w:p>
            <w:pPr>
              <w:spacing w:after="0"/>
              <w:rPr>
                <w:sz w:val="24"/>
                <w:szCs w:val="24"/>
                <w:color w:val="auto"/>
              </w:rPr>
            </w:pPr>
          </w:p>
        </w:tc>
        <w:tc>
          <w:tcPr>
            <w:tcW w:w="73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r>
    </w:tbl>
    <w:p>
      <w:pPr>
        <w:spacing w:after="0" w:line="107" w:lineRule="exact"/>
        <w:rPr>
          <w:sz w:val="20"/>
          <w:szCs w:val="20"/>
          <w:color w:val="auto"/>
        </w:rPr>
      </w:pPr>
    </w:p>
    <w:p>
      <w:pPr>
        <w:ind w:right="400" w:firstLine="486"/>
        <w:spacing w:after="0" w:line="256" w:lineRule="auto"/>
        <w:rPr>
          <w:sz w:val="20"/>
          <w:szCs w:val="20"/>
          <w:color w:val="auto"/>
        </w:rPr>
      </w:pPr>
      <w:r>
        <w:rPr>
          <w:rFonts w:ascii="Arial" w:cs="Arial" w:eastAsia="Arial" w:hAnsi="Arial"/>
          <w:sz w:val="18"/>
          <w:szCs w:val="18"/>
          <w:color w:val="auto"/>
        </w:rPr>
        <w:t>The actual impact to asset-based revenues, including a change in the FFER of greater than 2.25%, may vary depending on the FRS committee's strategy in response to a change in interest rate levels, the significance of a change, and actual balances at the time of such change.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47"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auto"/>
        </w:rPr>
        <w:t>Credit risk is the risk of loss due to adverse changes in a borrower’s, issuer’s or counterparty’s ability to meet its financial obligations under contractual or agreed upon terms.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82" w:right="239" w:bottom="1440" w:gutter="0" w:footer="0" w:header="0"/>
        </w:sectPr>
      </w:pPr>
    </w:p>
    <w:bookmarkStart w:id="60" w:name="page61"/>
    <w:bookmarkEnd w:id="60"/>
    <w:p>
      <w:pPr>
        <w:ind w:right="80" w:firstLine="486"/>
        <w:spacing w:after="0" w:line="252" w:lineRule="auto"/>
        <w:rPr>
          <w:sz w:val="20"/>
          <w:szCs w:val="20"/>
          <w:color w:val="auto"/>
        </w:rPr>
      </w:pPr>
      <w:r>
        <w:rPr>
          <w:rFonts w:ascii="Arial" w:cs="Arial" w:eastAsia="Arial" w:hAnsi="Arial"/>
          <w:sz w:val="18"/>
          <w:szCs w:val="18"/>
          <w:color w:val="auto"/>
        </w:rPr>
        <w:t>We bear credit risk on the activities of our advisors’ clients, including the execution, settlement, and financing of various transactions on behalf of these clients. These activities are transacted on either a cash or margin basis. Our credit exposure in these transactions consists primarily of margin accounts, through which we extend credit to advisors' clients collateralized by cash (for purposes of margin lending, cash is not used as collateral) and securities in the client’s account. Under many of these agreements, we are permitted to sell or repledge these securities held as collateral and use these securities to enter into securities lending arrangements or to deliver to counterparties to cover short positions.</w:t>
      </w:r>
    </w:p>
    <w:p>
      <w:pPr>
        <w:spacing w:after="0" w:line="209"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As our advisors execute margin transactions on behalf of their clients, we may incur losses if clients do not fulfill their obligations, the collateral in the client’s account is insufficient to fully cover losses from such investments and our advisors fail to reimburse us for such losses. Our loss on margin accounts is immaterial and did not exceed $0.1 million during the nine months ended September 30, 2013 and 2012. We monitor exposure to industry sectors and individual securities and perform analyses on a regular basis in connection with our margin lending activities. We adjust our margin requirements if we believe our risk exposure is not appropriate based on market conditions.</w:t>
      </w:r>
    </w:p>
    <w:p>
      <w:pPr>
        <w:spacing w:after="0" w:line="20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We are subject to concentration risk if we extend large loans to or have large commitments with a single counterparty, borrower, or group of similar counterparties or borrowers (e.g. in the same industry). Receivables from and payables to clients and stock borrowing and lending activities are conducted with a large number of clients and counterparties and potential concentration is carefully monitored. We seek to limit this risk through careful review of the underlying business and the use of limits established by senior management, taking into consideration factors including the financial strength of the counterparty, the size of the position or commitment, the expected duration of the position or commitment and other positions or commitments outstanding.</w:t>
      </w:r>
    </w:p>
    <w:p>
      <w:pPr>
        <w:spacing w:after="0" w:line="209"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We often make payments to newly recruited advisors and institutions to assist in the transition process. Larger advisor practices and financial institutions typically receive transition assistance in the form of forgivable loans or recoverable advances, which are generally amortized over three to five years. Smaller advisor practices receive payments that are charged to earnings in the current period. We have credit risk and we may incur a loss in the event that an advisor who received a loan has terminated, or such advisor’s production payout is not sufficient to cover the taxes due on the forgivable amount. Losses are charged to earnings in the current period, but have historically been minimal due to our strong advisor retention.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4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Operational risk generally refers to the risk of loss resulting from our operations, including, but not limited to, improper, erroneous or unauthorized execution and processing of transactions, deficiencies in our technology or financial operating systems and inadequacies or breaches in our control processes. We operate in diverse markets and are reliant on the ability of our employees and systems, as well as third-party service providers and their systems, to process a large number of transactions effectively. These risks are less direct and quantifiable than credit and market risk, but managing them is critical, particularly in a rapidly changing environment with increasing transaction volumes and in light of increasing reliance on third-party service providers. In the event of a breakdown or improper operation of systems or improper action by employees, advisors or third-party service providers, we could suffer financial loss, data loss, regulatory sanctions and damage to our reputation. Business continuity plans exist for critical systems, and redundancies are built into the systems as deemed appropriate. In order to mitigate and control operational risk, we have developed and continue to enhance specific policies and procedures that are designed to identify and manage operational risk at appropriate levels throughout our organization and within various departments. These control mechanisms attempt to ensure that operational policies and procedures are being followed and that our employees and advisors operate within established corporate policies and limits.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4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We have established various committees of the Board of Directors to manage the risks associated with our business. Our Audit Committee is responsible for, among other things, appointing, overseeing and replacing, if necessary, the independent auditor and assisting the Board in overseeing:</w:t>
      </w:r>
    </w:p>
    <w:p>
      <w:pPr>
        <w:spacing w:after="0" w:line="67" w:lineRule="exact"/>
        <w:rPr>
          <w:sz w:val="20"/>
          <w:szCs w:val="20"/>
          <w:color w:val="auto"/>
        </w:rPr>
      </w:pPr>
    </w:p>
    <w:p>
      <w:pPr>
        <w:ind w:left="1200" w:hanging="301"/>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49" w:lineRule="exact"/>
        <w:rPr>
          <w:rFonts w:ascii="Arial" w:cs="Arial" w:eastAsia="Arial" w:hAnsi="Arial"/>
          <w:sz w:val="18"/>
          <w:szCs w:val="18"/>
          <w:color w:val="auto"/>
        </w:rPr>
      </w:pPr>
    </w:p>
    <w:p>
      <w:pPr>
        <w:ind w:left="1200" w:hanging="301"/>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integrity of our accounting and financial reporting processes;</w:t>
      </w:r>
    </w:p>
    <w:p>
      <w:pPr>
        <w:spacing w:after="0" w:line="49" w:lineRule="exact"/>
        <w:rPr>
          <w:rFonts w:ascii="Arial" w:cs="Arial" w:eastAsia="Arial" w:hAnsi="Arial"/>
          <w:sz w:val="18"/>
          <w:szCs w:val="18"/>
          <w:color w:val="auto"/>
        </w:rPr>
      </w:pPr>
    </w:p>
    <w:p>
      <w:pPr>
        <w:ind w:left="1200" w:hanging="301"/>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49" w:lineRule="exact"/>
        <w:rPr>
          <w:rFonts w:ascii="Arial" w:cs="Arial" w:eastAsia="Arial" w:hAnsi="Arial"/>
          <w:sz w:val="18"/>
          <w:szCs w:val="18"/>
          <w:color w:val="auto"/>
        </w:rPr>
      </w:pPr>
    </w:p>
    <w:p>
      <w:pPr>
        <w:ind w:left="1200" w:hanging="301"/>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independent auditor's qualifications and independence; and</w:t>
      </w:r>
    </w:p>
    <w:p>
      <w:pPr>
        <w:spacing w:after="0" w:line="49" w:lineRule="exact"/>
        <w:rPr>
          <w:rFonts w:ascii="Arial" w:cs="Arial" w:eastAsia="Arial" w:hAnsi="Arial"/>
          <w:sz w:val="18"/>
          <w:szCs w:val="18"/>
          <w:color w:val="auto"/>
        </w:rPr>
      </w:pPr>
    </w:p>
    <w:p>
      <w:pPr>
        <w:ind w:left="1200" w:hanging="301"/>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performance of our independent auditor and internal audit function.</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382" w:right="259" w:bottom="1440" w:gutter="0" w:footer="0" w:header="0"/>
        </w:sectPr>
      </w:pPr>
    </w:p>
    <w:bookmarkStart w:id="61" w:name="page62"/>
    <w:bookmarkEnd w:id="61"/>
    <w:p>
      <w:pPr>
        <w:ind w:right="100" w:firstLine="486"/>
        <w:spacing w:after="0" w:line="262" w:lineRule="auto"/>
        <w:rPr>
          <w:sz w:val="20"/>
          <w:szCs w:val="20"/>
          <w:color w:val="auto"/>
        </w:rPr>
      </w:pPr>
      <w:r>
        <w:rPr>
          <w:rFonts w:ascii="Arial" w:cs="Arial" w:eastAsia="Arial" w:hAnsi="Arial"/>
          <w:sz w:val="18"/>
          <w:szCs w:val="18"/>
          <w:color w:val="auto"/>
        </w:rPr>
        <w:t>In addition, the Audit Committee prepares the Audit Committee report required by the SEC to be included in our Annual Report on Form 10-K or our proxy statement.</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Compensation and Human Resources Committee was established for the primary purpose of:</w:t>
      </w:r>
    </w:p>
    <w:p>
      <w:pPr>
        <w:spacing w:after="0" w:line="63" w:lineRule="exact"/>
        <w:rPr>
          <w:sz w:val="20"/>
          <w:szCs w:val="20"/>
          <w:color w:val="auto"/>
        </w:rPr>
      </w:pPr>
    </w:p>
    <w:p>
      <w:pPr>
        <w:ind w:left="1140" w:right="440" w:hanging="241"/>
        <w:spacing w:after="0" w:line="250" w:lineRule="auto"/>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overseeing our efforts to attract, retain and motivate members of our senior management team in partnership with the Chief Executive Officer;</w:t>
      </w:r>
    </w:p>
    <w:p>
      <w:pPr>
        <w:ind w:left="1140" w:right="220" w:hanging="241"/>
        <w:spacing w:after="0" w:line="250" w:lineRule="auto"/>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carrying out the Board’s overall responsibility relating to the determination of compensation for all executive officers to achieve the proper risk-reward balance and not encourage unnecessary or excessive risk-taking;</w:t>
      </w:r>
    </w:p>
    <w:p>
      <w:pPr>
        <w:ind w:left="1140" w:hanging="241"/>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overseeing all other aspects of our compensation and human resource policies; and</w:t>
      </w:r>
    </w:p>
    <w:p>
      <w:pPr>
        <w:spacing w:after="0" w:line="9" w:lineRule="exact"/>
        <w:rPr>
          <w:rFonts w:ascii="Arial" w:cs="Arial" w:eastAsia="Arial" w:hAnsi="Arial"/>
          <w:sz w:val="18"/>
          <w:szCs w:val="18"/>
          <w:color w:val="auto"/>
        </w:rPr>
      </w:pPr>
    </w:p>
    <w:p>
      <w:pPr>
        <w:ind w:left="1140" w:hanging="241"/>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overseeing our management resources, succession planning and management development activities.</w:t>
      </w:r>
    </w:p>
    <w:p>
      <w:pPr>
        <w:spacing w:after="0" w:line="63"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As mandated by the Audit Committee, we also have established a Risk Oversight Committee comprised of a group of our senior-most executives to oversee the risk management activities of the Company.</w:t>
      </w:r>
    </w:p>
    <w:p>
      <w:pPr>
        <w:spacing w:after="0" w:line="11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addition to various committees, we have written policies and procedures that govern the conduct of business by our advisors, our employees, our relationship with advisors' clients and the terms and conditions of our relationships with product manufacturers. Our client and advisor policies address the extension of credit for client accounts, data and physical security, compliance with industry regulation and codes of ethics to govern employee and advisor conduct among other matters.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Our Disclosure Committee,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concluded that our disclosure controls and procedures as of the end of the period covered by this report were effective.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 over Financial Reporting</w:t>
      </w:r>
    </w:p>
    <w:p>
      <w:pPr>
        <w:spacing w:after="0" w:line="247" w:lineRule="exact"/>
        <w:rPr>
          <w:sz w:val="20"/>
          <w:szCs w:val="20"/>
          <w:color w:val="auto"/>
        </w:rPr>
      </w:pPr>
    </w:p>
    <w:p>
      <w:pPr>
        <w:ind w:right="180" w:firstLine="486"/>
        <w:spacing w:after="0" w:line="262" w:lineRule="auto"/>
        <w:rPr>
          <w:sz w:val="20"/>
          <w:szCs w:val="20"/>
          <w:color w:val="auto"/>
        </w:rPr>
      </w:pPr>
      <w:r>
        <w:rPr>
          <w:rFonts w:ascii="Arial" w:cs="Arial" w:eastAsia="Arial" w:hAnsi="Arial"/>
          <w:sz w:val="18"/>
          <w:szCs w:val="18"/>
          <w:color w:val="auto"/>
        </w:rPr>
        <w:t>There were no changes in our internal control over financial reporting that occurred during the third quarter ended September 30, 2013 that have materially affected, or are reasonably likely to materially affect, our internal control over financial reporting.</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36" w:right="27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3"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There have been no material changes in the information regarding the Company’s risks, as set forth under Part I, “Item 1A. Risk Factors” in the Company’s 2012 Annual Report on Form 10-K, except for the following revised risk factor which appeared in Part I, “Item 1A. Risk Factors” in the Company's 2012 Annual Report on Form 10-K, but has been revised to reflect events that occurred during the current reporting period:</w:t>
      </w:r>
    </w:p>
    <w:p>
      <w:pPr>
        <w:spacing w:after="0" w:line="12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TPG Capital may have the ability to influence the outcome of matters submitted for stockholder approval and may have interests that differ from those of our other stockholders.</w:t>
      </w:r>
    </w:p>
    <w:p>
      <w:pPr>
        <w:spacing w:after="0" w:line="17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August 15, 2013, investment funds affiliated with Hellman &amp; Friedman LLC ("H&amp;F") and TPG Capital ("TPG Capital") effected distributions of shares of our common stock to their respective partners. Prior to the distributions these investment funds owned approximately 31% of the outstanding shares of our common stock. Following the distributions, H&amp;F no longer owns shares of our common stock and TPG Capital owns approximately 17% of the outstanding shares of our common stock. So long as investment funds associated with or designated by TPG Capital continue to own a significant amount of the outstanding shares of our common stock, TPG Capital will continue to be able to influence our decisions, regardless of whether or not other stockholders believe that the transaction is in their own best interests.</w:t>
      </w:r>
    </w:p>
    <w:p>
      <w:pPr>
        <w:spacing w:after="0" w:line="209"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In addition, TPG Capital and its affiliates are in the business of making investments in companies and may, from time to time in the future, acquire interests in businesses that directly or indirectly compete with certain portions of our business. To the extent TPG Capital invests in such other businesses, TPG Capital may have differing interests than our other stockholders. TPG Capital may also pursue acquisition opportunities that may be complementary to our business and, as a result, those acquisition opportunities may not be available to us.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sets forth information regarding repurchases on a monthly basis during the third quarter of 2013: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Purchased as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01"/>
              <w:spacing w:after="0"/>
              <w:rPr>
                <w:sz w:val="20"/>
                <w:szCs w:val="20"/>
                <w:color w:val="auto"/>
              </w:rPr>
            </w:pPr>
            <w:r>
              <w:rPr>
                <w:rFonts w:ascii="Arial" w:cs="Arial" w:eastAsia="Arial" w:hAnsi="Arial"/>
                <w:sz w:val="14"/>
                <w:szCs w:val="14"/>
                <w:b w:val="1"/>
                <w:bCs w:val="1"/>
                <w:color w:val="auto"/>
              </w:rPr>
              <w:t>Shares That May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9"/>
              </w:rPr>
              <w:t>Total Number</w:t>
            </w:r>
          </w:p>
        </w:tc>
        <w:tc>
          <w:tcPr>
            <w:tcW w:w="100" w:type="dxa"/>
            <w:vAlign w:val="bottom"/>
          </w:tcPr>
          <w:p>
            <w:pPr>
              <w:spacing w:after="0"/>
              <w:rPr>
                <w:sz w:val="14"/>
                <w:szCs w:val="14"/>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Weighted Average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Yet Be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Announced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62"/>
        </w:trPr>
        <w:tc>
          <w:tcPr>
            <w:tcW w:w="44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Paid per Share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Programs(1)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the Programs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July 1, 2013 through July 31, 2013</w:t>
            </w:r>
          </w:p>
        </w:tc>
        <w:tc>
          <w:tcPr>
            <w:tcW w:w="17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812,446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38.37</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812,446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198,005,560</w:t>
            </w:r>
          </w:p>
        </w:tc>
        <w:tc>
          <w:tcPr>
            <w:tcW w:w="0" w:type="dxa"/>
            <w:vAlign w:val="bottom"/>
          </w:tcPr>
          <w:p>
            <w:pPr>
              <w:spacing w:after="0"/>
              <w:rPr>
                <w:sz w:val="1"/>
                <w:szCs w:val="1"/>
                <w:color w:val="auto"/>
              </w:rPr>
            </w:pPr>
          </w:p>
        </w:tc>
      </w:tr>
      <w:tr>
        <w:trPr>
          <w:trHeight w:val="26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August 1, 2013 through August 31, 2013</w:t>
            </w:r>
          </w:p>
        </w:tc>
        <w:tc>
          <w:tcPr>
            <w:tcW w:w="1740" w:type="dxa"/>
            <w:vAlign w:val="bottom"/>
          </w:tcPr>
          <w:p>
            <w:pPr>
              <w:jc w:val="right"/>
              <w:ind w:right="38"/>
              <w:spacing w:after="0"/>
              <w:rPr>
                <w:sz w:val="20"/>
                <w:szCs w:val="20"/>
                <w:color w:val="auto"/>
              </w:rPr>
            </w:pPr>
            <w:r>
              <w:rPr>
                <w:rFonts w:ascii="Arial" w:cs="Arial" w:eastAsia="Arial" w:hAnsi="Arial"/>
                <w:sz w:val="18"/>
                <w:szCs w:val="18"/>
                <w:color w:val="auto"/>
              </w:rPr>
              <w:t>831,370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37.75</w:t>
            </w:r>
          </w:p>
        </w:tc>
        <w:tc>
          <w:tcPr>
            <w:tcW w:w="120" w:type="dxa"/>
            <w:vAlign w:val="bottom"/>
          </w:tcPr>
          <w:p>
            <w:pPr>
              <w:spacing w:after="0"/>
              <w:rPr>
                <w:sz w:val="22"/>
                <w:szCs w:val="22"/>
                <w:color w:val="auto"/>
              </w:rPr>
            </w:pPr>
          </w:p>
        </w:tc>
        <w:tc>
          <w:tcPr>
            <w:tcW w:w="1700" w:type="dxa"/>
            <w:vAlign w:val="bottom"/>
          </w:tcPr>
          <w:p>
            <w:pPr>
              <w:jc w:val="right"/>
              <w:ind w:right="41"/>
              <w:spacing w:after="0"/>
              <w:rPr>
                <w:sz w:val="20"/>
                <w:szCs w:val="20"/>
                <w:color w:val="auto"/>
              </w:rPr>
            </w:pPr>
            <w:r>
              <w:rPr>
                <w:rFonts w:ascii="Arial" w:cs="Arial" w:eastAsia="Arial" w:hAnsi="Arial"/>
                <w:sz w:val="18"/>
                <w:szCs w:val="18"/>
                <w:color w:val="auto"/>
              </w:rPr>
              <w:t>831,370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1"/>
              <w:spacing w:after="0"/>
              <w:rPr>
                <w:sz w:val="20"/>
                <w:szCs w:val="20"/>
                <w:color w:val="auto"/>
              </w:rPr>
            </w:pPr>
            <w:r>
              <w:rPr>
                <w:rFonts w:ascii="Arial" w:cs="Arial" w:eastAsia="Arial" w:hAnsi="Arial"/>
                <w:sz w:val="18"/>
                <w:szCs w:val="18"/>
                <w:color w:val="auto"/>
              </w:rPr>
              <w:t>166,634,400</w:t>
            </w:r>
          </w:p>
        </w:tc>
        <w:tc>
          <w:tcPr>
            <w:tcW w:w="0" w:type="dxa"/>
            <w:vAlign w:val="bottom"/>
          </w:tcPr>
          <w:p>
            <w:pPr>
              <w:spacing w:after="0"/>
              <w:rPr>
                <w:sz w:val="1"/>
                <w:szCs w:val="1"/>
                <w:color w:val="auto"/>
              </w:rPr>
            </w:pPr>
          </w:p>
        </w:tc>
      </w:tr>
      <w:tr>
        <w:trPr>
          <w:trHeight w:val="270"/>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September 1, 2013 through September 30, 2013</w:t>
            </w:r>
          </w:p>
        </w:tc>
        <w:tc>
          <w:tcPr>
            <w:tcW w:w="17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1,682,600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38.03</w:t>
            </w:r>
          </w:p>
        </w:tc>
        <w:tc>
          <w:tcPr>
            <w:tcW w:w="12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1,682,600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102,681,470</w:t>
            </w:r>
          </w:p>
        </w:tc>
        <w:tc>
          <w:tcPr>
            <w:tcW w:w="0" w:type="dxa"/>
            <w:vAlign w:val="bottom"/>
          </w:tcPr>
          <w:p>
            <w:pPr>
              <w:spacing w:after="0"/>
              <w:rPr>
                <w:sz w:val="1"/>
                <w:szCs w:val="1"/>
                <w:color w:val="auto"/>
              </w:rPr>
            </w:pPr>
          </w:p>
        </w:tc>
      </w:tr>
      <w:tr>
        <w:trPr>
          <w:trHeight w:val="257"/>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July 1, 2013 through September 30, 2013</w:t>
            </w:r>
          </w:p>
        </w:tc>
        <w:tc>
          <w:tcPr>
            <w:tcW w:w="17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3,326,416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38.04</w:t>
            </w:r>
          </w:p>
        </w:tc>
        <w:tc>
          <w:tcPr>
            <w:tcW w:w="120" w:type="dxa"/>
            <w:vAlign w:val="bottom"/>
          </w:tcPr>
          <w:p>
            <w:pPr>
              <w:spacing w:after="0"/>
              <w:rPr>
                <w:sz w:val="22"/>
                <w:szCs w:val="22"/>
                <w:color w:val="auto"/>
              </w:rPr>
            </w:pPr>
          </w:p>
        </w:tc>
        <w:tc>
          <w:tcPr>
            <w:tcW w:w="170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3,326,416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1"/>
              <w:spacing w:after="0"/>
              <w:rPr>
                <w:sz w:val="20"/>
                <w:szCs w:val="20"/>
                <w:color w:val="auto"/>
              </w:rPr>
            </w:pPr>
            <w:r>
              <w:rPr>
                <w:rFonts w:ascii="Arial" w:cs="Arial" w:eastAsia="Arial" w:hAnsi="Arial"/>
                <w:sz w:val="18"/>
                <w:szCs w:val="18"/>
                <w:color w:val="auto"/>
              </w:rPr>
              <w:t>102,681,470</w:t>
            </w: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gridSpan w:val="3"/>
            <w:vMerge w:val="continue"/>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 Note 11 of the unaudited condensed consolidated financial statements for additional information.</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1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10040" w:type="dxa"/>
            <w:vAlign w:val="bottom"/>
          </w:tcPr>
          <w:p>
            <w:pPr>
              <w:ind w:left="180"/>
              <w:spacing w:after="0"/>
              <w:rPr>
                <w:sz w:val="20"/>
                <w:szCs w:val="20"/>
                <w:color w:val="auto"/>
              </w:rPr>
            </w:pPr>
            <w:r>
              <w:rPr>
                <w:rFonts w:ascii="Arial" w:cs="Arial" w:eastAsia="Arial" w:hAnsi="Arial"/>
                <w:sz w:val="18"/>
                <w:szCs w:val="18"/>
                <w:color w:val="auto"/>
              </w:rPr>
              <w:t>Amended and Restated Certificate of Incorporation (previously filed as Exhibit 3.1 to the registration statement on Form S-1</w:t>
            </w:r>
          </w:p>
        </w:tc>
      </w:tr>
      <w:tr>
        <w:trPr>
          <w:trHeight w:val="217"/>
        </w:trPr>
        <w:tc>
          <w:tcPr>
            <w:tcW w:w="920" w:type="dxa"/>
            <w:vAlign w:val="bottom"/>
          </w:tcPr>
          <w:p>
            <w:pPr>
              <w:spacing w:after="0"/>
              <w:rPr>
                <w:sz w:val="18"/>
                <w:szCs w:val="18"/>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(File Number 333-167325) on July 9, 2010, and incorporated herein by reference)</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10040" w:type="dxa"/>
            <w:vAlign w:val="bottom"/>
          </w:tcPr>
          <w:p>
            <w:pPr>
              <w:ind w:left="180"/>
              <w:spacing w:after="0"/>
              <w:rPr>
                <w:sz w:val="20"/>
                <w:szCs w:val="20"/>
                <w:color w:val="auto"/>
              </w:rPr>
            </w:pPr>
            <w:r>
              <w:rPr>
                <w:rFonts w:ascii="Arial" w:cs="Arial" w:eastAsia="Arial" w:hAnsi="Arial"/>
                <w:sz w:val="18"/>
                <w:szCs w:val="18"/>
                <w:color w:val="auto"/>
              </w:rPr>
              <w:t>Certificate of Ownership and Merger (previously filed as Exhibit 3.1 to the Current Report on Form 8-K (File Number 001-</w:t>
            </w:r>
          </w:p>
        </w:tc>
      </w:tr>
      <w:tr>
        <w:trPr>
          <w:trHeight w:val="217"/>
        </w:trPr>
        <w:tc>
          <w:tcPr>
            <w:tcW w:w="920" w:type="dxa"/>
            <w:vAlign w:val="bottom"/>
          </w:tcPr>
          <w:p>
            <w:pPr>
              <w:spacing w:after="0"/>
              <w:rPr>
                <w:sz w:val="18"/>
                <w:szCs w:val="18"/>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34963) on June 19, 2012, and incorporated herein by reference)</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10040" w:type="dxa"/>
            <w:vAlign w:val="bottom"/>
          </w:tcPr>
          <w:p>
            <w:pPr>
              <w:ind w:left="180"/>
              <w:spacing w:after="0"/>
              <w:rPr>
                <w:sz w:val="20"/>
                <w:szCs w:val="20"/>
                <w:color w:val="auto"/>
              </w:rPr>
            </w:pPr>
            <w:r>
              <w:rPr>
                <w:rFonts w:ascii="Arial" w:cs="Arial" w:eastAsia="Arial" w:hAnsi="Arial"/>
                <w:sz w:val="18"/>
                <w:szCs w:val="18"/>
                <w:color w:val="auto"/>
                <w:w w:val="99"/>
              </w:rPr>
              <w:t>Third Amended and Restated Bylaws (previously filed as Exhibit 3.1 to the Current Report on Form 8-K/A (File Number 001-</w:t>
            </w:r>
          </w:p>
        </w:tc>
      </w:tr>
      <w:tr>
        <w:trPr>
          <w:trHeight w:val="217"/>
        </w:trPr>
        <w:tc>
          <w:tcPr>
            <w:tcW w:w="920" w:type="dxa"/>
            <w:vAlign w:val="bottom"/>
          </w:tcPr>
          <w:p>
            <w:pPr>
              <w:spacing w:after="0"/>
              <w:rPr>
                <w:sz w:val="18"/>
                <w:szCs w:val="18"/>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34963) on August 8, 2012 and incorporated herein by reference)</w:t>
            </w:r>
          </w:p>
        </w:tc>
      </w:tr>
      <w:tr>
        <w:trPr>
          <w:trHeight w:val="459"/>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31.1</w:t>
            </w:r>
          </w:p>
        </w:tc>
        <w:tc>
          <w:tcPr>
            <w:tcW w:w="1004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Rule 13a-14(a) (filed herewith)</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31.2</w:t>
            </w:r>
          </w:p>
        </w:tc>
        <w:tc>
          <w:tcPr>
            <w:tcW w:w="1004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Rule 13a-14(a) (filed herewith)</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32.1</w:t>
            </w:r>
          </w:p>
        </w:tc>
        <w:tc>
          <w:tcPr>
            <w:tcW w:w="1004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18 U.S.C. Section 1350, as adopted pursuant to Section 906 of the</w:t>
            </w:r>
          </w:p>
        </w:tc>
      </w:tr>
      <w:tr>
        <w:trPr>
          <w:trHeight w:val="217"/>
        </w:trPr>
        <w:tc>
          <w:tcPr>
            <w:tcW w:w="920" w:type="dxa"/>
            <w:vAlign w:val="bottom"/>
          </w:tcPr>
          <w:p>
            <w:pPr>
              <w:spacing w:after="0"/>
              <w:rPr>
                <w:sz w:val="18"/>
                <w:szCs w:val="18"/>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Sarbanes-Oxley Act of 2002 (furnished herewith)</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32.2</w:t>
            </w:r>
          </w:p>
        </w:tc>
        <w:tc>
          <w:tcPr>
            <w:tcW w:w="1004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18 U.S.C. Section 1350, as adopted pursuant to Section 906 of the</w:t>
            </w:r>
          </w:p>
        </w:tc>
      </w:tr>
      <w:tr>
        <w:trPr>
          <w:trHeight w:val="217"/>
        </w:trPr>
        <w:tc>
          <w:tcPr>
            <w:tcW w:w="920" w:type="dxa"/>
            <w:vAlign w:val="bottom"/>
          </w:tcPr>
          <w:p>
            <w:pPr>
              <w:spacing w:after="0"/>
              <w:rPr>
                <w:sz w:val="18"/>
                <w:szCs w:val="18"/>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Sarbanes-Oxley Act of 2002 (furnished herewith)</w:t>
            </w:r>
          </w:p>
        </w:tc>
      </w:tr>
      <w:tr>
        <w:trPr>
          <w:trHeight w:val="513"/>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101.INS</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5"/>
              </w:rPr>
              <w:t>101.SCH</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9"/>
              </w:rPr>
              <w:t>101.CAL</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Taxonomy Extension Calculation</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101.LAB</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Taxonomy Extension Label</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7"/>
              </w:rPr>
              <w:t>101.PRE</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Taxonomy Extension Presentation</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8"/>
              </w:rPr>
              <w:t>101.DEF</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r>
      <w:tr>
        <w:trPr>
          <w:trHeight w:val="918"/>
        </w:trPr>
        <w:tc>
          <w:tcPr>
            <w:tcW w:w="920" w:type="dxa"/>
            <w:vAlign w:val="bottom"/>
          </w:tcPr>
          <w:p>
            <w:pPr>
              <w:spacing w:after="0"/>
              <w:rPr>
                <w:sz w:val="24"/>
                <w:szCs w:val="24"/>
                <w:color w:val="auto"/>
              </w:rPr>
            </w:pPr>
          </w:p>
        </w:tc>
        <w:tc>
          <w:tcPr>
            <w:tcW w:w="10040" w:type="dxa"/>
            <w:vAlign w:val="bottom"/>
          </w:tcPr>
          <w:p>
            <w:pPr>
              <w:ind w:left="4380"/>
              <w:spacing w:after="0"/>
              <w:rPr>
                <w:sz w:val="20"/>
                <w:szCs w:val="20"/>
                <w:color w:val="auto"/>
              </w:rPr>
            </w:pPr>
            <w:r>
              <w:rPr>
                <w:rFonts w:ascii="Arial" w:cs="Arial" w:eastAsia="Arial" w:hAnsi="Arial"/>
                <w:sz w:val="18"/>
                <w:szCs w:val="18"/>
                <w:color w:val="auto"/>
              </w:rPr>
              <w:t>61</w:t>
            </w:r>
          </w:p>
        </w:tc>
      </w:tr>
    </w:tbl>
    <w:p>
      <w:pPr>
        <w:sectPr>
          <w:pgSz w:w="11900" w:h="16838" w:orient="portrait"/>
          <w:cols w:equalWidth="0" w:num="1">
            <w:col w:w="11280"/>
          </w:cols>
          <w:pgMar w:left="240" w:top="360" w:right="379" w:bottom="1440" w:gutter="0" w:footer="0" w:header="0"/>
        </w:sectPr>
      </w:pPr>
    </w:p>
    <w:bookmarkStart w:id="64" w:name="page65"/>
    <w:bookmarkEnd w:id="64"/>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6"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LPL Financial Holdings Inc.</w:t>
      </w:r>
    </w:p>
    <w:p>
      <w:pPr>
        <w:spacing w:after="0" w:line="274" w:lineRule="exact"/>
        <w:rPr>
          <w:sz w:val="20"/>
          <w:szCs w:val="20"/>
          <w:color w:val="auto"/>
        </w:rPr>
      </w:pPr>
    </w:p>
    <w:p>
      <w:pPr>
        <w:ind w:left="260"/>
        <w:spacing w:after="0"/>
        <w:tabs>
          <w:tab w:leader="none" w:pos="5260" w:val="left"/>
          <w:tab w:leader="none" w:pos="5680" w:val="left"/>
        </w:tabs>
        <w:rPr>
          <w:sz w:val="20"/>
          <w:szCs w:val="20"/>
          <w:color w:val="auto"/>
        </w:rPr>
      </w:pPr>
      <w:r>
        <w:rPr>
          <w:rFonts w:ascii="Arial" w:cs="Arial" w:eastAsia="Arial" w:hAnsi="Arial"/>
          <w:sz w:val="18"/>
          <w:szCs w:val="18"/>
          <w:color w:val="auto"/>
        </w:rPr>
        <w:t>Date: October 30, 2013</w:t>
      </w:r>
      <w:r>
        <w:rPr>
          <w:sz w:val="20"/>
          <w:szCs w:val="20"/>
          <w:color w:val="auto"/>
        </w:rPr>
        <w:tab/>
      </w:r>
      <w:r>
        <w:rPr>
          <w:rFonts w:ascii="Arial" w:cs="Arial" w:eastAsia="Arial" w:hAnsi="Arial"/>
          <w:sz w:val="18"/>
          <w:szCs w:val="18"/>
          <w:color w:val="auto"/>
        </w:rPr>
        <w:t>By:</w:t>
        <w:tab/>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0237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Mark S. Casady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320" w:lineRule="exact"/>
        <w:rPr>
          <w:sz w:val="20"/>
          <w:szCs w:val="20"/>
          <w:color w:val="auto"/>
        </w:rPr>
      </w:pPr>
    </w:p>
    <w:p>
      <w:pPr>
        <w:ind w:left="260"/>
        <w:spacing w:after="0"/>
        <w:tabs>
          <w:tab w:leader="none" w:pos="5260" w:val="left"/>
          <w:tab w:leader="none" w:pos="5680" w:val="left"/>
        </w:tabs>
        <w:rPr>
          <w:sz w:val="20"/>
          <w:szCs w:val="20"/>
          <w:color w:val="auto"/>
        </w:rPr>
      </w:pPr>
      <w:r>
        <w:rPr>
          <w:rFonts w:ascii="Arial" w:cs="Arial" w:eastAsia="Arial" w:hAnsi="Arial"/>
          <w:sz w:val="18"/>
          <w:szCs w:val="18"/>
          <w:color w:val="auto"/>
        </w:rPr>
        <w:t>Date: October 30, 2013</w:t>
      </w:r>
      <w:r>
        <w:rPr>
          <w:sz w:val="20"/>
          <w:szCs w:val="20"/>
          <w:color w:val="auto"/>
        </w:rPr>
        <w:tab/>
      </w:r>
      <w:r>
        <w:rPr>
          <w:rFonts w:ascii="Arial" w:cs="Arial" w:eastAsia="Arial" w:hAnsi="Arial"/>
          <w:sz w:val="18"/>
          <w:szCs w:val="18"/>
          <w:color w:val="auto"/>
        </w:rPr>
        <w:t>By:</w:t>
        <w:tab/>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023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Dan H. Arnold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360" w:right="27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Mark S. Casady, certify that:</w:t>
      </w:r>
    </w:p>
    <w:p>
      <w:pPr>
        <w:spacing w:after="0" w:line="225"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2013</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76"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Dan H. Arnold, certify that:</w:t>
      </w:r>
    </w:p>
    <w:p>
      <w:pPr>
        <w:spacing w:after="0" w:line="225"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2013</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Dan H. Arnold</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76"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ind w:right="140" w:firstLine="250"/>
        <w:spacing w:after="0" w:line="256" w:lineRule="auto"/>
        <w:rPr>
          <w:sz w:val="20"/>
          <w:szCs w:val="20"/>
          <w:color w:val="auto"/>
        </w:rPr>
      </w:pPr>
      <w:r>
        <w:rPr>
          <w:rFonts w:ascii="Arial" w:cs="Arial" w:eastAsia="Arial" w:hAnsi="Arial"/>
          <w:sz w:val="18"/>
          <w:szCs w:val="18"/>
          <w:color w:val="auto"/>
        </w:rPr>
        <w:t>In connection with the Quarterly Report on Form 10-Q of LPL Financial Holdings Inc. (the “Company”) for the period ending September 30, 2013 as filed with the Securities and Exchange Commission (“SEC”) on the date hereof (the “Report”), I, Mark S. Casady, Chief Executive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2013</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76"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right="80" w:firstLine="250"/>
        <w:spacing w:after="0" w:line="256" w:lineRule="auto"/>
        <w:rPr>
          <w:sz w:val="20"/>
          <w:szCs w:val="20"/>
          <w:color w:val="auto"/>
        </w:rPr>
      </w:pPr>
      <w:r>
        <w:rPr>
          <w:rFonts w:ascii="Arial" w:cs="Arial" w:eastAsia="Arial" w:hAnsi="Arial"/>
          <w:sz w:val="18"/>
          <w:szCs w:val="18"/>
          <w:color w:val="auto"/>
        </w:rPr>
        <w:t>In connection with the Quarterly Report on Form 10-Q of LPL Financial Holdings Inc. (the “Company”) for the period ending September 30, 2013 as filed with the Securities and Exchange Commission (“SEC”) on the date hereof (the “Report”), I, Dan H. Arnold, Chief Financial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2013</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Dan H. Arnold</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x"/>
      <w:numFmt w:val="bullet"/>
      <w:start w:val="1"/>
    </w:lvl>
  </w:abstractNum>
  <w:abstractNum w:abstractNumId="1">
    <w:nsid w:val="189A769B"/>
    <w:multiLevelType w:val="hybridMultilevel"/>
    <w:lvl w:ilvl="0">
      <w:lvlJc w:val="left"/>
      <w:lvlText w:val="o"/>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2"/>
    </w:lvl>
  </w:abstractNum>
  <w:abstractNum w:abstractNumId="4">
    <w:nsid w:val="2CA88611"/>
    <w:multiLevelType w:val="hybridMultilevel"/>
    <w:lvl w:ilvl="0">
      <w:lvlJc w:val="left"/>
      <w:lvlText w:val="%1."/>
      <w:numFmt w:val="decimal"/>
      <w:start w:val="3"/>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4"/>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1."/>
      <w:numFmt w:val="decimal"/>
      <w:start w:val="5"/>
    </w:lvl>
  </w:abstractNum>
  <w:abstractNum w:abstractNumId="9">
    <w:nsid w:val="1E7FF521"/>
    <w:multiLevelType w:val="hybridMultilevel"/>
    <w:lvl w:ilvl="0">
      <w:lvlJc w:val="left"/>
      <w:lvlText w:val="%1."/>
      <w:numFmt w:val="decimal"/>
      <w:start w:val="7"/>
    </w:lvl>
  </w:abstractNum>
  <w:abstractNum w:abstractNumId="10">
    <w:nsid w:val="7C3DBD3D"/>
    <w:multiLevelType w:val="hybridMultilevel"/>
    <w:lvl w:ilvl="0">
      <w:lvlJc w:val="left"/>
      <w:lvlText w:val="%1."/>
      <w:numFmt w:val="decimal"/>
      <w:start w:val="8"/>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9"/>
    </w:lvl>
  </w:abstractNum>
  <w:abstractNum w:abstractNumId="13">
    <w:nsid w:val="22221A70"/>
    <w:multiLevelType w:val="hybridMultilevel"/>
    <w:lvl w:ilvl="0">
      <w:lvlJc w:val="left"/>
      <w:lvlText w:val="%1."/>
      <w:numFmt w:val="decimal"/>
      <w:start w:val="10"/>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11"/>
    </w:lvl>
  </w:abstractNum>
  <w:abstractNum w:abstractNumId="16">
    <w:nsid w:val="614FD4A1"/>
    <w:multiLevelType w:val="hybridMultilevel"/>
    <w:lvl w:ilvl="0">
      <w:lvlJc w:val="left"/>
      <w:lvlText w:val="%1."/>
      <w:numFmt w:val="decimal"/>
      <w:start w:val="12"/>
    </w:lvl>
  </w:abstractNum>
  <w:abstractNum w:abstractNumId="17">
    <w:nsid w:val="419AC241"/>
    <w:multiLevelType w:val="hybridMultilevel"/>
    <w:lvl w:ilvl="0">
      <w:lvlJc w:val="left"/>
      <w:lvlText w:val="%1."/>
      <w:numFmt w:val="decimal"/>
      <w:start w:val="13"/>
    </w:lvl>
  </w:abstractNum>
  <w:abstractNum w:abstractNumId="18">
    <w:nsid w:val="5577F8E1"/>
    <w:multiLevelType w:val="hybridMultilevel"/>
    <w:lvl w:ilvl="0">
      <w:lvlJc w:val="left"/>
      <w:lvlText w:val="%1."/>
      <w:numFmt w:val="decimal"/>
      <w:start w:val="14"/>
    </w:lvl>
  </w:abstractNum>
  <w:abstractNum w:abstractNumId="19">
    <w:nsid w:val="440BADFC"/>
    <w:multiLevelType w:val="hybridMultilevel"/>
    <w:lvl w:ilvl="0">
      <w:lvlJc w:val="left"/>
      <w:lvlText w:val="%1."/>
      <w:numFmt w:val="decimal"/>
      <w:start w:val="15"/>
    </w:lvl>
  </w:abstractNum>
  <w:abstractNum w:abstractNumId="20">
    <w:nsid w:val="5072367"/>
    <w:multiLevelType w:val="hybridMultilevel"/>
    <w:lvl w:ilvl="0">
      <w:lvlJc w:val="left"/>
      <w:lvlText w:val="%1."/>
      <w:numFmt w:val="decimal"/>
      <w:start w:val="16"/>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lvl w:ilvl="1">
      <w:lvlJc w:val="left"/>
      <w:lvlText w:val="•"/>
      <w:numFmt w:val="bullet"/>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3"/>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decimal"/>
      <w:start w:val="4"/>
    </w:lvl>
  </w:abstractNum>
  <w:abstractNum w:abstractNumId="32">
    <w:nsid w:val="70A64E2A"/>
    <w:multiLevelType w:val="hybridMultilevel"/>
    <w:lvl w:ilvl="0">
      <w:lvlJc w:val="left"/>
      <w:lvlText w:val="(%1)"/>
      <w:numFmt w:val="lowerLetter"/>
      <w:start w:val="3"/>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7"/>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4"/>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2019-12-07T16:14:07Z</dcterms:created>
  <dcterms:modified xsi:type="dcterms:W3CDTF">2019-12-07T16:14:07Z</dcterms:modified>
</cp:coreProperties>
</file>