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556251.xml.htm"/>
      <w:bookmarkStart w:id="1" w:name="kswkform4_17815562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Cohen Marc Eliot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LPL FINANCIAL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4707 EXECUTIVE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LPL Financial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Managing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5"/>
        <w:gridCol w:w="905"/>
        <w:gridCol w:w="775"/>
        <w:gridCol w:w="601"/>
        <w:gridCol w:w="345"/>
        <w:gridCol w:w="790"/>
        <w:gridCol w:w="444"/>
        <w:gridCol w:w="839"/>
        <w:gridCol w:w="1147"/>
        <w:gridCol w:w="985"/>
        <w:gridCol w:w="11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295.66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Reporting Person's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(i) 2,159 shares of Common Stock; (ii) 278 restricted stock units that vest in full on February 25, 2027; (iii) 516 restricted stock units that vest ratably on each of February 25, 2027 and February 25, 2028; and (iv) 1,403 restricted stock units that vest ratably on each of February 25, 2027, February 25, 2028 and February 25,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signatory is signing on behalf of Marc Cohen pursuant to a Power of Attorney dated December 11,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S. Hatfield III,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551" TargetMode="External"/><Relationship Id="rId5" Type="http://schemas.openxmlformats.org/officeDocument/2006/relationships/hyperlink" Target="http://www.sec.gov/cgi-bin/browse-edgar?action=getcompany&amp;CIK=00013979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3520</Characters>
  <CharactersWithSpaces>4114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