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9" w:lineRule="exact"/>
        <w:rPr>
          <w:sz w:val="24"/>
          <w:szCs w:val="24"/>
          <w:color w:val="auto"/>
        </w:rPr>
      </w:pPr>
    </w:p>
    <w:p>
      <w:pPr>
        <w:ind w:left="1080" w:hanging="597"/>
        <w:spacing w:after="0"/>
        <w:tabs>
          <w:tab w:leader="none" w:pos="1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1080" w:hanging="597"/>
        <w:spacing w:after="0"/>
        <w:tabs>
          <w:tab w:leader="none" w:pos="10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11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2" w:lineRule="exact"/>
        <w:rPr>
          <w:sz w:val="24"/>
          <w:szCs w:val="24"/>
          <w:color w:val="auto"/>
        </w:rPr>
      </w:pPr>
    </w:p>
    <w:tbl>
      <w:tblPr>
        <w:tblLayout w:type="fixed"/>
        <w:tblInd w:w="1700" w:type="dxa"/>
        <w:tblCellMar>
          <w:top w:w="0" w:type="dxa"/>
          <w:left w:w="0" w:type="dxa"/>
          <w:bottom w:w="0" w:type="dxa"/>
          <w:right w:w="0" w:type="dxa"/>
        </w:tblCellMar>
      </w:tblPr>
      <w:tr>
        <w:trPr>
          <w:trHeight w:val="253"/>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49"/>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44" w:lineRule="exact"/>
        <w:rPr>
          <w:sz w:val="24"/>
          <w:szCs w:val="24"/>
          <w:color w:val="auto"/>
        </w:rPr>
      </w:pPr>
    </w:p>
    <w:p>
      <w:pPr>
        <w:ind w:right="60" w:firstLine="270"/>
        <w:spacing w:after="0" w:line="270"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w:t>
      </w:r>
    </w:p>
    <w:p>
      <w:pPr>
        <w:spacing w:after="0" w:line="70" w:lineRule="exact"/>
        <w:rPr>
          <w:sz w:val="24"/>
          <w:szCs w:val="24"/>
          <w:color w:val="auto"/>
        </w:rPr>
      </w:pPr>
    </w:p>
    <w:p>
      <w:pPr>
        <w:ind w:right="280" w:firstLine="270"/>
        <w:spacing w:after="0" w:line="270"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w:t>
      </w:r>
    </w:p>
    <w:p>
      <w:pPr>
        <w:spacing w:after="0" w:line="70" w:lineRule="exact"/>
        <w:rPr>
          <w:sz w:val="24"/>
          <w:szCs w:val="24"/>
          <w:color w:val="auto"/>
        </w:rPr>
      </w:pPr>
    </w:p>
    <w:p>
      <w:pPr>
        <w:jc w:val="both"/>
        <w:ind w:firstLine="27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3"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 xml:space="preserve">Large accelerated filer </w:t>
      </w:r>
      <w:r>
        <w:rPr>
          <w:rFonts w:ascii="Times New Roman" w:cs="Times New Roman" w:eastAsia="Times New Roman" w:hAnsi="Times New Roman"/>
          <w:sz w:val="18"/>
          <w:szCs w:val="18"/>
          <w:color w:val="auto"/>
        </w:rPr>
        <w:t>x</w:t>
      </w:r>
      <w:r>
        <w:rPr>
          <w:sz w:val="20"/>
          <w:szCs w:val="20"/>
          <w:color w:val="auto"/>
        </w:rPr>
        <w:tab/>
      </w:r>
      <w:r>
        <w:rPr>
          <w:rFonts w:ascii="Arial" w:cs="Arial" w:eastAsia="Arial" w:hAnsi="Arial"/>
          <w:sz w:val="18"/>
          <w:szCs w:val="18"/>
          <w:color w:val="auto"/>
        </w:rPr>
        <w:t xml:space="preserve">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Smaller reporting company </w:t>
      </w:r>
      <w:r>
        <w:rPr>
          <w:rFonts w:ascii="Times New Roman" w:cs="Times New Roman" w:eastAsia="Times New Roman" w:hAnsi="Times New Roman"/>
          <w:sz w:val="18"/>
          <w:szCs w:val="18"/>
          <w:color w:val="auto"/>
        </w:rPr>
        <w:t>o</w:t>
      </w:r>
    </w:p>
    <w:p>
      <w:pPr>
        <w:spacing w:after="0" w:line="7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26" w:lineRule="exact"/>
        <w:rPr>
          <w:sz w:val="24"/>
          <w:szCs w:val="24"/>
          <w:color w:val="auto"/>
        </w:rPr>
      </w:pPr>
    </w:p>
    <w:p>
      <w:pPr>
        <w:ind w:right="980" w:firstLine="270"/>
        <w:spacing w:after="0" w:line="447"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No The number of shares of Common Stock, par value $0.001 per share, outstanding as of July 17, 2013 was 105,018,375.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21"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p>
      <w:pPr>
        <w:spacing w:after="0"/>
        <w:tabs>
          <w:tab w:leader="none" w:pos="10780" w:val="left"/>
        </w:tabs>
        <w:rPr>
          <w:sz w:val="20"/>
          <w:szCs w:val="20"/>
          <w:color w:val="auto"/>
        </w:rPr>
      </w:pPr>
      <w:r>
        <w:rPr>
          <w:rFonts w:ascii="Arial" w:cs="Arial" w:eastAsia="Arial" w:hAnsi="Arial"/>
          <w:sz w:val="14"/>
          <w:szCs w:val="14"/>
          <w:b w:val="1"/>
          <w:bCs w:val="1"/>
          <w:color w:val="auto"/>
        </w:rPr>
        <w:t>Item Number</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27305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 Financial Statements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80" w:type="dxa"/>
            <w:vAlign w:val="bottom"/>
            <w:gridSpan w:val="1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Income (unaudited)</w:t>
              </w:r>
            </w:hyperlink>
          </w:p>
        </w:tc>
        <w:tc>
          <w:tcPr>
            <w:tcW w:w="2380" w:type="dxa"/>
            <w:vAlign w:val="bottom"/>
            <w:gridSpan w:val="6"/>
          </w:tcPr>
          <w:p>
            <w:pPr>
              <w:spacing w:after="0"/>
              <w:rPr>
                <w:sz w:val="17"/>
                <w:szCs w:val="17"/>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w w:val="99"/>
              </w:rPr>
            </w:pPr>
            <w:hyperlink w:anchor="page26">
              <w:r>
                <w:rPr>
                  <w:rFonts w:ascii="Arial" w:cs="Arial" w:eastAsia="Arial" w:hAnsi="Arial"/>
                  <w:sz w:val="18"/>
                  <w:szCs w:val="18"/>
                  <w:b w:val="1"/>
                  <w:bCs w:val="1"/>
                  <w:color w:val="0000FF"/>
                  <w:w w:val="99"/>
                </w:rPr>
                <w:t>Management’s Discussion and Analysis of Financial Condition and Results of Operations</w:t>
              </w:r>
            </w:hyperlink>
          </w:p>
        </w:tc>
        <w:tc>
          <w:tcPr>
            <w:tcW w:w="35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3.</w:t>
              </w:r>
            </w:hyperlink>
          </w:p>
        </w:tc>
        <w:tc>
          <w:tcPr>
            <w:tcW w:w="5100" w:type="dxa"/>
            <w:vAlign w:val="bottom"/>
            <w:gridSpan w:val="11"/>
          </w:tcPr>
          <w:p>
            <w:pPr>
              <w:ind w:left="20"/>
              <w:spacing w:after="0"/>
              <w:rPr>
                <w:rFonts w:ascii="Arial" w:cs="Arial" w:eastAsia="Arial" w:hAnsi="Arial"/>
                <w:sz w:val="18"/>
                <w:szCs w:val="18"/>
                <w:b w:val="1"/>
                <w:bCs w:val="1"/>
                <w:color w:val="0000FF"/>
                <w:w w:val="99"/>
              </w:rPr>
            </w:pPr>
            <w:hyperlink w:anchor="page54">
              <w:r>
                <w:rPr>
                  <w:rFonts w:ascii="Arial" w:cs="Arial" w:eastAsia="Arial" w:hAnsi="Arial"/>
                  <w:sz w:val="18"/>
                  <w:szCs w:val="18"/>
                  <w:b w:val="1"/>
                  <w:bCs w:val="1"/>
                  <w:color w:val="0000FF"/>
                  <w:w w:val="99"/>
                </w:rPr>
                <w:t>Quantitative and Qualitative Disclosures About Market Risk</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4.</w:t>
              </w:r>
            </w:hyperlink>
          </w:p>
        </w:tc>
        <w:tc>
          <w:tcPr>
            <w:tcW w:w="5100" w:type="dxa"/>
            <w:vAlign w:val="bottom"/>
            <w:gridSpan w:val="11"/>
          </w:tcPr>
          <w:p>
            <w:pPr>
              <w:ind w:left="20"/>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Controls and Procedures</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840" w:type="dxa"/>
            <w:vAlign w:val="bottom"/>
            <w:gridSpan w:val="10"/>
          </w:tcPr>
          <w:p>
            <w:pPr>
              <w:spacing w:after="0"/>
              <w:rPr>
                <w:rFonts w:ascii="Arial" w:cs="Arial" w:eastAsia="Arial" w:hAnsi="Arial"/>
                <w:sz w:val="18"/>
                <w:szCs w:val="18"/>
                <w:b w:val="1"/>
                <w:bCs w:val="1"/>
                <w:color w:val="0000FF"/>
                <w:w w:val="98"/>
              </w:rPr>
            </w:pPr>
            <w:hyperlink w:anchor="page57">
              <w:r>
                <w:rPr>
                  <w:rFonts w:ascii="Arial" w:cs="Arial" w:eastAsia="Arial" w:hAnsi="Arial"/>
                  <w:sz w:val="18"/>
                  <w:szCs w:val="18"/>
                  <w:b w:val="1"/>
                  <w:bCs w:val="1"/>
                  <w:color w:val="0000FF"/>
                  <w:w w:val="98"/>
                </w:rPr>
                <w:t>PART II — OTHER INFORMATION</w:t>
              </w:r>
            </w:hyperlink>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1.</w:t>
              </w:r>
            </w:hyperlink>
          </w:p>
        </w:tc>
        <w:tc>
          <w:tcPr>
            <w:tcW w:w="1620" w:type="dxa"/>
            <w:vAlign w:val="bottom"/>
            <w:gridSpan w:val="6"/>
          </w:tcPr>
          <w:p>
            <w:pPr>
              <w:ind w:left="20"/>
              <w:spacing w:after="0"/>
              <w:rPr>
                <w:rFonts w:ascii="Arial" w:cs="Arial" w:eastAsia="Arial" w:hAnsi="Arial"/>
                <w:sz w:val="18"/>
                <w:szCs w:val="18"/>
                <w:b w:val="1"/>
                <w:bCs w:val="1"/>
                <w:color w:val="0000FF"/>
                <w:w w:val="98"/>
              </w:rPr>
            </w:pPr>
            <w:hyperlink w:anchor="page58">
              <w:r>
                <w:rPr>
                  <w:rFonts w:ascii="Arial" w:cs="Arial" w:eastAsia="Arial" w:hAnsi="Arial"/>
                  <w:sz w:val="18"/>
                  <w:szCs w:val="18"/>
                  <w:b w:val="1"/>
                  <w:bCs w:val="1"/>
                  <w:color w:val="0000FF"/>
                  <w:w w:val="98"/>
                </w:rPr>
                <w:t>Legal Proceedings</w:t>
              </w:r>
            </w:hyperlink>
          </w:p>
        </w:tc>
        <w:tc>
          <w:tcPr>
            <w:tcW w:w="1040" w:type="dxa"/>
            <w:vAlign w:val="bottom"/>
            <w:gridSpan w:val="3"/>
          </w:tcPr>
          <w:p>
            <w:pPr>
              <w:spacing w:after="0"/>
              <w:rPr>
                <w:sz w:val="24"/>
                <w:szCs w:val="24"/>
                <w:color w:val="auto"/>
              </w:rPr>
            </w:pPr>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0" w:type="dxa"/>
            <w:vAlign w:val="bottom"/>
            <w:gridSpan w:val="7"/>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1A. Risk Factors</w:t>
              </w:r>
            </w:hyperlink>
          </w:p>
        </w:tc>
        <w:tc>
          <w:tcPr>
            <w:tcW w:w="6040" w:type="dxa"/>
            <w:vAlign w:val="bottom"/>
            <w:gridSpan w:val="13"/>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Unregistered Sales of Equity Securities and Use of Proceeds</w:t>
              </w:r>
            </w:hyperlink>
          </w:p>
        </w:tc>
        <w:tc>
          <w:tcPr>
            <w:tcW w:w="352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3.</w:t>
              </w:r>
            </w:hyperlink>
          </w:p>
        </w:tc>
        <w:tc>
          <w:tcPr>
            <w:tcW w:w="2760" w:type="dxa"/>
            <w:vAlign w:val="bottom"/>
            <w:gridSpan w:val="10"/>
          </w:tcPr>
          <w:p>
            <w:pPr>
              <w:ind w:left="20"/>
              <w:spacing w:after="0"/>
              <w:rPr>
                <w:rFonts w:ascii="Arial" w:cs="Arial" w:eastAsia="Arial" w:hAnsi="Arial"/>
                <w:sz w:val="18"/>
                <w:szCs w:val="18"/>
                <w:b w:val="1"/>
                <w:bCs w:val="1"/>
                <w:color w:val="0000FF"/>
                <w:w w:val="99"/>
              </w:rPr>
            </w:pPr>
            <w:hyperlink w:anchor="page59">
              <w:r>
                <w:rPr>
                  <w:rFonts w:ascii="Arial" w:cs="Arial" w:eastAsia="Arial" w:hAnsi="Arial"/>
                  <w:sz w:val="18"/>
                  <w:szCs w:val="18"/>
                  <w:b w:val="1"/>
                  <w:bCs w:val="1"/>
                  <w:color w:val="0000FF"/>
                  <w:w w:val="99"/>
                </w:rPr>
                <w:t>Defaults Upon Senior Securities</w:t>
              </w:r>
            </w:hyperlink>
          </w:p>
        </w:tc>
        <w:tc>
          <w:tcPr>
            <w:tcW w:w="2440" w:type="dxa"/>
            <w:vAlign w:val="bottom"/>
            <w:gridSpan w:val="2"/>
          </w:tcPr>
          <w:p>
            <w:pPr>
              <w:spacing w:after="0"/>
              <w:rPr>
                <w:sz w:val="24"/>
                <w:szCs w:val="24"/>
                <w:color w:val="auto"/>
              </w:rPr>
            </w:pPr>
          </w:p>
        </w:tc>
        <w:tc>
          <w:tcPr>
            <w:tcW w:w="24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4.</w:t>
              </w:r>
            </w:hyperlink>
          </w:p>
        </w:tc>
        <w:tc>
          <w:tcPr>
            <w:tcW w:w="2760" w:type="dxa"/>
            <w:vAlign w:val="bottom"/>
            <w:gridSpan w:val="10"/>
          </w:tcPr>
          <w:p>
            <w:pPr>
              <w:ind w:left="20"/>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Mine Safety Disclosures</w:t>
              </w:r>
            </w:hyperlink>
          </w:p>
        </w:tc>
        <w:tc>
          <w:tcPr>
            <w:tcW w:w="49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5.</w:t>
              </w:r>
            </w:hyperlink>
          </w:p>
        </w:tc>
        <w:tc>
          <w:tcPr>
            <w:tcW w:w="1540" w:type="dxa"/>
            <w:vAlign w:val="bottom"/>
            <w:gridSpan w:val="5"/>
          </w:tcPr>
          <w:p>
            <w:pPr>
              <w:ind w:left="20"/>
              <w:spacing w:after="0"/>
              <w:rPr>
                <w:rFonts w:ascii="Arial" w:cs="Arial" w:eastAsia="Arial" w:hAnsi="Arial"/>
                <w:sz w:val="18"/>
                <w:szCs w:val="18"/>
                <w:b w:val="1"/>
                <w:bCs w:val="1"/>
                <w:color w:val="0000FF"/>
                <w:w w:val="98"/>
              </w:rPr>
            </w:pPr>
            <w:hyperlink w:anchor="page59">
              <w:r>
                <w:rPr>
                  <w:rFonts w:ascii="Arial" w:cs="Arial" w:eastAsia="Arial" w:hAnsi="Arial"/>
                  <w:sz w:val="18"/>
                  <w:szCs w:val="18"/>
                  <w:b w:val="1"/>
                  <w:bCs w:val="1"/>
                  <w:color w:val="0000FF"/>
                  <w:w w:val="98"/>
                </w:rPr>
                <w:t>Other Information</w:t>
              </w:r>
            </w:hyperlink>
          </w:p>
        </w:tc>
        <w:tc>
          <w:tcPr>
            <w:tcW w:w="540" w:type="dxa"/>
            <w:vAlign w:val="bottom"/>
            <w:gridSpan w:val="2"/>
          </w:tcPr>
          <w:p>
            <w:pPr>
              <w:spacing w:after="0"/>
              <w:rPr>
                <w:sz w:val="24"/>
                <w:szCs w:val="24"/>
                <w:color w:val="auto"/>
              </w:rPr>
            </w:pPr>
          </w:p>
        </w:tc>
        <w:tc>
          <w:tcPr>
            <w:tcW w:w="5580" w:type="dxa"/>
            <w:vAlign w:val="bottom"/>
            <w:gridSpan w:val="1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6.</w:t>
              </w:r>
            </w:hyperlink>
          </w:p>
        </w:tc>
        <w:tc>
          <w:tcPr>
            <w:tcW w:w="720" w:type="dxa"/>
            <w:vAlign w:val="bottom"/>
            <w:gridSpan w:val="2"/>
          </w:tcPr>
          <w:p>
            <w:pPr>
              <w:ind w:left="20"/>
              <w:spacing w:after="0"/>
              <w:rPr>
                <w:rFonts w:ascii="Arial" w:cs="Arial" w:eastAsia="Arial" w:hAnsi="Arial"/>
                <w:sz w:val="18"/>
                <w:szCs w:val="18"/>
                <w:b w:val="1"/>
                <w:bCs w:val="1"/>
                <w:color w:val="0000FF"/>
                <w:w w:val="97"/>
              </w:rPr>
            </w:pPr>
            <w:hyperlink w:anchor="page59">
              <w:r>
                <w:rPr>
                  <w:rFonts w:ascii="Arial" w:cs="Arial" w:eastAsia="Arial" w:hAnsi="Arial"/>
                  <w:sz w:val="18"/>
                  <w:szCs w:val="18"/>
                  <w:b w:val="1"/>
                  <w:bCs w:val="1"/>
                  <w:color w:val="0000FF"/>
                  <w:w w:val="97"/>
                </w:rPr>
                <w:t>Exhibits</w:t>
              </w:r>
            </w:hyperlink>
          </w:p>
        </w:tc>
        <w:tc>
          <w:tcPr>
            <w:tcW w:w="820" w:type="dxa"/>
            <w:vAlign w:val="bottom"/>
            <w:gridSpan w:val="3"/>
          </w:tcPr>
          <w:p>
            <w:pPr>
              <w:spacing w:after="0"/>
              <w:rPr>
                <w:sz w:val="24"/>
                <w:szCs w:val="24"/>
                <w:color w:val="auto"/>
              </w:rPr>
            </w:pPr>
          </w:p>
        </w:tc>
        <w:tc>
          <w:tcPr>
            <w:tcW w:w="6120" w:type="dxa"/>
            <w:vAlign w:val="bottom"/>
            <w:gridSpan w:val="14"/>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7840" w:type="dxa"/>
            <w:vAlign w:val="bottom"/>
            <w:gridSpan w:val="20"/>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SIGNATURES</w:t>
              </w:r>
            </w:hyperlink>
          </w:p>
        </w:tc>
        <w:tc>
          <w:tcPr>
            <w:tcW w:w="352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682" w:right="259" w:bottom="8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682" w:right="259" w:bottom="81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175"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80" w:lineRule="exact"/>
        <w:rPr>
          <w:sz w:val="20"/>
          <w:szCs w:val="20"/>
          <w:color w:val="auto"/>
        </w:rPr>
      </w:pPr>
    </w:p>
    <w:p>
      <w:pPr>
        <w:ind w:right="680" w:firstLine="486"/>
        <w:spacing w:after="0" w:line="289" w:lineRule="auto"/>
        <w:rPr>
          <w:sz w:val="20"/>
          <w:szCs w:val="20"/>
          <w:color w:val="auto"/>
        </w:rPr>
      </w:pPr>
      <w:r>
        <w:rPr>
          <w:rFonts w:ascii="Arial" w:cs="Arial" w:eastAsia="Arial" w:hAnsi="Arial"/>
          <w:sz w:val="18"/>
          <w:szCs w:val="18"/>
          <w:i w:val="1"/>
          <w:iCs w:val="1"/>
          <w:color w:val="auto"/>
        </w:rPr>
        <w:t>When we use the terms “LPLFH” “we” “us” “our” the “firm” and the "Company," we mean LPL Financial Holdings Inc., a Delaware corporation, and its consolidated subsidiaries, taken as a whole, unless the context otherwise indicates.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strategy, plans, liquidity, ability and plans to repurchase shares and pay dividends in the future, including statements regarding projected costs, projected savings, projected expenses and anticipated improvements to the Company's operating model, services, and technology as a result of the Service Value Commitment,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July 31, 2013.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assets under custody;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and sourcing risks; the effect of current, pending and future legislation, regulation and regulatory actions, including disciplinary actions imposed by self-regulatory organizations; and the other factors set forth in Part I, “Item 1A. Risk Factors” in the Company's 2012 Annual Report on Form 10-K.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54"/>
        </w:trPr>
        <w:tc>
          <w:tcPr>
            <w:tcW w:w="5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64"/>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2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508,399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447,243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993,971</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910,896</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298,094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268,192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579,320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519,173</w:t>
            </w:r>
          </w:p>
        </w:tc>
        <w:tc>
          <w:tcPr>
            <w:tcW w:w="0" w:type="dxa"/>
            <w:vAlign w:val="bottom"/>
          </w:tcPr>
          <w:p>
            <w:pPr>
              <w:spacing w:after="0"/>
              <w:rPr>
                <w:sz w:val="1"/>
                <w:szCs w:val="1"/>
                <w:color w:val="auto"/>
              </w:rPr>
            </w:pPr>
          </w:p>
        </w:tc>
      </w:tr>
      <w:tr>
        <w:trPr>
          <w:trHeight w:val="265"/>
        </w:trPr>
        <w:tc>
          <w:tcPr>
            <w:tcW w:w="5020" w:type="dxa"/>
            <w:vAlign w:val="bottom"/>
          </w:tcPr>
          <w:p>
            <w:pPr>
              <w:ind w:left="360"/>
              <w:spacing w:after="0"/>
              <w:rPr>
                <w:sz w:val="20"/>
                <w:szCs w:val="20"/>
                <w:color w:val="auto"/>
              </w:rPr>
            </w:pPr>
            <w:r>
              <w:rPr>
                <w:rFonts w:ascii="Arial" w:cs="Arial" w:eastAsia="Arial" w:hAnsi="Arial"/>
                <w:sz w:val="18"/>
                <w:szCs w:val="18"/>
                <w:color w:val="auto"/>
              </w:rPr>
              <w:t>Asset-based</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107,505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102,784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211,271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200,025</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88,631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178,009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153,466</w:t>
            </w:r>
          </w:p>
        </w:tc>
        <w:tc>
          <w:tcPr>
            <w:tcW w:w="0" w:type="dxa"/>
            <w:vAlign w:val="bottom"/>
          </w:tcPr>
          <w:p>
            <w:pPr>
              <w:spacing w:after="0"/>
              <w:rPr>
                <w:sz w:val="1"/>
                <w:szCs w:val="1"/>
                <w:color w:val="auto"/>
              </w:rPr>
            </w:pPr>
          </w:p>
        </w:tc>
      </w:tr>
      <w:tr>
        <w:trPr>
          <w:trHeight w:val="265"/>
        </w:trPr>
        <w:tc>
          <w:tcPr>
            <w:tcW w:w="502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9,510</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11,865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16,546</w:t>
            </w:r>
          </w:p>
        </w:tc>
        <w:tc>
          <w:tcPr>
            <w:tcW w:w="0" w:type="dxa"/>
            <w:vAlign w:val="bottom"/>
          </w:tcPr>
          <w:p>
            <w:pPr>
              <w:spacing w:after="0"/>
              <w:rPr>
                <w:sz w:val="1"/>
                <w:szCs w:val="1"/>
                <w:color w:val="auto"/>
              </w:rPr>
            </w:pPr>
          </w:p>
        </w:tc>
      </w:tr>
      <w:tr>
        <w:trPr>
          <w:trHeight w:val="245"/>
        </w:trPr>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5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1,018,920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907,843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1,993,716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1,809,616</w:t>
            </w:r>
          </w:p>
        </w:tc>
        <w:tc>
          <w:tcPr>
            <w:tcW w:w="0" w:type="dxa"/>
            <w:vAlign w:val="bottom"/>
          </w:tcPr>
          <w:p>
            <w:pPr>
              <w:spacing w:after="0"/>
              <w:rPr>
                <w:sz w:val="1"/>
                <w:szCs w:val="1"/>
                <w:color w:val="auto"/>
              </w:rPr>
            </w:pPr>
          </w:p>
        </w:tc>
      </w:tr>
      <w:tr>
        <w:trPr>
          <w:trHeight w:val="268"/>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020" w:type="dxa"/>
            <w:vAlign w:val="bottom"/>
          </w:tcPr>
          <w:p>
            <w:pPr>
              <w:ind w:left="360"/>
              <w:spacing w:after="0"/>
              <w:rPr>
                <w:sz w:val="20"/>
                <w:szCs w:val="20"/>
                <w:color w:val="auto"/>
              </w:rPr>
            </w:pPr>
            <w:r>
              <w:rPr>
                <w:rFonts w:ascii="Arial" w:cs="Arial" w:eastAsia="Arial" w:hAnsi="Arial"/>
                <w:sz w:val="18"/>
                <w:szCs w:val="18"/>
                <w:color w:val="auto"/>
              </w:rPr>
              <w:t>Commission and advisory</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701,687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620,582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1,361,240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1,237,974</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98,227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197,007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182,046</w:t>
            </w:r>
          </w:p>
        </w:tc>
        <w:tc>
          <w:tcPr>
            <w:tcW w:w="0" w:type="dxa"/>
            <w:vAlign w:val="bottom"/>
          </w:tcPr>
          <w:p>
            <w:pPr>
              <w:spacing w:after="0"/>
              <w:rPr>
                <w:sz w:val="1"/>
                <w:szCs w:val="1"/>
                <w:color w:val="auto"/>
              </w:rPr>
            </w:pPr>
          </w:p>
        </w:tc>
      </w:tr>
      <w:tr>
        <w:trPr>
          <w:trHeight w:val="265"/>
        </w:trPr>
        <w:tc>
          <w:tcPr>
            <w:tcW w:w="5020" w:type="dxa"/>
            <w:vAlign w:val="bottom"/>
          </w:tcPr>
          <w:p>
            <w:pPr>
              <w:ind w:left="360"/>
              <w:spacing w:after="0"/>
              <w:rPr>
                <w:sz w:val="20"/>
                <w:szCs w:val="20"/>
                <w:color w:val="auto"/>
              </w:rPr>
            </w:pPr>
            <w:r>
              <w:rPr>
                <w:rFonts w:ascii="Arial" w:cs="Arial" w:eastAsia="Arial" w:hAnsi="Arial"/>
                <w:sz w:val="18"/>
                <w:szCs w:val="18"/>
                <w:color w:val="auto"/>
              </w:rPr>
              <w:t>Promotional</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24,804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48,469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42,953</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40,019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34,587</w:t>
            </w:r>
          </w:p>
        </w:tc>
        <w:tc>
          <w:tcPr>
            <w:tcW w:w="0" w:type="dxa"/>
            <w:vAlign w:val="bottom"/>
          </w:tcPr>
          <w:p>
            <w:pPr>
              <w:spacing w:after="0"/>
              <w:rPr>
                <w:sz w:val="1"/>
                <w:szCs w:val="1"/>
                <w:color w:val="auto"/>
              </w:rPr>
            </w:pPr>
          </w:p>
        </w:tc>
      </w:tr>
      <w:tr>
        <w:trPr>
          <w:trHeight w:val="265"/>
        </w:trPr>
        <w:tc>
          <w:tcPr>
            <w:tcW w:w="5020" w:type="dxa"/>
            <w:vAlign w:val="bottom"/>
          </w:tcPr>
          <w:p>
            <w:pPr>
              <w:ind w:left="360"/>
              <w:spacing w:after="0"/>
              <w:rPr>
                <w:sz w:val="20"/>
                <w:szCs w:val="20"/>
                <w:color w:val="auto"/>
              </w:rPr>
            </w:pPr>
            <w:r>
              <w:rPr>
                <w:rFonts w:ascii="Arial" w:cs="Arial" w:eastAsia="Arial" w:hAnsi="Arial"/>
                <w:sz w:val="18"/>
                <w:szCs w:val="18"/>
                <w:color w:val="auto"/>
              </w:rPr>
              <w:t>Occupancy and equipment</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16,283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33,081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28,504</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28,633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31,320</w:t>
            </w:r>
          </w:p>
        </w:tc>
        <w:tc>
          <w:tcPr>
            <w:tcW w:w="0" w:type="dxa"/>
            <w:vAlign w:val="bottom"/>
          </w:tcPr>
          <w:p>
            <w:pPr>
              <w:spacing w:after="0"/>
              <w:rPr>
                <w:sz w:val="1"/>
                <w:szCs w:val="1"/>
                <w:color w:val="auto"/>
              </w:rPr>
            </w:pPr>
          </w:p>
        </w:tc>
      </w:tr>
      <w:tr>
        <w:trPr>
          <w:trHeight w:val="265"/>
        </w:trPr>
        <w:tc>
          <w:tcPr>
            <w:tcW w:w="5020" w:type="dxa"/>
            <w:vAlign w:val="bottom"/>
          </w:tcPr>
          <w:p>
            <w:pPr>
              <w:ind w:left="360"/>
              <w:spacing w:after="0"/>
              <w:rPr>
                <w:sz w:val="20"/>
                <w:szCs w:val="20"/>
                <w:color w:val="auto"/>
              </w:rPr>
            </w:pPr>
            <w:r>
              <w:rPr>
                <w:rFonts w:ascii="Arial" w:cs="Arial" w:eastAsia="Arial" w:hAnsi="Arial"/>
                <w:sz w:val="18"/>
                <w:szCs w:val="18"/>
                <w:color w:val="auto"/>
              </w:rPr>
              <w:t>Brokerage, clearing and exchange</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21,598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18,696</w:t>
            </w:r>
          </w:p>
        </w:tc>
        <w:tc>
          <w:tcPr>
            <w:tcW w:w="0" w:type="dxa"/>
            <w:vAlign w:val="bottom"/>
          </w:tcPr>
          <w:p>
            <w:pPr>
              <w:spacing w:after="0"/>
              <w:rPr>
                <w:sz w:val="1"/>
                <w:szCs w:val="1"/>
                <w:color w:val="auto"/>
              </w:rPr>
            </w:pPr>
          </w:p>
        </w:tc>
      </w:tr>
      <w:tr>
        <w:trPr>
          <w:trHeight w:val="265"/>
        </w:trPr>
        <w:tc>
          <w:tcPr>
            <w:tcW w:w="5020" w:type="dxa"/>
            <w:vAlign w:val="bottom"/>
          </w:tcPr>
          <w:p>
            <w:pPr>
              <w:ind w:left="360"/>
              <w:spacing w:after="0"/>
              <w:rPr>
                <w:sz w:val="20"/>
                <w:szCs w:val="20"/>
                <w:color w:val="auto"/>
              </w:rPr>
            </w:pPr>
            <w:r>
              <w:rPr>
                <w:rFonts w:ascii="Arial" w:cs="Arial" w:eastAsia="Arial" w:hAnsi="Arial"/>
                <w:sz w:val="18"/>
                <w:szCs w:val="18"/>
                <w:color w:val="auto"/>
              </w:rPr>
              <w:t>Regulatory fees and other</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65"/>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10,682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16,569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55"/>
        </w:trPr>
        <w:tc>
          <w:tcPr>
            <w:tcW w:w="5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923,389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827,096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1,795,474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1,629,450</w:t>
            </w:r>
          </w:p>
        </w:tc>
        <w:tc>
          <w:tcPr>
            <w:tcW w:w="0" w:type="dxa"/>
            <w:vAlign w:val="bottom"/>
          </w:tcPr>
          <w:p>
            <w:pPr>
              <w:spacing w:after="0"/>
              <w:rPr>
                <w:sz w:val="1"/>
                <w:szCs w:val="1"/>
                <w:color w:val="auto"/>
              </w:rPr>
            </w:pPr>
          </w:p>
        </w:tc>
      </w:tr>
      <w:tr>
        <w:trPr>
          <w:trHeight w:val="245"/>
        </w:trPr>
        <w:tc>
          <w:tcPr>
            <w:tcW w:w="5020" w:type="dxa"/>
            <w:vAlign w:val="bottom"/>
          </w:tcPr>
          <w:p>
            <w:pPr>
              <w:ind w:left="360"/>
              <w:spacing w:after="0"/>
              <w:rPr>
                <w:sz w:val="20"/>
                <w:szCs w:val="20"/>
                <w:color w:val="auto"/>
              </w:rPr>
            </w:pPr>
            <w:r>
              <w:rPr>
                <w:rFonts w:ascii="Arial" w:cs="Arial" w:eastAsia="Arial" w:hAnsi="Arial"/>
                <w:sz w:val="18"/>
                <w:szCs w:val="18"/>
                <w:color w:val="auto"/>
              </w:rPr>
              <w:t>Non-operating interest expense</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24,827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29,471</w:t>
            </w: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7,962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c>
          <w:tcPr>
            <w:tcW w:w="0" w:type="dxa"/>
            <w:vAlign w:val="bottom"/>
          </w:tcPr>
          <w:p>
            <w:pPr>
              <w:spacing w:after="0"/>
              <w:rPr>
                <w:sz w:val="1"/>
                <w:szCs w:val="1"/>
                <w:color w:val="auto"/>
              </w:rPr>
            </w:pPr>
          </w:p>
        </w:tc>
      </w:tr>
      <w:tr>
        <w:trPr>
          <w:trHeight w:val="245"/>
        </w:trPr>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5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944,018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840,535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1,828,263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1,675,445</w:t>
            </w:r>
          </w:p>
        </w:tc>
        <w:tc>
          <w:tcPr>
            <w:tcW w:w="0" w:type="dxa"/>
            <w:vAlign w:val="bottom"/>
          </w:tcPr>
          <w:p>
            <w:pPr>
              <w:spacing w:after="0"/>
              <w:rPr>
                <w:sz w:val="1"/>
                <w:szCs w:val="1"/>
                <w:color w:val="auto"/>
              </w:rPr>
            </w:pPr>
          </w:p>
        </w:tc>
      </w:tr>
      <w:tr>
        <w:trPr>
          <w:trHeight w:val="255"/>
        </w:trPr>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74,902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165,453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134,171</w:t>
            </w:r>
          </w:p>
        </w:tc>
        <w:tc>
          <w:tcPr>
            <w:tcW w:w="0" w:type="dxa"/>
            <w:vAlign w:val="bottom"/>
          </w:tcPr>
          <w:p>
            <w:pPr>
              <w:spacing w:after="0"/>
              <w:rPr>
                <w:sz w:val="1"/>
                <w:szCs w:val="1"/>
                <w:color w:val="auto"/>
              </w:rPr>
            </w:pPr>
          </w:p>
        </w:tc>
      </w:tr>
      <w:tr>
        <w:trPr>
          <w:trHeight w:val="265"/>
        </w:trPr>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29,811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27,806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65,645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53,490</w:t>
            </w:r>
          </w:p>
        </w:tc>
        <w:tc>
          <w:tcPr>
            <w:tcW w:w="0" w:type="dxa"/>
            <w:vAlign w:val="bottom"/>
          </w:tcPr>
          <w:p>
            <w:pPr>
              <w:spacing w:after="0"/>
              <w:rPr>
                <w:sz w:val="1"/>
                <w:szCs w:val="1"/>
                <w:color w:val="auto"/>
              </w:rPr>
            </w:pPr>
          </w:p>
        </w:tc>
      </w:tr>
      <w:tr>
        <w:trPr>
          <w:trHeight w:val="255"/>
        </w:trPr>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45,091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99,808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80,681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(Note 11):</w:t>
            </w: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61"/>
        </w:trPr>
        <w:tc>
          <w:tcPr>
            <w:tcW w:w="5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58"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54"/>
        </w:trPr>
        <w:tc>
          <w:tcPr>
            <w:tcW w:w="6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2"/>
                <w:szCs w:val="22"/>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51"/>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45,091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99,808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80,681</w:t>
            </w:r>
          </w:p>
        </w:tc>
      </w:tr>
      <w:tr>
        <w:trPr>
          <w:trHeight w:val="265"/>
        </w:trPr>
        <w:tc>
          <w:tcPr>
            <w:tcW w:w="60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1"/>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for items reclassified to earnings, net of tax expense of</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60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$273 and $527 for the three and six months ended June 30, 2012,</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2"/>
        </w:trPr>
        <w:tc>
          <w:tcPr>
            <w:tcW w:w="6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r>
      <w:tr>
        <w:trPr>
          <w:trHeight w:val="245"/>
        </w:trPr>
        <w:tc>
          <w:tcPr>
            <w:tcW w:w="6040" w:type="dxa"/>
            <w:vAlign w:val="bottom"/>
          </w:tcPr>
          <w:p>
            <w:pPr>
              <w:ind w:left="1080"/>
              <w:spacing w:after="0"/>
              <w:rPr>
                <w:sz w:val="20"/>
                <w:szCs w:val="20"/>
                <w:color w:val="auto"/>
              </w:rPr>
            </w:pPr>
            <w:r>
              <w:rPr>
                <w:rFonts w:ascii="Arial" w:cs="Arial" w:eastAsia="Arial" w:hAnsi="Arial"/>
                <w:sz w:val="18"/>
                <w:szCs w:val="18"/>
                <w:color w:val="auto"/>
              </w:rPr>
              <w:t>Total other comprehensive income, net of tax</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850</w:t>
            </w:r>
          </w:p>
        </w:tc>
      </w:tr>
      <w:tr>
        <w:trPr>
          <w:trHeight w:val="255"/>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81,531</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47" w:right="259" w:bottom="1440" w:gutter="0" w:footer="0" w:header="0"/>
        </w:sectPr>
      </w:pPr>
    </w:p>
    <w:bookmarkStart w:id="5" w:name="page6"/>
    <w:bookmarkEnd w:id="5"/>
    <w:p>
      <w:pPr>
        <w:ind w:left="342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December 31, 2012</w:t>
            </w:r>
          </w:p>
        </w:tc>
        <w:tc>
          <w:tcPr>
            <w:tcW w:w="0" w:type="dxa"/>
            <w:vAlign w:val="bottom"/>
          </w:tcPr>
          <w:p>
            <w:pPr>
              <w:spacing w:after="0"/>
              <w:rPr>
                <w:sz w:val="1"/>
                <w:szCs w:val="1"/>
                <w:color w:val="auto"/>
              </w:rPr>
            </w:pPr>
          </w:p>
        </w:tc>
      </w:tr>
      <w:tr>
        <w:trPr>
          <w:trHeight w:val="227"/>
        </w:trPr>
        <w:tc>
          <w:tcPr>
            <w:tcW w:w="2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719"/>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320" w:type="dxa"/>
            <w:vAlign w:val="bottom"/>
            <w:gridSpan w:val="5"/>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584,871</w:t>
            </w:r>
          </w:p>
        </w:tc>
        <w:tc>
          <w:tcPr>
            <w:tcW w:w="1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440,118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577,433</w:t>
            </w:r>
          </w:p>
        </w:tc>
        <w:tc>
          <w:tcPr>
            <w:tcW w:w="0" w:type="dxa"/>
            <w:vAlign w:val="bottom"/>
          </w:tcPr>
          <w:p>
            <w:pPr>
              <w:spacing w:after="0"/>
              <w:rPr>
                <w:sz w:val="1"/>
                <w:szCs w:val="1"/>
                <w:color w:val="auto"/>
              </w:rPr>
            </w:pPr>
          </w:p>
        </w:tc>
      </w:tr>
      <w:tr>
        <w:trPr>
          <w:trHeight w:val="262"/>
        </w:trPr>
        <w:tc>
          <w:tcPr>
            <w:tcW w:w="8320" w:type="dxa"/>
            <w:vAlign w:val="bottom"/>
            <w:gridSpan w:val="5"/>
          </w:tcPr>
          <w:p>
            <w:pPr>
              <w:ind w:left="20"/>
              <w:spacing w:after="0"/>
              <w:rPr>
                <w:sz w:val="20"/>
                <w:szCs w:val="20"/>
                <w:color w:val="auto"/>
              </w:rPr>
            </w:pPr>
            <w:r>
              <w:rPr>
                <w:rFonts w:ascii="Arial" w:cs="Arial" w:eastAsia="Arial" w:hAnsi="Arial"/>
                <w:sz w:val="16"/>
                <w:szCs w:val="16"/>
                <w:color w:val="auto"/>
              </w:rPr>
              <w:t>Receivables from:</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Clients, net of allowance of $521 at June 30, 2013 and $587 at December 31, 2012</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306,164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369,814</w:t>
            </w:r>
          </w:p>
        </w:tc>
        <w:tc>
          <w:tcPr>
            <w:tcW w:w="0" w:type="dxa"/>
            <w:vAlign w:val="bottom"/>
          </w:tcPr>
          <w:p>
            <w:pPr>
              <w:spacing w:after="0"/>
              <w:rPr>
                <w:sz w:val="1"/>
                <w:szCs w:val="1"/>
                <w:color w:val="auto"/>
              </w:rPr>
            </w:pPr>
          </w:p>
        </w:tc>
      </w:tr>
      <w:tr>
        <w:trPr>
          <w:trHeight w:val="262"/>
        </w:trPr>
        <w:tc>
          <w:tcPr>
            <w:tcW w:w="8320" w:type="dxa"/>
            <w:vAlign w:val="bottom"/>
            <w:gridSpan w:val="5"/>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170,061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152,950</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Others, net of allowance of $5,979 at June 30, 2013 and $6,675 at December 31, 2012</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248,143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241,324</w:t>
            </w:r>
          </w:p>
        </w:tc>
        <w:tc>
          <w:tcPr>
            <w:tcW w:w="0" w:type="dxa"/>
            <w:vAlign w:val="bottom"/>
          </w:tcPr>
          <w:p>
            <w:pPr>
              <w:spacing w:after="0"/>
              <w:rPr>
                <w:sz w:val="1"/>
                <w:szCs w:val="1"/>
                <w:color w:val="auto"/>
              </w:rPr>
            </w:pPr>
          </w:p>
        </w:tc>
      </w:tr>
      <w:tr>
        <w:trPr>
          <w:trHeight w:val="262"/>
        </w:trPr>
        <w:tc>
          <w:tcPr>
            <w:tcW w:w="8320" w:type="dxa"/>
            <w:vAlign w:val="bottom"/>
            <w:gridSpan w:val="5"/>
          </w:tcPr>
          <w:p>
            <w:pPr>
              <w:ind w:left="20"/>
              <w:spacing w:after="0"/>
              <w:rPr>
                <w:sz w:val="20"/>
                <w:szCs w:val="20"/>
                <w:color w:val="auto"/>
              </w:rPr>
            </w:pPr>
            <w:r>
              <w:rPr>
                <w:rFonts w:ascii="Arial" w:cs="Arial" w:eastAsia="Arial" w:hAnsi="Arial"/>
                <w:sz w:val="16"/>
                <w:szCs w:val="16"/>
                <w:color w:val="auto"/>
              </w:rPr>
              <w:t>Securities owned:</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Trading — at fair value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8,088</w:t>
            </w:r>
          </w:p>
        </w:tc>
        <w:tc>
          <w:tcPr>
            <w:tcW w:w="0" w:type="dxa"/>
            <w:vAlign w:val="bottom"/>
          </w:tcPr>
          <w:p>
            <w:pPr>
              <w:spacing w:after="0"/>
              <w:rPr>
                <w:sz w:val="1"/>
                <w:szCs w:val="1"/>
                <w:color w:val="auto"/>
              </w:rPr>
            </w:pPr>
          </w:p>
        </w:tc>
      </w:tr>
      <w:tr>
        <w:trPr>
          <w:trHeight w:val="262"/>
        </w:trPr>
        <w:tc>
          <w:tcPr>
            <w:tcW w:w="8320" w:type="dxa"/>
            <w:vAlign w:val="bottom"/>
            <w:gridSpan w:val="5"/>
          </w:tcPr>
          <w:p>
            <w:pPr>
              <w:ind w:left="160"/>
              <w:spacing w:after="0"/>
              <w:rPr>
                <w:sz w:val="20"/>
                <w:szCs w:val="20"/>
                <w:color w:val="auto"/>
              </w:rPr>
            </w:pPr>
            <w:r>
              <w:rPr>
                <w:rFonts w:ascii="Arial" w:cs="Arial" w:eastAsia="Arial" w:hAnsi="Arial"/>
                <w:sz w:val="16"/>
                <w:szCs w:val="16"/>
                <w:color w:val="auto"/>
              </w:rPr>
              <w:t>Held-to-maturity</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8,669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10,202</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Securities borrowed</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9,448</w:t>
            </w:r>
          </w:p>
        </w:tc>
        <w:tc>
          <w:tcPr>
            <w:tcW w:w="0" w:type="dxa"/>
            <w:vAlign w:val="bottom"/>
          </w:tcPr>
          <w:p>
            <w:pPr>
              <w:spacing w:after="0"/>
              <w:rPr>
                <w:sz w:val="1"/>
                <w:szCs w:val="1"/>
                <w:color w:val="auto"/>
              </w:rPr>
            </w:pPr>
          </w:p>
        </w:tc>
      </w:tr>
      <w:tr>
        <w:trPr>
          <w:trHeight w:val="262"/>
        </w:trPr>
        <w:tc>
          <w:tcPr>
            <w:tcW w:w="8320" w:type="dxa"/>
            <w:vAlign w:val="bottom"/>
            <w:gridSpan w:val="5"/>
          </w:tcPr>
          <w:p>
            <w:pPr>
              <w:ind w:left="2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5,215</w:t>
            </w:r>
          </w:p>
        </w:tc>
        <w:tc>
          <w:tcPr>
            <w:tcW w:w="0" w:type="dxa"/>
            <w:vAlign w:val="bottom"/>
          </w:tcPr>
          <w:p>
            <w:pPr>
              <w:spacing w:after="0"/>
              <w:rPr>
                <w:sz w:val="1"/>
                <w:szCs w:val="1"/>
                <w:color w:val="auto"/>
              </w:rPr>
            </w:pPr>
          </w:p>
        </w:tc>
      </w:tr>
      <w:tr>
        <w:trPr>
          <w:trHeight w:val="206"/>
        </w:trPr>
        <w:tc>
          <w:tcPr>
            <w:tcW w:w="83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Fixed assets, net of accumulated depreciation and amortization of $281,832 at June 30, 2013 and $324,684 at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December 31, 2012</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138,881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130,847</w:t>
            </w:r>
          </w:p>
        </w:tc>
        <w:tc>
          <w:tcPr>
            <w:tcW w:w="0" w:type="dxa"/>
            <w:vAlign w:val="bottom"/>
          </w:tcPr>
          <w:p>
            <w:pPr>
              <w:spacing w:after="0"/>
              <w:rPr>
                <w:sz w:val="1"/>
                <w:szCs w:val="1"/>
                <w:color w:val="auto"/>
              </w:rPr>
            </w:pPr>
          </w:p>
        </w:tc>
      </w:tr>
      <w:tr>
        <w:trPr>
          <w:trHeight w:val="198"/>
        </w:trPr>
        <w:tc>
          <w:tcPr>
            <w:tcW w:w="8320" w:type="dxa"/>
            <w:vAlign w:val="bottom"/>
            <w:gridSpan w:val="5"/>
          </w:tcPr>
          <w:p>
            <w:pPr>
              <w:spacing w:after="0"/>
              <w:rPr>
                <w:sz w:val="20"/>
                <w:szCs w:val="20"/>
                <w:color w:val="auto"/>
              </w:rPr>
            </w:pPr>
            <w:r>
              <w:rPr>
                <w:rFonts w:ascii="Arial" w:cs="Arial" w:eastAsia="Arial" w:hAnsi="Arial"/>
                <w:sz w:val="16"/>
                <w:szCs w:val="16"/>
                <w:color w:val="auto"/>
              </w:rPr>
              <w:t>Debt issuance costs, net of accumulated amortization of $5,604 at June 30, 2013 and $4,903 at December 31,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tcPr>
          <w:p>
            <w:pPr>
              <w:ind w:left="160"/>
              <w:spacing w:after="0"/>
              <w:rPr>
                <w:sz w:val="20"/>
                <w:szCs w:val="20"/>
                <w:color w:val="auto"/>
              </w:rPr>
            </w:pPr>
            <w:r>
              <w:rPr>
                <w:rFonts w:ascii="Arial" w:cs="Arial" w:eastAsia="Arial" w:hAnsi="Arial"/>
                <w:sz w:val="16"/>
                <w:szCs w:val="16"/>
                <w:color w:val="auto"/>
              </w:rPr>
              <w:t>2012</w:t>
            </w:r>
          </w:p>
        </w:tc>
        <w:tc>
          <w:tcPr>
            <w:tcW w:w="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18,427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21,254</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1,371,523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1,371,523</w:t>
            </w:r>
          </w:p>
        </w:tc>
        <w:tc>
          <w:tcPr>
            <w:tcW w:w="0" w:type="dxa"/>
            <w:vAlign w:val="bottom"/>
          </w:tcPr>
          <w:p>
            <w:pPr>
              <w:spacing w:after="0"/>
              <w:rPr>
                <w:sz w:val="1"/>
                <w:szCs w:val="1"/>
                <w:color w:val="auto"/>
              </w:rPr>
            </w:pPr>
          </w:p>
        </w:tc>
      </w:tr>
      <w:tr>
        <w:trPr>
          <w:trHeight w:val="198"/>
        </w:trPr>
        <w:tc>
          <w:tcPr>
            <w:tcW w:w="8320" w:type="dxa"/>
            <w:vAlign w:val="bottom"/>
            <w:gridSpan w:val="5"/>
          </w:tcPr>
          <w:p>
            <w:pPr>
              <w:spacing w:after="0"/>
              <w:rPr>
                <w:sz w:val="20"/>
                <w:szCs w:val="20"/>
                <w:color w:val="auto"/>
              </w:rPr>
            </w:pPr>
            <w:r>
              <w:rPr>
                <w:rFonts w:ascii="Arial" w:cs="Arial" w:eastAsia="Arial" w:hAnsi="Arial"/>
                <w:sz w:val="16"/>
                <w:szCs w:val="16"/>
                <w:color w:val="auto"/>
              </w:rPr>
              <w:t>Intangible assets, net of accumulated amortization of $246,823 at June 30, 2013 and $237,681 at December 31,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tcPr>
          <w:p>
            <w:pPr>
              <w:ind w:left="160"/>
              <w:spacing w:after="0"/>
              <w:rPr>
                <w:sz w:val="20"/>
                <w:szCs w:val="20"/>
                <w:color w:val="auto"/>
              </w:rPr>
            </w:pPr>
            <w:r>
              <w:rPr>
                <w:rFonts w:ascii="Arial" w:cs="Arial" w:eastAsia="Arial" w:hAnsi="Arial"/>
                <w:sz w:val="16"/>
                <w:szCs w:val="16"/>
                <w:color w:val="auto"/>
              </w:rPr>
              <w:t>2012</w:t>
            </w:r>
          </w:p>
        </w:tc>
        <w:tc>
          <w:tcPr>
            <w:tcW w:w="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483,984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503,528</w:t>
            </w:r>
          </w:p>
        </w:tc>
        <w:tc>
          <w:tcPr>
            <w:tcW w:w="0" w:type="dxa"/>
            <w:vAlign w:val="bottom"/>
          </w:tcPr>
          <w:p>
            <w:pPr>
              <w:spacing w:after="0"/>
              <w:rPr>
                <w:sz w:val="1"/>
                <w:szCs w:val="1"/>
                <w:color w:val="auto"/>
              </w:rPr>
            </w:pPr>
          </w:p>
        </w:tc>
      </w:tr>
      <w:tr>
        <w:trPr>
          <w:trHeight w:val="271"/>
        </w:trPr>
        <w:tc>
          <w:tcPr>
            <w:tcW w:w="83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136,188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120,637</w:t>
            </w:r>
          </w:p>
        </w:tc>
        <w:tc>
          <w:tcPr>
            <w:tcW w:w="0" w:type="dxa"/>
            <w:vAlign w:val="bottom"/>
          </w:tcPr>
          <w:p>
            <w:pPr>
              <w:spacing w:after="0"/>
              <w:rPr>
                <w:sz w:val="1"/>
                <w:szCs w:val="1"/>
                <w:color w:val="auto"/>
              </w:rPr>
            </w:pPr>
          </w:p>
        </w:tc>
      </w:tr>
      <w:tr>
        <w:trPr>
          <w:trHeight w:val="282"/>
        </w:trPr>
        <w:tc>
          <w:tcPr>
            <w:tcW w:w="832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3,923,634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20" w:type="dxa"/>
            <w:vAlign w:val="bottom"/>
            <w:gridSpan w:val="3"/>
            <w:shd w:val="clear" w:color="auto" w:fill="CCEEFF"/>
          </w:tcPr>
          <w:p>
            <w:pPr>
              <w:jc w:val="center"/>
              <w:ind w:left="79"/>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320" w:type="dxa"/>
            <w:vAlign w:val="bottom"/>
            <w:gridSpan w:val="5"/>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Drafts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155,513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203,132</w:t>
            </w:r>
          </w:p>
        </w:tc>
        <w:tc>
          <w:tcPr>
            <w:tcW w:w="0" w:type="dxa"/>
            <w:vAlign w:val="bottom"/>
          </w:tcPr>
          <w:p>
            <w:pPr>
              <w:spacing w:after="0"/>
              <w:rPr>
                <w:sz w:val="1"/>
                <w:szCs w:val="1"/>
                <w:color w:val="auto"/>
              </w:rPr>
            </w:pPr>
          </w:p>
        </w:tc>
      </w:tr>
      <w:tr>
        <w:trPr>
          <w:trHeight w:val="262"/>
        </w:trPr>
        <w:tc>
          <w:tcPr>
            <w:tcW w:w="8320" w:type="dxa"/>
            <w:vAlign w:val="bottom"/>
            <w:gridSpan w:val="5"/>
          </w:tcPr>
          <w:p>
            <w:pPr>
              <w:ind w:left="160"/>
              <w:spacing w:after="0"/>
              <w:rPr>
                <w:sz w:val="20"/>
                <w:szCs w:val="20"/>
                <w:color w:val="auto"/>
              </w:rPr>
            </w:pPr>
            <w:r>
              <w:rPr>
                <w:rFonts w:ascii="Arial" w:cs="Arial" w:eastAsia="Arial" w:hAnsi="Arial"/>
                <w:sz w:val="16"/>
                <w:szCs w:val="16"/>
                <w:color w:val="auto"/>
              </w:rPr>
              <w:t>Payables to clients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487,798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749,505</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23,384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53,031</w:t>
            </w:r>
          </w:p>
        </w:tc>
        <w:tc>
          <w:tcPr>
            <w:tcW w:w="0" w:type="dxa"/>
            <w:vAlign w:val="bottom"/>
          </w:tcPr>
          <w:p>
            <w:pPr>
              <w:spacing w:after="0"/>
              <w:rPr>
                <w:sz w:val="1"/>
                <w:szCs w:val="1"/>
                <w:color w:val="auto"/>
              </w:rPr>
            </w:pPr>
          </w:p>
        </w:tc>
      </w:tr>
      <w:tr>
        <w:trPr>
          <w:trHeight w:val="262"/>
        </w:trPr>
        <w:tc>
          <w:tcPr>
            <w:tcW w:w="8320" w:type="dxa"/>
            <w:vAlign w:val="bottom"/>
            <w:gridSpan w:val="5"/>
          </w:tcPr>
          <w:p>
            <w:pPr>
              <w:ind w:left="160"/>
              <w:spacing w:after="0"/>
              <w:rPr>
                <w:sz w:val="20"/>
                <w:szCs w:val="20"/>
                <w:color w:val="auto"/>
              </w:rPr>
            </w:pPr>
            <w:r>
              <w:rPr>
                <w:rFonts w:ascii="Arial" w:cs="Arial" w:eastAsia="Arial" w:hAnsi="Arial"/>
                <w:sz w:val="16"/>
                <w:szCs w:val="16"/>
                <w:color w:val="auto"/>
              </w:rPr>
              <w:t>Accrued commission and advisory expenses payable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130,395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128,459</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224,211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216,138</w:t>
            </w:r>
          </w:p>
        </w:tc>
        <w:tc>
          <w:tcPr>
            <w:tcW w:w="0" w:type="dxa"/>
            <w:vAlign w:val="bottom"/>
          </w:tcPr>
          <w:p>
            <w:pPr>
              <w:spacing w:after="0"/>
              <w:rPr>
                <w:sz w:val="1"/>
                <w:szCs w:val="1"/>
                <w:color w:val="auto"/>
              </w:rPr>
            </w:pPr>
          </w:p>
        </w:tc>
      </w:tr>
      <w:tr>
        <w:trPr>
          <w:trHeight w:val="262"/>
        </w:trPr>
        <w:tc>
          <w:tcPr>
            <w:tcW w:w="8320" w:type="dxa"/>
            <w:vAlign w:val="bottom"/>
            <w:gridSpan w:val="5"/>
          </w:tcPr>
          <w:p>
            <w:pPr>
              <w:ind w:left="16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Unearned revenue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65,500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61,808</w:t>
            </w:r>
          </w:p>
        </w:tc>
        <w:tc>
          <w:tcPr>
            <w:tcW w:w="0" w:type="dxa"/>
            <w:vAlign w:val="bottom"/>
          </w:tcPr>
          <w:p>
            <w:pPr>
              <w:spacing w:after="0"/>
              <w:rPr>
                <w:sz w:val="1"/>
                <w:szCs w:val="1"/>
                <w:color w:val="auto"/>
              </w:rPr>
            </w:pPr>
          </w:p>
        </w:tc>
      </w:tr>
      <w:tr>
        <w:trPr>
          <w:trHeight w:val="262"/>
        </w:trPr>
        <w:tc>
          <w:tcPr>
            <w:tcW w:w="8320" w:type="dxa"/>
            <w:vAlign w:val="bottom"/>
            <w:gridSpan w:val="5"/>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78"/>
        </w:trPr>
        <w:tc>
          <w:tcPr>
            <w:tcW w:w="8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Senior secured credit facilities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1,540,515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1,317,825</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gridSpan w:val="5"/>
          </w:tcPr>
          <w:p>
            <w:pPr>
              <w:ind w:left="160"/>
              <w:spacing w:after="0"/>
              <w:rPr>
                <w:sz w:val="20"/>
                <w:szCs w:val="20"/>
                <w:color w:val="auto"/>
              </w:rPr>
            </w:pPr>
            <w:r>
              <w:rPr>
                <w:rFonts w:ascii="Arial" w:cs="Arial" w:eastAsia="Arial" w:hAnsi="Arial"/>
                <w:sz w:val="16"/>
                <w:szCs w:val="16"/>
                <w:color w:val="auto"/>
              </w:rPr>
              <w:t>Deferred income taxes — net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106,658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118,240</w:t>
            </w:r>
          </w:p>
        </w:tc>
        <w:tc>
          <w:tcPr>
            <w:tcW w:w="0" w:type="dxa"/>
            <w:vAlign w:val="bottom"/>
          </w:tcPr>
          <w:p>
            <w:pPr>
              <w:spacing w:after="0"/>
              <w:rPr>
                <w:sz w:val="1"/>
                <w:szCs w:val="1"/>
                <w:color w:val="auto"/>
              </w:rPr>
            </w:pPr>
          </w:p>
        </w:tc>
      </w:tr>
      <w:tr>
        <w:trPr>
          <w:trHeight w:val="257"/>
        </w:trPr>
        <w:tc>
          <w:tcPr>
            <w:tcW w:w="8320" w:type="dxa"/>
            <w:vAlign w:val="bottom"/>
            <w:gridSpan w:val="5"/>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2,737,134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2,848,504</w:t>
            </w:r>
          </w:p>
        </w:tc>
        <w:tc>
          <w:tcPr>
            <w:tcW w:w="0" w:type="dxa"/>
            <w:vAlign w:val="bottom"/>
          </w:tcPr>
          <w:p>
            <w:pPr>
              <w:spacing w:after="0"/>
              <w:rPr>
                <w:sz w:val="1"/>
                <w:szCs w:val="1"/>
                <w:color w:val="auto"/>
              </w:rPr>
            </w:pPr>
          </w:p>
        </w:tc>
      </w:tr>
      <w:tr>
        <w:trPr>
          <w:trHeight w:val="242"/>
        </w:trPr>
        <w:tc>
          <w:tcPr>
            <w:tcW w:w="8320" w:type="dxa"/>
            <w:vAlign w:val="bottom"/>
            <w:gridSpan w:val="5"/>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Common stock, $.001 par value; 600,000,000 shares authorized;</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shd w:val="clear" w:color="auto" w:fill="CCEEFF"/>
              </w:rPr>
              <w:t>116,513,596</w:t>
            </w:r>
          </w:p>
        </w:tc>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at June 30, 2013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and 115,713,741 shares issued at December 31, 2012</w:t>
            </w:r>
          </w:p>
        </w:tc>
        <w:tc>
          <w:tcPr>
            <w:tcW w:w="9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62"/>
        </w:trPr>
        <w:tc>
          <w:tcPr>
            <w:tcW w:w="8320" w:type="dxa"/>
            <w:vAlign w:val="bottom"/>
            <w:gridSpan w:val="5"/>
          </w:tcPr>
          <w:p>
            <w:pPr>
              <w:ind w:left="2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1,260,977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1,228,075</w:t>
            </w:r>
          </w:p>
        </w:tc>
        <w:tc>
          <w:tcPr>
            <w:tcW w:w="0" w:type="dxa"/>
            <w:vAlign w:val="bottom"/>
          </w:tcPr>
          <w:p>
            <w:pPr>
              <w:spacing w:after="0"/>
              <w:rPr>
                <w:sz w:val="1"/>
                <w:szCs w:val="1"/>
                <w:color w:val="auto"/>
              </w:rPr>
            </w:pPr>
          </w:p>
        </w:tc>
      </w:tr>
      <w:tr>
        <w:trPr>
          <w:trHeight w:val="258"/>
        </w:trPr>
        <w:tc>
          <w:tcPr>
            <w:tcW w:w="2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Treasury stock, at cost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10,994,785</w:t>
            </w:r>
          </w:p>
        </w:tc>
        <w:tc>
          <w:tcPr>
            <w:tcW w:w="5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shares at June 30, 2013 and 9,421,800 shares at December 31, 2012</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(345,388)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(287,998)</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gridSpan w:val="5"/>
          </w:tcPr>
          <w:p>
            <w:pPr>
              <w:ind w:left="2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270,795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199,827</w:t>
            </w:r>
          </w:p>
        </w:tc>
        <w:tc>
          <w:tcPr>
            <w:tcW w:w="0" w:type="dxa"/>
            <w:vAlign w:val="bottom"/>
          </w:tcPr>
          <w:p>
            <w:pPr>
              <w:spacing w:after="0"/>
              <w:rPr>
                <w:sz w:val="1"/>
                <w:szCs w:val="1"/>
                <w:color w:val="auto"/>
              </w:rPr>
            </w:pPr>
          </w:p>
        </w:tc>
      </w:tr>
      <w:tr>
        <w:trPr>
          <w:trHeight w:val="250"/>
        </w:trPr>
        <w:tc>
          <w:tcPr>
            <w:tcW w:w="8320" w:type="dxa"/>
            <w:vAlign w:val="bottom"/>
            <w:gridSpan w:val="5"/>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1,186,500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1,140,020</w:t>
            </w:r>
          </w:p>
        </w:tc>
        <w:tc>
          <w:tcPr>
            <w:tcW w:w="0" w:type="dxa"/>
            <w:vAlign w:val="bottom"/>
          </w:tcPr>
          <w:p>
            <w:pPr>
              <w:spacing w:after="0"/>
              <w:rPr>
                <w:sz w:val="1"/>
                <w:szCs w:val="1"/>
                <w:color w:val="auto"/>
              </w:rPr>
            </w:pPr>
          </w:p>
        </w:tc>
      </w:tr>
      <w:tr>
        <w:trPr>
          <w:trHeight w:val="241"/>
        </w:trPr>
        <w:tc>
          <w:tcPr>
            <w:tcW w:w="8320" w:type="dxa"/>
            <w:vAlign w:val="bottom"/>
            <w:gridSpan w:val="5"/>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3,923,634</w:t>
            </w:r>
          </w:p>
        </w:tc>
        <w:tc>
          <w:tcPr>
            <w:tcW w:w="12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20" w:type="dxa"/>
            <w:vAlign w:val="bottom"/>
            <w:gridSpan w:val="3"/>
            <w:vMerge w:val="restart"/>
          </w:tcPr>
          <w:p>
            <w:pPr>
              <w:jc w:val="center"/>
              <w:ind w:left="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2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47" w:right="25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60" w:top="547"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2011</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80,681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81,531</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(55,894)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(55,894)</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(222,557)</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11,097</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11,099</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12,072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12,072</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48,404</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48,404</w:t>
            </w:r>
          </w:p>
        </w:tc>
        <w:tc>
          <w:tcPr>
            <w:tcW w:w="0" w:type="dxa"/>
            <w:vAlign w:val="bottom"/>
          </w:tcPr>
          <w:p>
            <w:pPr>
              <w:spacing w:after="0"/>
              <w:rPr>
                <w:sz w:val="1"/>
                <w:szCs w:val="1"/>
                <w:color w:val="auto"/>
              </w:rPr>
            </w:pPr>
          </w:p>
        </w:tc>
      </w:tr>
      <w:tr>
        <w:trPr>
          <w:trHeight w:val="24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June 30,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115,329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1,209,293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1,219,403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99,808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99,808</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(57,770)</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(28,763)</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18,299</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12,693</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12,693</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2,213</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241"/>
        </w:trPr>
        <w:tc>
          <w:tcPr>
            <w:tcW w:w="2740" w:type="dxa"/>
            <w:vAlign w:val="bottom"/>
          </w:tcPr>
          <w:p>
            <w:pPr>
              <w:ind w:left="40"/>
              <w:spacing w:after="0"/>
              <w:rPr>
                <w:sz w:val="20"/>
                <w:szCs w:val="20"/>
                <w:color w:val="auto"/>
              </w:rPr>
            </w:pPr>
            <w:r>
              <w:rPr>
                <w:rFonts w:ascii="Arial" w:cs="Arial" w:eastAsia="Arial" w:hAnsi="Arial"/>
                <w:sz w:val="14"/>
                <w:szCs w:val="14"/>
                <w:color w:val="auto"/>
              </w:rPr>
              <w:t>BALANCE — June 30, 2013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116,514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1,260,977</w:t>
            </w:r>
          </w:p>
        </w:tc>
        <w:tc>
          <w:tcPr>
            <w:tcW w:w="12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(345,388)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270,795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1,186,500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0"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31750</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9"/>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5"/>
        </w:trPr>
        <w:tc>
          <w:tcPr>
            <w:tcW w:w="85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99,808</w:t>
            </w:r>
          </w:p>
        </w:tc>
        <w:tc>
          <w:tcPr>
            <w:tcW w:w="12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80,681</w:t>
            </w: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8520" w:type="dxa"/>
            <w:vAlign w:val="bottom"/>
          </w:tcPr>
          <w:p>
            <w:pPr>
              <w:ind w:left="540"/>
              <w:spacing w:after="0"/>
              <w:rPr>
                <w:sz w:val="20"/>
                <w:szCs w:val="20"/>
                <w:color w:val="auto"/>
              </w:rPr>
            </w:pPr>
            <w:r>
              <w:rPr>
                <w:rFonts w:ascii="Arial" w:cs="Arial" w:eastAsia="Arial" w:hAnsi="Arial"/>
                <w:sz w:val="18"/>
                <w:szCs w:val="18"/>
                <w:color w:val="auto"/>
              </w:rPr>
              <w:t>Noncash items: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34,587</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2,349</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12,072</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Excess tax benefits related to share-based compensation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(48,404)</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bad debts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Deferred income tax provision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(6,241)</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Net changes in estimated fair value of contingent consideration obligations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709</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1,519</w:t>
            </w:r>
          </w:p>
        </w:tc>
      </w:tr>
      <w:tr>
        <w:trPr>
          <w:trHeight w:val="265"/>
        </w:trPr>
        <w:tc>
          <w:tcPr>
            <w:tcW w:w="8520" w:type="dxa"/>
            <w:vAlign w:val="bottom"/>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60,968</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Receivables from clients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63,716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8,405</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product sponsors, broker-dealers and clearing organizations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11,844</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Receivables from others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(10,806)</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owned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Securities borrowed</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(2,238)</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(41,215)</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Drafts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(37,645)</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clients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(51,859)</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Payables to broker-dealers and clearing organizations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898</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commission and advisory expenses payable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(3,874)</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 receivable/payable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40,592</w:t>
            </w:r>
          </w:p>
        </w:tc>
      </w:tr>
      <w:tr>
        <w:trPr>
          <w:trHeight w:val="265"/>
        </w:trPr>
        <w:tc>
          <w:tcPr>
            <w:tcW w:w="8520" w:type="dxa"/>
            <w:vAlign w:val="bottom"/>
          </w:tcPr>
          <w:p>
            <w:pPr>
              <w:ind w:left="68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75"/>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sold, but not yet purchased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5"/>
        </w:trPr>
        <w:tc>
          <w:tcPr>
            <w:tcW w:w="8520" w:type="dxa"/>
            <w:vAlign w:val="bottom"/>
          </w:tcPr>
          <w:p>
            <w:pPr>
              <w:ind w:left="54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56,113</w:t>
            </w: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00"/>
          </w:cols>
          <w:pgMar w:left="240" w:top="54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547" w:right="2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31750</wp:posOffset>
            </wp:positionV>
            <wp:extent cx="1818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9"/>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(32,161)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(18,793)</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securities classified as held-to-maturity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65"/>
        </w:trPr>
        <w:tc>
          <w:tcPr>
            <w:tcW w:w="8520" w:type="dxa"/>
            <w:vAlign w:val="bottom"/>
          </w:tcPr>
          <w:p>
            <w:pPr>
              <w:ind w:left="360"/>
              <w:spacing w:after="0"/>
              <w:rPr>
                <w:sz w:val="20"/>
                <w:szCs w:val="20"/>
                <w:color w:val="auto"/>
              </w:rPr>
            </w:pPr>
            <w:r>
              <w:rPr>
                <w:rFonts w:ascii="Arial" w:cs="Arial" w:eastAsia="Arial" w:hAnsi="Arial"/>
                <w:sz w:val="18"/>
                <w:szCs w:val="18"/>
                <w:color w:val="auto"/>
              </w:rPr>
              <w:t>Proceeds from maturity of securities classified as held-to-maturity</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of restricted cash</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65"/>
        </w:trPr>
        <w:tc>
          <w:tcPr>
            <w:tcW w:w="8520" w:type="dxa"/>
            <w:vAlign w:val="bottom"/>
          </w:tcPr>
          <w:p>
            <w:pPr>
              <w:ind w:left="360"/>
              <w:spacing w:after="0"/>
              <w:rPr>
                <w:sz w:val="20"/>
                <w:szCs w:val="20"/>
                <w:color w:val="auto"/>
              </w:rPr>
            </w:pPr>
            <w:r>
              <w:rPr>
                <w:rFonts w:ascii="Arial" w:cs="Arial" w:eastAsia="Arial" w:hAnsi="Arial"/>
                <w:sz w:val="18"/>
                <w:szCs w:val="18"/>
                <w:color w:val="auto"/>
              </w:rPr>
              <w:t>Release of restricted cash</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65"/>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Purchases of minority interest investments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(59,738)</w:t>
            </w:r>
          </w:p>
        </w:tc>
        <w:tc>
          <w:tcPr>
            <w:tcW w:w="0" w:type="dxa"/>
            <w:vAlign w:val="bottom"/>
          </w:tcPr>
          <w:p>
            <w:pPr>
              <w:spacing w:after="0"/>
              <w:rPr>
                <w:sz w:val="1"/>
                <w:szCs w:val="1"/>
                <w:color w:val="auto"/>
              </w:rPr>
            </w:pPr>
          </w:p>
        </w:tc>
      </w:tr>
      <w:tr>
        <w:trPr>
          <w:trHeight w:val="259"/>
        </w:trPr>
        <w:tc>
          <w:tcPr>
            <w:tcW w:w="8520" w:type="dxa"/>
            <w:vAlign w:val="bottom"/>
          </w:tcPr>
          <w:p>
            <w:pPr>
              <w:ind w:left="8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senior secured credit facilities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(1,343,393)</w:t>
            </w:r>
          </w:p>
        </w:tc>
        <w:tc>
          <w:tcPr>
            <w:tcW w:w="0" w:type="dxa"/>
            <w:vAlign w:val="bottom"/>
          </w:tcPr>
          <w:p>
            <w:pPr>
              <w:spacing w:after="0"/>
              <w:rPr>
                <w:sz w:val="1"/>
                <w:szCs w:val="1"/>
                <w:color w:val="auto"/>
              </w:rPr>
            </w:pPr>
          </w:p>
        </w:tc>
      </w:tr>
      <w:tr>
        <w:trPr>
          <w:trHeight w:val="265"/>
        </w:trPr>
        <w:tc>
          <w:tcPr>
            <w:tcW w:w="8520" w:type="dxa"/>
            <w:vAlign w:val="bottom"/>
          </w:tcPr>
          <w:p>
            <w:pPr>
              <w:ind w:left="360"/>
              <w:spacing w:after="0"/>
              <w:rPr>
                <w:sz w:val="20"/>
                <w:szCs w:val="20"/>
                <w:color w:val="auto"/>
              </w:rPr>
            </w:pPr>
            <w:r>
              <w:rPr>
                <w:rFonts w:ascii="Arial" w:cs="Arial" w:eastAsia="Arial" w:hAnsi="Arial"/>
                <w:sz w:val="18"/>
                <w:szCs w:val="18"/>
                <w:color w:val="auto"/>
              </w:rPr>
              <w:t>Proceeds from senior secured credit facilities</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1,078,957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1,330,681</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65"/>
        </w:trPr>
        <w:tc>
          <w:tcPr>
            <w:tcW w:w="852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(55,894)</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common stock</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(222,557)</w:t>
            </w:r>
          </w:p>
        </w:tc>
        <w:tc>
          <w:tcPr>
            <w:tcW w:w="0" w:type="dxa"/>
            <w:vAlign w:val="bottom"/>
          </w:tcPr>
          <w:p>
            <w:pPr>
              <w:spacing w:after="0"/>
              <w:rPr>
                <w:sz w:val="1"/>
                <w:szCs w:val="1"/>
                <w:color w:val="auto"/>
              </w:rPr>
            </w:pPr>
          </w:p>
        </w:tc>
      </w:tr>
      <w:tr>
        <w:trPr>
          <w:trHeight w:val="265"/>
        </w:trPr>
        <w:tc>
          <w:tcPr>
            <w:tcW w:w="8520" w:type="dxa"/>
            <w:vAlign w:val="bottom"/>
          </w:tcPr>
          <w:p>
            <w:pPr>
              <w:ind w:left="360"/>
              <w:spacing w:after="0"/>
              <w:rPr>
                <w:sz w:val="20"/>
                <w:szCs w:val="20"/>
                <w:color w:val="auto"/>
              </w:rPr>
            </w:pPr>
            <w:r>
              <w:rPr>
                <w:rFonts w:ascii="Arial" w:cs="Arial" w:eastAsia="Arial" w:hAnsi="Arial"/>
                <w:sz w:val="18"/>
                <w:szCs w:val="18"/>
                <w:color w:val="auto"/>
              </w:rPr>
              <w:t>Excess tax benefits related to share-based compensation</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48,404</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 exercises and 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18,299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45"/>
        </w:trPr>
        <w:tc>
          <w:tcPr>
            <w:tcW w:w="8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156,110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(236,091)</w:t>
            </w:r>
          </w:p>
        </w:tc>
        <w:tc>
          <w:tcPr>
            <w:tcW w:w="0" w:type="dxa"/>
            <w:vAlign w:val="bottom"/>
          </w:tcPr>
          <w:p>
            <w:pPr>
              <w:spacing w:after="0"/>
              <w:rPr>
                <w:sz w:val="1"/>
                <w:szCs w:val="1"/>
                <w:color w:val="auto"/>
              </w:rPr>
            </w:pPr>
          </w:p>
        </w:tc>
      </w:tr>
      <w:tr>
        <w:trPr>
          <w:trHeight w:val="255"/>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(239,716)</w:t>
            </w:r>
          </w:p>
        </w:tc>
        <w:tc>
          <w:tcPr>
            <w:tcW w:w="0" w:type="dxa"/>
            <w:vAlign w:val="bottom"/>
          </w:tcPr>
          <w:p>
            <w:pPr>
              <w:spacing w:after="0"/>
              <w:rPr>
                <w:sz w:val="1"/>
                <w:szCs w:val="1"/>
                <w:color w:val="auto"/>
              </w:rPr>
            </w:pPr>
          </w:p>
        </w:tc>
      </w:tr>
      <w:tr>
        <w:trPr>
          <w:trHeight w:val="265"/>
        </w:trPr>
        <w:tc>
          <w:tcPr>
            <w:tcW w:w="8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466,261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720,772</w:t>
            </w:r>
          </w:p>
        </w:tc>
        <w:tc>
          <w:tcPr>
            <w:tcW w:w="0" w:type="dxa"/>
            <w:vAlign w:val="bottom"/>
          </w:tcPr>
          <w:p>
            <w:pPr>
              <w:spacing w:after="0"/>
              <w:rPr>
                <w:sz w:val="1"/>
                <w:szCs w:val="1"/>
                <w:color w:val="auto"/>
              </w:rPr>
            </w:pPr>
          </w:p>
        </w:tc>
      </w:tr>
      <w:tr>
        <w:trPr>
          <w:trHeight w:val="255"/>
        </w:trPr>
        <w:tc>
          <w:tcPr>
            <w:tcW w:w="8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584,871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481,056</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26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85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29,570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paid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66,466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17,765</w:t>
            </w:r>
          </w:p>
        </w:tc>
        <w:tc>
          <w:tcPr>
            <w:tcW w:w="0" w:type="dxa"/>
            <w:vAlign w:val="bottom"/>
          </w:tcPr>
          <w:p>
            <w:pPr>
              <w:spacing w:after="0"/>
              <w:rPr>
                <w:sz w:val="1"/>
                <w:szCs w:val="1"/>
                <w:color w:val="auto"/>
              </w:rPr>
            </w:pPr>
          </w:p>
        </w:tc>
      </w:tr>
      <w:tr>
        <w:trPr>
          <w:trHeight w:val="251"/>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DISCLOSURES: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 assets acquired under build-to-suit lease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3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interest rate swaps, net of tax expense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Discount on proceeds from senior secured credit facilities recorded as debt issuance costs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Pending settlement of treasury stock purchases</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47"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27"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17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9"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Quarterly Reporting </w:t>
      </w:r>
      <w:r>
        <w:rPr>
          <w:rFonts w:ascii="Arial" w:cs="Arial" w:eastAsia="Arial" w:hAnsi="Arial"/>
          <w:sz w:val="18"/>
          <w:szCs w:val="18"/>
          <w:color w:val="auto"/>
        </w:rPr>
        <w:t>— The unaudited condensed consolidated financial statements have been prepared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69"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income, comprehensive income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2012, contained in the Company’s Annual Report on Form 10-K as filed with the SEC. The Company has evaluated subsequent events up to and including the date these unaudited condensed consolidated financial statements were issued.</w:t>
      </w:r>
    </w:p>
    <w:p>
      <w:pPr>
        <w:spacing w:after="0" w:line="69" w:lineRule="exact"/>
        <w:rPr>
          <w:sz w:val="20"/>
          <w:szCs w:val="20"/>
          <w:color w:val="auto"/>
        </w:rPr>
      </w:pPr>
    </w:p>
    <w:p>
      <w:pPr>
        <w:jc w:val="both"/>
        <w:ind w:right="260" w:firstLine="486"/>
        <w:spacing w:after="0" w:line="271"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5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b w:val="1"/>
          <w:bCs w:val="1"/>
          <w:i w:val="1"/>
          <w:iCs w:val="1"/>
          <w:color w:val="auto"/>
        </w:rPr>
        <w:t xml:space="preserve">Comprehensive Income — </w:t>
      </w:r>
      <w:r>
        <w:rPr>
          <w:rFonts w:ascii="Arial" w:cs="Arial" w:eastAsia="Arial" w:hAnsi="Arial"/>
          <w:sz w:val="18"/>
          <w:szCs w:val="18"/>
          <w:color w:val="auto"/>
        </w:rPr>
        <w:t>The Company presents its unaudited condensed consolidated statements of comprehensive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separately and immediately following its unaudited condensed consolidated statements of income. The Company’s comprehensive income is composed of net income and the effective portion of the gains on financial derivatives in cash flow hedge relationships, net of related tax effects.</w:t>
      </w:r>
    </w:p>
    <w:p>
      <w:pPr>
        <w:spacing w:after="0" w:line="6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instruments, contingent consideration obligations, contingencies and litigation, valuation and recognition of share-based payments, dividends and income taxes. These accounting policies are stated in the notes to the audited consolidated financial statements for the year ended December 31, 2012,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74"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These service channels qualify as individual operating segments, but are aggregated and viewed as one single reportable segment due to their similar economic characteristics, products and services, production and distribution process, regulatory environment and quantitative thresholds.</w:t>
      </w:r>
    </w:p>
    <w:p>
      <w:pPr>
        <w:spacing w:after="0" w:line="62" w:lineRule="exact"/>
        <w:rPr>
          <w:sz w:val="20"/>
          <w:szCs w:val="20"/>
          <w:color w:val="auto"/>
        </w:rPr>
      </w:pPr>
    </w:p>
    <w:p>
      <w:pPr>
        <w:ind w:right="600" w:firstLine="486"/>
        <w:spacing w:after="0" w:line="292"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39"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indebtedness. The Company carries its indebtedness at amortized cost. The Company measures the implied fair value of its debt instruments using trading levels obtained from a third-party service provider. Accordingly, the debt instruments would qualify as Level 2 fair value measurements. See Note 4 for additional detail regarding the Company’s fair value measurements. As of June 30, 2013, the carrying amount and fair value of the Company’s indebtedness was approximately $1,540.5 million and $1,534.2 million, respectively. As of December 31, 2012, the carrying amount and fair value was approximately $1,317.8 million and $1,320.4 million, respectively.</w:t>
      </w:r>
    </w:p>
    <w:p>
      <w:pPr>
        <w:spacing w:after="0" w:line="6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Company may be required to pay future consideration to the former shareholders of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depending upon the terms of the applicable purchase agreement, that is contingent upon the achievement of certain financial or operating targets. The fair value of the contingent consideration is determined using financial forecasts and other estimates, which assess the probability and timing of the financial targets being reached, and measuring the associated cash payments at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changes in assumptions with respect to the timing and likelihood of achieving the applicable targets and other related developments. Actual progress toward achieving the financial targets for the remaining measurement periods may be different than the Company's expectations of future performance. The change in the estimated fair value of contingent consideration has been classified as other expenses in the unaudited condensed consolidated statements of income.</w:t>
      </w:r>
    </w:p>
    <w:p>
      <w:pPr>
        <w:spacing w:after="0" w:line="6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There were no recently issued accounting pronouncements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 xml:space="preserve">accounting pronouncements during the </w:t>
      </w:r>
      <w:r>
        <w:rPr>
          <w:rFonts w:ascii="Arial" w:cs="Arial" w:eastAsia="Arial" w:hAnsi="Arial"/>
          <w:sz w:val="18"/>
          <w:szCs w:val="18"/>
          <w:color w:val="000000"/>
        </w:rPr>
        <w:t>six</w:t>
      </w:r>
      <w:r>
        <w:rPr>
          <w:rFonts w:ascii="Arial" w:cs="Arial" w:eastAsia="Arial" w:hAnsi="Arial"/>
          <w:sz w:val="18"/>
          <w:szCs w:val="18"/>
          <w:color w:val="252525"/>
        </w:rPr>
        <w:t xml:space="preserve"> months ended </w:t>
      </w:r>
      <w:r>
        <w:rPr>
          <w:rFonts w:ascii="Arial" w:cs="Arial" w:eastAsia="Arial" w:hAnsi="Arial"/>
          <w:sz w:val="18"/>
          <w:szCs w:val="18"/>
          <w:color w:val="000000"/>
        </w:rPr>
        <w:t>June 30, 2013</w:t>
      </w:r>
      <w:r>
        <w:rPr>
          <w:rFonts w:ascii="Arial" w:cs="Arial" w:eastAsia="Arial" w:hAnsi="Arial"/>
          <w:sz w:val="18"/>
          <w:szCs w:val="18"/>
          <w:color w:val="252525"/>
        </w:rPr>
        <w:t>, as compared to the recent accounting pronouncements described in the Company's 2012 Annual Report on Form 10-K, that are of significance, or potential significance, to the Company.</w:t>
      </w:r>
    </w:p>
    <w:p>
      <w:pPr>
        <w:spacing w:after="0" w:line="16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Value Commitment</w:t>
      </w:r>
    </w:p>
    <w:p>
      <w:pPr>
        <w:spacing w:after="0" w:line="11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On February 5, 2013, the Company committed to an expansion of its Service Value Commitment, an ongoing effort to position the Company for sustainable long-term growth by improving the service experience of its advisors and delivering efficiencies in its operating model. The Company has assessed its information technology delivery, governance, organization and strategy and committed to undertake a course of action (the “Program”) to reposition its labor force and invest in technology, human capital, marketing and other key areas to enable future growth. The Program is expected to be completed in 2015.</w:t>
      </w:r>
    </w:p>
    <w:p>
      <w:pPr>
        <w:spacing w:after="0" w:line="67" w:lineRule="exact"/>
        <w:rPr>
          <w:sz w:val="20"/>
          <w:szCs w:val="20"/>
          <w:color w:val="auto"/>
        </w:rPr>
      </w:pPr>
    </w:p>
    <w:p>
      <w:pPr>
        <w:ind w:right="300" w:firstLine="486"/>
        <w:spacing w:after="0" w:line="271" w:lineRule="auto"/>
        <w:rPr>
          <w:sz w:val="20"/>
          <w:szCs w:val="20"/>
          <w:color w:val="auto"/>
        </w:rPr>
      </w:pPr>
      <w:r>
        <w:rPr>
          <w:rFonts w:ascii="Arial" w:cs="Arial" w:eastAsia="Arial" w:hAnsi="Arial"/>
          <w:sz w:val="18"/>
          <w:szCs w:val="18"/>
          <w:color w:val="auto"/>
        </w:rPr>
        <w:t>The Company estimates total charges in connection with the Program to be approximately $65.0 million. These expenditures are comprised of outsourcing and other related costs, technology transformation costs, employee severance obligations and other related costs and non-cash charges for impairment of certain fixed assets related to internally developed software.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39"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six months ended June 30, 2013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Accrued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Accrued Balance</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Incurred(1)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Non-cash</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at June 30, 2013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Costs(2)</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Outsourcing and other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65"/>
        </w:trPr>
        <w:tc>
          <w:tcPr>
            <w:tcW w:w="3300" w:type="dxa"/>
            <w:vAlign w:val="bottom"/>
          </w:tcPr>
          <w:p>
            <w:pPr>
              <w:ind w:left="40"/>
              <w:spacing w:after="0"/>
              <w:rPr>
                <w:sz w:val="20"/>
                <w:szCs w:val="20"/>
                <w:color w:val="auto"/>
              </w:rPr>
            </w:pPr>
            <w:r>
              <w:rPr>
                <w:rFonts w:ascii="Arial" w:cs="Arial" w:eastAsia="Arial" w:hAnsi="Arial"/>
                <w:sz w:val="18"/>
                <w:szCs w:val="18"/>
                <w:color w:val="auto"/>
              </w:rPr>
              <w:t>Technology transformation costs</w:t>
            </w:r>
          </w:p>
        </w:tc>
        <w:tc>
          <w:tcPr>
            <w:tcW w:w="16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obligations and</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related costs</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5"/>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impairments (Note 4)</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5"/>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June 30, 2013, costs incurred represent the total cumulative costs incurred under the Program to date.</w:t>
      </w:r>
    </w:p>
    <w:p>
      <w:pPr>
        <w:spacing w:after="0" w:line="33"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June 30, 2013, total expected restructuring costs exclude approximately $25.0 million of internally developed software and computer and networking equipment related to the Program that is expected to be capitalized with a useful life ranging from three to seven years, and with expense being recorded as depreciation and amortization within the unaudited condensed consolidated statements of income. As of June 30, 2013, approximately $11.4 million has been spent on technology infrastructure of which approximately $8.2 million has been capitalized, with the remainder included in costs incurred.</w:t>
      </w:r>
    </w:p>
    <w:p>
      <w:pPr>
        <w:spacing w:after="0" w:line="17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62" w:lineRule="exact"/>
        <w:rPr>
          <w:sz w:val="20"/>
          <w:szCs w:val="20"/>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rFonts w:ascii="Arial" w:cs="Arial" w:eastAsia="Arial" w:hAnsi="Arial"/>
          <w:sz w:val="18"/>
          <w:szCs w:val="18"/>
          <w:color w:val="auto"/>
        </w:rPr>
      </w:pPr>
    </w:p>
    <w:p>
      <w:pPr>
        <w:ind w:left="520" w:right="500" w:hanging="120"/>
        <w:spacing w:after="0" w:line="271"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55" w:lineRule="exact"/>
        <w:rPr>
          <w:rFonts w:ascii="Arial" w:cs="Arial" w:eastAsia="Arial" w:hAnsi="Arial"/>
          <w:sz w:val="18"/>
          <w:szCs w:val="18"/>
          <w:color w:val="auto"/>
        </w:rPr>
      </w:pPr>
    </w:p>
    <w:p>
      <w:pPr>
        <w:ind w:left="520" w:right="160" w:hanging="120"/>
        <w:spacing w:after="0" w:line="271"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55" w:lineRule="exact"/>
        <w:rPr>
          <w:sz w:val="20"/>
          <w:szCs w:val="20"/>
          <w:color w:val="auto"/>
        </w:rPr>
      </w:pPr>
    </w:p>
    <w:p>
      <w:pPr>
        <w:ind w:right="720" w:firstLine="486"/>
        <w:spacing w:after="0" w:line="29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six months ended June 30, 2013.</w:t>
      </w:r>
    </w:p>
    <w:p>
      <w:pPr>
        <w:spacing w:after="0" w:line="37" w:lineRule="exact"/>
        <w:rPr>
          <w:sz w:val="20"/>
          <w:szCs w:val="20"/>
          <w:color w:val="auto"/>
        </w:rPr>
      </w:pPr>
    </w:p>
    <w:p>
      <w:pPr>
        <w:jc w:val="both"/>
        <w:ind w:right="220" w:firstLine="486"/>
        <w:spacing w:after="0" w:line="271"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June 30, 2013, the Company had the following financial assets and liabilities that are measured at fair value on a recurring basis:</w:t>
      </w:r>
    </w:p>
    <w:p>
      <w:pPr>
        <w:spacing w:after="0" w:line="55" w:lineRule="exact"/>
        <w:rPr>
          <w:sz w:val="20"/>
          <w:szCs w:val="20"/>
          <w:color w:val="auto"/>
        </w:rPr>
      </w:pPr>
    </w:p>
    <w:p>
      <w:pPr>
        <w:ind w:right="760" w:firstLine="486"/>
        <w:spacing w:after="0" w:line="292"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3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6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3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June 30, 2013, the Company did not adjust prices received from the independent third-party pricing services.</w:t>
      </w:r>
    </w:p>
    <w:p>
      <w:pPr>
        <w:spacing w:after="0" w:line="67"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and certain non-traded real estate investment trusts with quoted prices for identical or similar securities and other inputs that are observable or can be corroborated by observable market data.</w:t>
      </w:r>
    </w:p>
    <w:p>
      <w:pPr>
        <w:spacing w:after="0" w:line="55"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b w:val="1"/>
          <w:bCs w:val="1"/>
          <w:i w:val="1"/>
          <w:iCs w:val="1"/>
          <w:color w:val="auto"/>
        </w:rPr>
        <w:t xml:space="preserve">Contingent Consideration Liabilities </w:t>
      </w:r>
      <w:r>
        <w:rPr>
          <w:rFonts w:ascii="Arial" w:cs="Arial" w:eastAsia="Arial" w:hAnsi="Arial"/>
          <w:sz w:val="18"/>
          <w:szCs w:val="18"/>
          <w:color w:val="auto"/>
        </w:rPr>
        <w:t>— The contingent consideration liabilities, which are included in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in the unaudited condensed consolidated statements of financial condition, result from the Company's acquisitions of National Retirement Partners, Inc. ("NRP"), Concord Capital Partners ("Concord") and Veritat Advisors, Inc. ("Veritat").</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2013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June 30, 2013:</w:t>
            </w:r>
          </w:p>
        </w:tc>
        <w:tc>
          <w:tcPr>
            <w:tcW w:w="2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333,495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333,495</w:t>
            </w: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6,229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6,229</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787</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1,506</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8,262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9,049</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39,398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40,489</w:t>
            </w:r>
          </w:p>
        </w:tc>
      </w:tr>
      <w:tr>
        <w:trPr>
          <w:trHeight w:val="282"/>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381,155</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383,033</w:t>
            </w:r>
          </w:p>
        </w:tc>
      </w:tr>
      <w:tr>
        <w:trPr>
          <w:trHeight w:val="22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130</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37,090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37,090</w:t>
            </w:r>
          </w:p>
        </w:tc>
      </w:tr>
      <w:tr>
        <w:trPr>
          <w:trHeight w:val="242"/>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37,322</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six months ended June 30, 2013, the Company recorded an asset impairment charge of $0.8 million for certain fixed assets related to internally developed software that were determined to have no estimated fair value (See Note 3). The Company has determined that the impairment qualifies as a non-recurring Level 3 measurement under the fair value hierarchy.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2012:</w:t>
            </w:r>
          </w:p>
        </w:tc>
        <w:tc>
          <w:tcPr>
            <w:tcW w:w="2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177,393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177,393</w:t>
            </w: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5,737</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235</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8,088</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28,624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28,624</w:t>
            </w:r>
          </w:p>
        </w:tc>
      </w:tr>
      <w:tr>
        <w:trPr>
          <w:trHeight w:val="282"/>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213,870</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214,105</w:t>
            </w:r>
          </w:p>
        </w:tc>
      </w:tr>
      <w:tr>
        <w:trPr>
          <w:trHeight w:val="22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247</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35,887</w:t>
            </w:r>
          </w:p>
        </w:tc>
      </w:tr>
      <w:tr>
        <w:trPr>
          <w:trHeight w:val="242"/>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36,253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17"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The table below provides information on the valuation technique, significant unobservable inputs and the ranges utilized by the Company in measuring fair value on a recurring basis of the significant Level 3 liabilities as of June 30, 2013 (dollars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Valuation Technique</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Unobservable Input</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Range</w:t>
            </w:r>
          </w:p>
        </w:tc>
      </w:tr>
      <w:tr>
        <w:trPr>
          <w:trHeight w:val="201"/>
        </w:trPr>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Probability weighted</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2"/>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obligations  $</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discounted cash flow</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Discount rate</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 - 13%</w:t>
            </w:r>
          </w:p>
        </w:tc>
      </w:tr>
    </w:tbl>
    <w:p>
      <w:pPr>
        <w:spacing w:after="0" w:line="19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69"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w:t>
      </w:r>
    </w:p>
    <w:p>
      <w:pPr>
        <w:sectPr>
          <w:pgSz w:w="11900" w:h="16838" w:orient="portrait"/>
          <w:cols w:equalWidth="0" w:num="1">
            <w:col w:w="11420"/>
          </w:cols>
          <w:pgMar w:left="240" w:top="43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39" w:right="239" w:bottom="1440" w:gutter="0" w:footer="0" w:header="0"/>
          <w:type w:val="continuous"/>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risk. An increase in the discount rate will result in a decrease in the fair value of contingent consideration. Conversely, a decrease in the discount rate will result in an increase in the fair value of contingent consideration.</w:t>
      </w:r>
    </w:p>
    <w:p>
      <w:pPr>
        <w:spacing w:after="0" w:line="3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contingent consideration obligation related to the acquisition of NRP is based on the achievement of certain revenue-based targets for the year ending December 31, 2013 (the "Performance Measurement Period"), in aggregate for those advisors joining LPL Financial LLC ("LPL Financial") subsequent to the NRP acquisition for whom retirement plans comprise a significant part of their business. During the first six months of 2013, as a result of greater than expected recruitment of new advisors who serve retirement plans, which is expected to continue throughout the Performance Measurement Period, the Company revised its revenue estimates and made certain changes in the probability assumptions with respect to the likelihood of achieving the revenue targets. These revisions, combined with implied interest, resulted in a $4.7 million increase in the fair value of the contingent consideration obligation related to NRP during the six months ended June 30, 2013 which is recorded in other expenses in the unaudited condensed consolidated statements of income.</w:t>
      </w:r>
    </w:p>
    <w:p>
      <w:pPr>
        <w:spacing w:after="0" w:line="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contingent consideration obligation related to the acquisition of Concord is based on the achievement of targeted levels of gross margin attributed to Concord for the year ending December 31, 2013. Gross margin is calculated as net revenues less production expenses and accordingly, the Company considers gross margin to be a non-GAAP measure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Net revenue includes revenues attributed to Concord's business activities and assets under administration on Concord's software platform. Production expenses include all expenses directly incurred to generate net revenues, including commission and advisory expense and brokerage, clearing and exchange expense. During the first quarter of 2013, the Company revised its estimates of the amount and timing of projected 2013 gross margin and adjusted its assumptions regarding the likelihood of payment. The revisions resulted in a $3.8 million decrease in the fair value of the contingent consideration obligation related to Concord during the six months ended June 30, 2013 which is recorded in other expenses in the unaudited condensed consolidated statements of income. The maximum amount of contingent consideration is $15.0 million.</w:t>
      </w:r>
    </w:p>
    <w:p>
      <w:pPr>
        <w:spacing w:after="0" w:line="7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contingent consideration obligation related to the acquisition of Veritat is based on the achievement of targeted levels of assets under management and earnings, as well as, the retention of key employees. The majority of the contingent consideration is based on a sliding scale of the financial targets of assets under management and earnings. Financial forecasts are used by management that include assumptions about growth in assets under management, earnings, employee retention and discount rates in order to assist with determining the progress toward these targets. The financial targets are sensitive to advisor recruitment, market fluctuations and the ability of advisors to grow their business. The Company maintained its original estimate for the contingent consideration obligation related to Veritat and therefore recorded implied interest of $0.3 million in other expenses in the unaudited condensed consolidated statements of income during the six months ended June 30, 2013</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the contingent consideration for the six months ended June 30, 2013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35,887</w:t>
            </w:r>
          </w:p>
        </w:tc>
      </w:tr>
      <w:tr>
        <w:trPr>
          <w:trHeight w:val="252"/>
        </w:trPr>
        <w:tc>
          <w:tcPr>
            <w:tcW w:w="9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changes in estimated fair value of contingent consideration obligations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1,203</w:t>
            </w: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June 30, 2013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37,090</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27" w:lineRule="exact"/>
        <w:rPr>
          <w:sz w:val="20"/>
          <w:szCs w:val="20"/>
          <w:color w:val="auto"/>
        </w:rPr>
      </w:pPr>
    </w:p>
    <w:p>
      <w:pPr>
        <w:ind w:right="240" w:firstLine="486"/>
        <w:spacing w:after="0" w:line="260" w:lineRule="auto"/>
        <w:rPr>
          <w:sz w:val="20"/>
          <w:szCs w:val="20"/>
          <w:color w:val="auto"/>
        </w:rPr>
      </w:pPr>
      <w:r>
        <w:rPr>
          <w:rFonts w:ascii="Arial" w:cs="Arial" w:eastAsia="Arial" w:hAnsi="Arial"/>
          <w:sz w:val="18"/>
          <w:szCs w:val="18"/>
          <w:color w:val="auto"/>
        </w:rPr>
        <w:t>The Company holds certain investments in securities including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 The Company discloses the fair value of its securities held-to-maturity using quoted prices in active markets, which is a Level 1 fair value measurement.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39"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or gain and fair value of securities held-to-maturity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Amortized</w:t>
            </w: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Unrealized (Loss)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2"/>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Gain</w:t>
            </w:r>
          </w:p>
        </w:tc>
        <w:tc>
          <w:tcPr>
            <w:tcW w:w="260" w:type="dxa"/>
            <w:vAlign w:val="bottom"/>
          </w:tcPr>
          <w:p>
            <w:pPr>
              <w:spacing w:after="0"/>
              <w:rPr>
                <w:sz w:val="20"/>
                <w:szCs w:val="20"/>
                <w:color w:val="auto"/>
              </w:rPr>
            </w:pPr>
          </w:p>
        </w:tc>
        <w:tc>
          <w:tcPr>
            <w:tcW w:w="1340" w:type="dxa"/>
            <w:vAlign w:val="bottom"/>
          </w:tcPr>
          <w:p>
            <w:pPr>
              <w:jc w:val="right"/>
              <w:ind w:right="331"/>
              <w:spacing w:after="0"/>
              <w:rPr>
                <w:sz w:val="20"/>
                <w:szCs w:val="20"/>
                <w:color w:val="auto"/>
              </w:rPr>
            </w:pPr>
            <w:r>
              <w:rPr>
                <w:rFonts w:ascii="Arial" w:cs="Arial" w:eastAsia="Arial" w:hAnsi="Arial"/>
                <w:sz w:val="16"/>
                <w:szCs w:val="16"/>
                <w:b w:val="1"/>
                <w:bCs w:val="1"/>
                <w:color w:val="auto"/>
              </w:rPr>
              <w:t>Fair Value</w:t>
            </w:r>
          </w:p>
        </w:tc>
      </w:tr>
      <w:tr>
        <w:trPr>
          <w:trHeight w:val="254"/>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June 30, 2013:</w:t>
            </w:r>
          </w:p>
        </w:tc>
        <w:tc>
          <w:tcPr>
            <w:tcW w:w="1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8,669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8,628</w:t>
            </w: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8"/>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10,202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10,208</w:t>
            </w:r>
          </w:p>
        </w:tc>
      </w:tr>
      <w:tr>
        <w:trPr>
          <w:trHeight w:val="20"/>
        </w:trPr>
        <w:tc>
          <w:tcPr>
            <w:tcW w:w="6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17"/>
        </w:trPr>
        <w:tc>
          <w:tcPr>
            <w:tcW w:w="9820" w:type="dxa"/>
            <w:vAlign w:val="bottom"/>
            <w:gridSpan w:val="10"/>
          </w:tcPr>
          <w:p>
            <w:pPr>
              <w:ind w:left="500"/>
              <w:spacing w:after="0"/>
              <w:rPr>
                <w:sz w:val="20"/>
                <w:szCs w:val="20"/>
                <w:color w:val="auto"/>
              </w:rPr>
            </w:pPr>
            <w:r>
              <w:rPr>
                <w:rFonts w:ascii="Arial" w:cs="Arial" w:eastAsia="Arial" w:hAnsi="Arial"/>
                <w:sz w:val="18"/>
                <w:szCs w:val="18"/>
                <w:color w:val="auto"/>
              </w:rPr>
              <w:t>At June 30, 2013, the securities held-to-maturity were scheduled to mature as follows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After one but</w:t>
            </w:r>
          </w:p>
        </w:tc>
        <w:tc>
          <w:tcPr>
            <w:tcW w:w="1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After five but</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4"/>
        </w:trPr>
        <w:tc>
          <w:tcPr>
            <w:tcW w:w="4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Within one year</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within five years</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within ten years</w:t>
            </w:r>
          </w:p>
        </w:tc>
        <w:tc>
          <w:tcPr>
            <w:tcW w:w="260" w:type="dxa"/>
            <w:vAlign w:val="bottom"/>
          </w:tcPr>
          <w:p>
            <w:pPr>
              <w:spacing w:after="0"/>
              <w:rPr>
                <w:sz w:val="22"/>
                <w:szCs w:val="22"/>
                <w:color w:val="auto"/>
              </w:rPr>
            </w:pPr>
          </w:p>
        </w:tc>
        <w:tc>
          <w:tcPr>
            <w:tcW w:w="1340" w:type="dxa"/>
            <w:vAlign w:val="bottom"/>
          </w:tcPr>
          <w:p>
            <w:pPr>
              <w:jc w:val="right"/>
              <w:ind w:right="511"/>
              <w:spacing w:after="0"/>
              <w:rPr>
                <w:sz w:val="20"/>
                <w:szCs w:val="20"/>
                <w:color w:val="auto"/>
              </w:rPr>
            </w:pPr>
            <w:r>
              <w:rPr>
                <w:rFonts w:ascii="Arial" w:cs="Arial" w:eastAsia="Arial" w:hAnsi="Arial"/>
                <w:sz w:val="18"/>
                <w:szCs w:val="18"/>
                <w:b w:val="1"/>
                <w:bCs w:val="1"/>
                <w:color w:val="auto"/>
              </w:rPr>
              <w:t>Total</w:t>
            </w:r>
          </w:p>
        </w:tc>
      </w:tr>
      <w:tr>
        <w:trPr>
          <w:trHeight w:val="251"/>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8,669</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U.S. government notes — at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8,628</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Intangible Assets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June 30, 2013 and December 31, 2012 are as follows (dollars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r>
      <w:tr>
        <w:trPr>
          <w:trHeight w:val="232"/>
        </w:trPr>
        <w:tc>
          <w:tcPr>
            <w:tcW w:w="516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6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June 30, 2013:</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439,762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280,499</w:t>
            </w: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(82,490)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148,426</w:t>
            </w: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14,180</w:t>
            </w:r>
          </w:p>
        </w:tc>
      </w:tr>
      <w:tr>
        <w:trPr>
          <w:trHeight w:val="265"/>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8.8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1,060</w:t>
            </w:r>
          </w:p>
        </w:tc>
      </w:tr>
      <w:tr>
        <w:trPr>
          <w:trHeight w:val="29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690,988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(246,823)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444,165</w:t>
            </w:r>
          </w:p>
        </w:tc>
      </w:tr>
      <w:tr>
        <w:trPr>
          <w:trHeight w:val="232"/>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95"/>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483,984</w:t>
            </w:r>
          </w:p>
        </w:tc>
      </w:tr>
      <w:tr>
        <w:trPr>
          <w:trHeight w:val="278"/>
        </w:trPr>
        <w:tc>
          <w:tcPr>
            <w:tcW w:w="5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At December 31, 2012:</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(157,470)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292,694</w:t>
            </w: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154,686</w:t>
            </w: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11.1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15,209</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r>
      <w:tr>
        <w:trPr>
          <w:trHeight w:val="295"/>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701,390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(237,681)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463,709</w:t>
            </w: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5"/>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r>
      <w:tr>
        <w:trPr>
          <w:trHeight w:val="25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503,528</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39" w:right="239"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39"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Total amortization expense of intangible assets was $9.8 million and $10.0 million for the three months ended June 30, 2013 and 2012, respectively, and $19.5 million and $ 19.8 million for the six months ended June 30, 2013 and 2012, respectively. Amortization expense for each of the fiscal years ending December 31, 2013 through 2017 and thereafter is estimated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19,462</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38,680</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37,775</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37,619</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36,752</w:t>
            </w:r>
          </w:p>
        </w:tc>
      </w:tr>
      <w:tr>
        <w:trPr>
          <w:trHeight w:val="25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273,877</w:t>
            </w: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444,165</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0" w:lineRule="exact"/>
        <w:rPr>
          <w:sz w:val="20"/>
          <w:szCs w:val="20"/>
          <w:color w:val="auto"/>
        </w:rPr>
      </w:pPr>
    </w:p>
    <w:p>
      <w:pPr>
        <w:ind w:right="560" w:firstLine="405"/>
        <w:spacing w:after="0" w:line="263"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39.8% and</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41.3% for the three months ended June 30, 2013 and 2012, respectively, and 39.7% and 39.9% for the six months ended June 30, 2013 and 2012, respectively. Deferred income taxes reflect the net tax effects of temporary differences between the carrying amounts of assets and liabilities for financial reporting purposes and the amounts used for income tax purposes.</w:t>
      </w:r>
    </w:p>
    <w:p>
      <w:pPr>
        <w:spacing w:after="0" w:line="173"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May 13, 2013, the Company entered into the First Amendment and Incremental Assumption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(“Amended Credit Agreement</w:t>
      </w:r>
      <w:r>
        <w:rPr>
          <w:rFonts w:ascii="Times New Roman" w:cs="Times New Roman" w:eastAsia="Times New Roman" w:hAnsi="Times New Roman"/>
          <w:sz w:val="18"/>
          <w:szCs w:val="18"/>
          <w:color w:val="auto"/>
        </w:rPr>
        <w:t>”</w:t>
      </w:r>
      <w:r>
        <w:rPr>
          <w:rFonts w:ascii="Arial" w:cs="Arial" w:eastAsia="Arial" w:hAnsi="Arial"/>
          <w:sz w:val="18"/>
          <w:szCs w:val="18"/>
          <w:color w:val="auto"/>
        </w:rPr>
        <w:t>) with its wholly owned subsidiary, LPL Holdings, Inc., the other Credit Parties signatory thereto, the Several Lenders parties thereto, Bank of America, N.A. as Administrative Agent, and other parties thereto. The Amended Credit Agreement supplements and amends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Credit Agreement, dated as of March 29, 2012 (“Previous Credit Agreement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71"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auto"/>
        </w:rPr>
        <w:t>The Previous Credit Agreement had established a Term Loan A with an initial principal amount of $735.0 million maturing on March 29, 2017 ("Term Loan A"), a Term Loan B with an initial principal amount of $615.0 million maturing on March 29, 2019 ("Prior Term Loan B") and a revolving credit facility with borrowing capacity of $250.0 million maturing on March 29, 2017 ("Revolving Credit Facility").</w:t>
      </w:r>
    </w:p>
    <w:p>
      <w:pPr>
        <w:spacing w:after="0" w:line="163" w:lineRule="exact"/>
        <w:rPr>
          <w:sz w:val="20"/>
          <w:szCs w:val="20"/>
          <w:color w:val="auto"/>
        </w:rPr>
      </w:pPr>
    </w:p>
    <w:p>
      <w:pPr>
        <w:ind w:right="460" w:firstLine="486"/>
        <w:spacing w:after="0" w:line="270" w:lineRule="auto"/>
        <w:rPr>
          <w:sz w:val="20"/>
          <w:szCs w:val="20"/>
          <w:color w:val="auto"/>
        </w:rPr>
      </w:pPr>
      <w:r>
        <w:rPr>
          <w:rFonts w:ascii="Arial" w:cs="Arial" w:eastAsia="Arial" w:hAnsi="Arial"/>
          <w:sz w:val="18"/>
          <w:szCs w:val="18"/>
          <w:color w:val="auto"/>
        </w:rPr>
        <w:t>Quarterly repayments of the principal for Term Loan A were scheduled to be 5.0% for the twelve months ended March 31, 2014 and 10.0% for the twelve months ended March 31, 2015, 2016 and 2017 (</w:t>
      </w:r>
      <w:r>
        <w:rPr>
          <w:rFonts w:ascii="Times New Roman" w:cs="Times New Roman" w:eastAsia="Times New Roman" w:hAnsi="Times New Roman"/>
          <w:sz w:val="18"/>
          <w:szCs w:val="18"/>
          <w:color w:val="auto"/>
        </w:rPr>
        <w:t>“</w:t>
      </w:r>
      <w:r>
        <w:rPr>
          <w:rFonts w:ascii="Arial" w:cs="Arial" w:eastAsia="Arial" w:hAnsi="Arial"/>
          <w:sz w:val="18"/>
          <w:szCs w:val="18"/>
          <w:color w:val="auto"/>
        </w:rPr>
        <w:t>Mandatory Amortization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with the remaining principal due upon maturity.</w:t>
      </w:r>
    </w:p>
    <w:p>
      <w:pPr>
        <w:spacing w:after="0" w:line="165"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Pursuant to the Amended Credit Agreement, the Company amended Prior Term Loan B to increase its borrowing to an aggregate principal amount of $1,083.9 million (</w:t>
      </w:r>
      <w:r>
        <w:rPr>
          <w:rFonts w:ascii="Times New Roman" w:cs="Times New Roman" w:eastAsia="Times New Roman" w:hAnsi="Times New Roman"/>
          <w:sz w:val="18"/>
          <w:szCs w:val="18"/>
          <w:color w:val="auto"/>
        </w:rPr>
        <w:t>“</w:t>
      </w:r>
      <w:r>
        <w:rPr>
          <w:rFonts w:ascii="Arial" w:cs="Arial" w:eastAsia="Arial" w:hAnsi="Arial"/>
          <w:sz w:val="18"/>
          <w:szCs w:val="18"/>
          <w:color w:val="auto"/>
        </w:rPr>
        <w:t>Amended Term Loan B</w:t>
      </w:r>
      <w:r>
        <w:rPr>
          <w:rFonts w:ascii="Times New Roman" w:cs="Times New Roman" w:eastAsia="Times New Roman" w:hAnsi="Times New Roman"/>
          <w:sz w:val="18"/>
          <w:szCs w:val="18"/>
          <w:color w:val="auto"/>
        </w:rPr>
        <w:t>”</w:t>
      </w:r>
      <w:r>
        <w:rPr>
          <w:rFonts w:ascii="Arial" w:cs="Arial" w:eastAsia="Arial" w:hAnsi="Arial"/>
          <w:sz w:val="18"/>
          <w:szCs w:val="18"/>
          <w:color w:val="auto"/>
        </w:rPr>
        <w:t>). On May 13, 2013, the Company used the proceeds of Amended Term Loan B to (i) refinance the remaining outstanding balance of $608.9 million on Prior Term Loan B and (ii) repay a portion of the outstanding balance on Term Loan A in an aggregate principal amount of $238.9 million (</w:t>
      </w:r>
      <w:r>
        <w:rPr>
          <w:rFonts w:ascii="Times New Roman" w:cs="Times New Roman" w:eastAsia="Times New Roman" w:hAnsi="Times New Roman"/>
          <w:sz w:val="18"/>
          <w:szCs w:val="18"/>
          <w:color w:val="auto"/>
        </w:rPr>
        <w:t>“</w:t>
      </w:r>
      <w:r>
        <w:rPr>
          <w:rFonts w:ascii="Arial" w:cs="Arial" w:eastAsia="Arial" w:hAnsi="Arial"/>
          <w:sz w:val="18"/>
          <w:szCs w:val="18"/>
          <w:color w:val="auto"/>
        </w:rPr>
        <w:t>Term Loan A Repayment</w:t>
      </w:r>
      <w:r>
        <w:rPr>
          <w:rFonts w:ascii="Times New Roman" w:cs="Times New Roman" w:eastAsia="Times New Roman" w:hAnsi="Times New Roman"/>
          <w:sz w:val="18"/>
          <w:szCs w:val="18"/>
          <w:color w:val="auto"/>
        </w:rPr>
        <w:t>”</w:t>
      </w:r>
      <w:r>
        <w:rPr>
          <w:rFonts w:ascii="Arial" w:cs="Arial" w:eastAsia="Arial" w:hAnsi="Arial"/>
          <w:sz w:val="18"/>
          <w:szCs w:val="18"/>
          <w:color w:val="auto"/>
        </w:rPr>
        <w:t>). The remaining loan proceeds are available for working capital requirements and other general corporate purposes. The maturity date of Amended Term Loan B is March 29, 2019. The amount and maturity of the Revolving Credit Facility was not changed in the Amended Credit Agreement.</w:t>
      </w:r>
    </w:p>
    <w:p>
      <w:pPr>
        <w:spacing w:after="0" w:line="176"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The Term Loan A Repayment prepaid the Mandatory Amortization. Quarterly repayments of the principal for Amended Term Loan B will total 1.0% per year with the remaining principal due upon maturity. Any outstanding principal under the Revolving Credit Facility will be due upon maturity.</w:t>
      </w:r>
    </w:p>
    <w:p>
      <w:pPr>
        <w:spacing w:after="0" w:line="163" w:lineRule="exact"/>
        <w:rPr>
          <w:sz w:val="20"/>
          <w:szCs w:val="20"/>
          <w:color w:val="auto"/>
        </w:rPr>
      </w:pPr>
    </w:p>
    <w:p>
      <w:pPr>
        <w:ind w:right="140" w:firstLine="486"/>
        <w:spacing w:after="0" w:line="271" w:lineRule="auto"/>
        <w:rPr>
          <w:sz w:val="20"/>
          <w:szCs w:val="20"/>
          <w:color w:val="auto"/>
        </w:rPr>
      </w:pPr>
      <w:r>
        <w:rPr>
          <w:rFonts w:ascii="Arial" w:cs="Arial" w:eastAsia="Arial" w:hAnsi="Arial"/>
          <w:sz w:val="18"/>
          <w:szCs w:val="18"/>
          <w:color w:val="auto"/>
        </w:rPr>
        <w:t>In connection with the execution of the Amended Credit Agreement, the Company incurred $7.4 million in costs that are capitalized as debt issuance costs in the unaudited condensed consolidated statements of financial condition. This refinancing resulted in the prepayment of all outstanding principal borrowings on Prior Term Loan 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39"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Company accelerated the recognition of $8.0 million of unamortized costs attributable to Prior Term Loan B related to the Previous Credit Agreement. This accelerated recognition has been recorded as a loss on extinguishment of debt within the unaudited condensed consolidated statements of income for the three and six months ended June 30, 2013.</w:t>
      </w:r>
    </w:p>
    <w:p>
      <w:pPr>
        <w:spacing w:after="0" w:line="163" w:lineRule="exact"/>
        <w:rPr>
          <w:sz w:val="20"/>
          <w:szCs w:val="20"/>
          <w:color w:val="auto"/>
        </w:rPr>
      </w:pPr>
    </w:p>
    <w:p>
      <w:pPr>
        <w:ind w:right="660" w:firstLine="486"/>
        <w:spacing w:after="0" w:line="292" w:lineRule="auto"/>
        <w:rPr>
          <w:sz w:val="20"/>
          <w:szCs w:val="20"/>
          <w:color w:val="auto"/>
        </w:rPr>
      </w:pPr>
      <w:r>
        <w:rPr>
          <w:rFonts w:ascii="Arial" w:cs="Arial" w:eastAsia="Arial" w:hAnsi="Arial"/>
          <w:sz w:val="18"/>
          <w:szCs w:val="18"/>
          <w:color w:val="auto"/>
        </w:rPr>
        <w:t>The Amended Credit Agreement subjects the Company to certain financial and non-financial covenants. As of June 30, 2013, the Company was in compliance with such covenants.</w:t>
      </w:r>
    </w:p>
    <w:p>
      <w:pPr>
        <w:spacing w:after="0" w:line="145" w:lineRule="exact"/>
        <w:rPr>
          <w:sz w:val="20"/>
          <w:szCs w:val="20"/>
          <w:color w:val="auto"/>
        </w:rPr>
      </w:pPr>
    </w:p>
    <w:p>
      <w:pPr>
        <w:jc w:val="both"/>
        <w:ind w:right="140" w:firstLine="486"/>
        <w:spacing w:after="0" w:line="271" w:lineRule="auto"/>
        <w:rPr>
          <w:sz w:val="20"/>
          <w:szCs w:val="20"/>
          <w:color w:val="auto"/>
        </w:rPr>
      </w:pPr>
      <w:r>
        <w:rPr>
          <w:rFonts w:ascii="Arial" w:cs="Arial" w:eastAsia="Arial" w:hAnsi="Arial"/>
          <w:sz w:val="18"/>
          <w:szCs w:val="18"/>
          <w:color w:val="auto"/>
        </w:rPr>
        <w:t>As of June 30, 2013, the Revolving Credit Facility was being used to support the issuance of $21.4 million of irrevocable letters of credit for the construction of the Company's future San Diego office building and other items. The remaining $228.6 million was undrawn at June 30, 2013.</w:t>
      </w:r>
    </w:p>
    <w:p>
      <w:pPr>
        <w:spacing w:after="0" w:line="163" w:lineRule="exact"/>
        <w:rPr>
          <w:sz w:val="20"/>
          <w:szCs w:val="20"/>
          <w:color w:val="auto"/>
        </w:rPr>
      </w:pPr>
    </w:p>
    <w:p>
      <w:pPr>
        <w:ind w:right="120" w:firstLine="486"/>
        <w:spacing w:after="0" w:line="274" w:lineRule="auto"/>
        <w:rPr>
          <w:sz w:val="20"/>
          <w:szCs w:val="20"/>
          <w:color w:val="auto"/>
        </w:rPr>
      </w:pPr>
      <w:r>
        <w:rPr>
          <w:rFonts w:ascii="Arial" w:cs="Arial" w:eastAsia="Arial" w:hAnsi="Arial"/>
          <w:sz w:val="17"/>
          <w:szCs w:val="17"/>
          <w:color w:val="auto"/>
        </w:rPr>
        <w:t>Borrowings under Term Loan A and Amended Term Loan B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 1.00% and (d) solely in the case of Amended Term Loan B, 1.75%. The Company may voluntarily repay outstanding loans under its Amended Credit Agreement at any time without premium or penalty, other than customary breakage costs with respect to LIBOR loans and with the exception of certain repricing transactions in respect of Amended Term Loan B consummated before November 13, 2013, which will be subject to a premium of 1.0% of the principal amount of Amended Term Loan B subject to such repricing transaction</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firstLine="486"/>
        <w:spacing w:after="0" w:line="270" w:lineRule="auto"/>
        <w:rPr>
          <w:sz w:val="20"/>
          <w:szCs w:val="20"/>
          <w:color w:val="auto"/>
        </w:rPr>
      </w:pPr>
      <w:r>
        <w:rPr>
          <w:rFonts w:ascii="Arial" w:cs="Arial" w:eastAsia="Arial" w:hAnsi="Arial"/>
          <w:sz w:val="18"/>
          <w:szCs w:val="18"/>
          <w:color w:val="auto"/>
        </w:rPr>
        <w:t>Borrowings under Prior Term Loan B bore interest at a base rate equal to either the Eurodollar Rate plus the applicable margin or an ABR plus the applicable margin. The ABR was equal to the greatest of (a) the prime rate in effect on such day, (b) the effective federal funds rate in effect on such day plus 0.50%, (c) the Eurodollar Rate plus 1.00% and (d) 2.00%</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applicable margin for borrowings with respect to both Term Loan A and Amended Term Loan B is currently 1.50% for base rate borrowings and 2.50% for LIBOR borrowings. The LIBOR rate with respect to Amended Term Loan B shall in no event be less than 0.75%. The applicable margin for borrowings under the Revolving Credit Facility is currently 1.50% for base rate borrowings and 2.50% for LIBOR borrowings with a commitment fee of 0.50%.</w:t>
      </w:r>
    </w:p>
    <w:p>
      <w:pPr>
        <w:spacing w:after="0" w:line="170" w:lineRule="exact"/>
        <w:rPr>
          <w:sz w:val="20"/>
          <w:szCs w:val="20"/>
          <w:color w:val="auto"/>
        </w:rPr>
      </w:pPr>
    </w:p>
    <w:p>
      <w:pPr>
        <w:ind w:right="240" w:firstLine="486"/>
        <w:spacing w:after="0" w:line="292" w:lineRule="auto"/>
        <w:rPr>
          <w:sz w:val="20"/>
          <w:szCs w:val="20"/>
          <w:color w:val="auto"/>
        </w:rPr>
      </w:pPr>
      <w:r>
        <w:rPr>
          <w:rFonts w:ascii="Arial" w:cs="Arial" w:eastAsia="Arial" w:hAnsi="Arial"/>
          <w:sz w:val="18"/>
          <w:szCs w:val="18"/>
          <w:color w:val="auto"/>
        </w:rPr>
        <w:t>The applicable margin for borrowings under the Previous Credit Agreement with respect to Prior Term Loan B was 2.00% for base rate borrowings and 3.00% for LIBOR borrowings. The LIBOR rate with respect to Prior Term Loan B had a floor of 1.00%.</w:t>
      </w:r>
    </w:p>
    <w:p>
      <w:pPr>
        <w:spacing w:after="0" w:line="145"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The Previous Credit Agreement, dated as of March 29, 2012, allowed the Company to repay all outstanding principal borrowings under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Third Amended and Restated Credit Agreement, dated as of May 24, 2010 ("Original Credit Agreement"). Accordingly, in the first quarter of 2012, the Company accelerated the recognition of $16.5 million of debt issuance costs related to borrowings under the Original Credit Agreement, which has been recorded as loss on extinguishment of debt within the unaudited condensed consolidated statements of income.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39"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June 30, 2013</w:t>
            </w:r>
          </w:p>
        </w:tc>
        <w:tc>
          <w:tcPr>
            <w:tcW w:w="720" w:type="dxa"/>
            <w:vAlign w:val="bottom"/>
            <w:tcBorders>
              <w:bottom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Interest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780" w:type="dxa"/>
            <w:vAlign w:val="bottom"/>
            <w:gridSpan w:val="3"/>
          </w:tcPr>
          <w:p>
            <w:pPr>
              <w:ind w:left="60"/>
              <w:spacing w:after="0"/>
              <w:rPr>
                <w:sz w:val="20"/>
                <w:szCs w:val="20"/>
                <w:color w:val="auto"/>
              </w:rPr>
            </w:pPr>
            <w:r>
              <w:rPr>
                <w:rFonts w:ascii="Arial" w:cs="Arial" w:eastAsia="Arial" w:hAnsi="Arial"/>
                <w:sz w:val="18"/>
                <w:szCs w:val="18"/>
                <w:b w:val="1"/>
                <w:bCs w:val="1"/>
                <w:color w:val="auto"/>
              </w:rPr>
              <w:t>Balance</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Rate</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620" w:type="dxa"/>
            <w:vAlign w:val="bottom"/>
          </w:tcPr>
          <w:p>
            <w:pPr>
              <w:ind w:left="80"/>
              <w:spacing w:after="0"/>
              <w:rPr>
                <w:sz w:val="20"/>
                <w:szCs w:val="20"/>
                <w:color w:val="auto"/>
              </w:rPr>
            </w:pPr>
            <w:r>
              <w:rPr>
                <w:rFonts w:ascii="Arial" w:cs="Arial" w:eastAsia="Arial" w:hAnsi="Arial"/>
                <w:sz w:val="18"/>
                <w:szCs w:val="18"/>
                <w:color w:val="auto"/>
              </w:rPr>
              <w:t>Senior secured term loans:</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6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Term Loan A</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459,375</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707,438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65"/>
        </w:trPr>
        <w:tc>
          <w:tcPr>
            <w:tcW w:w="3620" w:type="dxa"/>
            <w:vAlign w:val="bottom"/>
          </w:tcPr>
          <w:p>
            <w:pPr>
              <w:ind w:left="680"/>
              <w:spacing w:after="0"/>
              <w:rPr>
                <w:sz w:val="20"/>
                <w:szCs w:val="20"/>
                <w:color w:val="auto"/>
              </w:rPr>
            </w:pPr>
            <w:r>
              <w:rPr>
                <w:rFonts w:ascii="Arial" w:cs="Arial" w:eastAsia="Arial" w:hAnsi="Arial"/>
                <w:sz w:val="18"/>
                <w:szCs w:val="18"/>
                <w:color w:val="auto"/>
              </w:rPr>
              <w:t>Prior Term Loan B</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610,387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5"/>
        </w:trPr>
        <w:tc>
          <w:tcPr>
            <w:tcW w:w="36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Amended Term Loan B</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1,081,140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(2)</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620" w:type="dxa"/>
            <w:vAlign w:val="bottom"/>
          </w:tcPr>
          <w:p>
            <w:pPr>
              <w:ind w:left="680"/>
              <w:spacing w:after="0"/>
              <w:rPr>
                <w:sz w:val="20"/>
                <w:szCs w:val="20"/>
                <w:color w:val="auto"/>
              </w:rPr>
            </w:pPr>
            <w:r>
              <w:rPr>
                <w:rFonts w:ascii="Arial" w:cs="Arial" w:eastAsia="Arial" w:hAnsi="Arial"/>
                <w:sz w:val="18"/>
                <w:szCs w:val="18"/>
                <w:color w:val="auto"/>
              </w:rPr>
              <w:t>Total borrowings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1,540,515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1,317,825</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borrowings (maturities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within 12 months)</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10,839</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180"/>
              <w:spacing w:after="0" w:line="187" w:lineRule="exact"/>
              <w:rPr>
                <w:sz w:val="20"/>
                <w:szCs w:val="20"/>
                <w:color w:val="auto"/>
              </w:rPr>
            </w:pPr>
            <w:r>
              <w:rPr>
                <w:rFonts w:ascii="Arial" w:cs="Arial" w:eastAsia="Arial" w:hAnsi="Arial"/>
                <w:sz w:val="18"/>
                <w:szCs w:val="18"/>
                <w:color w:val="auto"/>
              </w:rPr>
              <w:t>Long-term borrowings — net of current</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1,529,676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1,274,925</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portion</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-1905</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-1905</wp:posOffset>
            </wp:positionV>
            <wp:extent cx="763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-125095</wp:posOffset>
            </wp:positionV>
            <wp:extent cx="763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-125095</wp:posOffset>
            </wp:positionV>
            <wp:extent cx="763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 w:lineRule="exact"/>
        <w:rPr>
          <w:sz w:val="20"/>
          <w:szCs w:val="20"/>
          <w:color w:val="auto"/>
        </w:rPr>
      </w:pPr>
    </w:p>
    <w:p>
      <w:pPr>
        <w:ind w:left="660" w:right="20" w:hanging="652"/>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June 30, 2013, the variable interest rate for Term Loan A is based on the one-month LIBOR of 0.20%, plus the applicable interest rate margin of 2.50%.</w:t>
      </w:r>
    </w:p>
    <w:p>
      <w:pPr>
        <w:spacing w:after="0" w:line="59" w:lineRule="exact"/>
        <w:rPr>
          <w:rFonts w:ascii="Arial" w:cs="Arial" w:eastAsia="Arial" w:hAnsi="Arial"/>
          <w:sz w:val="18"/>
          <w:szCs w:val="18"/>
          <w:color w:val="auto"/>
        </w:rPr>
      </w:pPr>
    </w:p>
    <w:p>
      <w:pPr>
        <w:ind w:left="660" w:right="8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June 30, 2013, the variable interest rate for Amended Term Loan B is based on fifty percent of the outstanding loan balance with interest calculated at the greater of the three-month LIBOR of 0.28% or 0.75%, plus the applicable interest rate margin of 2.50%; and fifty percent of the outstanding loan balance with interest calculated at the greater of the six-month LIBOR of 0.42% or 0.75%, plus the applicable interest rate margin of 2.50%.</w:t>
      </w:r>
    </w:p>
    <w:p>
      <w:pPr>
        <w:spacing w:after="0" w:line="61" w:lineRule="exact"/>
        <w:rPr>
          <w:rFonts w:ascii="Arial" w:cs="Arial" w:eastAsia="Arial" w:hAnsi="Arial"/>
          <w:sz w:val="18"/>
          <w:szCs w:val="18"/>
          <w:color w:val="auto"/>
        </w:rPr>
      </w:pPr>
    </w:p>
    <w:p>
      <w:pPr>
        <w:ind w:left="660" w:right="220" w:hanging="652"/>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Term Loan A is based on the one-month LIBOR of 0.21%, plus the applicable interest rate margin of 2.50%.</w:t>
      </w:r>
    </w:p>
    <w:p>
      <w:pPr>
        <w:spacing w:after="0" w:line="36" w:lineRule="exact"/>
        <w:rPr>
          <w:rFonts w:ascii="Arial" w:cs="Arial" w:eastAsia="Arial" w:hAnsi="Arial"/>
          <w:sz w:val="18"/>
          <w:szCs w:val="18"/>
          <w:color w:val="auto"/>
        </w:rPr>
      </w:pPr>
    </w:p>
    <w:p>
      <w:pPr>
        <w:ind w:left="660" w:right="40" w:hanging="652"/>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Prior Term Loan B is based on the greater of the one-month LIBOR of 0.21% or 1.00%, plus the applicable interest rate margin of 3.00%.</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primarily dependent on the Company’s ability to provide sufficient collateral. The other line had a $200.0 million and $150.0 million limit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June 30, 2013 and December 31, 2012, respectively, and allows for both collateralized and uncollateralized borrowings. Both lines were utilized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2013 and 2012; however, there were no balances outstanding at June 30, 2013 or December 31, 2012.</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8"/>
                <w:szCs w:val="18"/>
                <w:color w:val="auto"/>
              </w:rPr>
            </w:pPr>
          </w:p>
        </w:tc>
        <w:tc>
          <w:tcPr>
            <w:tcW w:w="26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Six Months Ended</w:t>
            </w:r>
          </w:p>
        </w:tc>
      </w:tr>
      <w:tr>
        <w:trPr>
          <w:trHeight w:val="254"/>
        </w:trPr>
        <w:tc>
          <w:tcPr>
            <w:tcW w:w="5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22"/>
                <w:szCs w:val="22"/>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51"/>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balance outstanding</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6,915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211</w:t>
            </w:r>
          </w:p>
        </w:tc>
      </w:tr>
      <w:tr>
        <w:trPr>
          <w:trHeight w:val="261"/>
        </w:trPr>
        <w:tc>
          <w:tcPr>
            <w:tcW w:w="5120" w:type="dxa"/>
            <w:vAlign w:val="bottom"/>
          </w:tcPr>
          <w:p>
            <w:pPr>
              <w:ind w:left="40"/>
              <w:spacing w:after="0"/>
              <w:rPr>
                <w:sz w:val="20"/>
                <w:szCs w:val="20"/>
                <w:color w:val="auto"/>
              </w:rPr>
            </w:pPr>
            <w:r>
              <w:rPr>
                <w:rFonts w:ascii="Arial" w:cs="Arial" w:eastAsia="Arial" w:hAnsi="Arial"/>
                <w:sz w:val="18"/>
                <w:szCs w:val="18"/>
                <w:color w:val="auto"/>
              </w:rPr>
              <w:t>Weighted-average interest rate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689"/>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439"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minimum calendar year payments and maturities of the senior secured borrowings as of June 30, 2013 are as follows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9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 remainder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5,419</w:t>
            </w:r>
          </w:p>
        </w:tc>
      </w:tr>
      <w:tr>
        <w:trPr>
          <w:trHeight w:val="252"/>
        </w:trPr>
        <w:tc>
          <w:tcPr>
            <w:tcW w:w="9900" w:type="dxa"/>
            <w:vAlign w:val="bottom"/>
          </w:tcPr>
          <w:p>
            <w:pPr>
              <w:ind w:left="8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10,838</w:t>
            </w:r>
          </w:p>
        </w:tc>
      </w:tr>
      <w:tr>
        <w:trPr>
          <w:trHeight w:val="261"/>
        </w:trPr>
        <w:tc>
          <w:tcPr>
            <w:tcW w:w="9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10,838</w:t>
            </w:r>
          </w:p>
        </w:tc>
      </w:tr>
      <w:tr>
        <w:trPr>
          <w:trHeight w:val="252"/>
        </w:trPr>
        <w:tc>
          <w:tcPr>
            <w:tcW w:w="9900" w:type="dxa"/>
            <w:vAlign w:val="bottom"/>
          </w:tcPr>
          <w:p>
            <w:pPr>
              <w:ind w:left="8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10,838</w:t>
            </w:r>
          </w:p>
        </w:tc>
      </w:tr>
      <w:tr>
        <w:trPr>
          <w:trHeight w:val="261"/>
        </w:trPr>
        <w:tc>
          <w:tcPr>
            <w:tcW w:w="9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470,214</w:t>
            </w:r>
          </w:p>
        </w:tc>
      </w:tr>
      <w:tr>
        <w:trPr>
          <w:trHeight w:val="252"/>
        </w:trPr>
        <w:tc>
          <w:tcPr>
            <w:tcW w:w="99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1,032,368</w:t>
            </w:r>
          </w:p>
        </w:tc>
      </w:tr>
      <w:tr>
        <w:trPr>
          <w:trHeight w:val="255"/>
        </w:trPr>
        <w:tc>
          <w:tcPr>
            <w:tcW w:w="9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1,540,515</w:t>
            </w:r>
          </w:p>
        </w:tc>
      </w:tr>
      <w:tr>
        <w:trPr>
          <w:trHeight w:val="20"/>
        </w:trPr>
        <w:tc>
          <w:tcPr>
            <w:tcW w:w="9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under various operating leases. These leases are generally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scheduled base rent and maintenance cost increases, which are recognized on a straight-line basis over the period of the leases. Total rental expense for all operating leases was approximately $5.0 million and $4.8 million for the three months ended June 30, 2013 and 2012, respectively, and $10.0 million and $9.1 million for the six months ended June 30, 2013 and 2012, respectively.</w:t>
      </w:r>
    </w:p>
    <w:p>
      <w:pPr>
        <w:spacing w:after="0" w:line="62" w:lineRule="exact"/>
        <w:rPr>
          <w:sz w:val="20"/>
          <w:szCs w:val="20"/>
          <w:color w:val="auto"/>
        </w:rPr>
      </w:pPr>
    </w:p>
    <w:p>
      <w:pPr>
        <w:ind w:right="640" w:firstLine="486"/>
        <w:spacing w:after="0" w:line="292"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37"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auto"/>
        </w:rPr>
        <w:t>Future minimum payments under leases, lease commitments, service contracts and other contractual obligations with remaining terms greater than one year as of June 30, 2013, are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9,634</w:t>
            </w:r>
          </w:p>
        </w:tc>
      </w:tr>
      <w:tr>
        <w:trPr>
          <w:trHeight w:val="252"/>
        </w:trPr>
        <w:tc>
          <w:tcPr>
            <w:tcW w:w="9940" w:type="dxa"/>
            <w:vAlign w:val="bottom"/>
          </w:tcPr>
          <w:p>
            <w:pPr>
              <w:ind w:left="8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37,869</w:t>
            </w:r>
          </w:p>
        </w:tc>
      </w:tr>
      <w:tr>
        <w:trPr>
          <w:trHeight w:val="261"/>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36,618</w:t>
            </w:r>
          </w:p>
        </w:tc>
      </w:tr>
      <w:tr>
        <w:trPr>
          <w:trHeight w:val="252"/>
        </w:trPr>
        <w:tc>
          <w:tcPr>
            <w:tcW w:w="9940" w:type="dxa"/>
            <w:vAlign w:val="bottom"/>
          </w:tcPr>
          <w:p>
            <w:pPr>
              <w:ind w:left="8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35,818</w:t>
            </w:r>
          </w:p>
        </w:tc>
      </w:tr>
      <w:tr>
        <w:trPr>
          <w:trHeight w:val="261"/>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28,737</w:t>
            </w:r>
          </w:p>
        </w:tc>
      </w:tr>
      <w:tr>
        <w:trPr>
          <w:trHeight w:val="252"/>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261,098</w:t>
            </w:r>
          </w:p>
        </w:tc>
      </w:tr>
      <w:tr>
        <w:trPr>
          <w:trHeight w:val="255"/>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409,774</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-77470</wp:posOffset>
            </wp:positionV>
            <wp:extent cx="943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660" w:right="220" w:hanging="652"/>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June 2013, LPL Financial entered into a long-term contractual obligation with a third-party service provider to enhance the quality, speed and cost of processes that support the Company by outsourcing certain functions. The table above includes the minimum payments due over the duration of the contract. The contractual obligation may be canceled, subject to a termination penalty that is approximately equal to the initial annual minimum payment. The termination penalty steps down ratably through the passage of time. Minimum payments have not been reduced by this termination penalty.</w:t>
      </w:r>
    </w:p>
    <w:p>
      <w:pPr>
        <w:spacing w:after="0" w:line="84" w:lineRule="exact"/>
        <w:rPr>
          <w:rFonts w:ascii="Arial" w:cs="Arial" w:eastAsia="Arial" w:hAnsi="Arial"/>
          <w:sz w:val="18"/>
          <w:szCs w:val="18"/>
          <w:color w:val="auto"/>
        </w:rPr>
      </w:pPr>
    </w:p>
    <w:p>
      <w:pPr>
        <w:ind w:left="660" w:right="120" w:hanging="652"/>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$4.4 million due in the future under noncancellable subleases.</w:t>
      </w:r>
    </w:p>
    <w:p>
      <w:pPr>
        <w:spacing w:after="0" w:line="37" w:lineRule="exact"/>
        <w:rPr>
          <w:sz w:val="20"/>
          <w:szCs w:val="20"/>
          <w:color w:val="auto"/>
        </w:rPr>
      </w:pPr>
    </w:p>
    <w:p>
      <w:pPr>
        <w:jc w:val="both"/>
        <w:ind w:right="240" w:firstLine="486"/>
        <w:spacing w:after="0" w:line="271"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55"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69" w:lineRule="exact"/>
        <w:rPr>
          <w:sz w:val="20"/>
          <w:szCs w:val="20"/>
          <w:color w:val="auto"/>
        </w:rPr>
      </w:pPr>
    </w:p>
    <w:p>
      <w:pPr>
        <w:ind w:right="700" w:firstLine="486"/>
        <w:spacing w:after="0" w:line="29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which may be forgivable, primarily to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recruited advisors to assist in the transition process. Due to timing differences, LPL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39"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Financial may make commitments to issue such loans prior to actually funding them. These commitments are generally contingent upon certain events occurring, including but not limited to the advisor joining LPL Financial. LPL Financial had no significant unfunded commitments at June 30, 2013.</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is involved in legal proceedings from time to time arising out of its business operations, including arbitrations and lawsuits involving private claimants, and subpoenas, investigations and other actions by government authorities and self-regulatory organizations. In view of 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liability with regard to a legal proceeding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 The Company maintains insurance coverage, including general liability, errors and omissions, excess entity errors and omissions and fidelity bond insurance. The Company records legal reserves and related insurance recoveries on a gross basis.</w:t>
      </w:r>
    </w:p>
    <w:p>
      <w:pPr>
        <w:spacing w:after="0" w:line="137"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Defense costs with regard to legal proceedings are expensed as incurred and classified as professional services within the unaudited condensed consolidated statements of income. When there is indemnification or insurance, the Company may engage in defense or settlement and subsequently seek reimbursement for such matters.</w:t>
      </w:r>
    </w:p>
    <w:p>
      <w:pPr>
        <w:spacing w:after="0" w:line="12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Claims involving client complaints or disclosures about risks related to purchased securities or other financial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arbitrated pursuant to the Financial Industry Regulatory Authority's ("FINRA") procedures for arbitration rather than litigated in court. In an arbitration, neutral third parties review evidence in the form of documents and testimony, listen to arguments and render a decision on the disputed matter. Through arbitration, the opportunity for appeal is foregone in virtually all matters as the decisions are final and binding.</w:t>
      </w:r>
    </w:p>
    <w:p>
      <w:pPr>
        <w:spacing w:after="0" w:line="129"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The Company maintains insurance coverage for client claims. With respect to these matters, the estimated losses on the majority of pending matters are less than the applicable deductibles of the insurance policies. The Company believes, based on the information available at this time, after consultation with counsel, consideration of insurance, if any, and indemnifications provided by the third-party indemnitors, if any, that the outcomes of matters with estimated losses in excess of applicable deductibles will not have a material impact on the unaudited condensed consolidated statements of income, financial condition or cash flows.</w:t>
      </w:r>
    </w:p>
    <w:p>
      <w:pPr>
        <w:spacing w:after="0" w:line="13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i w:val="1"/>
          <w:iCs w:val="1"/>
          <w:color w:val="auto"/>
        </w:rPr>
        <w:t xml:space="preserve">Regulatory </w:t>
      </w:r>
      <w:r>
        <w:rPr>
          <w:rFonts w:ascii="Arial" w:cs="Arial" w:eastAsia="Arial" w:hAnsi="Arial"/>
          <w:sz w:val="18"/>
          <w:szCs w:val="18"/>
          <w:color w:val="auto"/>
        </w:rPr>
        <w:t>— In July 2012, the Internal Revenue Service (the “IRS”) issued a Notice of Proposed Adjustment (the “Notice”) asserting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subject to a penalty with respect to an alleged untimely deposit of withholding taxes related to the exercise of certain non-qualified stock options in connection with the Company's initial public offering in 2010. In 2012, the Company recorded an estimate of probable loss within accounts payable and accrued liabilities in the unaudited condensed consolidated statements of financial condition. During the first quarter of 2013, the IRS issued a Summary of Employment Tax Examination (the "Summary") and the Company remitted payment which approximated amounts previously accrued in accordance with the Summary. The Company is awaiting final consent of resolution from the IRS. The Company believes the outcome of this matter will not have a material impact beyond the amounts recorded to its unaudited condensed consolidated statements of income, financial condition or cash flows.</w:t>
      </w:r>
    </w:p>
    <w:p>
      <w:pPr>
        <w:spacing w:after="0" w:line="138" w:lineRule="exact"/>
        <w:rPr>
          <w:sz w:val="20"/>
          <w:szCs w:val="20"/>
          <w:color w:val="auto"/>
        </w:rPr>
      </w:pPr>
    </w:p>
    <w:p>
      <w:pPr>
        <w:ind w:right="260" w:firstLine="486"/>
        <w:spacing w:after="0" w:line="260" w:lineRule="auto"/>
        <w:rPr>
          <w:sz w:val="20"/>
          <w:szCs w:val="20"/>
          <w:color w:val="auto"/>
        </w:rPr>
      </w:pPr>
      <w:r>
        <w:rPr>
          <w:rFonts w:ascii="Arial" w:cs="Arial" w:eastAsia="Arial" w:hAnsi="Arial"/>
          <w:sz w:val="18"/>
          <w:szCs w:val="18"/>
          <w:color w:val="auto"/>
        </w:rPr>
        <w:t>In June of 2013, the Company reached an agreement with its principal regulator to resolve a matter related to email surveillance and production. During the first quarter of 2013, the Company recorded an estimate of a probable loss within professional services and accounts payable and accrued liabilities in the unaudited condensed consolidated statements of income and financial condition, respectively. The outcome of this matter did not differ materially from the amount recorded in the unaudited condensed consolidated statements of income, financial condition or cash flows as of and for the three and six months ended June 30, 2013.</w:t>
      </w:r>
    </w:p>
    <w:p>
      <w:pPr>
        <w:spacing w:after="0" w:line="24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June 30, 2013, the Company had received collateral primarily in connection with client margin loans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value of approximately $331.0 million, which it can sell, re-pledge or loan. Of this amount, approximately $24.8 million was pledged with client-owned securities to the Options Clearing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39"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Corporation ("OCC") as collateral to secure client obligations related to options positions. Additionally, approximately $ 132.9 million are held at banks in connection with unutilized secured margin lines of credit; these securities may be used as collateral for loans from these banks. The remainder of $173.3 million has not been re-pledged, loaned or sold, and as of June 30, 2013 there are no restrictions that materially limit the Company's ability to re-pledge, loan or sell the remaining $306.2 million of client collateral. In May 2013, the Company ended its participation in the National Securities Clearing Corporation ("NSCC") Stock Borrow Program and all pledged collateral was returned to the Company.</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2012, the Company had received collateral primarily in connection with client margin loans with a market value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$375.8 million, which it can sell, re-pledge or loan. Of this amount, approximately $41.5 million has been pledged or loaned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$22.2 million was pledged with client-owned securities to the OCC as collateral to secure client obligations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options positions, and $19.3 million was loaned to the NSCC through participation in its Stock Borrow Program. Additionally,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$40.3 million are held at banks in connection with unutilized secured margin lines of credit; these securities may be used as collateral for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these banks. The remainder of $294.0 million had not been re-pledged, loaned or sold, and as of December 31, 2012 there are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restrictions that materially limited the Company's ability to re-pledge, loan or sell the remaining $334.3 million of client collateral.</w:t>
      </w:r>
    </w:p>
    <w:p>
      <w:pPr>
        <w:spacing w:after="0" w:line="95"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$0.9 million pledged to clearing organizations at June 30, 2013 and December 31, 2012, respectively.</w:t>
      </w:r>
    </w:p>
    <w:p>
      <w:pPr>
        <w:spacing w:after="0" w:line="3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LPL Financial provides brokerage, clearing and custody services on a fully disclosed basis; offers its investment advisory programs and platforms; and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68" w:lineRule="exact"/>
        <w:rPr>
          <w:sz w:val="20"/>
          <w:szCs w:val="20"/>
          <w:color w:val="auto"/>
        </w:rPr>
      </w:pPr>
    </w:p>
    <w:p>
      <w:pPr>
        <w:ind w:right="9180" w:firstLine="8"/>
        <w:spacing w:after="0" w:line="376" w:lineRule="auto"/>
        <w:tabs>
          <w:tab w:leader="none" w:pos="45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Plan Summary</w:t>
      </w:r>
    </w:p>
    <w:p>
      <w:pPr>
        <w:spacing w:after="0" w:line="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November 17, 2010, the Company adopted a 2010 Omnibus Incentive Plan (the "2010 Plan"), which provides for the granting of stock options, warrants, restricted stock awards and restricted stock units. The 2010 Plan serves as the successor to the 2005 Stock Option Plan for Incentive Stock Options, the 2005 Stock Option Plan for Non-qualified Stock Options, the 2008 Advisor and Institution Incentive Plan, the 2008 Stock Option Plan and the Director Restricted Stock Plan (the "Predecessor Plans"). Upon adoption of the 2010 Plan, awards were no longer made under the Predecessor Plans. To the extent not already exercised, awards previously granted under the Predecessor Plans remain outstanding. Stock options granted under the 2010 Plan are either incentive stock options, or non-qualified stock options, as defined in the 2010 Plan. The Company has issued new shares under the 2010 Plan and is also permitted to reissue treasury shares.</w:t>
      </w:r>
    </w:p>
    <w:p>
      <w:pPr>
        <w:spacing w:after="0" w:line="177" w:lineRule="exact"/>
        <w:rPr>
          <w:sz w:val="20"/>
          <w:szCs w:val="20"/>
          <w:color w:val="auto"/>
        </w:rPr>
      </w:pPr>
    </w:p>
    <w:p>
      <w:pPr>
        <w:ind w:right="420" w:firstLine="486"/>
        <w:spacing w:after="0" w:line="271" w:lineRule="auto"/>
        <w:rPr>
          <w:sz w:val="20"/>
          <w:szCs w:val="20"/>
          <w:color w:val="auto"/>
        </w:rPr>
      </w:pPr>
      <w:r>
        <w:rPr>
          <w:rFonts w:ascii="Arial" w:cs="Arial" w:eastAsia="Arial" w:hAnsi="Arial"/>
          <w:sz w:val="18"/>
          <w:szCs w:val="18"/>
          <w:color w:val="auto"/>
        </w:rPr>
        <w:t>Under the 2010 Plan, the Company may grant up to 12.1 million new shares in addition to the shares available for grant under the Predecessor Plans. As of June 30, 2013, the Company had approximately 6.7 million of authorized unissued shares reserved for issuance upon exercise and conversion of outstanding awards.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The Company grants stock options to certain employees, advisors, officers and non-employee directors. The Company has also granted warrants to certain financial institutions. Stock options and warrants generally vest in equal increments over a three- to five-year period and expire on the tenth anniversary following the date of grant.</w:t>
      </w:r>
    </w:p>
    <w:p>
      <w:pPr>
        <w:spacing w:after="0" w:line="16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$3.8 million and $4.2 million during the three months ended June 30, 2013 and 2012, respectively, and $ 7.3 million and $8.3 million during the six months ended June 30, 2013 and 2012, respectively, which is included in compensation and benefits on the unaudited condensed consolidated statements of income. As of June 30, 2013, total unrecognized compensation cost related to non-vested share-based compensation arrangements granted to employees, officers and directors was $37.2 million, which is expected to be recognized over a weighted-average period of 3.41 years.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39"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financial institutions based on the fair value of the awards at each interim reporting period. The Company recognized share-based compensation of $ 2.4 million and $0.4 million during the three months ended June 30, 2013 and 2012, respectively, and $ 4.3 million and $2.8 million for during the six months ended June 30, 2013 and 2012, respectively, related to the vesting of stock options and warrants awarded to its advisors and financial institutions, which is classified within commission and advisory expense on the unaudited condensed consolidated statements of income. As of June 30, 2013, total unrecognized compensation cost related to non-vested share-based compensation arrangements granted to advisors and financial institutions was $17.7 million, which is expected to be recognized over a weighted-average period of 3.39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by measuring such awards at their grant date fair value. Share-based compensation is recognized ratably over the requisite service period, which generally equals the vesting period. The Company recognized $ 0.6 million and $0.2 million of share-based compensation related to the vesting of restricted stock awards and restricted stock units during the three months ended June 30, 2013 and 2012, respectively, and $1.0 million and $0.3 million during the six months ended June 30, 2013 and 2012, respectively, which is included in compensation and benefits on the unaudited condensed consolidated statements of income. As of June 30, 2013, total unrecognized compensation cost for restricted stock awards and restricted stock units granted to employees, officers and directors was $5.8 million, which is expected to be recognized over a weighted-average remaining period of 1.68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who held non-qualified stock options issued under the 2005 Stock Option Plan for Incentive Stock Options and 2005 Stock Option Plan for Non-qualified Stock Options that were set to expire in 2009 and 2010, to receive stock units under the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175"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On May 29, 2013, a new share repurchase plan was approved for the repurchase up to $200.0 million in addition to the remaining capacity available under previous plans was approved. For the three months ended June 30, 2013, 1,428,576 shares were repurchased at a weighted average price of $36.99 per share for a total cost of $52.8 million. For the six months ended June 30, 2013, 1,583,865 shares were repurchased at a weighted average price of $36.47 per share for a total cost of $57.8 million. The share repurchases in 2013 have been made pursuant to a repurchase plan authorized in September of 2012. At June 30, 2013 the Company had $29.2 million available for repurchases under its September 2012 plan and $200.0 million available under the May 2013 plan.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39"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The payment, timing and amount of any dividends permitted under our credit facilities are subject to approval by our Board of Directors, including both timing and amount. Cash dividends per share of common stock and total cash dividends paid during each quarter were as follows (in millions,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spacing w:after="0"/>
              <w:rPr>
                <w:sz w:val="22"/>
                <w:szCs w:val="22"/>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r>
      <w:tr>
        <w:trPr>
          <w:trHeight w:val="251"/>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37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7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222.6</w:t>
            </w:r>
          </w:p>
        </w:tc>
      </w:tr>
    </w:tbl>
    <w:p>
      <w:pPr>
        <w:spacing w:after="0" w:line="93"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three and six months ended June 30, 2013 and 2012 is as follows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For the Three</w:t>
            </w:r>
          </w:p>
        </w:tc>
        <w:tc>
          <w:tcPr>
            <w:tcW w:w="280" w:type="dxa"/>
            <w:vAlign w:val="bottom"/>
          </w:tcPr>
          <w:p>
            <w:pPr>
              <w:spacing w:after="0"/>
              <w:rPr>
                <w:sz w:val="17"/>
                <w:szCs w:val="17"/>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For the Six</w:t>
            </w:r>
          </w:p>
        </w:tc>
        <w:tc>
          <w:tcPr>
            <w:tcW w:w="840" w:type="dxa"/>
            <w:vAlign w:val="bottom"/>
          </w:tcPr>
          <w:p>
            <w:pPr>
              <w:spacing w:after="0"/>
              <w:rPr>
                <w:sz w:val="17"/>
                <w:szCs w:val="17"/>
                <w:color w:val="auto"/>
              </w:rPr>
            </w:pPr>
          </w:p>
        </w:tc>
      </w:tr>
      <w:tr>
        <w:trPr>
          <w:trHeight w:val="203"/>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280" w:type="dxa"/>
            <w:vAlign w:val="bottom"/>
          </w:tcPr>
          <w:p>
            <w:pPr>
              <w:spacing w:after="0"/>
              <w:rPr>
                <w:sz w:val="17"/>
                <w:szCs w:val="17"/>
                <w:color w:val="auto"/>
              </w:rPr>
            </w:pPr>
          </w:p>
        </w:tc>
        <w:tc>
          <w:tcPr>
            <w:tcW w:w="2360" w:type="dxa"/>
            <w:vAlign w:val="bottom"/>
            <w:gridSpan w:val="4"/>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Months Ended</w:t>
            </w:r>
          </w:p>
        </w:tc>
      </w:tr>
      <w:tr>
        <w:trPr>
          <w:trHeight w:val="254"/>
        </w:trPr>
        <w:tc>
          <w:tcPr>
            <w:tcW w:w="6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2"/>
                <w:szCs w:val="22"/>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2012</w:t>
            </w:r>
          </w:p>
        </w:tc>
      </w:tr>
      <w:tr>
        <w:trPr>
          <w:trHeight w:val="251"/>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80,681</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106,414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106,381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109,888</w:t>
            </w:r>
          </w:p>
        </w:tc>
      </w:tr>
      <w:tr>
        <w:trPr>
          <w:trHeight w:val="26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2,791</w:t>
            </w: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112,834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107,465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112,679</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June 30, 2013 and 2012, stock options, warrants and restricted stock units representing common share equivalents of 3,864,493 shares and 3,796,356 shares, respectively, were anti-dilutive. For the six months ended June 30, 2013 and 2012, stock options, warrants and restricted stock units representing common share equivalents of 4,689,047 shares and 3,558,814 shares, respectively, were anti-dilutive.</w:t>
      </w:r>
    </w:p>
    <w:p>
      <w:pPr>
        <w:spacing w:after="0" w:line="17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7"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One of the Company’s significant stockholders owns a minority interest in Artisan Partners Limited Partnership (“Artisan”), which pays fees in exchange for product distribution and record-keeping services. During the six months ended June 30, 2013 and 2012, the Company earned $1.9 million and $1.7 million, respectively, in fees from Artisan. Additionally, as of June 30, 2013 and December 31, 2012, Artisan owed the Company $1.0 million and $0.8 million, respectively, which is included in receivables from product sponsors, broker-dealers and clearing organizations on the unaudited condensed consolidated statements of financial condition.</w:t>
      </w:r>
    </w:p>
    <w:p>
      <w:pPr>
        <w:spacing w:after="0" w:line="175"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American Beacon Advisor, Inc. (“American Beacon”), a company majority-owned by one of the Company’s significant stockholders, pays fees in exchange for product distribution and record-keeping services. During the six months ended June 30, 2013 and 2012, the Company earned $0.3 million and $0.2 million, respectively, in fees from American Beacon.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39"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right="520" w:firstLine="486"/>
        <w:spacing w:after="0" w:line="292" w:lineRule="auto"/>
        <w:rPr>
          <w:sz w:val="20"/>
          <w:szCs w:val="20"/>
          <w:color w:val="auto"/>
        </w:rPr>
      </w:pPr>
      <w:r>
        <w:rPr>
          <w:rFonts w:ascii="Arial" w:cs="Arial" w:eastAsia="Arial" w:hAnsi="Arial"/>
          <w:sz w:val="18"/>
          <w:szCs w:val="18"/>
          <w:color w:val="auto"/>
        </w:rPr>
        <w:t>One of the Company's significant stockholders owns a minority interest in XOJET, Inc. ("XOJET"), which provides chartered aircraft services. The Company paid $0.5 million to XOJET during the six months ended June 30, 2012.</w:t>
      </w:r>
    </w:p>
    <w:p>
      <w:pPr>
        <w:spacing w:after="0" w:line="145"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$0.8 million and $0.5 million to Aplifi for such services during the six months ended June 30, 2013 and 2012, respectively.</w:t>
      </w:r>
    </w:p>
    <w:p>
      <w:pPr>
        <w:spacing w:after="0" w:line="163" w:lineRule="exact"/>
        <w:rPr>
          <w:sz w:val="20"/>
          <w:szCs w:val="20"/>
          <w:color w:val="auto"/>
        </w:rPr>
      </w:pPr>
    </w:p>
    <w:p>
      <w:pPr>
        <w:jc w:val="both"/>
        <w:ind w:right="200" w:firstLine="486"/>
        <w:spacing w:after="0" w:line="292" w:lineRule="auto"/>
        <w:rPr>
          <w:sz w:val="20"/>
          <w:szCs w:val="20"/>
          <w:color w:val="auto"/>
        </w:rPr>
      </w:pPr>
      <w:r>
        <w:rPr>
          <w:rFonts w:ascii="Arial" w:cs="Arial" w:eastAsia="Arial" w:hAnsi="Arial"/>
          <w:sz w:val="18"/>
          <w:szCs w:val="18"/>
          <w:color w:val="auto"/>
        </w:rPr>
        <w:t>Certain entities affiliated with SunGard Data Systems Inc. ("SunGard"), a company minority-owned by one of the Company's significant stockholders, provide data center recovery services. The Company paid $0.2 million to SunGard during the six months ended June 30, 2013.</w:t>
      </w:r>
    </w:p>
    <w:p>
      <w:pPr>
        <w:spacing w:after="0" w:line="145"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One of the Company's stockholders, TPG Capital ("TPG") provided the Company with consulting services. During the six months ended June 30, 2012, the Company paid $0.2 million to TPG.</w:t>
      </w:r>
    </w:p>
    <w:p>
      <w:pPr>
        <w:spacing w:after="0" w:line="14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3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$181.1 million with a minimum net capital requirement of $6.0 million and net capital in excess of the minimum requirement of $175.1 million as of June 30, 2013.</w:t>
      </w:r>
    </w:p>
    <w:p>
      <w:pPr>
        <w:spacing w:after="0" w:line="129" w:lineRule="exact"/>
        <w:rPr>
          <w:sz w:val="20"/>
          <w:szCs w:val="20"/>
          <w:color w:val="auto"/>
        </w:rPr>
      </w:pPr>
    </w:p>
    <w:p>
      <w:pPr>
        <w:ind w:right="340" w:firstLine="486"/>
        <w:spacing w:after="0" w:line="294" w:lineRule="auto"/>
        <w:rPr>
          <w:sz w:val="20"/>
          <w:szCs w:val="20"/>
          <w:color w:val="auto"/>
        </w:rPr>
      </w:pPr>
      <w:r>
        <w:rPr>
          <w:rFonts w:ascii="Arial" w:cs="Arial" w:eastAsia="Arial" w:hAnsi="Arial"/>
          <w:sz w:val="17"/>
          <w:szCs w:val="17"/>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2013 and December 31, 2012, LPL Financial and PTC met all capital adequacy requirements to which they are subject.</w:t>
      </w:r>
    </w:p>
    <w:p>
      <w:pPr>
        <w:spacing w:after="0" w:line="22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187"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35"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39"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3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7"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On July 30, 2013, the Board of Directors declared a cash dividend of $0.19 per share on the Company's outstanding common stock to be paid on August 30, 2013 to all stockholders of record on August 15, 2013.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39"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13,400 independent financial advisors and financial advisors at approximately 700 financial institutions (our "advisors") across the country, enabling them to provide their retail investors (their "clients") with objective, conflict-free financial advice. We also support approximately 4,600 financial advisors who are affiliated and licensed with insurance companies with customized clearing, advisory platforms and technology solutions.</w:t>
      </w:r>
    </w:p>
    <w:p>
      <w:pPr>
        <w:spacing w:after="0" w:line="178" w:lineRule="exact"/>
        <w:rPr>
          <w:sz w:val="20"/>
          <w:szCs w:val="20"/>
          <w:color w:val="auto"/>
        </w:rPr>
      </w:pPr>
    </w:p>
    <w:p>
      <w:pPr>
        <w:ind w:right="360" w:firstLine="486"/>
        <w:spacing w:after="0" w:line="271" w:lineRule="auto"/>
        <w:rPr>
          <w:sz w:val="20"/>
          <w:szCs w:val="20"/>
          <w:color w:val="auto"/>
        </w:rPr>
      </w:pPr>
      <w:r>
        <w:rPr>
          <w:rFonts w:ascii="Arial" w:cs="Arial" w:eastAsia="Arial" w:hAnsi="Arial"/>
          <w:sz w:val="18"/>
          <w:szCs w:val="18"/>
          <w:color w:val="auto"/>
        </w:rPr>
        <w:t>In addition, through our subsidiary companies, we support a diverse client base. Fortigent Holdings Company, Inc., through its subsidiaries, is a leading provider of consulting services and solutions to RIAs, banks and trust companies servicing high net worth clients, while The Private Trust Company N.A. manages trusts and family assets for high net worth clients in all 50 states.</w:t>
      </w:r>
    </w:p>
    <w:p>
      <w:pPr>
        <w:spacing w:after="0" w:line="16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129"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was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approximately 3,000 employees with primary offices in Boston, Charlotte and San Diego.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2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1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 of the asset balances and current interest rates. These asset balances, specifically related to advisory fee revenues and asset-based revenues, have approximately a 60% correlation to market fluctuations. Accordingly, recurring revenue can be negatively impacted by adverse external market conditions. However, recurring revenue is meaningful to us despite these fluctuations because it is not based on transaction volumes or other activity-based revenues, which are more difficult to predict, particularly in declining or volatile markets.</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358" w:right="299" w:bottom="1440" w:gutter="0" w:footer="0" w:header="0"/>
        </w:sectPr>
      </w:pPr>
    </w:p>
    <w:bookmarkStart w:id="27" w:name="page28"/>
    <w:bookmarkEnd w:id="27"/>
    <w:p>
      <w:pPr>
        <w:ind w:right="660" w:firstLine="486"/>
        <w:spacing w:after="0" w:line="29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86" w:lineRule="exact"/>
        <w:rPr>
          <w:sz w:val="20"/>
          <w:szCs w:val="20"/>
          <w:color w:val="auto"/>
        </w:rPr>
      </w:pPr>
    </w:p>
    <w:tbl>
      <w:tblPr>
        <w:tblLayout w:type="fixed"/>
        <w:tblInd w:w="1110" w:type="dxa"/>
        <w:tblCellMar>
          <w:top w:w="0" w:type="dxa"/>
          <w:left w:w="0" w:type="dxa"/>
          <w:bottom w:w="0" w:type="dxa"/>
          <w:right w:w="0" w:type="dxa"/>
        </w:tblCellMar>
      </w:tblPr>
      <w:tr>
        <w:trPr>
          <w:trHeight w:val="189"/>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2940" w:type="dxa"/>
            <w:vAlign w:val="bottom"/>
            <w:tcBorders>
              <w:right w:val="single" w:sz="8" w:color="A5A5A5"/>
            </w:tcBorders>
            <w:gridSpan w:val="3"/>
            <w:shd w:val="clear" w:color="auto" w:fill="000000"/>
          </w:tcPr>
          <w:p>
            <w:pPr>
              <w:jc w:val="center"/>
              <w:spacing w:after="0"/>
              <w:rPr>
                <w:sz w:val="20"/>
                <w:szCs w:val="20"/>
                <w:color w:val="auto"/>
              </w:rPr>
            </w:pPr>
            <w:r>
              <w:rPr>
                <w:rFonts w:ascii="Arial" w:cs="Arial" w:eastAsia="Arial" w:hAnsi="Arial"/>
                <w:sz w:val="14"/>
                <w:szCs w:val="14"/>
                <w:color w:val="FFFFFF"/>
              </w:rPr>
              <w:t>For the Six Months Ended</w:t>
            </w:r>
          </w:p>
        </w:tc>
        <w:tc>
          <w:tcPr>
            <w:tcW w:w="0" w:type="dxa"/>
            <w:vAlign w:val="bottom"/>
          </w:tcPr>
          <w:p>
            <w:pPr>
              <w:spacing w:after="0"/>
              <w:rPr>
                <w:sz w:val="1"/>
                <w:szCs w:val="1"/>
                <w:color w:val="auto"/>
              </w:rPr>
            </w:pPr>
          </w:p>
        </w:tc>
      </w:t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1000" w:type="dxa"/>
            <w:vAlign w:val="bottom"/>
            <w:tcBorders>
              <w:right w:val="single" w:sz="8" w:color="auto"/>
            </w:tcBorders>
            <w:shd w:val="clear" w:color="auto" w:fill="000000"/>
          </w:tcPr>
          <w:p>
            <w:pPr>
              <w:spacing w:after="0"/>
              <w:rPr>
                <w:sz w:val="18"/>
                <w:szCs w:val="18"/>
                <w:color w:val="auto"/>
              </w:rPr>
            </w:pP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color w:val="FFFFFF"/>
              </w:rPr>
              <w:t>June 30, 2013</w:t>
            </w:r>
          </w:p>
        </w:tc>
        <w:tc>
          <w:tcPr>
            <w:tcW w:w="1020" w:type="dxa"/>
            <w:vAlign w:val="bottom"/>
            <w:tcBorders>
              <w:right w:val="single" w:sz="8" w:color="A5A5A5"/>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100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6"/>
              </w:rPr>
              <w:t>Total</w:t>
            </w: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00" w:type="dxa"/>
            <w:vAlign w:val="bottom"/>
            <w:tcBorders>
              <w:bottom w:val="single" w:sz="8" w:color="999999"/>
              <w:right w:val="single" w:sz="8" w:color="A5A5A5"/>
            </w:tcBorders>
          </w:tcPr>
          <w:p>
            <w:pPr>
              <w:spacing w:after="0"/>
              <w:rPr>
                <w:sz w:val="17"/>
                <w:szCs w:val="17"/>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100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(millions)</w:t>
            </w: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87"/>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Transactions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$994</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00"/>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revenue with</w:t>
            </w:r>
          </w:p>
        </w:tc>
        <w:tc>
          <w:tcPr>
            <w:tcW w:w="2420" w:type="dxa"/>
            <w:vAlign w:val="bottom"/>
            <w:tcBorders>
              <w:right w:val="single" w:sz="8" w:color="A5A5A5"/>
            </w:tcBorders>
          </w:tcPr>
          <w:p>
            <w:pPr>
              <w:spacing w:after="0"/>
              <w:rPr>
                <w:sz w:val="8"/>
                <w:szCs w:val="8"/>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Brokerage asset levels</w:t>
            </w:r>
          </w:p>
        </w:tc>
        <w:tc>
          <w:tcPr>
            <w:tcW w:w="1000" w:type="dxa"/>
            <w:vAlign w:val="bottom"/>
            <w:tcBorders>
              <w:right w:val="single" w:sz="8" w:color="A5A5A5"/>
            </w:tcBorders>
            <w:vMerge w:val="continue"/>
          </w:tcPr>
          <w:p>
            <w:pPr>
              <w:spacing w:after="0"/>
              <w:rPr>
                <w:sz w:val="8"/>
                <w:szCs w:val="8"/>
                <w:color w:val="auto"/>
              </w:rPr>
            </w:pPr>
          </w:p>
        </w:tc>
        <w:tc>
          <w:tcPr>
            <w:tcW w:w="920" w:type="dxa"/>
            <w:vAlign w:val="bottom"/>
            <w:tcBorders>
              <w:right w:val="single" w:sz="8" w:color="A5A5A5"/>
            </w:tcBorders>
            <w:vMerge w:val="continue"/>
          </w:tcPr>
          <w:p>
            <w:pPr>
              <w:spacing w:after="0"/>
              <w:rPr>
                <w:sz w:val="8"/>
                <w:szCs w:val="8"/>
                <w:color w:val="auto"/>
              </w:rPr>
            </w:pPr>
          </w:p>
        </w:tc>
        <w:tc>
          <w:tcPr>
            <w:tcW w:w="1020" w:type="dxa"/>
            <w:vAlign w:val="bottom"/>
            <w:tcBorders>
              <w:right w:val="single" w:sz="8" w:color="A5A5A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500" w:type="dxa"/>
            <w:vAlign w:val="bottom"/>
            <w:tcBorders>
              <w:left w:val="single" w:sz="8" w:color="999999"/>
              <w:right w:val="single" w:sz="8" w:color="A5A5A5"/>
            </w:tcBorders>
            <w:vMerge w:val="continue"/>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10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500" w:type="dxa"/>
            <w:vAlign w:val="bottom"/>
            <w:tcBorders>
              <w:left w:val="single" w:sz="8" w:color="999999"/>
              <w:right w:val="single" w:sz="8" w:color="A5A5A5"/>
            </w:tcBorders>
          </w:tcPr>
          <w:p>
            <w:pPr>
              <w:jc w:val="center"/>
              <w:spacing w:after="0" w:line="155" w:lineRule="exact"/>
              <w:rPr>
                <w:sz w:val="20"/>
                <w:szCs w:val="20"/>
                <w:color w:val="auto"/>
              </w:rPr>
            </w:pPr>
            <w:r>
              <w:rPr>
                <w:rFonts w:ascii="Arial" w:cs="Arial" w:eastAsia="Arial" w:hAnsi="Arial"/>
                <w:sz w:val="14"/>
                <w:szCs w:val="14"/>
                <w:color w:val="auto"/>
              </w:rPr>
              <w:t>~85%-90% payout</w:t>
            </w:r>
          </w:p>
        </w:tc>
        <w:tc>
          <w:tcPr>
            <w:tcW w:w="2420" w:type="dxa"/>
            <w:vAlign w:val="bottom"/>
            <w:tcBorders>
              <w:right w:val="single" w:sz="8" w:color="A5A5A5"/>
            </w:tcBorders>
          </w:tcPr>
          <w:p>
            <w:pPr>
              <w:ind w:left="20"/>
              <w:spacing w:after="0" w:line="155" w:lineRule="exact"/>
              <w:rPr>
                <w:sz w:val="20"/>
                <w:szCs w:val="20"/>
                <w:color w:val="auto"/>
              </w:rPr>
            </w:pPr>
            <w:r>
              <w:rPr>
                <w:rFonts w:ascii="Arial" w:cs="Arial" w:eastAsia="Arial" w:hAnsi="Arial"/>
                <w:sz w:val="14"/>
                <w:szCs w:val="14"/>
                <w:b w:val="1"/>
                <w:bCs w:val="1"/>
                <w:color w:val="auto"/>
              </w:rPr>
              <w:t>Advisory</w:t>
            </w:r>
          </w:p>
        </w:tc>
        <w:tc>
          <w:tcPr>
            <w:tcW w:w="2400" w:type="dxa"/>
            <w:vAlign w:val="bottom"/>
            <w:tcBorders>
              <w:right w:val="single" w:sz="8" w:color="A5A5A5"/>
            </w:tcBorders>
          </w:tcPr>
          <w:p>
            <w:pPr>
              <w:spacing w:after="0" w:line="155" w:lineRule="exact"/>
              <w:rPr>
                <w:sz w:val="20"/>
                <w:szCs w:val="20"/>
                <w:color w:val="auto"/>
              </w:rPr>
            </w:pPr>
            <w:r>
              <w:rPr>
                <w:rFonts w:ascii="Arial" w:cs="Arial" w:eastAsia="Arial" w:hAnsi="Arial"/>
                <w:sz w:val="14"/>
                <w:szCs w:val="14"/>
                <w:color w:val="auto"/>
              </w:rPr>
              <w:t>- Asset levels in custodied advisory</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$579</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2"/>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ratio</w:t>
            </w:r>
          </w:p>
        </w:tc>
        <w:tc>
          <w:tcPr>
            <w:tcW w:w="2420" w:type="dxa"/>
            <w:vAlign w:val="bottom"/>
            <w:tcBorders>
              <w:bottom w:val="single" w:sz="8" w:color="A5A5A5"/>
              <w:right w:val="single" w:sz="8" w:color="A5A5A5"/>
            </w:tcBorders>
          </w:tcPr>
          <w:p>
            <w:pPr>
              <w:spacing w:after="0"/>
              <w:rPr>
                <w:sz w:val="18"/>
                <w:szCs w:val="18"/>
                <w:color w:val="auto"/>
              </w:rPr>
            </w:pPr>
          </w:p>
        </w:tc>
        <w:tc>
          <w:tcPr>
            <w:tcW w:w="2400" w:type="dxa"/>
            <w:vAlign w:val="bottom"/>
            <w:tcBorders>
              <w:bottom w:val="single" w:sz="8" w:color="A5A5A5"/>
              <w:right w:val="single" w:sz="8" w:color="A5A5A5"/>
            </w:tcBorders>
          </w:tcPr>
          <w:p>
            <w:pPr>
              <w:ind w:left="160"/>
              <w:spacing w:after="0"/>
              <w:rPr>
                <w:sz w:val="20"/>
                <w:szCs w:val="20"/>
                <w:color w:val="auto"/>
              </w:rPr>
            </w:pPr>
            <w:r>
              <w:rPr>
                <w:rFonts w:ascii="Arial" w:cs="Arial" w:eastAsia="Arial" w:hAnsi="Arial"/>
                <w:sz w:val="14"/>
                <w:szCs w:val="14"/>
                <w:color w:val="auto"/>
              </w:rPr>
              <w:t>programs</w:t>
            </w:r>
          </w:p>
        </w:tc>
        <w:tc>
          <w:tcPr>
            <w:tcW w:w="1000" w:type="dxa"/>
            <w:vAlign w:val="bottom"/>
            <w:tcBorders>
              <w:bottom w:val="single" w:sz="8" w:color="A5A5A5"/>
              <w:right w:val="single" w:sz="8" w:color="A5A5A5"/>
            </w:tcBorders>
            <w:vMerge w:val="continue"/>
          </w:tcPr>
          <w:p>
            <w:pPr>
              <w:spacing w:after="0"/>
              <w:rPr>
                <w:sz w:val="18"/>
                <w:szCs w:val="18"/>
                <w:color w:val="auto"/>
              </w:rPr>
            </w:pPr>
          </w:p>
        </w:tc>
        <w:tc>
          <w:tcPr>
            <w:tcW w:w="920" w:type="dxa"/>
            <w:vAlign w:val="bottom"/>
            <w:tcBorders>
              <w:bottom w:val="single" w:sz="8" w:color="A5A5A5"/>
              <w:right w:val="single" w:sz="8" w:color="A5A5A5"/>
            </w:tcBorders>
            <w:vMerge w:val="continue"/>
          </w:tcPr>
          <w:p>
            <w:pPr>
              <w:spacing w:after="0"/>
              <w:rPr>
                <w:sz w:val="18"/>
                <w:szCs w:val="18"/>
                <w:color w:val="auto"/>
              </w:rPr>
            </w:pPr>
          </w:p>
        </w:tc>
        <w:tc>
          <w:tcPr>
            <w:tcW w:w="1020" w:type="dxa"/>
            <w:vAlign w:val="bottom"/>
            <w:tcBorders>
              <w:bottom w:val="single" w:sz="8" w:color="A5A5A5"/>
              <w:right w:val="single" w:sz="8" w:color="A5A5A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Cash balances</w:t>
            </w:r>
          </w:p>
        </w:tc>
        <w:tc>
          <w:tcPr>
            <w:tcW w:w="1000" w:type="dxa"/>
            <w:vAlign w:val="bottom"/>
            <w:tcBorders>
              <w:right w:val="single" w:sz="8" w:color="A5A5A5"/>
            </w:tcBorders>
          </w:tcPr>
          <w:p>
            <w:pPr>
              <w:spacing w:after="0"/>
              <w:rPr>
                <w:sz w:val="15"/>
                <w:szCs w:val="15"/>
                <w:color w:val="auto"/>
              </w:rPr>
            </w:pPr>
          </w:p>
        </w:tc>
        <w:tc>
          <w:tcPr>
            <w:tcW w:w="920" w:type="dxa"/>
            <w:vAlign w:val="bottom"/>
            <w:tcBorders>
              <w:right w:val="single" w:sz="8" w:color="A5A5A5"/>
            </w:tcBorders>
          </w:tcPr>
          <w:p>
            <w:pPr>
              <w:spacing w:after="0"/>
              <w:rPr>
                <w:sz w:val="15"/>
                <w:szCs w:val="15"/>
                <w:color w:val="auto"/>
              </w:rPr>
            </w:pPr>
          </w:p>
        </w:tc>
        <w:tc>
          <w:tcPr>
            <w:tcW w:w="1020" w:type="dxa"/>
            <w:vAlign w:val="bottom"/>
            <w:tcBorders>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Interest rates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asset levels</w:t>
            </w: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$211</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w w:val="99"/>
              </w:rPr>
              <w:t>11%</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4"/>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10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bottom w:val="single" w:sz="8" w:color="A5A5A5"/>
              <w:right w:val="single" w:sz="8" w:color="A5A5A5"/>
            </w:tcBorders>
          </w:tcPr>
          <w:p>
            <w:pPr>
              <w:spacing w:after="0"/>
              <w:rPr>
                <w:sz w:val="14"/>
                <w:szCs w:val="14"/>
                <w:color w:val="auto"/>
              </w:rPr>
            </w:pPr>
          </w:p>
        </w:tc>
        <w:tc>
          <w:tcPr>
            <w:tcW w:w="2400" w:type="dxa"/>
            <w:vAlign w:val="bottom"/>
            <w:tcBorders>
              <w:bottom w:val="single" w:sz="8" w:color="A5A5A5"/>
              <w:right w:val="single" w:sz="8" w:color="A5A5A5"/>
            </w:tcBorders>
          </w:tcPr>
          <w:p>
            <w:pPr>
              <w:spacing w:after="0"/>
              <w:rPr>
                <w:sz w:val="14"/>
                <w:szCs w:val="14"/>
                <w:color w:val="auto"/>
              </w:rPr>
            </w:pPr>
          </w:p>
        </w:tc>
        <w:tc>
          <w:tcPr>
            <w:tcW w:w="1000" w:type="dxa"/>
            <w:vAlign w:val="bottom"/>
            <w:tcBorders>
              <w:bottom w:val="single" w:sz="8" w:color="A5A5A5"/>
              <w:right w:val="single" w:sz="8" w:color="A5A5A5"/>
            </w:tcBorders>
          </w:tcPr>
          <w:p>
            <w:pPr>
              <w:spacing w:after="0"/>
              <w:rPr>
                <w:sz w:val="14"/>
                <w:szCs w:val="14"/>
                <w:color w:val="auto"/>
              </w:rPr>
            </w:pPr>
          </w:p>
        </w:tc>
        <w:tc>
          <w:tcPr>
            <w:tcW w:w="920" w:type="dxa"/>
            <w:vAlign w:val="bottom"/>
            <w:tcBorders>
              <w:bottom w:val="single" w:sz="8" w:color="A5A5A5"/>
              <w:right w:val="single" w:sz="8" w:color="A5A5A5"/>
            </w:tcBorders>
          </w:tcPr>
          <w:p>
            <w:pPr>
              <w:spacing w:after="0"/>
              <w:rPr>
                <w:sz w:val="14"/>
                <w:szCs w:val="14"/>
                <w:color w:val="auto"/>
              </w:rPr>
            </w:pPr>
          </w:p>
        </w:tc>
        <w:tc>
          <w:tcPr>
            <w:tcW w:w="1020" w:type="dxa"/>
            <w:vAlign w:val="bottom"/>
            <w:tcBorders>
              <w:bottom w:val="single" w:sz="8" w:color="A5A5A5"/>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activity</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clients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(Investor) Accounts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advisors</w:t>
            </w: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$178</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00" w:type="dxa"/>
            <w:vAlign w:val="bottom"/>
            <w:tcBorders>
              <w:left w:val="single" w:sz="8" w:color="999999"/>
              <w:right w:val="single" w:sz="8" w:color="A5A5A5"/>
            </w:tcBorders>
          </w:tcPr>
          <w:p>
            <w:pPr>
              <w:spacing w:after="0"/>
              <w:rPr>
                <w:sz w:val="17"/>
                <w:szCs w:val="17"/>
                <w:color w:val="auto"/>
              </w:rPr>
            </w:pPr>
          </w:p>
        </w:tc>
        <w:tc>
          <w:tcPr>
            <w:tcW w:w="2420" w:type="dxa"/>
            <w:vAlign w:val="bottom"/>
            <w:tcBorders>
              <w:bottom w:val="single" w:sz="8" w:color="A5A5A5"/>
              <w:right w:val="single" w:sz="8" w:color="A5A5A5"/>
            </w:tcBorders>
          </w:tcPr>
          <w:p>
            <w:pPr>
              <w:spacing w:after="0"/>
              <w:rPr>
                <w:sz w:val="17"/>
                <w:szCs w:val="17"/>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auto"/>
              </w:rPr>
              <w:t>- Premium technology subscribers</w:t>
            </w:r>
          </w:p>
        </w:tc>
        <w:tc>
          <w:tcPr>
            <w:tcW w:w="1000" w:type="dxa"/>
            <w:vAlign w:val="bottom"/>
            <w:tcBorders>
              <w:bottom w:val="single" w:sz="8" w:color="A5A5A5"/>
              <w:right w:val="single" w:sz="8" w:color="A5A5A5"/>
            </w:tcBorders>
          </w:tcPr>
          <w:p>
            <w:pPr>
              <w:spacing w:after="0"/>
              <w:rPr>
                <w:sz w:val="17"/>
                <w:szCs w:val="17"/>
                <w:color w:val="auto"/>
              </w:rPr>
            </w:pPr>
          </w:p>
        </w:tc>
        <w:tc>
          <w:tcPr>
            <w:tcW w:w="920" w:type="dxa"/>
            <w:vAlign w:val="bottom"/>
            <w:tcBorders>
              <w:bottom w:val="single" w:sz="8" w:color="A5A5A5"/>
              <w:right w:val="single" w:sz="8" w:color="A5A5A5"/>
            </w:tcBorders>
          </w:tcPr>
          <w:p>
            <w:pPr>
              <w:spacing w:after="0"/>
              <w:rPr>
                <w:sz w:val="17"/>
                <w:szCs w:val="17"/>
                <w:color w:val="auto"/>
              </w:rPr>
            </w:pPr>
          </w:p>
        </w:tc>
        <w:tc>
          <w:tcPr>
            <w:tcW w:w="1020" w:type="dxa"/>
            <w:vAlign w:val="bottom"/>
            <w:tcBorders>
              <w:bottom w:val="single" w:sz="8" w:color="A5A5A5"/>
              <w:right w:val="single" w:sz="8" w:color="A5A5A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Margin accounts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$32</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13"/>
        </w:trPr>
        <w:tc>
          <w:tcPr>
            <w:tcW w:w="1500" w:type="dxa"/>
            <w:vAlign w:val="bottom"/>
            <w:tcBorders>
              <w:left w:val="single" w:sz="8" w:color="999999"/>
              <w:right w:val="single" w:sz="8" w:color="A5A5A5"/>
            </w:tcBorders>
          </w:tcPr>
          <w:p>
            <w:pPr>
              <w:spacing w:after="0"/>
              <w:rPr>
                <w:sz w:val="9"/>
                <w:szCs w:val="9"/>
                <w:color w:val="auto"/>
              </w:rPr>
            </w:pPr>
          </w:p>
        </w:tc>
        <w:tc>
          <w:tcPr>
            <w:tcW w:w="2420" w:type="dxa"/>
            <w:vAlign w:val="bottom"/>
            <w:tcBorders>
              <w:right w:val="single" w:sz="8" w:color="A5A5A5"/>
            </w:tcBorders>
          </w:tcPr>
          <w:p>
            <w:pPr>
              <w:spacing w:after="0"/>
              <w:rPr>
                <w:sz w:val="9"/>
                <w:szCs w:val="9"/>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Alternative investment transactions</w:t>
            </w:r>
          </w:p>
        </w:tc>
        <w:tc>
          <w:tcPr>
            <w:tcW w:w="1000" w:type="dxa"/>
            <w:vAlign w:val="bottom"/>
            <w:tcBorders>
              <w:right w:val="single" w:sz="8" w:color="A5A5A5"/>
            </w:tcBorders>
            <w:vMerge w:val="continue"/>
          </w:tcPr>
          <w:p>
            <w:pPr>
              <w:spacing w:after="0"/>
              <w:rPr>
                <w:sz w:val="9"/>
                <w:szCs w:val="9"/>
                <w:color w:val="auto"/>
              </w:rPr>
            </w:pPr>
          </w:p>
        </w:tc>
        <w:tc>
          <w:tcPr>
            <w:tcW w:w="920" w:type="dxa"/>
            <w:vAlign w:val="bottom"/>
            <w:tcBorders>
              <w:right w:val="single" w:sz="8" w:color="A5A5A5"/>
            </w:tcBorders>
            <w:vMerge w:val="continue"/>
          </w:tcPr>
          <w:p>
            <w:pPr>
              <w:spacing w:after="0"/>
              <w:rPr>
                <w:sz w:val="9"/>
                <w:szCs w:val="9"/>
                <w:color w:val="auto"/>
              </w:rPr>
            </w:pPr>
          </w:p>
        </w:tc>
        <w:tc>
          <w:tcPr>
            <w:tcW w:w="1020" w:type="dxa"/>
            <w:vAlign w:val="bottom"/>
            <w:tcBorders>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10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400" w:type="dxa"/>
            <w:vAlign w:val="bottom"/>
            <w:tcBorders>
              <w:right w:val="single" w:sz="8" w:color="A5A5A5"/>
            </w:tcBorders>
          </w:tcPr>
          <w:p>
            <w:pPr>
              <w:spacing w:after="0"/>
              <w:rPr>
                <w:sz w:val="20"/>
                <w:szCs w:val="20"/>
                <w:color w:val="auto"/>
              </w:rPr>
            </w:pP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$1,994</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9"/>
        </w:trPr>
        <w:tc>
          <w:tcPr>
            <w:tcW w:w="1500" w:type="dxa"/>
            <w:vAlign w:val="bottom"/>
            <w:tcBorders>
              <w:right w:val="single" w:sz="8" w:color="A5A5A5"/>
            </w:tcBorders>
          </w:tcPr>
          <w:p>
            <w:pPr>
              <w:spacing w:after="0"/>
              <w:rPr>
                <w:sz w:val="2"/>
                <w:szCs w:val="2"/>
                <w:color w:val="auto"/>
              </w:rPr>
            </w:pPr>
          </w:p>
        </w:tc>
        <w:tc>
          <w:tcPr>
            <w:tcW w:w="2420" w:type="dxa"/>
            <w:vAlign w:val="bottom"/>
            <w:tcBorders>
              <w:bottom w:val="single" w:sz="8" w:color="A5A5A5"/>
            </w:tcBorders>
          </w:tcPr>
          <w:p>
            <w:pPr>
              <w:spacing w:after="0"/>
              <w:rPr>
                <w:sz w:val="2"/>
                <w:szCs w:val="2"/>
                <w:color w:val="auto"/>
              </w:rPr>
            </w:pPr>
          </w:p>
        </w:tc>
        <w:tc>
          <w:tcPr>
            <w:tcW w:w="2400" w:type="dxa"/>
            <w:vAlign w:val="bottom"/>
            <w:tcBorders>
              <w:bottom w:val="single" w:sz="8" w:color="A5A5A5"/>
              <w:right w:val="single" w:sz="8" w:color="A5A5A5"/>
            </w:tcBorders>
          </w:tcPr>
          <w:p>
            <w:pPr>
              <w:spacing w:after="0"/>
              <w:rPr>
                <w:sz w:val="2"/>
                <w:szCs w:val="2"/>
                <w:color w:val="auto"/>
              </w:rPr>
            </w:pPr>
          </w:p>
        </w:tc>
        <w:tc>
          <w:tcPr>
            <w:tcW w:w="1000" w:type="dxa"/>
            <w:vAlign w:val="bottom"/>
            <w:tcBorders>
              <w:bottom w:val="single" w:sz="8" w:color="A5A5A5"/>
              <w:right w:val="single" w:sz="8" w:color="A5A5A5"/>
            </w:tcBorders>
          </w:tcPr>
          <w:p>
            <w:pPr>
              <w:spacing w:after="0"/>
              <w:rPr>
                <w:sz w:val="2"/>
                <w:szCs w:val="2"/>
                <w:color w:val="auto"/>
              </w:rPr>
            </w:pPr>
          </w:p>
        </w:tc>
        <w:tc>
          <w:tcPr>
            <w:tcW w:w="920" w:type="dxa"/>
            <w:vAlign w:val="bottom"/>
            <w:tcBorders>
              <w:bottom w:val="single" w:sz="8" w:color="A5A5A5"/>
              <w:right w:val="single" w:sz="8" w:color="A5A5A5"/>
            </w:tcBorders>
          </w:tcPr>
          <w:p>
            <w:pPr>
              <w:spacing w:after="0"/>
              <w:rPr>
                <w:sz w:val="2"/>
                <w:szCs w:val="2"/>
                <w:color w:val="auto"/>
              </w:rPr>
            </w:pPr>
          </w:p>
        </w:tc>
        <w:tc>
          <w:tcPr>
            <w:tcW w:w="1020" w:type="dxa"/>
            <w:vAlign w:val="bottom"/>
            <w:tcBorders>
              <w:bottom w:val="single" w:sz="8" w:color="A5A5A5"/>
              <w:right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400" w:type="dxa"/>
            <w:vAlign w:val="bottom"/>
            <w:tcBorders>
              <w:right w:val="single" w:sz="8" w:color="A5A5A5"/>
            </w:tcBorders>
          </w:tcPr>
          <w:p>
            <w:pPr>
              <w:spacing w:after="0"/>
              <w:rPr>
                <w:sz w:val="20"/>
                <w:szCs w:val="20"/>
                <w:color w:val="auto"/>
              </w:rPr>
            </w:pPr>
          </w:p>
        </w:tc>
        <w:tc>
          <w:tcPr>
            <w:tcW w:w="100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66%</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500" w:type="dxa"/>
            <w:vAlign w:val="bottom"/>
            <w:tcBorders>
              <w:right w:val="single" w:sz="8" w:color="A5A5A5"/>
            </w:tcBorders>
          </w:tcPr>
          <w:p>
            <w:pPr>
              <w:spacing w:after="0"/>
              <w:rPr>
                <w:sz w:val="2"/>
                <w:szCs w:val="2"/>
                <w:color w:val="auto"/>
              </w:rPr>
            </w:pPr>
          </w:p>
        </w:tc>
        <w:tc>
          <w:tcPr>
            <w:tcW w:w="2420" w:type="dxa"/>
            <w:vAlign w:val="bottom"/>
            <w:tcBorders>
              <w:bottom w:val="single" w:sz="8" w:color="A5A5A5"/>
            </w:tcBorders>
          </w:tcPr>
          <w:p>
            <w:pPr>
              <w:spacing w:after="0"/>
              <w:rPr>
                <w:sz w:val="2"/>
                <w:szCs w:val="2"/>
                <w:color w:val="auto"/>
              </w:rPr>
            </w:pPr>
          </w:p>
        </w:tc>
        <w:tc>
          <w:tcPr>
            <w:tcW w:w="2400" w:type="dxa"/>
            <w:vAlign w:val="bottom"/>
            <w:tcBorders>
              <w:bottom w:val="single" w:sz="8" w:color="A5A5A5"/>
              <w:right w:val="single" w:sz="8" w:color="A5A5A5"/>
            </w:tcBorders>
          </w:tcPr>
          <w:p>
            <w:pPr>
              <w:spacing w:after="0"/>
              <w:rPr>
                <w:sz w:val="2"/>
                <w:szCs w:val="2"/>
                <w:color w:val="auto"/>
              </w:rPr>
            </w:pPr>
          </w:p>
        </w:tc>
        <w:tc>
          <w:tcPr>
            <w:tcW w:w="1000" w:type="dxa"/>
            <w:vAlign w:val="bottom"/>
            <w:tcBorders>
              <w:bottom w:val="single" w:sz="8" w:color="A5A5A5"/>
              <w:right w:val="single" w:sz="8" w:color="A5A5A5"/>
            </w:tcBorders>
          </w:tcPr>
          <w:p>
            <w:pPr>
              <w:spacing w:after="0"/>
              <w:rPr>
                <w:sz w:val="2"/>
                <w:szCs w:val="2"/>
                <w:color w:val="auto"/>
              </w:rPr>
            </w:pPr>
          </w:p>
        </w:tc>
        <w:tc>
          <w:tcPr>
            <w:tcW w:w="920" w:type="dxa"/>
            <w:vAlign w:val="bottom"/>
            <w:tcBorders>
              <w:bottom w:val="single" w:sz="8" w:color="A5A5A5"/>
              <w:right w:val="single" w:sz="8" w:color="A5A5A5"/>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160" w:hanging="120"/>
        <w:spacing w:after="0" w:line="292"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 generally 85-90% of which is paid to advisors.</w:t>
      </w:r>
    </w:p>
    <w:p>
      <w:pPr>
        <w:spacing w:after="0" w:line="145"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front-end sales commissions that occur at the point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sale and trailing commissions. Transaction-based commission revenues primarily represent gross commissions generated by our advisors, primarily from commissions earned on the sale of various financial products such as mutual funds, variable and fixed annuities, alternative investments, general securities, fixed income, insurance, group annuities and options and commodities. The levels of transaction-based commissions can vary from period to period based on the overall economic environment, number of trading days in the reporting period and investment activity of our advisors' clients. We earn trailing commission revenues (a commission that is paid over time, such as 12(b)-1 fees) on mutual funds and variable annuities held by clients of our advisors. Trailing commissions are recurring in nature and are earned based on the current market value of investment holdings in trail-eligible assets.</w:t>
      </w:r>
    </w:p>
    <w:p>
      <w:pPr>
        <w:spacing w:after="0" w:line="182" w:lineRule="exact"/>
        <w:rPr>
          <w:sz w:val="20"/>
          <w:szCs w:val="20"/>
          <w:color w:val="auto"/>
        </w:rPr>
      </w:pPr>
    </w:p>
    <w:p>
      <w:pPr>
        <w:ind w:left="1160" w:right="40"/>
        <w:spacing w:after="0" w:line="258"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represent fees charged on our corporate RIA platform provided through LPL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("LPL Financial") to clients of our advisors based 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each calendar quarter. Generally, the advisory revenues collected on our corporate RIA platform range from 0.5% to 3.0% of the underlying assets.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0" w:right="259" w:bottom="1440" w:gutter="0" w:footer="0" w:header="0"/>
        </w:sectPr>
      </w:pPr>
    </w:p>
    <w:bookmarkStart w:id="28" w:name="page29"/>
    <w:bookmarkEnd w:id="28"/>
    <w:p>
      <w:pPr>
        <w:ind w:left="1140" w:right="20"/>
        <w:spacing w:after="0" w:line="257"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 of 1940, rather than through LPL Financial. The assets held under these investment advisory accounts custodied with LPL Financial are included in our advisory and brokerage assets, net new advisory assets and advisory assets under custody metrics. The advisory revenue generated by an Independent RIA is earned by the Independent RIA, and accordingly is not included in our advisory revenue. However, we charge administrative fees to Independent RIAs including custody and clearing fees, based on the value of assets within these advisory accounts. The administrative fees collected on our Independent RIA platform vary, and can reach a maximum of 0.6% of the underlying assets.</w:t>
      </w:r>
    </w:p>
    <w:p>
      <w:pPr>
        <w:spacing w:after="0" w:line="177" w:lineRule="exact"/>
        <w:rPr>
          <w:sz w:val="20"/>
          <w:szCs w:val="20"/>
          <w:color w:val="auto"/>
        </w:rPr>
      </w:pPr>
    </w:p>
    <w:p>
      <w:pPr>
        <w:ind w:left="1140" w:right="100"/>
        <w:spacing w:after="0" w:line="29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45" w:lineRule="exact"/>
        <w:rPr>
          <w:sz w:val="20"/>
          <w:szCs w:val="20"/>
          <w:color w:val="auto"/>
        </w:rPr>
      </w:pPr>
    </w:p>
    <w:p>
      <w:pPr>
        <w:ind w:left="520" w:hanging="120"/>
        <w:spacing w:after="0" w:line="255"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based upon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177" w:lineRule="exact"/>
        <w:rPr>
          <w:rFonts w:ascii="Arial" w:cs="Arial" w:eastAsia="Arial" w:hAnsi="Arial"/>
          <w:sz w:val="18"/>
          <w:szCs w:val="18"/>
          <w:color w:val="auto"/>
        </w:rPr>
      </w:pPr>
    </w:p>
    <w:p>
      <w:pPr>
        <w:ind w:left="520" w:right="40" w:hanging="120"/>
        <w:spacing w:after="0" w:line="25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Revenues. </w:t>
      </w:r>
      <w:r>
        <w:rPr>
          <w:rFonts w:ascii="Arial" w:cs="Arial" w:eastAsia="Arial" w:hAnsi="Arial"/>
          <w:sz w:val="18"/>
          <w:szCs w:val="18"/>
          <w:color w:val="auto"/>
        </w:rPr>
        <w:t>Revenues earned from transactions and other services provided primarily consist of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monthly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an attendance fee.</w:t>
      </w:r>
    </w:p>
    <w:p>
      <w:pPr>
        <w:spacing w:after="0" w:line="177" w:lineRule="exact"/>
        <w:rPr>
          <w:rFonts w:ascii="Arial" w:cs="Arial" w:eastAsia="Arial" w:hAnsi="Arial"/>
          <w:sz w:val="18"/>
          <w:szCs w:val="18"/>
          <w:color w:val="auto"/>
        </w:rPr>
      </w:pPr>
    </w:p>
    <w:p>
      <w:pPr>
        <w:jc w:val="both"/>
        <w:ind w:left="520" w:right="60" w:hanging="120"/>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includes marketing re-allowance fees from certain financial product manufacturers, primarily those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alternative investments, mark-to-market gains or losses on assets held by us for the advisors' non-qualified deferred compensation plan and our model portfolios, revenues from our retirement partner program, as well as interest income from client margin accounts and cash equivalents, net of operating interest expense and other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100" w:hanging="120"/>
        <w:spacing w:after="0" w:line="25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 and advisory revenues earned on each client's account (collectively, commission and advisory revenues earned are referred to as gross dealer concessions, or "GDC"); production bonuses earned by advisors based on the levels of commission and advisory revenues they produce; the recognition of share-based compensation expense from stock options and warrants granted to advisors and financial institutions based on the fair value of the awards at each interim reporting period; a mark-to-market gain or loss on amounts designated by advisors as deferred commissions in a non-qualified deferred compensation plan at each interim reporting period; and brokerage, clearing and exchange fees. Our production payout ratio is calculated as production expenses excluding brokerage, clearing and exchange fees, divided by GDC.</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0" w:right="239" w:bottom="1440" w:gutter="0" w:footer="0" w:header="0"/>
        </w:sectPr>
      </w:pPr>
    </w:p>
    <w:bookmarkStart w:id="29" w:name="page30"/>
    <w:bookmarkEnd w:id="29"/>
    <w:p>
      <w:pPr>
        <w:ind w:left="520" w:right="60"/>
        <w:spacing w:after="0" w:line="255"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stock options and warrants granted to advisors and financial institutions based on the fair value of the awards at each interim reporting period, and mark-to-market gains or losses on amounts designated by advisors as deferred commissions in a non-qualified deferred compensation plan. Non-GDC sensitive payout is correlated to market movement as well as to the value of our stock. We believe that discussion of production payout, viewed in addition to, and not in lieu of, our production expenses, provides useful information to investors regarding our payouts to advisors.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illustrates production expenses and production payout as components of our payout ratio for the six months ended</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June 30, 2013: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52"/>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5"/>
        </w:trPr>
        <w:tc>
          <w:tcPr>
            <w:tcW w:w="9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52"/>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55"/>
        </w:trPr>
        <w:tc>
          <w:tcPr>
            <w:tcW w:w="9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line="120" w:lineRule="exact"/>
              <w:rPr>
                <w:sz w:val="20"/>
                <w:szCs w:val="20"/>
                <w:color w:val="auto"/>
              </w:rPr>
            </w:pPr>
            <w:r>
              <w:rPr>
                <w:rFonts w:ascii="Arial" w:cs="Arial" w:eastAsia="Arial" w:hAnsi="Arial"/>
                <w:sz w:val="11"/>
                <w:szCs w:val="11"/>
                <w:color w:val="auto"/>
              </w:rPr>
              <w:t>________________________________</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986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860" w:type="dxa"/>
            <w:vAlign w:val="bottom"/>
          </w:tcPr>
          <w:p>
            <w:pPr>
              <w:ind w:left="80"/>
              <w:spacing w:after="0"/>
              <w:rPr>
                <w:sz w:val="20"/>
                <w:szCs w:val="20"/>
                <w:color w:val="auto"/>
              </w:rPr>
            </w:pPr>
            <w:r>
              <w:rPr>
                <w:rFonts w:ascii="Arial" w:cs="Arial" w:eastAsia="Arial" w:hAnsi="Arial"/>
                <w:sz w:val="18"/>
                <w:szCs w:val="18"/>
                <w:color w:val="auto"/>
              </w:rPr>
              <w:t>See "Results of Operations" for the comparative 2012 period's analysis of production payout ratio.</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20" w:right="400" w:hanging="120"/>
        <w:spacing w:after="0" w:line="271" w:lineRule="auto"/>
        <w:tabs>
          <w:tab w:leader="none" w:pos="52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3" w:lineRule="exact"/>
        <w:rPr>
          <w:rFonts w:ascii="Arial" w:cs="Arial" w:eastAsia="Arial" w:hAnsi="Arial"/>
          <w:sz w:val="18"/>
          <w:szCs w:val="18"/>
          <w:color w:val="auto"/>
        </w:rPr>
      </w:pPr>
    </w:p>
    <w:p>
      <w:pPr>
        <w:ind w:left="520" w:right="160" w:hanging="120"/>
        <w:spacing w:after="0" w:line="271" w:lineRule="auto"/>
        <w:tabs>
          <w:tab w:leader="none" w:pos="52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professional services and other expenses. General and administrative expenses also include expenses for our hosting of certain advisor conferences that serve as training, sales and marketing events.</w:t>
      </w:r>
    </w:p>
    <w:p>
      <w:pPr>
        <w:spacing w:after="0" w:line="163" w:lineRule="exact"/>
        <w:rPr>
          <w:rFonts w:ascii="Arial" w:cs="Arial" w:eastAsia="Arial" w:hAnsi="Arial"/>
          <w:sz w:val="18"/>
          <w:szCs w:val="18"/>
          <w:color w:val="auto"/>
        </w:rPr>
      </w:pPr>
    </w:p>
    <w:p>
      <w:pPr>
        <w:ind w:left="520" w:right="60" w:hanging="120"/>
        <w:spacing w:after="0" w:line="271" w:lineRule="auto"/>
        <w:tabs>
          <w:tab w:leader="none" w:pos="52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consist of significant intangible assets established through our acquisitions, as well as fixed assets which include internally developed software, hardware, leasehold improvements and other equipment.</w:t>
      </w:r>
    </w:p>
    <w:p>
      <w:pPr>
        <w:spacing w:after="0" w:line="163" w:lineRule="exact"/>
        <w:rPr>
          <w:rFonts w:ascii="Arial" w:cs="Arial" w:eastAsia="Arial" w:hAnsi="Arial"/>
          <w:sz w:val="18"/>
          <w:szCs w:val="18"/>
          <w:color w:val="auto"/>
        </w:rPr>
      </w:pPr>
    </w:p>
    <w:p>
      <w:pPr>
        <w:ind w:left="500" w:right="40" w:hanging="168"/>
        <w:spacing w:after="0" w:line="26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primarily represent expenses incurred as a result of our expansion of our Service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announced in 2013 (See Note 3 in the unaudited condensed consolidated financial statements). Restructuring charges also include costs arising from our 2011 consolidation of UVEST Financial Services Group, Inc. ("UVEST") and our 2009 consolidation of Mutual Service Corporation, Associated Financial Group, Inc., Associated Securities Corp., Associated Planners Investment Advisory, Inc. and Waterstone Financial Group, Inc. (collectively referred to herein as the “Affiliated Entities”).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25"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and six months ended June 30, 2013 and 2012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7"/>
          </w:tcPr>
          <w:p>
            <w:pPr>
              <w:ind w:left="620"/>
              <w:spacing w:after="0"/>
              <w:rPr>
                <w:sz w:val="20"/>
                <w:szCs w:val="20"/>
                <w:color w:val="auto"/>
              </w:rPr>
            </w:pPr>
            <w:r>
              <w:rPr>
                <w:rFonts w:ascii="Arial" w:cs="Arial" w:eastAsia="Arial" w:hAnsi="Arial"/>
                <w:sz w:val="16"/>
                <w:szCs w:val="16"/>
                <w:b w:val="1"/>
                <w:bCs w:val="1"/>
                <w:color w:val="auto"/>
              </w:rPr>
              <w:t>As of June 30,</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5"/>
        </w:trPr>
        <w:tc>
          <w:tcPr>
            <w:tcW w:w="5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r>
      <w:tr>
        <w:trPr>
          <w:trHeight w:val="386"/>
        </w:trPr>
        <w:tc>
          <w:tcPr>
            <w:tcW w:w="5360" w:type="dxa"/>
            <w:vAlign w:val="bottom"/>
          </w:tcPr>
          <w:p>
            <w:pPr>
              <w:ind w:left="80"/>
              <w:spacing w:after="0"/>
              <w:rPr>
                <w:sz w:val="20"/>
                <w:szCs w:val="20"/>
                <w:color w:val="auto"/>
              </w:rPr>
            </w:pPr>
            <w:r>
              <w:rPr>
                <w:rFonts w:ascii="Arial" w:cs="Arial" w:eastAsia="Arial" w:hAnsi="Arial"/>
                <w:sz w:val="18"/>
                <w:szCs w:val="18"/>
                <w:b w:val="1"/>
                <w:bCs w:val="1"/>
                <w:color w:val="auto"/>
              </w:rPr>
              <w:t xml:space="preserve">Business Metrics </w:t>
            </w:r>
            <w:r>
              <w:rPr>
                <w:rFonts w:ascii="Arial" w:cs="Arial" w:eastAsia="Arial" w:hAnsi="Arial"/>
                <w:sz w:val="16"/>
                <w:szCs w:val="16"/>
                <w:b w:val="1"/>
                <w:bCs w:val="1"/>
                <w:color w:val="auto"/>
              </w:rPr>
              <w:t>(unaudited)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1"/>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5"/>
        </w:trPr>
        <w:tc>
          <w:tcPr>
            <w:tcW w:w="536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billions)(1)</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396.7</w:t>
            </w:r>
          </w:p>
        </w:tc>
        <w:tc>
          <w:tcPr>
            <w:tcW w:w="60" w:type="dxa"/>
            <w:vAlign w:val="bottom"/>
          </w:tcPr>
          <w:p>
            <w:pPr>
              <w:spacing w:after="0"/>
              <w:rPr>
                <w:sz w:val="23"/>
                <w:szCs w:val="23"/>
                <w:color w:val="auto"/>
              </w:rPr>
            </w:pPr>
          </w:p>
        </w:tc>
        <w:tc>
          <w:tcPr>
            <w:tcW w:w="40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5"/>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custody (in billions)(2)(3)</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65"/>
        </w:trPr>
        <w:tc>
          <w:tcPr>
            <w:tcW w:w="5360" w:type="dxa"/>
            <w:vAlign w:val="bottom"/>
          </w:tcPr>
          <w:p>
            <w:pPr>
              <w:ind w:left="80"/>
              <w:spacing w:after="0"/>
              <w:rPr>
                <w:sz w:val="20"/>
                <w:szCs w:val="20"/>
                <w:color w:val="auto"/>
              </w:rPr>
            </w:pPr>
            <w:r>
              <w:rPr>
                <w:rFonts w:ascii="Arial" w:cs="Arial" w:eastAsia="Arial" w:hAnsi="Arial"/>
                <w:sz w:val="18"/>
                <w:szCs w:val="18"/>
                <w:color w:val="auto"/>
              </w:rPr>
              <w:t>Net new advisory assets (in billions)(4)</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3"/>
                <w:szCs w:val="23"/>
                <w:color w:val="auto"/>
              </w:rPr>
            </w:pPr>
          </w:p>
        </w:tc>
        <w:tc>
          <w:tcPr>
            <w:tcW w:w="40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5"/>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billions)(3)</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61"/>
        </w:trPr>
        <w:tc>
          <w:tcPr>
            <w:tcW w:w="536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billions)(3)</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2"/>
                <w:szCs w:val="22"/>
                <w:color w:val="auto"/>
              </w:rPr>
            </w:pPr>
          </w:p>
        </w:tc>
        <w:tc>
          <w:tcPr>
            <w:tcW w:w="40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816"/>
        </w:trPr>
        <w:tc>
          <w:tcPr>
            <w:tcW w:w="5360" w:type="dxa"/>
            <w:vAlign w:val="bottom"/>
          </w:tcPr>
          <w:p>
            <w:pPr>
              <w:spacing w:after="0"/>
              <w:rPr>
                <w:sz w:val="24"/>
                <w:szCs w:val="24"/>
                <w:color w:val="auto"/>
              </w:rPr>
            </w:pPr>
          </w:p>
        </w:tc>
        <w:tc>
          <w:tcPr>
            <w:tcW w:w="3040" w:type="dxa"/>
            <w:vAlign w:val="bottom"/>
            <w:gridSpan w:val="8"/>
          </w:tcPr>
          <w:p>
            <w:pPr>
              <w:ind w:left="60"/>
              <w:spacing w:after="0"/>
              <w:rPr>
                <w:sz w:val="20"/>
                <w:szCs w:val="20"/>
                <w:color w:val="auto"/>
              </w:rPr>
            </w:pPr>
            <w:r>
              <w:rPr>
                <w:rFonts w:ascii="Arial" w:cs="Arial" w:eastAsia="Arial" w:hAnsi="Arial"/>
                <w:sz w:val="16"/>
                <w:szCs w:val="16"/>
                <w:b w:val="1"/>
                <w:bCs w:val="1"/>
                <w:color w:val="auto"/>
              </w:rPr>
              <w:t>For the Three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5"/>
          </w:tcPr>
          <w:p>
            <w:pPr>
              <w:jc w:val="right"/>
              <w:ind w:right="31"/>
              <w:spacing w:after="0"/>
              <w:rPr>
                <w:sz w:val="20"/>
                <w:szCs w:val="20"/>
                <w:color w:val="auto"/>
              </w:rPr>
            </w:pPr>
            <w:r>
              <w:rPr>
                <w:rFonts w:ascii="Arial" w:cs="Arial" w:eastAsia="Arial" w:hAnsi="Arial"/>
                <w:sz w:val="16"/>
                <w:szCs w:val="16"/>
                <w:b w:val="1"/>
                <w:bCs w:val="1"/>
                <w:color w:val="auto"/>
              </w:rPr>
              <w:t>For the Six Months Ended June 30,</w:t>
            </w:r>
          </w:p>
        </w:tc>
      </w:tr>
      <w:tr>
        <w:trPr>
          <w:trHeight w:val="261"/>
        </w:trPr>
        <w:tc>
          <w:tcPr>
            <w:tcW w:w="53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2012</w:t>
            </w:r>
          </w:p>
        </w:tc>
      </w:tr>
      <w:tr>
        <w:trPr>
          <w:trHeight w:val="391"/>
        </w:trPr>
        <w:tc>
          <w:tcPr>
            <w:tcW w:w="5360" w:type="dxa"/>
            <w:vAlign w:val="bottom"/>
          </w:tcPr>
          <w:p>
            <w:pPr>
              <w:ind w:left="80"/>
              <w:spacing w:after="0"/>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6"/>
                <w:szCs w:val="16"/>
                <w:b w:val="1"/>
                <w:bCs w:val="1"/>
                <w:color w:val="auto"/>
              </w:rPr>
              <w:t>(unaudited)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1"/>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growth from prior period</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5"/>
        </w:trPr>
        <w:tc>
          <w:tcPr>
            <w:tcW w:w="5360" w:type="dxa"/>
            <w:vAlign w:val="bottom"/>
          </w:tcPr>
          <w:p>
            <w:pPr>
              <w:ind w:left="200"/>
              <w:spacing w:after="0"/>
              <w:rPr>
                <w:sz w:val="20"/>
                <w:szCs w:val="20"/>
                <w:color w:val="auto"/>
              </w:rPr>
            </w:pPr>
            <w:r>
              <w:rPr>
                <w:rFonts w:ascii="Arial" w:cs="Arial" w:eastAsia="Arial" w:hAnsi="Arial"/>
                <w:sz w:val="18"/>
                <w:szCs w:val="18"/>
                <w:color w:val="auto"/>
              </w:rPr>
              <w:t>Recurring revenue as a % of net revenue(5)</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75"/>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(in millions)</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80.7</w:t>
            </w:r>
          </w:p>
        </w:tc>
      </w:tr>
      <w:tr>
        <w:trPr>
          <w:trHeight w:val="265"/>
        </w:trPr>
        <w:tc>
          <w:tcPr>
            <w:tcW w:w="5360" w:type="dxa"/>
            <w:vAlign w:val="bottom"/>
          </w:tcPr>
          <w:p>
            <w:pPr>
              <w:ind w:left="200"/>
              <w:spacing w:after="0"/>
              <w:rPr>
                <w:sz w:val="20"/>
                <w:szCs w:val="20"/>
                <w:color w:val="auto"/>
              </w:rPr>
            </w:pPr>
            <w:r>
              <w:rPr>
                <w:rFonts w:ascii="Arial" w:cs="Arial" w:eastAsia="Arial" w:hAnsi="Arial"/>
                <w:sz w:val="18"/>
                <w:szCs w:val="18"/>
                <w:color w:val="auto"/>
              </w:rPr>
              <w:t>Earnings per share (diluted)</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23"/>
                <w:szCs w:val="23"/>
                <w:color w:val="auto"/>
              </w:rPr>
            </w:pPr>
          </w:p>
        </w:tc>
        <w:tc>
          <w:tcPr>
            <w:tcW w:w="40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0.72</w:t>
            </w:r>
          </w:p>
        </w:tc>
      </w:tr>
      <w:tr>
        <w:trPr>
          <w:trHeight w:val="275"/>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Non-GAAP Measures: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5"/>
        </w:trPr>
        <w:tc>
          <w:tcPr>
            <w:tcW w:w="5360" w:type="dxa"/>
            <w:vAlign w:val="bottom"/>
          </w:tcPr>
          <w:p>
            <w:pPr>
              <w:ind w:left="200"/>
              <w:spacing w:after="0"/>
              <w:rPr>
                <w:sz w:val="20"/>
                <w:szCs w:val="20"/>
                <w:color w:val="auto"/>
              </w:rPr>
            </w:pPr>
            <w:r>
              <w:rPr>
                <w:rFonts w:ascii="Arial" w:cs="Arial" w:eastAsia="Arial" w:hAnsi="Arial"/>
                <w:sz w:val="18"/>
                <w:szCs w:val="18"/>
                <w:color w:val="auto"/>
              </w:rPr>
              <w:t>Gross margin (in millions)(6)</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23"/>
                <w:szCs w:val="23"/>
                <w:color w:val="auto"/>
              </w:rPr>
            </w:pPr>
          </w:p>
        </w:tc>
        <w:tc>
          <w:tcPr>
            <w:tcW w:w="40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552.6</w:t>
            </w:r>
          </w:p>
        </w:tc>
      </w:tr>
      <w:tr>
        <w:trPr>
          <w:trHeight w:val="275"/>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 as a % of net revenue(6)</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65"/>
        </w:trPr>
        <w:tc>
          <w:tcPr>
            <w:tcW w:w="5360" w:type="dxa"/>
            <w:vAlign w:val="bottom"/>
          </w:tcPr>
          <w:p>
            <w:pPr>
              <w:ind w:left="200"/>
              <w:spacing w:after="0"/>
              <w:rPr>
                <w:sz w:val="20"/>
                <w:szCs w:val="20"/>
                <w:color w:val="auto"/>
              </w:rPr>
            </w:pPr>
            <w:r>
              <w:rPr>
                <w:rFonts w:ascii="Arial" w:cs="Arial" w:eastAsia="Arial" w:hAnsi="Arial"/>
                <w:sz w:val="18"/>
                <w:szCs w:val="18"/>
                <w:color w:val="auto"/>
              </w:rPr>
              <w:t>Adjusted EBITDA (in millions)</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111.6</w:t>
            </w:r>
          </w:p>
        </w:tc>
        <w:tc>
          <w:tcPr>
            <w:tcW w:w="60" w:type="dxa"/>
            <w:vAlign w:val="bottom"/>
          </w:tcPr>
          <w:p>
            <w:pPr>
              <w:spacing w:after="0"/>
              <w:rPr>
                <w:sz w:val="23"/>
                <w:szCs w:val="23"/>
                <w:color w:val="auto"/>
              </w:rPr>
            </w:pPr>
          </w:p>
        </w:tc>
        <w:tc>
          <w:tcPr>
            <w:tcW w:w="40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236.5</w:t>
            </w:r>
          </w:p>
        </w:tc>
      </w:tr>
      <w:tr>
        <w:trPr>
          <w:trHeight w:val="275"/>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EBITDA as a % of net revenue</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65"/>
        </w:trPr>
        <w:tc>
          <w:tcPr>
            <w:tcW w:w="5360" w:type="dxa"/>
            <w:vAlign w:val="bottom"/>
          </w:tcPr>
          <w:p>
            <w:pPr>
              <w:ind w:left="200"/>
              <w:spacing w:after="0"/>
              <w:rPr>
                <w:sz w:val="20"/>
                <w:szCs w:val="20"/>
                <w:color w:val="auto"/>
              </w:rPr>
            </w:pPr>
            <w:r>
              <w:rPr>
                <w:rFonts w:ascii="Arial" w:cs="Arial" w:eastAsia="Arial" w:hAnsi="Arial"/>
                <w:sz w:val="18"/>
                <w:szCs w:val="18"/>
                <w:color w:val="auto"/>
              </w:rPr>
              <w:t>Adjusted EBITDA as a % of gross margin(6)</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75"/>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Earnings (in millions)</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118.2</w:t>
            </w:r>
          </w:p>
        </w:tc>
      </w:tr>
      <w:tr>
        <w:trPr>
          <w:trHeight w:val="247"/>
        </w:trPr>
        <w:tc>
          <w:tcPr>
            <w:tcW w:w="5360" w:type="dxa"/>
            <w:vAlign w:val="bottom"/>
          </w:tcPr>
          <w:p>
            <w:pPr>
              <w:ind w:left="200"/>
              <w:spacing w:after="0"/>
              <w:rPr>
                <w:sz w:val="20"/>
                <w:szCs w:val="20"/>
                <w:color w:val="auto"/>
              </w:rPr>
            </w:pPr>
            <w:r>
              <w:rPr>
                <w:rFonts w:ascii="Arial" w:cs="Arial" w:eastAsia="Arial" w:hAnsi="Arial"/>
                <w:sz w:val="18"/>
                <w:szCs w:val="18"/>
                <w:color w:val="auto"/>
              </w:rPr>
              <w:t>Adjusted Earnings per share (diluted)</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0.49</w:t>
            </w:r>
          </w:p>
        </w:tc>
        <w:tc>
          <w:tcPr>
            <w:tcW w:w="60" w:type="dxa"/>
            <w:vAlign w:val="bottom"/>
          </w:tcPr>
          <w:p>
            <w:pPr>
              <w:spacing w:after="0"/>
              <w:rPr>
                <w:sz w:val="21"/>
                <w:szCs w:val="21"/>
                <w:color w:val="auto"/>
              </w:rPr>
            </w:pPr>
          </w:p>
        </w:tc>
        <w:tc>
          <w:tcPr>
            <w:tcW w:w="40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1.05</w:t>
            </w:r>
          </w:p>
        </w:tc>
      </w:tr>
      <w:tr>
        <w:trPr>
          <w:trHeight w:val="238"/>
        </w:trPr>
        <w:tc>
          <w:tcPr>
            <w:tcW w:w="5360" w:type="dxa"/>
            <w:vAlign w:val="bottom"/>
          </w:tcPr>
          <w:p>
            <w:pPr>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ind w:left="660" w:right="100" w:hanging="328"/>
        <w:spacing w:after="0" w:line="25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certain other client assets as of June 30, 2013, comprised of $52.1 billion held in retirement plans supported by advisors licensed with LPL Financial, $10.4 billion of trust assets supported by Concord Capital Partners ("Concord") and $65.8 billion of assets supported by Fortigent Holdings Company, Inc. Data regarding certain of these assets was not available at June 30, 2012. In addition, reported retirement plan assets represent assets that are custodied with 27 third-party providers of retirement plan administrative services who provide reporting feeds. We estimate the total assets in retirement plans served to be between $75.0 billion and $90.0 billion. If we receive reporting feeds in the future from providers for whom we do not currently receive feeds, we intend to include and identify such additional assets.</w:t>
      </w:r>
    </w:p>
    <w:p>
      <w:pPr>
        <w:spacing w:after="0" w:line="74"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55" w:lineRule="exact"/>
        <w:rPr>
          <w:rFonts w:ascii="Arial" w:cs="Arial" w:eastAsia="Arial" w:hAnsi="Arial"/>
          <w:sz w:val="18"/>
          <w:szCs w:val="18"/>
          <w:color w:val="auto"/>
        </w:rPr>
      </w:pPr>
    </w:p>
    <w:p>
      <w:pPr>
        <w:ind w:left="660" w:right="160" w:hanging="328"/>
        <w:spacing w:after="0" w:line="29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36" w:lineRule="exact"/>
        <w:rPr>
          <w:rFonts w:ascii="Arial" w:cs="Arial" w:eastAsia="Arial" w:hAnsi="Arial"/>
          <w:sz w:val="18"/>
          <w:szCs w:val="18"/>
          <w:color w:val="auto"/>
        </w:rPr>
      </w:pPr>
    </w:p>
    <w:p>
      <w:pPr>
        <w:ind w:left="660" w:right="24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Net new advisory assets for the three months ended June 30, 2013 and 2012 were $3.7 billion and $2.8 billion, respectively.</w:t>
      </w:r>
    </w:p>
    <w:p>
      <w:pPr>
        <w:sectPr>
          <w:pgSz w:w="11900" w:h="16838" w:orient="portrait"/>
          <w:cols w:equalWidth="0" w:num="1">
            <w:col w:w="11420"/>
          </w:cols>
          <w:pgMar w:left="240" w:top="360" w:right="239" w:bottom="144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60" w:right="239" w:bottom="1440" w:gutter="0" w:footer="0" w:header="0"/>
          <w:type w:val="continuous"/>
        </w:sectPr>
      </w:pPr>
    </w:p>
    <w:bookmarkStart w:id="31" w:name="page32"/>
    <w:bookmarkEnd w:id="31"/>
    <w:p>
      <w:pPr>
        <w:jc w:val="both"/>
        <w:ind w:left="660" w:right="340" w:hanging="328"/>
        <w:spacing w:after="0" w:line="27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Recurring revenue, which is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55"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unaudited condensed consolidated statements of income: (i) commission and advisory and (ii) brokerage, clearing and exchange. All other expense categories, including depreciation and amortization, are considered general and administrative in nature. As our gross margin amounts do not include any depreciation and amortization expense, we consider our gross margin amounts to be non-GAAP measures that may not be comparable to those of others in our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because it excludes certain items that we believe are not representative of our core business, such as certain material non-cash items and other adjustments.</w:t>
      </w:r>
    </w:p>
    <w:p>
      <w:pPr>
        <w:spacing w:after="0" w:line="175"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due to the following exclusions:</w:t>
      </w:r>
    </w:p>
    <w:p>
      <w:pPr>
        <w:spacing w:after="0" w:line="145" w:lineRule="exact"/>
        <w:rPr>
          <w:sz w:val="20"/>
          <w:szCs w:val="20"/>
          <w:color w:val="auto"/>
        </w:rPr>
      </w:pPr>
    </w:p>
    <w:p>
      <w:pPr>
        <w:ind w:left="520" w:right="260" w:hanging="120"/>
        <w:spacing w:after="0" w:line="27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the related share-based compensation expense is not a key measure of our current operating performance and</w:t>
      </w:r>
    </w:p>
    <w:p>
      <w:pPr>
        <w:spacing w:after="0" w:line="163" w:lineRule="exact"/>
        <w:rPr>
          <w:rFonts w:ascii="Arial" w:cs="Arial" w:eastAsia="Arial" w:hAnsi="Arial"/>
          <w:sz w:val="18"/>
          <w:szCs w:val="18"/>
          <w:color w:val="auto"/>
        </w:rPr>
      </w:pPr>
    </w:p>
    <w:p>
      <w:pPr>
        <w:ind w:left="520" w:hanging="120"/>
        <w:spacing w:after="0" w:line="27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20" w:firstLine="486"/>
        <w:spacing w:after="0" w:line="271"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163"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45" w:lineRule="exact"/>
        <w:rPr>
          <w:sz w:val="20"/>
          <w:szCs w:val="20"/>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360" w:right="319" w:bottom="1440" w:gutter="0" w:footer="0" w:header="0"/>
        </w:sectPr>
      </w:pPr>
    </w:p>
    <w:bookmarkStart w:id="32" w:name="page33"/>
    <w:bookmarkEnd w:id="32"/>
    <w:p>
      <w:pPr>
        <w:ind w:left="520" w:right="340" w:hanging="120"/>
        <w:spacing w:after="0" w:line="29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44" w:lineRule="exact"/>
        <w:rPr>
          <w:rFonts w:ascii="Arial" w:cs="Arial" w:eastAsia="Arial" w:hAnsi="Arial"/>
          <w:sz w:val="18"/>
          <w:szCs w:val="18"/>
          <w:color w:val="auto"/>
        </w:rPr>
      </w:pPr>
    </w:p>
    <w:p>
      <w:pPr>
        <w:ind w:left="520" w:right="340" w:hanging="120"/>
        <w:spacing w:after="0" w:line="323"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22"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its limitations by relying primarily on the GAAP results and using Adjusted EBITDA as supplemental information.</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2013 and 2012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 June</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3"/>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99,808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80,681</w:t>
            </w:r>
          </w:p>
        </w:tc>
        <w:tc>
          <w:tcPr>
            <w:tcW w:w="0" w:type="dxa"/>
            <w:vAlign w:val="bottom"/>
          </w:tcPr>
          <w:p>
            <w:pPr>
              <w:spacing w:after="0"/>
              <w:rPr>
                <w:sz w:val="1"/>
                <w:szCs w:val="1"/>
                <w:color w:val="auto"/>
              </w:rPr>
            </w:pPr>
          </w:p>
        </w:tc>
      </w:tr>
      <w:tr>
        <w:trPr>
          <w:trHeight w:val="265"/>
        </w:trPr>
        <w:tc>
          <w:tcPr>
            <w:tcW w:w="55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12,667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13,439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24,827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29,471</w:t>
            </w:r>
          </w:p>
        </w:tc>
        <w:tc>
          <w:tcPr>
            <w:tcW w:w="0" w:type="dxa"/>
            <w:vAlign w:val="bottom"/>
          </w:tcPr>
          <w:p>
            <w:pPr>
              <w:spacing w:after="0"/>
              <w:rPr>
                <w:sz w:val="1"/>
                <w:szCs w:val="1"/>
                <w:color w:val="auto"/>
              </w:rPr>
            </w:pPr>
          </w:p>
        </w:tc>
      </w:tr>
      <w:tr>
        <w:trPr>
          <w:trHeight w:val="275"/>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27,806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65,645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53,490</w:t>
            </w:r>
          </w:p>
        </w:tc>
        <w:tc>
          <w:tcPr>
            <w:tcW w:w="0" w:type="dxa"/>
            <w:vAlign w:val="bottom"/>
          </w:tcPr>
          <w:p>
            <w:pPr>
              <w:spacing w:after="0"/>
              <w:rPr>
                <w:sz w:val="1"/>
                <w:szCs w:val="1"/>
                <w:color w:val="auto"/>
              </w:rPr>
            </w:pPr>
          </w:p>
        </w:tc>
      </w:tr>
      <w:tr>
        <w:trPr>
          <w:trHeight w:val="265"/>
        </w:trPr>
        <w:tc>
          <w:tcPr>
            <w:tcW w:w="5580" w:type="dxa"/>
            <w:vAlign w:val="bottom"/>
          </w:tcPr>
          <w:p>
            <w:pPr>
              <w:ind w:left="80"/>
              <w:spacing w:after="0"/>
              <w:rPr>
                <w:sz w:val="20"/>
                <w:szCs w:val="20"/>
                <w:color w:val="auto"/>
              </w:rPr>
            </w:pPr>
            <w:r>
              <w:rPr>
                <w:rFonts w:ascii="Arial" w:cs="Arial" w:eastAsia="Arial" w:hAnsi="Arial"/>
                <w:sz w:val="18"/>
                <w:szCs w:val="18"/>
                <w:color w:val="auto"/>
              </w:rPr>
              <w:t>Amortization of intangible assets(1)</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9,768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19,544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19,780</w:t>
            </w:r>
          </w:p>
        </w:tc>
        <w:tc>
          <w:tcPr>
            <w:tcW w:w="0" w:type="dxa"/>
            <w:vAlign w:val="bottom"/>
          </w:tcPr>
          <w:p>
            <w:pPr>
              <w:spacing w:after="0"/>
              <w:rPr>
                <w:sz w:val="1"/>
                <w:szCs w:val="1"/>
                <w:color w:val="auto"/>
              </w:rPr>
            </w:pPr>
          </w:p>
        </w:tc>
      </w:tr>
      <w:tr>
        <w:trPr>
          <w:trHeight w:val="275"/>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fixed assets</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7,464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20,475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14,807</w:t>
            </w:r>
          </w:p>
        </w:tc>
        <w:tc>
          <w:tcPr>
            <w:tcW w:w="0" w:type="dxa"/>
            <w:vAlign w:val="bottom"/>
          </w:tcPr>
          <w:p>
            <w:pPr>
              <w:spacing w:after="0"/>
              <w:rPr>
                <w:sz w:val="1"/>
                <w:szCs w:val="1"/>
                <w:color w:val="auto"/>
              </w:rPr>
            </w:pPr>
          </w:p>
        </w:tc>
      </w:tr>
      <w:tr>
        <w:trPr>
          <w:trHeight w:val="245"/>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107,814</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98,159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230,299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198,229</w:t>
            </w:r>
          </w:p>
        </w:tc>
        <w:tc>
          <w:tcPr>
            <w:tcW w:w="0" w:type="dxa"/>
            <w:vAlign w:val="bottom"/>
          </w:tcPr>
          <w:p>
            <w:pPr>
              <w:spacing w:after="0"/>
              <w:rPr>
                <w:sz w:val="1"/>
                <w:szCs w:val="1"/>
                <w:color w:val="auto"/>
              </w:rPr>
            </w:pPr>
          </w:p>
        </w:tc>
      </w:tr>
      <w:tr>
        <w:trPr>
          <w:trHeight w:val="268"/>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7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5,056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65"/>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costs(4)</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13,585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costs(5)</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65"/>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costs(6)</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Other(7)</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5"/>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23,231</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13,420</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36,666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55"/>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131,045</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111,579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266,965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236,534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28"/>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merger transaction in 2005 and our various acquisitions.</w:t>
      </w:r>
    </w:p>
    <w:p>
      <w:pPr>
        <w:spacing w:after="0" w:line="59"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grant-date fair value and recognized over the requisite service period of the individual awards, which generally equals the vesting period.</w:t>
      </w:r>
    </w:p>
    <w:p>
      <w:pPr>
        <w:spacing w:after="0" w:line="55"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During the three and six months ended June 30, 2013, approximately $2.2 million and $1.2 million, respectively, was recognized as a charge against earnings due to a net increase in the estimated fair value of contingent consideration.</w:t>
      </w:r>
    </w:p>
    <w:p>
      <w:pPr>
        <w:spacing w:after="0" w:line="61"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resulting from the expansion of the Service Value Commitment, the 2011 consolidation of UVEST and the 2009 consolidation of the Affiliated Entities. As of June 30, 2013, we have recognized approximately 19% of costs related to the expansion of the Service Value Commitment, which is expected to be completed in 2015. As of June 30, 2013, approximately 91% and 99% of costs related to the 2011 consolidation of UVEST and the 2009 consolidation of the Affiliated Entities, respectively, have been recognized. The remaining costs for the 2011 consolidation of UVEST and the 2009 consolidation of the Affiliated Entities largely consist of the amortization of transition payments that have been made in connection with these two consolidations for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the retention of advisors and financial institutions that are expected to be recognized into earnings by December 2014.</w:t>
      </w:r>
    </w:p>
    <w:p>
      <w:pPr>
        <w:spacing w:after="0" w:line="131"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on our prior senior secured credit facilities, including the write-off of unamortized debt issuance costs that had no economic benefit, as well as various other charges incurred in connection with the repayment under prior senior secured credit facilities and the establishment of new senior secured credit facilities. Results for the three and six months ended June 30, 2013 include a write off of $8.0 million related to the May 2013 refinancing and amendment of our previous credit agreement. Results for the six months ended June 30, 2012 include a write off of $16.5 million related to the March 2012 refinancing and replacement of our original credit agreement.</w:t>
      </w:r>
    </w:p>
    <w:p>
      <w:pPr>
        <w:spacing w:after="0" w:line="69"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first and second quarters of 2012, related to the closing of a secondary offering in the second quarter of 2012.</w:t>
      </w:r>
    </w:p>
    <w:p>
      <w:pPr>
        <w:spacing w:after="0" w:line="36" w:lineRule="exact"/>
        <w:rPr>
          <w:rFonts w:ascii="Arial" w:cs="Arial" w:eastAsia="Arial" w:hAnsi="Arial"/>
          <w:sz w:val="18"/>
          <w:szCs w:val="18"/>
          <w:color w:val="auto"/>
        </w:rPr>
      </w:pPr>
    </w:p>
    <w:p>
      <w:pPr>
        <w:ind w:left="660" w:right="20" w:hanging="328"/>
        <w:spacing w:after="0" w:line="27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Generally, represents certain excise and other taxes. Results for the six months ended June 30, 2013 include $2.7 million of severance and termination benefits related to a change in management structure that have been excluded from the presentation of Adjusted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25"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resulting from our merger transaction in 2005 and our various acquisitions, a component of depreciation and amortization,</w:t>
      </w:r>
    </w:p>
    <w:p>
      <w:pPr>
        <w:spacing w:after="0" w:line="1" w:lineRule="exact"/>
        <w:rPr>
          <w:sz w:val="20"/>
          <w:szCs w:val="20"/>
          <w:color w:val="auto"/>
        </w:rPr>
      </w:pPr>
    </w:p>
    <w:p>
      <w:pPr>
        <w:ind w:firstLine="8"/>
        <w:spacing w:after="0" w:line="266"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225" w:lineRule="exact"/>
        <w:rPr>
          <w:sz w:val="20"/>
          <w:szCs w:val="20"/>
          <w:color w:val="auto"/>
        </w:rPr>
      </w:pPr>
    </w:p>
    <w:p>
      <w:pPr>
        <w:ind w:right="240" w:firstLine="486"/>
        <w:spacing w:after="0" w:line="29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45"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45" w:lineRule="exact"/>
        <w:rPr>
          <w:sz w:val="20"/>
          <w:szCs w:val="20"/>
          <w:color w:val="auto"/>
        </w:rPr>
      </w:pPr>
    </w:p>
    <w:p>
      <w:pPr>
        <w:ind w:left="520" w:right="160" w:hanging="120"/>
        <w:spacing w:after="0" w:line="27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the related share-based compensation expense is not a key measure of our current operating performance;</w:t>
      </w:r>
    </w:p>
    <w:p>
      <w:pPr>
        <w:spacing w:after="0" w:line="163" w:lineRule="exact"/>
        <w:rPr>
          <w:rFonts w:ascii="Arial" w:cs="Arial" w:eastAsia="Arial" w:hAnsi="Arial"/>
          <w:sz w:val="18"/>
          <w:szCs w:val="18"/>
          <w:color w:val="auto"/>
        </w:rPr>
      </w:pPr>
    </w:p>
    <w:p>
      <w:pPr>
        <w:ind w:left="520" w:right="240" w:hanging="120"/>
        <w:spacing w:after="0" w:line="27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163" w:lineRule="exact"/>
        <w:rPr>
          <w:rFonts w:ascii="Arial" w:cs="Arial" w:eastAsia="Arial" w:hAnsi="Arial"/>
          <w:sz w:val="18"/>
          <w:szCs w:val="18"/>
          <w:color w:val="auto"/>
        </w:rPr>
      </w:pPr>
    </w:p>
    <w:p>
      <w:pPr>
        <w:ind w:left="520" w:right="60" w:hanging="120"/>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129"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129" w:lineRule="exact"/>
        <w:rPr>
          <w:sz w:val="20"/>
          <w:szCs w:val="20"/>
          <w:color w:val="auto"/>
        </w:rPr>
      </w:pPr>
    </w:p>
    <w:p>
      <w:pPr>
        <w:ind w:right="220" w:firstLine="486"/>
        <w:spacing w:after="0" w:line="271"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87" w:right="259" w:bottom="1440" w:gutter="0" w:footer="0" w:header="0"/>
        </w:sectPr>
      </w:pPr>
    </w:p>
    <w:bookmarkStart w:id="34" w:name="page35"/>
    <w:bookmarkEnd w:id="34"/>
    <w:p>
      <w:pPr>
        <w:ind w:right="120" w:firstLine="486"/>
        <w:spacing w:after="0" w:line="271"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163" w:lineRule="exact"/>
        <w:rPr>
          <w:sz w:val="20"/>
          <w:szCs w:val="20"/>
          <w:color w:val="auto"/>
        </w:rPr>
      </w:pPr>
    </w:p>
    <w:p>
      <w:pPr>
        <w:ind w:left="520" w:right="80" w:hanging="120"/>
        <w:spacing w:after="0" w:line="29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44" w:lineRule="exact"/>
        <w:rPr>
          <w:rFonts w:ascii="Arial" w:cs="Arial" w:eastAsia="Arial" w:hAnsi="Arial"/>
          <w:sz w:val="18"/>
          <w:szCs w:val="18"/>
          <w:color w:val="auto"/>
        </w:rPr>
      </w:pPr>
    </w:p>
    <w:p>
      <w:pPr>
        <w:ind w:left="520" w:hanging="120"/>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9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45" w:lineRule="exact"/>
        <w:rPr>
          <w:sz w:val="20"/>
          <w:szCs w:val="20"/>
          <w:color w:val="auto"/>
        </w:rPr>
      </w:pPr>
    </w:p>
    <w:p>
      <w:pPr>
        <w:jc w:val="both"/>
        <w:ind w:right="40" w:firstLine="486"/>
        <w:spacing w:after="0" w:line="271"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163"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The following table sets forth a reconciliation of net income to non-GAAP measures Adjusted Earnings and Adjusted Earnings per share for the three and six months ended June 30, 2013 and 2012 (in thousands, except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 June</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5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r>
      <w:tr>
        <w:trPr>
          <w:trHeight w:val="253"/>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1"/>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45,091</w:t>
            </w:r>
          </w:p>
        </w:tc>
        <w:tc>
          <w:tcPr>
            <w:tcW w:w="5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99,808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80,681</w:t>
            </w:r>
          </w:p>
        </w:tc>
      </w:tr>
      <w:tr>
        <w:trPr>
          <w:trHeight w:val="265"/>
        </w:trPr>
        <w:tc>
          <w:tcPr>
            <w:tcW w:w="5580" w:type="dxa"/>
            <w:vAlign w:val="bottom"/>
          </w:tcPr>
          <w:p>
            <w:pPr>
              <w:ind w:left="80"/>
              <w:spacing w:after="0"/>
              <w:rPr>
                <w:sz w:val="20"/>
                <w:szCs w:val="20"/>
                <w:color w:val="auto"/>
              </w:rPr>
            </w:pPr>
            <w:r>
              <w:rPr>
                <w:rFonts w:ascii="Arial" w:cs="Arial" w:eastAsia="Arial" w:hAnsi="Arial"/>
                <w:sz w:val="18"/>
                <w:szCs w:val="18"/>
                <w:color w:val="auto"/>
              </w:rPr>
              <w:t>After-Tax:</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Adjustments(1)</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5"/>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6,973</w:t>
            </w:r>
          </w:p>
        </w:tc>
      </w:tr>
      <w:tr>
        <w:trPr>
          <w:trHeight w:val="27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4,707</w:t>
            </w:r>
          </w:p>
        </w:tc>
      </w:tr>
      <w:tr>
        <w:trPr>
          <w:trHeight w:val="265"/>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2,575</w:t>
            </w:r>
          </w:p>
        </w:tc>
      </w:tr>
      <w:tr>
        <w:trPr>
          <w:trHeight w:val="27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10,274</w:t>
            </w:r>
          </w:p>
        </w:tc>
      </w:tr>
      <w:tr>
        <w:trPr>
          <w:trHeight w:val="265"/>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r>
      <w:tr>
        <w:trPr>
          <w:trHeight w:val="245"/>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EBITDA Adjustments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14,765</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9,333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22,159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25,287</w:t>
            </w: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assets(1)</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6,138</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12,059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12,204</w:t>
            </w:r>
          </w:p>
        </w:tc>
      </w:tr>
      <w:tr>
        <w:trPr>
          <w:trHeight w:val="295"/>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Adjusted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65,883</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54,973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134,026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118,172</w:t>
            </w:r>
          </w:p>
        </w:tc>
      </w:tr>
      <w:tr>
        <w:trPr>
          <w:trHeight w:val="23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Earnings per share(4)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5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47"/>
        </w:trPr>
        <w:tc>
          <w:tcPr>
            <w:tcW w:w="5580" w:type="dxa"/>
            <w:vAlign w:val="bottom"/>
          </w:tcPr>
          <w:p>
            <w:pPr>
              <w:ind w:left="80"/>
              <w:spacing w:after="0"/>
              <w:rPr>
                <w:sz w:val="20"/>
                <w:szCs w:val="20"/>
                <w:color w:val="auto"/>
              </w:rPr>
            </w:pPr>
            <w:r>
              <w:rPr>
                <w:rFonts w:ascii="Arial" w:cs="Arial" w:eastAsia="Arial" w:hAnsi="Arial"/>
                <w:sz w:val="18"/>
                <w:szCs w:val="18"/>
                <w:color w:val="auto"/>
              </w:rPr>
              <w:t>Weighted average shares outstanding — diluted</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112,834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107,465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112,679</w:t>
            </w:r>
          </w:p>
        </w:tc>
      </w:tr>
      <w:tr>
        <w:trPr>
          <w:trHeight w:val="238"/>
        </w:trPr>
        <w:tc>
          <w:tcPr>
            <w:tcW w:w="5580" w:type="dxa"/>
            <w:vAlign w:val="bottom"/>
          </w:tcPr>
          <w:p>
            <w:pPr>
              <w:spacing w:after="0"/>
              <w:rPr>
                <w:sz w:val="20"/>
                <w:szCs w:val="20"/>
                <w:color w:val="auto"/>
              </w:rPr>
            </w:pPr>
            <w:r>
              <w:rPr>
                <w:rFonts w:ascii="Arial" w:cs="Arial" w:eastAsia="Arial" w:hAnsi="Arial"/>
                <w:sz w:val="18"/>
                <w:szCs w:val="18"/>
                <w:color w:val="auto"/>
              </w:rPr>
              <w:t>____________</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ind w:left="660" w:right="14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EBITDA Adjustments and amortization of purchased intangible assets have been tax effected using a federal rate of 35.0% and the applicable effective state rate which was 3.30%, net of the federal tax benefit, for the periods presented, except as noted in footnotes 2 and 3 of this table.</w:t>
      </w:r>
    </w:p>
    <w:p>
      <w:pPr>
        <w:spacing w:after="0" w:line="66" w:lineRule="exact"/>
        <w:rPr>
          <w:rFonts w:ascii="Arial" w:cs="Arial" w:eastAsia="Arial" w:hAnsi="Arial"/>
          <w:sz w:val="18"/>
          <w:szCs w:val="18"/>
          <w:color w:val="auto"/>
        </w:rPr>
      </w:pPr>
    </w:p>
    <w:p>
      <w:pPr>
        <w:ind w:left="660" w:right="6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for which we receive a tax deduction upon vesting, shares awarded to employees under the ESPP for which we receive a tax deduction, and the full expense impact of incentive stock options granted to employees that have vested and qualify for preferential tax treatment and conversely, for which we do not receive a tax deduction. Share-based compensation expense for vesting of incentive stock options was $1.1 million and $1.6 million for the three months ended June 30, 2013 and 2012, respectively, and $2.3 million and $3.2 million for the six months ended June 30, 2013 and 2012, respectively.</w:t>
      </w:r>
    </w:p>
    <w:p>
      <w:pPr>
        <w:spacing w:after="0" w:line="69"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six months ended June 30, 2013 reflect a $3.8 million reduction of expense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5" w:name="page36"/>
    <w:bookmarkEnd w:id="35"/>
    <w:p>
      <w:pPr>
        <w:ind w:left="660" w:right="740"/>
        <w:spacing w:after="0" w:line="339" w:lineRule="auto"/>
        <w:rPr>
          <w:sz w:val="20"/>
          <w:szCs w:val="20"/>
          <w:color w:val="auto"/>
        </w:rPr>
      </w:pPr>
      <w:r>
        <w:rPr>
          <w:rFonts w:ascii="Arial" w:cs="Arial" w:eastAsia="Arial" w:hAnsi="Arial"/>
          <w:sz w:val="18"/>
          <w:szCs w:val="18"/>
          <w:color w:val="auto"/>
        </w:rPr>
        <w:t>related to the estimated fair value of contingent consideration for the stock acquisition of Concord, that is not deductible for tax purposes.</w:t>
      </w:r>
    </w:p>
    <w:p>
      <w:pPr>
        <w:spacing w:after="0" w:line="9" w:lineRule="exact"/>
        <w:rPr>
          <w:sz w:val="20"/>
          <w:szCs w:val="20"/>
          <w:color w:val="auto"/>
        </w:rPr>
      </w:pPr>
    </w:p>
    <w:p>
      <w:pPr>
        <w:jc w:val="both"/>
        <w:ind w:left="660" w:right="300" w:hanging="328"/>
        <w:spacing w:after="0" w:line="27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is a reconciliation of earnings per share on a fully diluted basis, as calculated in accordance with GAAP to Adjusted Earnings per share: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rPr>
              <w:t>For the Three Months Ended June</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5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r>
      <w:tr>
        <w:trPr>
          <w:trHeight w:val="253"/>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1"/>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per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After-Tax:</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 per share</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r>
      <w:tr>
        <w:trPr>
          <w:trHeight w:val="265"/>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intangible assets per share</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0.11</w:t>
            </w:r>
          </w:p>
        </w:tc>
      </w:tr>
      <w:tr>
        <w:trPr>
          <w:trHeight w:val="25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Value Commitment</w:t>
      </w:r>
    </w:p>
    <w:p>
      <w:pPr>
        <w:spacing w:after="0" w:line="22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On February 5, 2013, we committed to an expansion of our Service Value Commitment, an ongoing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(the “Program”) to reposition our labor force and invest in technology, human capital, marketing and other key areas to enable future growth.</w:t>
      </w:r>
    </w:p>
    <w:p>
      <w:pPr>
        <w:spacing w:after="0" w:line="62"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The Program is expected to be completed in 2015, and we estimate total charges of $65.0 million for technology transformation costs, outsourcing and other related costs, employee severance obligations and other related costs, and non-cash charges for impairment of certain fixed assets related to internally developed software. We incurred $12.1 million million of expense in the first half of 2013 primarily for services provided by outside consultants, and we remain on track to incur approximately $ 40.0 million for the entire year. By 2015, we expect annual pre-tax run-rate savings of approximately $30.0 million to $35.0 million. See Note 3 in the unaudited condensed consolidated financial statements for additional information.</w:t>
      </w:r>
    </w:p>
    <w:p>
      <w:pPr>
        <w:spacing w:after="0" w:line="69"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auto"/>
        </w:rPr>
        <w:t>During the second quarter of 2013, we entered into a master services agreement pursuant to which a third party service provider will provide certain outsourced back office functions. We expect the transition of certain initial functions to be completed prior to year-end.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81"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From time to time we undertake acquisitions and/or divestitures based on opportunities in the competitive landscape. These activities are part of our overall growth strategy, but can distort comparability when reviewing revenue and expense trends for periods presented. The following describes significant acquisition and integration activities that have impacted our 2012 and 2013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77"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may be required to pay future consideration to former shareholders of NRP that is contingent upon the achievement of certain revenue-based milestones in the third year following the acquisition. We estimated the fair value of the remaining contingent consideration at the close of the transaction and we re-measure contingent consideration at fair value at each interim reporting period with changes recognized in earnings (See Note 4 in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7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On June 22, 2011, we acquired all of the outstanding common stock of Concord. Concord provides technology and open architecture investment management solutions for trust departments of financial institutions. We may be required to pay future consideration that is based on the achievement of certain gross margin-based milestones for the year ending December 31, 2013. We estimated the fair value of the contingent consideration at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87" w:right="239" w:bottom="1440" w:gutter="0" w:footer="0" w:header="0"/>
        </w:sectPr>
      </w:pPr>
    </w:p>
    <w:bookmarkStart w:id="36" w:name="page37"/>
    <w:bookmarkEnd w:id="36"/>
    <w:p>
      <w:pPr>
        <w:ind w:right="200"/>
        <w:spacing w:after="0" w:line="271" w:lineRule="auto"/>
        <w:rPr>
          <w:sz w:val="20"/>
          <w:szCs w:val="20"/>
          <w:color w:val="auto"/>
        </w:rPr>
      </w:pPr>
      <w:r>
        <w:rPr>
          <w:rFonts w:ascii="Arial" w:cs="Arial" w:eastAsia="Arial" w:hAnsi="Arial"/>
          <w:sz w:val="18"/>
          <w:szCs w:val="18"/>
          <w:color w:val="auto"/>
        </w:rPr>
        <w:t>the close of the transaction and re-measure contingent consideration at fair value at each interim reporting period with changes recognized in earnings (See Note 4 in the unaudited condensed consolidated financial statements). The maximum amount of contingent consideration is $15.0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277"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 LLC and Fortigent Strategies Company, LLC (together, "Fortigent"). Fortigent is a leading provider of solutions and consulting services to RIAs, banks and trust companies servicing high net worth clients. This strategic acquisition further enhanced our capabilities and offered an extension of our existing services for wealth management advisors. As of June 30, 2013, $4.6 million remained in an escrow account to be paid to former shareholders of Fortigent in accordance with the terms of the stock purchase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Veritat Advisors, Inc.</w:t>
      </w:r>
    </w:p>
    <w:p>
      <w:pPr>
        <w:spacing w:after="0" w:line="277"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On July 10, 2012, we acquired all of the outstanding common stock of Veritat Advisors, Inc. ("Veritat"). Veritat was a registered investment advisory firm that developed and utilized a proprietary online financial planning platform designed to support advisors who serve the mass market. This strategic acquisition will enhance our technological capabilities and increase the flexibility of our offering for mass market clients through NestWise LLC. We may be required to pay future consideration to the former shareholders of Veritat that is contingent upon the achievement of certain financial targets and retention of key employees.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27"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auto"/>
        </w:rPr>
        <w:t>After increasing steadily in the first quarter of 2013, the equity markets in the United States increased in a more choppy manner during the second quarter. The S&amp;P 500 index closed the quarter at 1,606, up 2.4% from its close on March 31, 2013. However, during the quarter, the S&amp;P 500 Index reached its peak of 1,669 on May 21, 2013, retreated by 3.8% over a five week period before recovering to close at 1,606. Over the first six months of 2013, the S&amp;P 500 index has increased by 12.6%, compared to an increase of 8.3% over the first six months of 2012. Overall while equity market levels improved, lingering economic concerns remain about spending cuts, U.S. and global growth rates, a persistent high unemployment level, and sovereign debt concerns in certain countries in the European Union.</w:t>
      </w:r>
    </w:p>
    <w:p>
      <w:pPr>
        <w:spacing w:after="0" w:line="6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In response to continuing economic concerns, central banks, including the Federal Reserve, have continued to maintain interest rates at historically low levels. The average Federal Funds Effective rate was 0.12% in the second quarter of 2013, a decrease from the average of</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0.14% and 0.15% in the first quarter of 2013 and second quarter of 2012, respectively. The low interest rate environment continued to pressure our revenues from our cash sweep programs and continued to diminish investor demand for fixed income securities and fixed annuities. The decrease in investor demand for fixed income securities was also in part due to the steepening of the yield curve impacting fixed income prices and an increase in the attractiveness of equities.</w:t>
      </w:r>
    </w:p>
    <w:p>
      <w:pPr>
        <w:spacing w:after="0" w:line="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second quarter, investor concern over the sustainability of economic growth and the timing of reductions in levels of liquidity provided by central banks to maintain the low interest rates caused increased volatility in the equity markets. In the second quarter, the S&amp;P 500 experienced daily fluctuations in the index of more than 1% on approximately 25% of the trading days. In contrast, in the first quarter, daily fluctuations in the S&amp;P 500 index of more than 1% only occurred on 12% of the trading days. While concerns over the end of the Federal Reserve's provision of liquidity through quantitative easing did not impact short-term interest rates, during the second quarter, intermediate to longer-term interest rates increased during the quarter. For example, the yield on the 10-year maturity United States Treasury bond increased from 1.85% at March 31, 2013 to 2.49% at June 30, 2013.</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jc w:val="both"/>
        <w:ind w:right="140" w:firstLine="486"/>
        <w:spacing w:after="0" w:line="271" w:lineRule="auto"/>
        <w:rPr>
          <w:sz w:val="20"/>
          <w:szCs w:val="20"/>
          <w:color w:val="auto"/>
        </w:rPr>
      </w:pPr>
      <w:r>
        <w:rPr>
          <w:rFonts w:ascii="Arial" w:cs="Arial" w:eastAsia="Arial" w:hAnsi="Arial"/>
          <w:sz w:val="18"/>
          <w:szCs w:val="18"/>
          <w:color w:val="auto"/>
        </w:rPr>
        <w:t>The following discussion presents an analysis of our results of operations for the three and six months ended June 30, 2013 and 2012. Where appropriate, we have identified specific events and changes that affect comparability or trends, and where possible and practical, have quantified the impact of such items.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2"/>
        </w:trPr>
        <w:tc>
          <w:tcPr>
            <w:tcW w:w="3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64"/>
        </w:trPr>
        <w:tc>
          <w:tcPr>
            <w:tcW w:w="3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2"/>
        </w:trPr>
        <w:tc>
          <w:tcPr>
            <w:tcW w:w="3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thousands, unaudited)</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24"/>
        </w:trPr>
        <w:tc>
          <w:tcPr>
            <w:tcW w:w="3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70"/>
        </w:trPr>
        <w:tc>
          <w:tcPr>
            <w:tcW w:w="31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5"/>
        </w:trPr>
        <w:tc>
          <w:tcPr>
            <w:tcW w:w="3140" w:type="dxa"/>
            <w:vAlign w:val="bottom"/>
          </w:tcPr>
          <w:p>
            <w:pPr>
              <w:ind w:left="80"/>
              <w:spacing w:after="0"/>
              <w:rPr>
                <w:sz w:val="20"/>
                <w:szCs w:val="20"/>
                <w:color w:val="auto"/>
              </w:rPr>
            </w:pPr>
            <w:r>
              <w:rPr>
                <w:rFonts w:ascii="Arial" w:cs="Arial" w:eastAsia="Arial" w:hAnsi="Arial"/>
                <w:sz w:val="18"/>
                <w:szCs w:val="18"/>
                <w:color w:val="auto"/>
              </w:rPr>
              <w:t>Commission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508,399</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447,243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23"/>
                <w:szCs w:val="23"/>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993,971</w:t>
            </w:r>
          </w:p>
        </w:tc>
        <w:tc>
          <w:tcPr>
            <w:tcW w:w="12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910,896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75"/>
        </w:trPr>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298,094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579,320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519,173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65"/>
        </w:trPr>
        <w:tc>
          <w:tcPr>
            <w:tcW w:w="3140" w:type="dxa"/>
            <w:vAlign w:val="bottom"/>
          </w:tcPr>
          <w:p>
            <w:pPr>
              <w:ind w:left="80"/>
              <w:spacing w:after="0"/>
              <w:rPr>
                <w:sz w:val="20"/>
                <w:szCs w:val="20"/>
                <w:color w:val="auto"/>
              </w:rPr>
            </w:pPr>
            <w:r>
              <w:rPr>
                <w:rFonts w:ascii="Arial" w:cs="Arial" w:eastAsia="Arial" w:hAnsi="Arial"/>
                <w:sz w:val="18"/>
                <w:szCs w:val="18"/>
                <w:color w:val="auto"/>
              </w:rPr>
              <w:t>Asset-based</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107,505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102,784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211,271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200,025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75"/>
        </w:trPr>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88,631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78,894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178,009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65"/>
        </w:trPr>
        <w:tc>
          <w:tcPr>
            <w:tcW w:w="31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16,291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51.8 %</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31,145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26,056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19.5 %</w:t>
            </w:r>
          </w:p>
        </w:tc>
      </w:tr>
      <w:tr>
        <w:trPr>
          <w:trHeight w:val="268"/>
        </w:trPr>
        <w:tc>
          <w:tcPr>
            <w:tcW w:w="3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1,018,920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907,843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1,993,716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1,809,616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63"/>
        </w:trPr>
        <w:tc>
          <w:tcPr>
            <w:tcW w:w="314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1"/>
        </w:trPr>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713,115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630,136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1,382,838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1,257,043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65"/>
        </w:trPr>
        <w:tc>
          <w:tcPr>
            <w:tcW w:w="314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98,227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93,034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197,007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182,046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8.2 %</w:t>
            </w:r>
          </w:p>
        </w:tc>
      </w:tr>
      <w:tr>
        <w:trPr>
          <w:trHeight w:val="275"/>
        </w:trPr>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84,470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84,457</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162,241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152,023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65"/>
        </w:trPr>
        <w:tc>
          <w:tcPr>
            <w:tcW w:w="31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20,245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40,019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34,587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15.7 %</w:t>
            </w:r>
          </w:p>
        </w:tc>
      </w:tr>
      <w:tr>
        <w:trPr>
          <w:trHeight w:val="275"/>
        </w:trPr>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7,332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2,057</w:t>
            </w:r>
          </w:p>
        </w:tc>
        <w:tc>
          <w:tcPr>
            <w:tcW w:w="13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13,369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3,751</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r>
      <w:tr>
        <w:trPr>
          <w:trHeight w:val="263"/>
        </w:trPr>
        <w:tc>
          <w:tcPr>
            <w:tcW w:w="3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923,389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827,096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1,795,474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1,629,450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10.2 %</w:t>
            </w:r>
          </w:p>
        </w:tc>
      </w:tr>
      <w:tr>
        <w:trPr>
          <w:trHeight w:val="251"/>
        </w:trPr>
        <w:tc>
          <w:tcPr>
            <w:tcW w:w="3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Non-operating interest expense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65"/>
        </w:trPr>
        <w:tc>
          <w:tcPr>
            <w:tcW w:w="31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7,962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7,962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16,524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(51.8)%</w:t>
            </w:r>
          </w:p>
        </w:tc>
      </w:tr>
      <w:tr>
        <w:trPr>
          <w:trHeight w:val="268"/>
        </w:trPr>
        <w:tc>
          <w:tcPr>
            <w:tcW w:w="3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944,018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840,535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1,828,263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1,675,445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185"/>
        </w:trPr>
        <w:tc>
          <w:tcPr>
            <w:tcW w:w="31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Income before provision for income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4"/>
        </w:trPr>
        <w:tc>
          <w:tcPr>
            <w:tcW w:w="3140" w:type="dxa"/>
            <w:vAlign w:val="bottom"/>
          </w:tcPr>
          <w:p>
            <w:pPr>
              <w:ind w:left="220"/>
              <w:spacing w:after="0"/>
              <w:rPr>
                <w:sz w:val="20"/>
                <w:szCs w:val="20"/>
                <w:color w:val="auto"/>
              </w:rPr>
            </w:pPr>
            <w:r>
              <w:rPr>
                <w:rFonts w:ascii="Arial" w:cs="Arial" w:eastAsia="Arial" w:hAnsi="Arial"/>
                <w:sz w:val="18"/>
                <w:szCs w:val="18"/>
                <w:b w:val="1"/>
                <w:bCs w:val="1"/>
                <w:color w:val="auto"/>
              </w:rPr>
              <w:t>taxes</w:t>
            </w: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74,902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67,308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165,453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134,171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23.3 %</w:t>
            </w:r>
          </w:p>
        </w:tc>
      </w:tr>
      <w:tr>
        <w:trPr>
          <w:trHeight w:val="284"/>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29,811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65,645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53,490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63"/>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45,091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39,502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2"/>
                <w:szCs w:val="22"/>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99,808</w:t>
            </w:r>
          </w:p>
        </w:tc>
        <w:tc>
          <w:tcPr>
            <w:tcW w:w="1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80,681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-6985</wp:posOffset>
            </wp:positionV>
            <wp:extent cx="1800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-6985</wp:posOffset>
            </wp:positionV>
            <wp:extent cx="1655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-127635</wp:posOffset>
            </wp:positionV>
            <wp:extent cx="1800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-127635</wp:posOffset>
            </wp:positionV>
            <wp:extent cx="1655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5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3"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June 30, 2013 and 2012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4"/>
        </w:trPr>
        <w:tc>
          <w:tcPr>
            <w:tcW w:w="3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206,081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190,427</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65"/>
        </w:trPr>
        <w:tc>
          <w:tcPr>
            <w:tcW w:w="31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146,395</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122,128</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24,267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19.9 %</w:t>
            </w:r>
          </w:p>
        </w:tc>
      </w:tr>
      <w:tr>
        <w:trPr>
          <w:trHeight w:val="275"/>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46,397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33,189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13,208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39.8 %</w:t>
            </w:r>
          </w:p>
        </w:tc>
      </w:tr>
      <w:tr>
        <w:trPr>
          <w:trHeight w:val="265"/>
        </w:trPr>
        <w:tc>
          <w:tcPr>
            <w:tcW w:w="3180" w:type="dxa"/>
            <w:vAlign w:val="bottom"/>
          </w:tcPr>
          <w:p>
            <w:pPr>
              <w:ind w:left="8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29,104</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23,207</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25.4 %</w:t>
            </w:r>
          </w:p>
        </w:tc>
      </w:tr>
      <w:tr>
        <w:trPr>
          <w:trHeight w:val="275"/>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annuities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23,178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27,062</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65"/>
        </w:trPr>
        <w:tc>
          <w:tcPr>
            <w:tcW w:w="31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22,314</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11.7 %</w:t>
            </w:r>
          </w:p>
        </w:tc>
      </w:tr>
      <w:tr>
        <w:trPr>
          <w:trHeight w:val="275"/>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21,515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18,647</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65"/>
        </w:trPr>
        <w:tc>
          <w:tcPr>
            <w:tcW w:w="3180" w:type="dxa"/>
            <w:vAlign w:val="bottom"/>
          </w:tcPr>
          <w:p>
            <w:pPr>
              <w:ind w:left="80"/>
              <w:spacing w:after="0"/>
              <w:rPr>
                <w:sz w:val="20"/>
                <w:szCs w:val="20"/>
                <w:color w:val="auto"/>
              </w:rPr>
            </w:pPr>
            <w:r>
              <w:rPr>
                <w:rFonts w:ascii="Arial" w:cs="Arial" w:eastAsia="Arial" w:hAnsi="Arial"/>
                <w:sz w:val="18"/>
                <w:szCs w:val="18"/>
                <w:color w:val="auto"/>
              </w:rPr>
              <w:t>Group variable annuities(1)</w:t>
            </w: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13,073</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12,283</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70"/>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55"/>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508,399</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447,243</w:t>
            </w:r>
          </w:p>
        </w:tc>
        <w:tc>
          <w:tcPr>
            <w:tcW w:w="12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61,156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13.7 %</w:t>
            </w:r>
          </w:p>
        </w:tc>
      </w:tr>
      <w:tr>
        <w:trPr>
          <w:trHeight w:val="20"/>
        </w:trPr>
        <w:tc>
          <w:tcPr>
            <w:tcW w:w="3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3" w:lineRule="exact"/>
        <w:rPr>
          <w:sz w:val="20"/>
          <w:szCs w:val="20"/>
          <w:color w:val="auto"/>
        </w:rPr>
      </w:pPr>
    </w:p>
    <w:p>
      <w:pPr>
        <w:ind w:left="34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three months ended June 30, 2013, commission revenues associated with group annuities are presented as a separate component of overall commission revenues. Previously, such revenues were presented within commission revenues associated with variable annuities. Accordingly, the corresponding amounts for the three months ended June 30, 2012 have been reclassified above to make them consistent with the current period presentation.</w:t>
      </w:r>
    </w:p>
    <w:p>
      <w:pPr>
        <w:spacing w:after="0" w:line="170"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Commission revenue increased by $61.2 million, or 13.7%, for the three months ended June 30, 2013 compared with 2012 due primarily to an increase in sales-based activity for mutual funds and alternative investments and increases in trail revenues for mutual funds and variable annuities. Additionally, commission revenues from equities, insurance and fixed income, primarily driven by unit investment trusts, also contributed to the overall growth in commission revenue. Such overall growth reflects market-wide growth, increased investor engagement that has driven advisor productivity and the overall growth in our advisor count over the past twelve months.</w:t>
      </w:r>
    </w:p>
    <w:p>
      <w:pPr>
        <w:spacing w:after="0" w:line="8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increase in commission revenues associated with alternative investments reflects investors' preferences for diversification, as income-producing alternative strategies continue to grow in popularity and investors continue to seek opportunities to earn return outside of the traditional equity and fixed income markets. The continued low interest rate environment, which has reduced investor demand for fixed annuities, is reflected in the decline in commission revenues for fixed annuities products.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0" w:right="239" w:bottom="1440" w:gutter="0" w:footer="0" w:header="0"/>
        </w:sectPr>
      </w:pPr>
    </w:p>
    <w:bookmarkStart w:id="39" w:name="page40"/>
    <w:bookmarkEnd w:id="39"/>
    <w:p>
      <w:pPr>
        <w:ind w:right="860" w:firstLine="486"/>
        <w:spacing w:after="0" w:line="29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six months ended June 30, 2013 and 2012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4"/>
        </w:trPr>
        <w:tc>
          <w:tcPr>
            <w:tcW w:w="3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408,523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380,864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27,659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65"/>
        </w:trPr>
        <w:tc>
          <w:tcPr>
            <w:tcW w:w="32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287,298</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244,806</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42,492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17.4 %</w:t>
            </w:r>
          </w:p>
        </w:tc>
      </w:tr>
      <w:tr>
        <w:trPr>
          <w:trHeight w:val="275"/>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86,808</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71,595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65"/>
        </w:trPr>
        <w:tc>
          <w:tcPr>
            <w:tcW w:w="3280" w:type="dxa"/>
            <w:vAlign w:val="bottom"/>
          </w:tcPr>
          <w:p>
            <w:pPr>
              <w:ind w:left="8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56,460</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49,363</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75"/>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44,462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42,480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65"/>
        </w:trPr>
        <w:tc>
          <w:tcPr>
            <w:tcW w:w="3280" w:type="dxa"/>
            <w:vAlign w:val="bottom"/>
          </w:tcPr>
          <w:p>
            <w:pPr>
              <w:ind w:left="80"/>
              <w:spacing w:after="0"/>
              <w:rPr>
                <w:sz w:val="20"/>
                <w:szCs w:val="20"/>
                <w:color w:val="auto"/>
              </w:rPr>
            </w:pPr>
            <w:r>
              <w:rPr>
                <w:rFonts w:ascii="Arial" w:cs="Arial" w:eastAsia="Arial" w:hAnsi="Arial"/>
                <w:sz w:val="18"/>
                <w:szCs w:val="18"/>
                <w:color w:val="auto"/>
              </w:rPr>
              <w:t>Insurance</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41,868</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39,592</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2,276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5.7 %</w:t>
            </w:r>
          </w:p>
        </w:tc>
      </w:tr>
      <w:tr>
        <w:trPr>
          <w:trHeight w:val="275"/>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annuities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41,772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55,819</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65"/>
        </w:trPr>
        <w:tc>
          <w:tcPr>
            <w:tcW w:w="3280" w:type="dxa"/>
            <w:vAlign w:val="bottom"/>
          </w:tcPr>
          <w:p>
            <w:pPr>
              <w:ind w:left="80"/>
              <w:spacing w:after="0"/>
              <w:rPr>
                <w:sz w:val="20"/>
                <w:szCs w:val="20"/>
                <w:color w:val="auto"/>
              </w:rPr>
            </w:pPr>
            <w:r>
              <w:rPr>
                <w:rFonts w:ascii="Arial" w:cs="Arial" w:eastAsia="Arial" w:hAnsi="Arial"/>
                <w:sz w:val="18"/>
                <w:szCs w:val="18"/>
                <w:color w:val="auto"/>
              </w:rPr>
              <w:t>Group variable annuities(1)</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26,210</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25,891</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0"/>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55"/>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993,971</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910,896</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83,075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3" w:lineRule="exact"/>
        <w:rPr>
          <w:sz w:val="20"/>
          <w:szCs w:val="20"/>
          <w:color w:val="auto"/>
        </w:rPr>
      </w:pPr>
    </w:p>
    <w:p>
      <w:pPr>
        <w:ind w:left="660" w:right="24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six months ended June 30, 2013, commission revenues associated with group annuities are presented as a separate component of overall commission revenues. Previously, such revenues were presented within commission revenues associated with variable annuities. Accordingly, the corresponding amounts for the six months ended June 30, 2012 have been reclassified to make them consistent with the current period presentation.</w:t>
      </w:r>
    </w:p>
    <w:p>
      <w:pPr>
        <w:spacing w:after="0" w:line="116"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Commission revenue increased by $ 83.1 million, or 9.1%, for the six months ended June 30, 2013 compared with 2012. We attribute this increase to the same factors that impacted our quarterly performance for most product categories, which are described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23"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and six months ended June 30, 2013 and 2012 (in billions):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 June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w w:val="89"/>
              </w:rPr>
              <w:t>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55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r>
      <w:tr>
        <w:trPr>
          <w:trHeight w:val="254"/>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101.6</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55"/>
        </w:trPr>
        <w:tc>
          <w:tcPr>
            <w:tcW w:w="5580" w:type="dxa"/>
            <w:vAlign w:val="bottom"/>
          </w:tcPr>
          <w:p>
            <w:pPr>
              <w:ind w:left="40"/>
              <w:spacing w:after="0"/>
              <w:rPr>
                <w:sz w:val="20"/>
                <w:szCs w:val="20"/>
                <w:color w:val="auto"/>
              </w:rPr>
            </w:pPr>
            <w:r>
              <w:rPr>
                <w:rFonts w:ascii="Arial" w:cs="Arial" w:eastAsia="Arial" w:hAnsi="Arial"/>
                <w:sz w:val="18"/>
                <w:szCs w:val="18"/>
                <w:color w:val="auto"/>
              </w:rPr>
              <w:t>Balance -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132.4</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2"/>
                <w:szCs w:val="22"/>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111.4</w:t>
            </w: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Net new advisory assets for the three and six months ended June 30, 2013 and 2012 have a limited impact on advisory fee revenue for those respective periods. Rather, net new advisory assets for those respective periods will be a driver of advisory fee revenue in future periods. Net new advisory assets increased $3.7 billion for the three months ended June 30, 2013 resulting from the continued shift by our existing advisors from brokerage towards more advisory business.</w:t>
      </w:r>
    </w:p>
    <w:p>
      <w:pPr>
        <w:spacing w:after="0" w:line="17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Advisory revenues increased by $29.9 million, or 11.1%, for the three months ended June 30, 2013 compared to the same period in 2012, which is in line with the underlying relevant asset growth. Advisory revenue for a particular quarter is predominately driven by the prior quarter-end advisory assets under management. At March 31, 2013, advisory assets under management were $106.1 billion, a 9.7% increase over the balance at March 31, 2012, driven by strong net new asset flows and market appreciation. The Independent RIA model has continued to grow rapidly as advisors seek the freedom to run their business in a manner which best enables them to meet their clients' needs. This continued shift of advisors to the Independent RIA platform has caused the rate of revenue growth of advisory assets under management to lag behind the rate of growth of advisory assets under custody. Advisory fee revenues do not include fees charged by Independent RIA advisors for which there also is no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0" w:right="239" w:bottom="1440" w:gutter="0" w:footer="0" w:header="0"/>
        </w:sectPr>
      </w:pPr>
    </w:p>
    <w:bookmarkStart w:id="40" w:name="page41"/>
    <w:bookmarkEnd w:id="40"/>
    <w:p>
      <w:pPr>
        <w:ind w:right="40"/>
        <w:spacing w:after="0" w:line="292" w:lineRule="auto"/>
        <w:rPr>
          <w:sz w:val="20"/>
          <w:szCs w:val="20"/>
          <w:color w:val="auto"/>
        </w:rPr>
      </w:pPr>
      <w:r>
        <w:rPr>
          <w:rFonts w:ascii="Arial" w:cs="Arial" w:eastAsia="Arial" w:hAnsi="Arial"/>
          <w:sz w:val="18"/>
          <w:szCs w:val="18"/>
          <w:color w:val="auto"/>
        </w:rPr>
        <w:t>corresponding payout. However, there are administrative fees charged to Independent RIA advisors including custody and clearing fees, based on the value of assets.</w:t>
      </w:r>
    </w:p>
    <w:p>
      <w:pPr>
        <w:spacing w:after="0" w:line="145" w:lineRule="exact"/>
        <w:rPr>
          <w:sz w:val="20"/>
          <w:szCs w:val="20"/>
          <w:color w:val="auto"/>
        </w:rPr>
      </w:pPr>
    </w:p>
    <w:p>
      <w:pPr>
        <w:ind w:right="480" w:firstLine="486"/>
        <w:spacing w:after="0" w:line="271" w:lineRule="auto"/>
        <w:rPr>
          <w:sz w:val="20"/>
          <w:szCs w:val="20"/>
          <w:color w:val="auto"/>
        </w:rPr>
      </w:pPr>
      <w:r>
        <w:rPr>
          <w:rFonts w:ascii="Arial" w:cs="Arial" w:eastAsia="Arial" w:hAnsi="Arial"/>
          <w:sz w:val="18"/>
          <w:szCs w:val="18"/>
          <w:color w:val="auto"/>
        </w:rPr>
        <w:t>Advisory fees increased by $60.1 million, or 11.6%, for the six months ended June 30, 2013 compared to 2012. This growth is attributable to the same net new advisory asset flows and shift of advisors toward more advisory business that has impacted our quarterly performance, and to a positive market impact for the six months ended June 30, 2013.</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June 30, 2013 and 2012 (in billions):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assets under management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65"/>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Independent RIA assets in advisory accounts custodied by LPL Financial</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65.6%</w:t>
            </w: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advisory assets under custody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1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Asset-based revenues increased by $4.7 million, or 4.6%, to $107.5 million for the three months ended June 30, 2013 compared with the same period in 2012. Revenues for record-keeping services, which are largely based on the underlying asset values, increased due to the impact of the higher average market indices on the value of such underlying assets and net new sales of eligible assets. The average S&amp;P 500 index for the three months ended June 30, 2013 was 1,610, an increase of 19.2% over the average in the prior year period. Asset-based revenues also include revenues from our cash sweep programs, which decreased by $3.1 million, or 9.1%, to $31.0 million for the three months ended June 30, 2013 from $34.1 million for the three months ended June 30, 2012. The decrease in our cash sweep revenues is result of a decline in the average effective rate for federal funds of 3 basis points from 0.15% for the three months ended June 30, 2012 to 0.12% for the three months ended June 30, 2013, which was partially offset by an increase of 4.9% in average assets in our cash sweep programs, which were $23.7 billion and $22.6 billion for the three months ended June 30, 2013 and 2012, respectively.</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Asset-based fees increased by $11.2 million, or 5.6%, to $211.3 million for the six months ended June 30, 2013 compared with 2012.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Revenues for record-keeping services and from product sponsors, which are each largely based on the underlying asset values, increased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impact of the higher average market indices on the value of such underlying assets and net new sales of eligible assets. The average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S&amp;P 500 index for the six months ended June 30, 2013 was 1,563, an increase of 15.9% over the average in the prior year period.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based fees also include revenues from our cash sweep programs, which decreased by $6.0 million, or 8.7%, to $62.5 million for the six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2013 from $68.5 million for the six months ended June 30, 2012. The decrease resulted from a re-pricing of certain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underlie our cash sweep programs, partially offset by an increase of 6.4% in average assets in our cash sweep programs, which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$23.4 billion and $22.0 billion for the six months ended June 30, 2013 and 2012, respectively, as retail investors increased their percentage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assets in response to the volatility in the financial markets.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Revenues</w:t>
      </w:r>
    </w:p>
    <w:p>
      <w:pPr>
        <w:spacing w:after="0" w:line="183"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Transaction and other revenues increased by $9.7 million, or 12.3%, for the three months ended June 30, 2013 compared with the same period in 2012. Transaction and other revenues increased due to higher trade volumes in certain advisory accounts and a 2.1% increase in the average number of advisors. These increases were partially offset by decreased conference revenues of $1.6 million due to a shift in the timing of a conference in the first quarter of 2013 that occurred in the second quarter of 2012.</w:t>
      </w:r>
    </w:p>
    <w:p>
      <w:pPr>
        <w:spacing w:after="0" w:line="129" w:lineRule="exact"/>
        <w:rPr>
          <w:sz w:val="20"/>
          <w:szCs w:val="20"/>
          <w:color w:val="auto"/>
        </w:rPr>
      </w:pPr>
    </w:p>
    <w:p>
      <w:pPr>
        <w:ind w:right="460" w:firstLine="486"/>
        <w:spacing w:after="0" w:line="271" w:lineRule="auto"/>
        <w:rPr>
          <w:sz w:val="20"/>
          <w:szCs w:val="20"/>
          <w:color w:val="auto"/>
        </w:rPr>
      </w:pPr>
      <w:r>
        <w:rPr>
          <w:rFonts w:ascii="Arial" w:cs="Arial" w:eastAsia="Arial" w:hAnsi="Arial"/>
          <w:sz w:val="18"/>
          <w:szCs w:val="18"/>
          <w:color w:val="auto"/>
        </w:rPr>
        <w:t>Transaction and other revenues increased by $24.5 million, or 16.0%, for the six months ended June 30, 2013 compared with 2012. Transaction and other revenues increased due to higher trade volumes in certain advisory accounts and a 2.8% increase in the average number of advisors. Additionally, our April 2012 acquisition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Fortigent contributed an incremental $4.3 million in revenues for the six months ended June 30, 2013 compared with 2012.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Other revenue increased $5.6 million, or 51.8%, to $16.3 million for the three months ended June 30, 2013 compared to the same period in 2012. The primary contributor to this increase for the three months ended June 30, 2013 were alternative investment marketing allowances received from product sponsor programs, which increased by $3.1 million compared to the same period in 2012, based primarily on increased sales of alternative investments. Other revenue includes gains or losses on assets held for the advisor non-qualified deferred compensation plan. Gains were $1.4 million for the three months ended June 30, 2013, compared to losses of $1.3 million for the three months ended June 30, 2012. The gains or losses on assets held for the advisor non-qualified deferred compensation plan are offset by corresponding production expenses as noted below.</w:t>
      </w:r>
    </w:p>
    <w:p>
      <w:pPr>
        <w:spacing w:after="0" w:line="137"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Other revenue increased $5.1 million, or 19.5%, to $31.1 million for the six months ended June 30, 2013 compared to 2012. The primary contributor to this increase for the six months ended June 30, 2013 were alternative investment marketing allowances received from product sponsor programs, which increased by $3.1 million compared to the same period in 2012, based primarily on increased sales of alternative investments. Other revenue includes gains or losses on assets held for the advisor non-qualified deferred compensation plan. Gains were $2.7 million for the three months ended June 30, 2013, compared $0.3 million for the same period in 2012. The gains or losses on assets held for the advisor non-qualified deferred compensation plan are offset by corresponding increases in production expenses as noted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six months ended June 30, 2013 and 2012: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6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For the 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For the Six Months Ended June</w:t>
            </w:r>
          </w:p>
        </w:tc>
        <w:tc>
          <w:tcPr>
            <w:tcW w:w="1020" w:type="dxa"/>
            <w:vAlign w:val="bottom"/>
          </w:tcPr>
          <w:p>
            <w:pPr>
              <w:spacing w:after="0"/>
              <w:rPr>
                <w:sz w:val="16"/>
                <w:szCs w:val="16"/>
                <w:color w:val="auto"/>
              </w:rPr>
            </w:pPr>
          </w:p>
        </w:tc>
      </w:tr>
      <w:tr>
        <w:trPr>
          <w:trHeight w:val="232"/>
        </w:trPr>
        <w:tc>
          <w:tcPr>
            <w:tcW w:w="404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93"/>
              <w:spacing w:after="0"/>
              <w:rPr>
                <w:sz w:val="20"/>
                <w:szCs w:val="20"/>
                <w:color w:val="auto"/>
              </w:rPr>
            </w:pPr>
            <w:r>
              <w:rPr>
                <w:rFonts w:ascii="Arial" w:cs="Arial" w:eastAsia="Arial" w:hAnsi="Arial"/>
                <w:sz w:val="16"/>
                <w:szCs w:val="16"/>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4"/>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84.27 %</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(21 bps)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(29 bps)</w:t>
            </w:r>
          </w:p>
        </w:tc>
      </w:tr>
      <w:tr>
        <w:trPr>
          <w:trHeight w:val="265"/>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 bps)</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 bps</w:t>
            </w:r>
          </w:p>
        </w:tc>
      </w:tr>
      <w:tr>
        <w:trPr>
          <w:trHeight w:val="255"/>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86.84 %</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(31 bps)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 bps)</w:t>
            </w:r>
          </w:p>
        </w:tc>
      </w:tr>
      <w:tr>
        <w:trPr>
          <w:trHeight w:val="265"/>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57 bps</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22 bps</w:t>
            </w:r>
          </w:p>
        </w:tc>
      </w:tr>
      <w:tr>
        <w:trPr>
          <w:trHeight w:val="255"/>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86.74 %</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26 bps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bps)</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Production expenses increased by $83.0 million, or 13.2%, for the three months ended June 30, 2013 compared with the same period in 2012. The increase largely correlates with our commission and advisory revenues, which increased by 12.7% during the same period. Our production payout was 87.00% for the three months ended June 30, 2013, compared to 86.74% for the prior year period. This increase of 26 basis points in our total payout ratio arose from increases in the non-GDC sensitive payout components which were partially offset by lower rates for base payout and production-based bonuses. The decrease in the base payout rate is due in part to growth of our advisory platform, which on average has a lower base payout rate than our brokerage platform. The decrease in our production based bonuses for the three months ended June 30, 2013 compared with the same year ago period reflects the realization of benefits from the price change that went into effect in 2012. The increase in non-GDC sensitive payout is attributable to increased advisor stock-based compensation for the three months ended June 30, 2013 compared to the three months ended June 30, 2012 correlating to an increase in the price of our stock at June 30, 2013 compared to June 30, 2012, and incremental production expenses related to the advisor non-qualified deferred compensation plan as noted above.</w:t>
      </w:r>
    </w:p>
    <w:p>
      <w:pPr>
        <w:spacing w:after="0" w:line="318"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Production expenses increased by $125.8 million, or 10.0%, for the six months ended June 30, 2013 compared with 2012. The increase correlates with our commission and advisory revenues, which increased by 10.0% during the same period. Our production payout was 86.52% for the six months ended June 30, 2013, compared to 86.57% for the prior year period. The base payout rate decreased by 29 basis points in part due to the growth of our advisory platform, which on average has a lower base rate than our brokerage platform.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5" w:right="239" w:bottom="1440" w:gutter="0" w:footer="0" w:header="0"/>
        </w:sectPr>
      </w:pPr>
    </w:p>
    <w:bookmarkStart w:id="42" w:name="page43"/>
    <w:bookmarkEnd w:id="42"/>
    <w:p>
      <w:pPr>
        <w:ind w:right="100"/>
        <w:spacing w:after="0" w:line="260" w:lineRule="auto"/>
        <w:rPr>
          <w:sz w:val="20"/>
          <w:szCs w:val="20"/>
          <w:color w:val="auto"/>
        </w:rPr>
      </w:pPr>
      <w:r>
        <w:rPr>
          <w:rFonts w:ascii="Arial" w:cs="Arial" w:eastAsia="Arial" w:hAnsi="Arial"/>
          <w:sz w:val="18"/>
          <w:szCs w:val="18"/>
          <w:color w:val="auto"/>
        </w:rPr>
        <w:t>production based bonuses increased by 2 basis points for the six months ended June 30, 2013, compared with the same year ago period, which is attributable to our advisors' trend of attaining higher payout tiers earlier in the year, partially offset by pricing changes implemented during 2012. The increase in non-GDC sensitive payout is attributable to increased advisor stock-based compensation for the six months ended June 30, 2013 compared to the six months ended June 30, 2012 correlating to market movement in our stock and production expenses related to the advisor non-qualified deferred compensation plan as noted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183"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Compensation and benefits increased by $5.2 million, or 5.6%, for the three months ended June 30, 2013 compared with the same period in 2012. The increase was primarily due to higher staffing levels necessary to support increased levels of advisor and client activities. Our average number of full-time employees increased 4.5% from 2,886 for the three months ended June 30, 2012 to 3,015 for the three months ended June 30, 2013.</w:t>
      </w:r>
    </w:p>
    <w:p>
      <w:pPr>
        <w:spacing w:after="0" w:line="129"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auto"/>
        </w:rPr>
        <w:t>Compensation and benefits increased by $15.0 million, or 8.2%, for the six months ended June 30, 2013 compared with 2012. Our average number of full-time employees increased 6.0% from 2,805 for the six months ended June 30, 2012 to 2,972 for the six months ended June 30, 2013, due to higher staffing levels to support increased levels of advisor and client activities and our 2012 acquisition of Fortigent.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General and administrative expenses were $84.5 million for the three months ended June 30, 2013 and 2012. During the three months ended June 30, 2013, a $2.2 million charge was incurred due to a change in the fair value of our contingent consideration obligations. The increase was offset by decreased conference expenses due to a shift in the timing of a conference in the first quarter of 2013 that occurred in the second quarter of 2012.</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and administrative expenses increased by $10.2 million, or 6.7%, to $162.2 million for the six months ended June 30, 2013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compared with 2012. The primary drivers behind the increase for the six months ended June 30, 2013 compared with the same period in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business development and promotional expenses, a $1.5 million increase in expenses for hosting certain of our advisor conferences,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 million increase in expenses related to our acquisition of Fortigent in April 2012 and a $2.2 million charge due to a change in the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contingent consideration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8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auto"/>
        </w:rPr>
        <w:t>For the three and six months ended June 30, 2013, depreciation and amortization increased by $2.8 million, or 16.3%, and $5.4 million, or 15.7%, respectively, compared to the respective period of 2012. The amortization of internally developed software and depreciation of equipment and leasehold improvements in our new office facility in Boston contributed to these increases.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3" w:lineRule="exact"/>
        <w:rPr>
          <w:sz w:val="20"/>
          <w:szCs w:val="20"/>
          <w:color w:val="auto"/>
        </w:rPr>
      </w:pPr>
    </w:p>
    <w:p>
      <w:pPr>
        <w:ind w:right="1040" w:firstLine="486"/>
        <w:spacing w:after="0" w:line="292" w:lineRule="auto"/>
        <w:rPr>
          <w:sz w:val="20"/>
          <w:szCs w:val="20"/>
          <w:color w:val="auto"/>
        </w:rPr>
      </w:pPr>
      <w:r>
        <w:rPr>
          <w:rFonts w:ascii="Arial" w:cs="Arial" w:eastAsia="Arial" w:hAnsi="Arial"/>
          <w:sz w:val="18"/>
          <w:szCs w:val="18"/>
          <w:color w:val="auto"/>
        </w:rPr>
        <w:t>Restructuring charges represent expenses incurred as a result of our expansion of our Service Value Commitment, our 2011 consolidation of UVEST and our 2009 consolidation of the Affiliated Entities.</w:t>
      </w:r>
    </w:p>
    <w:p>
      <w:pPr>
        <w:spacing w:after="0" w:line="50" w:lineRule="exact"/>
        <w:rPr>
          <w:sz w:val="20"/>
          <w:szCs w:val="20"/>
          <w:color w:val="auto"/>
        </w:rPr>
      </w:pPr>
    </w:p>
    <w:p>
      <w:pPr>
        <w:ind w:firstLine="486"/>
        <w:spacing w:after="0" w:line="284" w:lineRule="auto"/>
        <w:rPr>
          <w:sz w:val="20"/>
          <w:szCs w:val="20"/>
          <w:color w:val="auto"/>
        </w:rPr>
      </w:pPr>
      <w:r>
        <w:rPr>
          <w:rFonts w:ascii="Arial" w:cs="Arial" w:eastAsia="Arial" w:hAnsi="Arial"/>
          <w:sz w:val="17"/>
          <w:szCs w:val="17"/>
          <w:color w:val="auto"/>
        </w:rPr>
        <w:t>Restructuring charges were $7.3 million and $13.4 million for the three and six months ended June 30, 2013, respectively. These charges relate primarily to consulting fees paid to support our technology transformation and to develop our detailed outsourcing plans, as well as employee severance obligations and other related costs and non-cash charges for impairment incurred through our expansion of our Service Value Commitment. Refer to Note 3 of our unaudited condensed consolidated financial statements for additional details regarding this matter.</w:t>
      </w:r>
    </w:p>
    <w:p>
      <w:pPr>
        <w:spacing w:after="0" w:line="61"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Restructuring charges were $2.1 million and $3.8 million for the three and six months ended June 30, 2012, respectively. These charges relate primarily to technology costs and other expenditures incurred for the conversion and transfer of advisors and their client accounts from UVEST to LPL Financial.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represents non-operating interest expense for our senior secured credit facilities.</w:t>
      </w:r>
    </w:p>
    <w:p>
      <w:pPr>
        <w:spacing w:after="0" w:line="185" w:lineRule="exact"/>
        <w:rPr>
          <w:sz w:val="20"/>
          <w:szCs w:val="20"/>
          <w:color w:val="auto"/>
        </w:rPr>
      </w:pPr>
    </w:p>
    <w:p>
      <w:pPr>
        <w:ind w:right="320" w:firstLine="486"/>
        <w:spacing w:after="0" w:line="292" w:lineRule="auto"/>
        <w:rPr>
          <w:sz w:val="20"/>
          <w:szCs w:val="20"/>
          <w:color w:val="auto"/>
        </w:rPr>
      </w:pPr>
      <w:r>
        <w:rPr>
          <w:rFonts w:ascii="Arial" w:cs="Arial" w:eastAsia="Arial" w:hAnsi="Arial"/>
          <w:sz w:val="18"/>
          <w:szCs w:val="18"/>
          <w:color w:val="auto"/>
        </w:rPr>
        <w:t>Interest expense decreased $0.8 million, or 5.7%, for the three months ended June 30, 2013 compared with the same period in 2012. The maturity of an interest rate swap agreement on June 30, 2012 for a notional value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$65.0 million reduced interest expense by $0.7 million for the three months ended June 30, 2013 compared to the same period in 2012.</w:t>
      </w:r>
    </w:p>
    <w:p>
      <w:pPr>
        <w:spacing w:after="0" w:line="185"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Interest expense decreased $4.6 million, or 15.8%, for the six months ended June 30, 2013 compared with 2012. The reduction in interest expense for 2013 is due primarily to a reduction in the effective interest rate on our outstanding borrowings as a result of the debt refinancing in March 2012. Additionally, the maturity of an interest rate swap agreement with a notional value of $65.0 million on June 30, 2012, reduced interest expense by $0.7 million for the six months ended June 30, 2013 compared to 2012. The increase in debt resulting from our debt refinancing in May 2013 did not materially increase interest expense in the 2013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3" w:lineRule="exact"/>
        <w:rPr>
          <w:sz w:val="20"/>
          <w:szCs w:val="20"/>
          <w:color w:val="auto"/>
        </w:rPr>
      </w:pPr>
    </w:p>
    <w:p>
      <w:pPr>
        <w:ind w:right="60" w:firstLine="500"/>
        <w:spacing w:after="0" w:line="260" w:lineRule="auto"/>
        <w:rPr>
          <w:sz w:val="20"/>
          <w:szCs w:val="20"/>
          <w:color w:val="auto"/>
        </w:rPr>
      </w:pPr>
      <w:r>
        <w:rPr>
          <w:rFonts w:ascii="Arial" w:cs="Arial" w:eastAsia="Arial" w:hAnsi="Arial"/>
          <w:sz w:val="18"/>
          <w:szCs w:val="18"/>
          <w:color w:val="auto"/>
        </w:rPr>
        <w:t>Losses from the extinguishment of debt totaled $8.0 million and $16.5 million for the six months ending June 30, 2013 and 2012, respectively. In May 2013, we refinanced and amended our credit agreement and effectively increased our borrowing by approximately $236.1 million, with net proceeds used primarily for working capital requirements and other general corporate purposes. Accordingly, we wrote off $8.0 million of unamortized debt issuance costs that had no future economic benefit related to our prior credit agreement. Refer to Note 8 of our unaudited condensed consolidated financial statements for additional details regarding this matter.</w:t>
      </w:r>
    </w:p>
    <w:p>
      <w:pPr>
        <w:spacing w:after="0" w:line="175"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In March 2012, we refinanced and replaced the debt outstanding under our original credit agreement primarily to extend the maturities of our borrowings. In connection with this refinancing, we wrote off $16.5 million of unamortized debt issuance costs that had no future economic benefit related to the previous credit agreement. Refer to Note 8 of our unaudited condensed consolidated financial statements for additional details regarding this matter.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12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During the three months ended June 30, 2013, we recorded income tax expense of $29.8 million, compared with $27.8 million in the prior year period. Our effective income tax rate was 39.8% and 41.3% for the three months ended June 30, 2013 and 2012, respectively. The effective income tax rate was higher in the second quarter of 2012 due to the timing of non-deductible expenses between the first and second quarters of 2012 and a decrease in pre-tax income.</w:t>
      </w:r>
    </w:p>
    <w:p>
      <w:pPr>
        <w:spacing w:after="0" w:line="129"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auto"/>
        </w:rPr>
        <w:t>During the six months ended June 30, 2013, we recorded income tax expense of $65.6 million, compared with $53.5 million in the prior year period. Our effective income tax rate was 39.7% and 39.9% for the six months ended June 30, 2013 and 2012,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35" w:right="259" w:bottom="1440" w:gutter="0" w:footer="0" w:header="0"/>
        </w:sectPr>
      </w:pPr>
    </w:p>
    <w:bookmarkStart w:id="44" w:name="page45"/>
    <w:bookmarkEnd w:id="44"/>
    <w:p>
      <w:pPr>
        <w:ind w:left="500"/>
        <w:spacing w:after="0"/>
        <w:rPr>
          <w:sz w:val="20"/>
          <w:szCs w:val="20"/>
          <w:color w:val="auto"/>
        </w:rPr>
      </w:pPr>
      <w:r>
        <w:rPr>
          <w:rFonts w:ascii="Arial" w:cs="Arial" w:eastAsia="Arial" w:hAnsi="Arial"/>
          <w:sz w:val="18"/>
          <w:szCs w:val="18"/>
          <w:color w:val="auto"/>
        </w:rPr>
        <w:t>A summary of changes in our cash flow for the six months ended June 30, 2013 and 2012 is provided below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8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2012</w:t>
            </w:r>
          </w:p>
        </w:tc>
      </w:tr>
      <w:tr>
        <w:trPr>
          <w:trHeight w:val="267"/>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provided by (used in):</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5"/>
        </w:trPr>
        <w:tc>
          <w:tcPr>
            <w:tcW w:w="81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56,113</w:t>
            </w:r>
          </w:p>
        </w:tc>
      </w:tr>
      <w:tr>
        <w:trPr>
          <w:trHeight w:val="275"/>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(59,738)</w:t>
            </w:r>
          </w:p>
        </w:tc>
      </w:tr>
      <w:tr>
        <w:trPr>
          <w:trHeight w:val="265"/>
        </w:trPr>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156,110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(236,091)</w:t>
            </w:r>
          </w:p>
        </w:tc>
      </w:tr>
      <w:tr>
        <w:trPr>
          <w:trHeight w:val="255"/>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118,610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(239,716)</w:t>
            </w:r>
          </w:p>
        </w:tc>
      </w:tr>
      <w:tr>
        <w:trPr>
          <w:trHeight w:val="265"/>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466,261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720,772</w:t>
            </w:r>
          </w:p>
        </w:tc>
      </w:tr>
      <w:tr>
        <w:trPr>
          <w:trHeight w:val="255"/>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584,871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481,056</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700" w:firstLine="486"/>
        <w:spacing w:after="0" w:line="29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45"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17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2013 totaled $4.3 million. Net cash provided by operating activities for the six months ended June 30, 2012 totaled $ 56.1 million. The change in cash flows between periods primarily reflects the impact of client trading and settlement activity, which represented a net use of funds of $155.2 million in 2013 compared to a net use of funds of $ 7.6 million in 2012. The increased use of cash in client trading and settlement activities was offset in part by higher levels of net income which was $99.8 million for the six months ended June 30, 2013 compared to $ 80.7 million for the same period in the prior year, and depreciation and amortization which was $40.0 million for the six months ended June 30, 2013 compared to $34.6 million for the same period in the prior year. Additionally, $8.0 million of unamortized debt issuance costs were written off as a charge to earnings during the six months ended June 30, 2013 stemming from our May 2013 debt refinancing, compared to $16.5 million for the same period in the prior year related to our March 2012 debt refinancing.</w:t>
      </w:r>
    </w:p>
    <w:p>
      <w:pPr>
        <w:spacing w:after="0" w:line="182"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auto"/>
        </w:rPr>
        <w:t>Net cash used in investing activities for the six months ended June 30, 2013 and 2012 totaled $33.2 million and $ 59.7 million, respectively. The net cash used in 2013 primarily consists of $32.2 million in capital expenditures. The net cash used in 2012 included $18.8 million in capital expenditures and $38.8 million for the acquisition of Fortigent.</w:t>
      </w:r>
    </w:p>
    <w:p>
      <w:pPr>
        <w:spacing w:after="0" w:line="16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Net cash provided by financing activities for the six months ended June 30, 2013 was $156.1 million. Net cash used in financing activities for the six months ended June 30, 2012 totaled $236.1 million. Cash flows provided by financing activities in 2013 include $1,079.0 million in proceeds from our new senior secured credit facilities and $18.3 million in proceeds from stock option exercises, partially offset by $861.2 million to pay down term loans under our senior secured credit facilities, $51.0 million for repurchases of common stock and $28.8 million of regular cash dividends paid. Cash flows used in financing activities in 2012 include $222.6 million of special cash dividends paid and $55.9 million for repurchases of common stock, partially offset by $48.4 million from excess tax benefits arising from share-based compensation.</w:t>
      </w:r>
    </w:p>
    <w:p>
      <w:pPr>
        <w:spacing w:after="0" w:line="164" w:lineRule="exact"/>
        <w:rPr>
          <w:sz w:val="20"/>
          <w:szCs w:val="20"/>
          <w:color w:val="auto"/>
        </w:rPr>
      </w:pPr>
    </w:p>
    <w:p>
      <w:pPr>
        <w:ind w:right="260" w:firstLine="486"/>
        <w:spacing w:after="0" w:line="258"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the revolving credit facility established through our credit agreement, will be adequate to satisfy our working capital needs, the payment of all of our obligations and the funding of anticipated capital expenditures for the foreseeable future. In addition, we have certain capital requirements due to our registered broker-dealer entity and bank trust subsidiaries and we have met all capital adequacy requirements for these entities and expect to continue to do so for the foreseeable future. We regularly evaluate our existing indebtedness, including refinancing thereof, based 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68" w:right="239" w:bottom="1440" w:gutter="0" w:footer="0" w:header="0"/>
        </w:sectPr>
      </w:pPr>
    </w:p>
    <w:bookmarkStart w:id="45" w:name="page46"/>
    <w:bookmarkEnd w:id="45"/>
    <w:p>
      <w:pPr>
        <w:ind w:right="380"/>
        <w:spacing w:after="0" w:line="292" w:lineRule="auto"/>
        <w:rPr>
          <w:sz w:val="20"/>
          <w:szCs w:val="20"/>
          <w:color w:val="auto"/>
        </w:rPr>
      </w:pPr>
      <w:r>
        <w:rPr>
          <w:rFonts w:ascii="Arial" w:cs="Arial" w:eastAsia="Arial" w:hAnsi="Arial"/>
          <w:sz w:val="18"/>
          <w:szCs w:val="18"/>
          <w:color w:val="auto"/>
        </w:rPr>
        <w:t>a number of factors, including our capital requirements, future prospects, contractual restrictions, the availability of refinancing on attractive terms and general market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w:t>
      </w:r>
    </w:p>
    <w:p>
      <w:pPr>
        <w:spacing w:after="0" w:line="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On May 29, 2013, a new share repurchase plan to repurchase up to $200.0 million in addition to the remaining capacity available under previous plans was approved. For the three months ended June 30, 2013, 1,428,576 shares were repurchased under our September 2012 repurchase plan at a weighted average price of $36.99 per share for a total cost of $52.8 million. For the six months ended June 30, 2013, 1,583,865 shares were repurchased under our September 2012 repurchase plan at a weighted average price of $ 36.47 per share for a total cost of $57.8 million. At June 30, 2013 we had $29.2 million available for repurchases under our September 2012 plan and $200.0 million available under our May 2013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25"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and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w:t>
      </w:r>
    </w:p>
    <w:p>
      <w:pPr>
        <w:spacing w:after="0" w:line="175"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held stock units that contained non-forfeitable rights to dividends or dividend equivalents under our 2008 Nonqualified Deferred Compensation Plan. After the distribution of shares under the 2008 Nonqualified Deferred Compensation Plan, the two-class method was no longer applicable. This distribution of shares did not have a material impact on earnings per share or diluted earnings per share. However, the distribution increased the weighted average share count for the three and six months ended June 30, 2012 by approximately 850,000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payment, timing and amount of any dividends permitted under our credit facilities are subject to approval by our Board of Directors. Cash dividends per share of common stock and total cash dividends paid during each quarter were as follows (in millions,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spacing w:after="0"/>
              <w:rPr>
                <w:sz w:val="22"/>
                <w:szCs w:val="22"/>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r>
      <w:tr>
        <w:trPr>
          <w:trHeight w:val="251"/>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37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22"/>
                <w:szCs w:val="22"/>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222.6</w:t>
            </w:r>
          </w:p>
        </w:tc>
      </w:tr>
    </w:tbl>
    <w:p>
      <w:pPr>
        <w:spacing w:after="0" w:line="257" w:lineRule="exact"/>
        <w:rPr>
          <w:sz w:val="20"/>
          <w:szCs w:val="20"/>
          <w:color w:val="auto"/>
        </w:rPr>
      </w:pPr>
    </w:p>
    <w:p>
      <w:pPr>
        <w:ind w:right="320" w:firstLine="486"/>
        <w:spacing w:after="0" w:line="292" w:lineRule="auto"/>
        <w:rPr>
          <w:sz w:val="20"/>
          <w:szCs w:val="20"/>
          <w:color w:val="auto"/>
        </w:rPr>
      </w:pPr>
      <w:r>
        <w:rPr>
          <w:rFonts w:ascii="Arial" w:cs="Arial" w:eastAsia="Arial" w:hAnsi="Arial"/>
          <w:sz w:val="18"/>
          <w:szCs w:val="18"/>
          <w:color w:val="auto"/>
        </w:rPr>
        <w:t>On July 30, 2013, the Board of Directors declared a cash dividend of $0.19 per share on our outstanding common stock to be paid on August 30, 2013 to all stockholders of record on August 15, 2013.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w:t>
      </w:r>
    </w:p>
    <w:p>
      <w:pPr>
        <w:spacing w:after="0" w:line="279"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In July 2012, the Internal Revenue Service (“IRS”) issued a Notice of Proposed Adjustment (the “Notice”) asserting we are subject to a penalty with respect to an alleged untimely deposit of withholding taxes related to the exercise of certain non-qualified stock options in connection with our initial public offering in 2010. In 2012, we recorded an estimate of probable loss within accounts payable and accrued liabilities in our unaudited condensed consolidated statements of financial condition. During the first quarter of 2013, the IRS issued a Summary of Employment Tax Examination (the "Summary") and we remitted payment which approximated amounts previously accrued in accordance with the Summary. We are awaiting final consent of resolution from the IRS. We believe the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68" w:right="239" w:bottom="1440" w:gutter="0" w:footer="0" w:header="0"/>
        </w:sectPr>
      </w:pPr>
    </w:p>
    <w:bookmarkStart w:id="46" w:name="page47"/>
    <w:bookmarkEnd w:id="46"/>
    <w:p>
      <w:pPr>
        <w:ind w:right="260"/>
        <w:spacing w:after="0" w:line="292" w:lineRule="auto"/>
        <w:rPr>
          <w:sz w:val="20"/>
          <w:szCs w:val="20"/>
          <w:color w:val="auto"/>
        </w:rPr>
      </w:pPr>
      <w:r>
        <w:rPr>
          <w:rFonts w:ascii="Arial" w:cs="Arial" w:eastAsia="Arial" w:hAnsi="Arial"/>
          <w:sz w:val="18"/>
          <w:szCs w:val="18"/>
          <w:color w:val="auto"/>
        </w:rPr>
        <w:t>outcome of this matter will not have a material impact beyond the amounts recorded to our unaudited condensed consolidated statements of income, financial condition or cash flows.</w:t>
      </w:r>
    </w:p>
    <w:p>
      <w:pPr>
        <w:spacing w:after="0" w:line="145"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In the second quarter of 2013, we reached an agreement with our principal regulator to resolve a matter related to email surveillance and production. During the first quarter of 2013, we recorded an estimate of a probable loss within professional services and accounts payable and accrued liabilities in our unaudited condensed consolidated statements of income and financial condition, respectively. The outcome of this matter did not differ materially from the amount recorded in our unaudited condensed consolidated statements of income, financial condition or cash flows as of and for the three and six months ended June 30,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loan or sell securities which collateralize those margin accounts. As of June 30, 2013, we had received collateral in connection primarily with client margin loans with a fair value of approximately $331.0 million, which can be re-pledged, loaned or sold. Of this amount, approximately $24.8 million has been pledged to the Options Clearing Corporation ("OCC") as collateral to secure certain client obligations related to options positions. Additionally, approximately $132.9 million are held at banks in connection with uncommitted lines of credit, which were unutilized at June 30, 2013; these securities may be used as collateral for loans from these banks. The remainder of $173.3 million has not been re-pledged, loaned or sold. There are no restrictions that materially limit our ability to re-pledge, loan or sell the remaining $306.2 million of client collateral. In May 2013, we ended our participation in the National Securities Clearing Corporation ("NSCC") Stock Borrow Program and all pledged collateral was returned to us.</w:t>
      </w:r>
    </w:p>
    <w:p>
      <w:pPr>
        <w:spacing w:after="0" w:line="177"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4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170"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w:t>
      </w:r>
    </w:p>
    <w:p>
      <w:pPr>
        <w:spacing w:after="0" w:line="163" w:lineRule="exact"/>
        <w:rPr>
          <w:sz w:val="20"/>
          <w:szCs w:val="20"/>
          <w:color w:val="auto"/>
        </w:rPr>
      </w:pPr>
    </w:p>
    <w:p>
      <w:pPr>
        <w:jc w:val="both"/>
        <w:ind w:right="180" w:firstLine="486"/>
        <w:spacing w:after="0" w:line="271"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NFA's minimum financial requirements. Currently, the highest NFA requirement is the minimum net capital calculated pursuant to the SEC's Uniform Net Capital Rule.</w:t>
      </w:r>
    </w:p>
    <w:p>
      <w:pPr>
        <w:spacing w:after="0" w:line="16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ratio of aggregate customer debit balances falls below 5.0% of net capital. At June 30, 2013, LPL Financial's net capital was $181.1 million and its early warning requirement was $14.9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 At June 30, 2013, LPL Financial's excess net capital was $175.1 million.</w:t>
      </w:r>
    </w:p>
    <w:p>
      <w:pPr>
        <w:spacing w:after="0" w:line="17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68" w:right="239" w:bottom="1440" w:gutter="0" w:footer="0" w:header="0"/>
        </w:sectPr>
      </w:pPr>
    </w:p>
    <w:bookmarkStart w:id="47" w:name="page48"/>
    <w:bookmarkEnd w:id="47"/>
    <w:p>
      <w:pPr>
        <w:ind w:right="60" w:firstLine="486"/>
        <w:spacing w:after="0" w:line="264" w:lineRule="auto"/>
        <w:rPr>
          <w:sz w:val="20"/>
          <w:szCs w:val="20"/>
          <w:color w:val="auto"/>
        </w:rPr>
      </w:pPr>
      <w:r>
        <w:rPr>
          <w:rFonts w:ascii="Arial" w:cs="Arial" w:eastAsia="Arial" w:hAnsi="Arial"/>
          <w:sz w:val="18"/>
          <w:szCs w:val="18"/>
          <w:color w:val="auto"/>
        </w:rPr>
        <w:t>Prior to July 16, 2012, UVEST was also a registered broker-dealer and computed net capital requirements under the aggregate indebtedness method, which requires firms to maintain minimum net capital, as defined, of not less than 6.67% of aggregate indebtedness. In connection with the consolidation of UVEST with LPL Financial, UVEST's registration with FINRA was withdrawn effective July 16, 2012 and is no longer subject to net capital filing requirements.</w:t>
      </w:r>
    </w:p>
    <w:p>
      <w:pPr>
        <w:spacing w:after="0" w:line="170"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Our subsidiary, The Private Trust Company N.A. ("PTC"), is subject to various regulatory capital requirements. Failure by any of our subsidiaries to meet their respective minimum capital requirements can initiate certain mandatory and possible additional discretionary actions by regulators that, if undertaken, could have a direct material effect on our unaudited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1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our use of proceeds from any such dispositions. We may not be able to consummate those dispositions, and even if we could consummate such dispositions, we may not be able to obtain the proceeds that we could realize from them and, in any event, any such proceeds may not be adequate to meet any debt service obligations then due.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7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On May 13, 2013, we entered into the First Amendment and Incremental Assumption Agreement (“Amended Credit Agreement</w:t>
      </w:r>
      <w:r>
        <w:rPr>
          <w:rFonts w:ascii="Times New Roman" w:cs="Times New Roman" w:eastAsia="Times New Roman" w:hAnsi="Times New Roman"/>
          <w:sz w:val="18"/>
          <w:szCs w:val="18"/>
          <w:color w:val="auto"/>
        </w:rPr>
        <w:t>”</w:t>
      </w:r>
      <w:r>
        <w:rPr>
          <w:rFonts w:ascii="Arial" w:cs="Arial" w:eastAsia="Arial" w:hAnsi="Arial"/>
          <w:sz w:val="18"/>
          <w:szCs w:val="18"/>
          <w:color w:val="auto"/>
        </w:rPr>
        <w:t>) with our wholly owned subsidiary, LPL Holdings, Inc., the other Credit Parties signatory thereto, the several Lenders parties thereto, Bank of America, N.A. as Administrative Agent, and other parties thereto. The Amended Credit Agreement supplements and amends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Credit Agreement, dated as of March 29, 2012 (</w:t>
      </w:r>
      <w:r>
        <w:rPr>
          <w:rFonts w:ascii="Times New Roman" w:cs="Times New Roman" w:eastAsia="Times New Roman" w:hAnsi="Times New Roman"/>
          <w:sz w:val="18"/>
          <w:szCs w:val="18"/>
          <w:color w:val="auto"/>
        </w:rPr>
        <w:t>“</w:t>
      </w:r>
      <w:r>
        <w:rPr>
          <w:rFonts w:ascii="Arial" w:cs="Arial" w:eastAsia="Arial" w:hAnsi="Arial"/>
          <w:sz w:val="18"/>
          <w:szCs w:val="18"/>
          <w:color w:val="auto"/>
        </w:rPr>
        <w:t>Previous Credit Agreement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279" w:lineRule="exact"/>
        <w:rPr>
          <w:sz w:val="20"/>
          <w:szCs w:val="20"/>
          <w:color w:val="auto"/>
        </w:rPr>
      </w:pPr>
    </w:p>
    <w:p>
      <w:pPr>
        <w:ind w:right="460" w:firstLine="486"/>
        <w:spacing w:after="0" w:line="271" w:lineRule="auto"/>
        <w:rPr>
          <w:sz w:val="20"/>
          <w:szCs w:val="20"/>
          <w:color w:val="auto"/>
        </w:rPr>
      </w:pPr>
      <w:r>
        <w:rPr>
          <w:rFonts w:ascii="Arial" w:cs="Arial" w:eastAsia="Arial" w:hAnsi="Arial"/>
          <w:sz w:val="18"/>
          <w:szCs w:val="18"/>
          <w:color w:val="auto"/>
        </w:rPr>
        <w:t>Pursuant to the Previous Credit Agreement, the Company established a Term Loan A of $735.0 million maturing on March 29, 2017 ("Term Loan A"), a Term Loan B of $ 615.0 million maturing on March 29, 2019 ("Prior Term Loan B") and a revolving credit facility with borrowing capacity of $250.0 million maturing on March 29, 2017 ("Revolving Credit Facility").</w:t>
      </w:r>
    </w:p>
    <w:p>
      <w:pPr>
        <w:spacing w:after="0" w:line="271"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Pursuant to the Amended Credit Agreement, the Company amended Prior Term Loan B to increase its borrowings to an aggregate principal amount of $1,083.9 million (</w:t>
      </w:r>
      <w:r>
        <w:rPr>
          <w:rFonts w:ascii="Times New Roman" w:cs="Times New Roman" w:eastAsia="Times New Roman" w:hAnsi="Times New Roman"/>
          <w:sz w:val="18"/>
          <w:szCs w:val="18"/>
          <w:color w:val="auto"/>
        </w:rPr>
        <w:t>“</w:t>
      </w:r>
      <w:r>
        <w:rPr>
          <w:rFonts w:ascii="Arial" w:cs="Arial" w:eastAsia="Arial" w:hAnsi="Arial"/>
          <w:sz w:val="18"/>
          <w:szCs w:val="18"/>
          <w:color w:val="auto"/>
        </w:rPr>
        <w:t>Amended Term Loan B</w:t>
      </w:r>
      <w:r>
        <w:rPr>
          <w:rFonts w:ascii="Times New Roman" w:cs="Times New Roman" w:eastAsia="Times New Roman" w:hAnsi="Times New Roman"/>
          <w:sz w:val="18"/>
          <w:szCs w:val="18"/>
          <w:color w:val="auto"/>
        </w:rPr>
        <w:t>”</w:t>
      </w:r>
      <w:r>
        <w:rPr>
          <w:rFonts w:ascii="Arial" w:cs="Arial" w:eastAsia="Arial" w:hAnsi="Arial"/>
          <w:sz w:val="18"/>
          <w:szCs w:val="18"/>
          <w:color w:val="auto"/>
        </w:rPr>
        <w:t>). On May 13, 2013, we used the proceeds of Amended Term Loan B to (i) refinance the remaining outstanding balance of $608.9 million on Prior Term Loan B and (ii) repay a portion of the outstanding balance on Term Loan A in an aggregate principal amount of $238.9 million (</w:t>
      </w:r>
      <w:r>
        <w:rPr>
          <w:rFonts w:ascii="Times New Roman" w:cs="Times New Roman" w:eastAsia="Times New Roman" w:hAnsi="Times New Roman"/>
          <w:sz w:val="18"/>
          <w:szCs w:val="18"/>
          <w:color w:val="auto"/>
        </w:rPr>
        <w:t>“</w:t>
      </w:r>
      <w:r>
        <w:rPr>
          <w:rFonts w:ascii="Arial" w:cs="Arial" w:eastAsia="Arial" w:hAnsi="Arial"/>
          <w:sz w:val="18"/>
          <w:szCs w:val="18"/>
          <w:color w:val="auto"/>
        </w:rPr>
        <w:t>Term Loan A Repayment</w:t>
      </w:r>
      <w:r>
        <w:rPr>
          <w:rFonts w:ascii="Times New Roman" w:cs="Times New Roman" w:eastAsia="Times New Roman" w:hAnsi="Times New Roman"/>
          <w:sz w:val="18"/>
          <w:szCs w:val="18"/>
          <w:color w:val="auto"/>
        </w:rPr>
        <w:t>”</w:t>
      </w:r>
      <w:r>
        <w:rPr>
          <w:rFonts w:ascii="Arial" w:cs="Arial" w:eastAsia="Arial" w:hAnsi="Arial"/>
          <w:sz w:val="18"/>
          <w:szCs w:val="18"/>
          <w:color w:val="auto"/>
        </w:rPr>
        <w:t>). The remaining loan proceeds are available for working capital requirements and other general corporate purposes. The maturity date of Amended Term Loan B is March 29, 2019. The amount and maturity of the Revolving Credit Facility was not changed in the Amended Credit Agreement.</w:t>
      </w:r>
    </w:p>
    <w:p>
      <w:pPr>
        <w:spacing w:after="0" w:line="284"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In connection with the execution of the Amended Credit Agreement, we incurred $7.4 million in costs that are capitalized as debt issuance costs in the unaudited condensed consolidated statements of financial condition. Because this refinancing resulted in the repayment of all outstanding principal borrowings on Prior Term Loan B, we accelerated the recognition of $8.0 million of unamortized costs attributable to Prior Term Loan B related to the Previous Credit Agreement. This accelerated recognition has been recorded as a loss on extinguishment of debt within the unaudited condensed consolidated statements of income for the three and six months ended June 30, 2013.</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68" w:right="259" w:bottom="1440" w:gutter="0" w:footer="0" w:header="0"/>
        </w:sectPr>
      </w:pPr>
    </w:p>
    <w:bookmarkStart w:id="48" w:name="page49"/>
    <w:bookmarkEnd w:id="48"/>
    <w:p>
      <w:pPr>
        <w:ind w:right="100" w:firstLine="486"/>
        <w:spacing w:after="0" w:line="264" w:lineRule="auto"/>
        <w:rPr>
          <w:sz w:val="20"/>
          <w:szCs w:val="20"/>
          <w:color w:val="auto"/>
        </w:rPr>
      </w:pPr>
      <w:r>
        <w:rPr>
          <w:rFonts w:ascii="Arial" w:cs="Arial" w:eastAsia="Arial" w:hAnsi="Arial"/>
          <w:sz w:val="18"/>
          <w:szCs w:val="18"/>
          <w:color w:val="auto"/>
        </w:rPr>
        <w:t>In addition, we maintain three uncommitted lines of credit at LPL Financial. Two of the lines have unspecified limits, and are primarily dependent on our ability to provide sufficient collateral. The other line had a $200.0 million and $150.0 million limit at June 30, 2013 and December 31, 2012, respectively, and allows for both collateralized and uncollateralized borrowings. The lines were utilized in 2013 and 2012; however, there were no balances outstanding at June 30, 2013 or December 31, 2012.</w:t>
      </w:r>
    </w:p>
    <w:p>
      <w:pPr>
        <w:spacing w:after="0" w:line="278"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We also were party to an interest rate swap agreement, in a notional amount of $65.0 million, to mitigate interest rate risk by hedging the variability of a portion of our floating-rate senior secured term loan. This agreement expired on June 30, 2012. While our term loan is unhedged as of June 30, 2013, the risk of variability on our floating interest rate is partially mitigated by the client margin loans, which carry floating interest rates, as well as fees received from the cash sweep programs. At June 30, 2013, our receivables from our advisors’ clients for margin loan activity were approximately $236.4 million, and the balance of deposits in the cash sweep programs was $25.6 billion.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7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Borrowings under Term Loan A and Amended Term Loan B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 1.00% and (d) solely in the case of Amended Term Loan B, 1.75%.</w:t>
      </w:r>
    </w:p>
    <w:p>
      <w:pPr>
        <w:spacing w:after="0" w:line="278"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auto"/>
        </w:rPr>
        <w:t>The applicable margin for borrowings with respect to Term Loan A, Amended Term Loan B and the Revolving Credit Facility is currently 1.50% for base rate borrowings and 2.50% for LIBOR borrowings. The applicable margin on our term loans and Revolving Credit Facility could change depending on our total leverage ratio.</w:t>
      </w:r>
    </w:p>
    <w:p>
      <w:pPr>
        <w:spacing w:after="0" w:line="27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applicable borrowing rates for Term Loan A were not affected by the refinancing on May 13, 2013. Borrowings under Prior Term Loan B bore interest at rates similar to the Amended Term Loan B except that the applicable margin for borrowings under the Previous Credit Agreement was 2.00% for base rate borrowings and 3.00% for LIBOR borrowings and the LIBOR rate with respect to Prior Term Loan B was subject to a floor of 1.00%.</w:t>
      </w:r>
    </w:p>
    <w:p>
      <w:pPr>
        <w:spacing w:after="0" w:line="224"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In addition to paying interest on outstanding principal under the Amended Credit Agreement, we are required to pay a commitment fee to the lenders under the Revolving Credit Facility in respect of the unutilized commitments thereunder. The commitment fee rate at June 30, 2013 was 0.50% for our Revolving Credit Facility, but is subject to change depending on our leverage ratio. Prior to the closing of the Previous Credit Agreement on March 29, 2012, the commitment fee was 0.75% on our previous revolving credit facility. We must also pay customary letter of credit fees.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right="240" w:firstLine="486"/>
        <w:spacing w:after="0" w:line="292" w:lineRule="auto"/>
        <w:rPr>
          <w:sz w:val="20"/>
          <w:szCs w:val="20"/>
          <w:color w:val="auto"/>
        </w:rPr>
      </w:pPr>
      <w:r>
        <w:rPr>
          <w:rFonts w:ascii="Arial" w:cs="Arial" w:eastAsia="Arial" w:hAnsi="Arial"/>
          <w:sz w:val="18"/>
          <w:szCs w:val="18"/>
          <w:color w:val="auto"/>
        </w:rPr>
        <w:t>The Amended Credit Agreement (other than the Revolving Credit Facility) requires us to prepay outstanding amounts under our senior secured term loan facility subject to certain exceptions, with:</w:t>
      </w:r>
    </w:p>
    <w:p>
      <w:pPr>
        <w:spacing w:after="0" w:line="37" w:lineRule="exact"/>
        <w:rPr>
          <w:sz w:val="20"/>
          <w:szCs w:val="20"/>
          <w:color w:val="auto"/>
        </w:rPr>
      </w:pPr>
    </w:p>
    <w:p>
      <w:pPr>
        <w:jc w:val="both"/>
        <w:ind w:left="520" w:hanging="120"/>
        <w:spacing w:after="0" w:line="27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Amended Credit Agreement) adjusted for, among other things, changes in our net working capital (as of June 30, 2013 our total leverage ratio was 2.50);</w:t>
      </w:r>
    </w:p>
    <w:p>
      <w:pPr>
        <w:spacing w:after="0" w:line="55" w:lineRule="exact"/>
        <w:rPr>
          <w:rFonts w:ascii="Arial" w:cs="Arial" w:eastAsia="Arial" w:hAnsi="Arial"/>
          <w:sz w:val="18"/>
          <w:szCs w:val="18"/>
          <w:color w:val="auto"/>
        </w:rPr>
      </w:pPr>
    </w:p>
    <w:p>
      <w:pPr>
        <w:ind w:left="520" w:right="20" w:hanging="120"/>
        <w:spacing w:after="0" w:line="27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55" w:lineRule="exact"/>
        <w:rPr>
          <w:rFonts w:ascii="Arial" w:cs="Arial" w:eastAsia="Arial" w:hAnsi="Arial"/>
          <w:sz w:val="18"/>
          <w:szCs w:val="18"/>
          <w:color w:val="auto"/>
        </w:rPr>
      </w:pPr>
    </w:p>
    <w:p>
      <w:pPr>
        <w:ind w:left="520" w:right="900" w:hanging="120"/>
        <w:spacing w:after="0" w:line="292"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Amended Credit Agreement.</w:t>
      </w:r>
    </w:p>
    <w:p>
      <w:pPr>
        <w:spacing w:after="0" w:line="37"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Term Loan A and Amended Term Loan B in any order at our direction. Any other mandatory prepayments described above will be applied to scheduled installments of principal of Term Loan A and Amended Term Loan B in direct order. We may voluntarily repay outstanding term loans under the Amended Credit Agreement at any time without premium or penalty, other than customary “breakage” costs with respect to LIBOR loans, and with the exception of certain repricing transactions in respect to Amended Term Loan B consummated before November 13, 2013, which will be subject to a premium of 1.0% of the principal amount of Amended Term Loan B subject to such repricing transaction.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22"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71"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Under the Previous Credit Agreement, we were required to make quarterly repayments of the principal for Term Loan A totaling 5.0% for the twelve months ended March 31, 2014 and 10.0% for each of the twelve months ended March 31, 2015, 2016 and 2017 (</w:t>
      </w:r>
      <w:r>
        <w:rPr>
          <w:rFonts w:ascii="Times New Roman" w:cs="Times New Roman" w:eastAsia="Times New Roman" w:hAnsi="Times New Roman"/>
          <w:sz w:val="18"/>
          <w:szCs w:val="18"/>
          <w:color w:val="auto"/>
        </w:rPr>
        <w:t>“</w:t>
      </w:r>
      <w:r>
        <w:rPr>
          <w:rFonts w:ascii="Arial" w:cs="Arial" w:eastAsia="Arial" w:hAnsi="Arial"/>
          <w:sz w:val="18"/>
          <w:szCs w:val="18"/>
          <w:color w:val="auto"/>
        </w:rPr>
        <w:t>Mandatory Amortization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with the remaining principal due upon maturity. The Term Loan A Repayment of $238.9 million was equal to this Mandatory Amortization. As a result of the refinancing described above, the Company has no required repayments of principal for Term Loan A until its maturity on March 29, 2017.</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Quarterly repayments of the principal for Amended Term Loan B will total 1.0% per year with the remaining principal due upon maturity.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outstanding principal under the Revolving Credit Facility will be due upon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Amended Credit Agreement are secured primarily through pledges of the capital stock in certain of our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119"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auto"/>
        </w:rPr>
        <w:t>The Amended Credit Agreement contains a number of covenants that, among other things, restrict, subject to certain exceptions, our ability to:</w:t>
      </w:r>
    </w:p>
    <w:p>
      <w:pPr>
        <w:spacing w:after="0" w:line="37" w:lineRule="exact"/>
        <w:rPr>
          <w:sz w:val="20"/>
          <w:szCs w:val="20"/>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Amended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appreciation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Amended Credit Agreement, (iii) tax liabilities to the extent attributable to our business and our subsidiaries and (iv) dividends and other distributions in an aggregate amount not to exceed the sum of (a) the greater of (i) $250,000,000 and (ii) 6.75% of our consolidated total assets, (b) the available amount (as defined in the Amended Credit Agreement), (c) the available equity amount (as defined in the Amended Credit Agreement) and (d) the incremental dividend amount (as defined in the Amended Credit Agreement). Notwithstanding the foregoing, we may make unlimited dividends and distributions provided that after giving pro forma effect thereto, our total leverage ratio does not exceed 2.0. As of June 30, 2013, we have the ability to make dividends and distributions or repurchase our capital stock totaling $482.8 million, subject to Board approval.</w:t>
      </w:r>
    </w:p>
    <w:p>
      <w:pPr>
        <w:spacing w:after="0" w:line="76" w:lineRule="exact"/>
        <w:rPr>
          <w:sz w:val="20"/>
          <w:szCs w:val="20"/>
          <w:color w:val="auto"/>
        </w:rPr>
      </w:pPr>
    </w:p>
    <w:p>
      <w:pPr>
        <w:ind w:right="440" w:firstLine="486"/>
        <w:spacing w:after="0" w:line="292" w:lineRule="auto"/>
        <w:rPr>
          <w:sz w:val="20"/>
          <w:szCs w:val="20"/>
          <w:color w:val="auto"/>
        </w:rPr>
      </w:pPr>
      <w:r>
        <w:rPr>
          <w:rFonts w:ascii="Arial" w:cs="Arial" w:eastAsia="Arial" w:hAnsi="Arial"/>
          <w:sz w:val="18"/>
          <w:szCs w:val="18"/>
          <w:color w:val="auto"/>
        </w:rPr>
        <w:t>The share repurchase programs approved in May 2012, September 2012 and May 2013 were authorized by the Board of Directors pursuant to item (iv) above. Our special dividend of $2.00 per share to common</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522" w:right="319" w:bottom="1440" w:gutter="0" w:footer="0" w:header="0"/>
        </w:sectPr>
      </w:pPr>
    </w:p>
    <w:bookmarkStart w:id="50" w:name="page51"/>
    <w:bookmarkEnd w:id="50"/>
    <w:p>
      <w:pPr>
        <w:ind w:right="400"/>
        <w:spacing w:after="0" w:line="292" w:lineRule="auto"/>
        <w:rPr>
          <w:sz w:val="20"/>
          <w:szCs w:val="20"/>
          <w:color w:val="auto"/>
        </w:rPr>
      </w:pPr>
      <w:r>
        <w:rPr>
          <w:rFonts w:ascii="Arial" w:cs="Arial" w:eastAsia="Arial" w:hAnsi="Arial"/>
          <w:sz w:val="18"/>
          <w:szCs w:val="18"/>
          <w:color w:val="auto"/>
        </w:rPr>
        <w:t>stockholders, approved on March 30, 2012, was authorized by the Board of Directors pursuant to a one-time exception to the restriction on dividends. Any future declarations of quarterly cash dividends will be authorized pursuant to item (iv) above.</w:t>
      </w:r>
    </w:p>
    <w:p>
      <w:pPr>
        <w:spacing w:after="0" w:line="37"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our Amended Credit Agreement) to an adjusted EBITDA reflecting financial covenants in our Amended Credit Agreement (“Credit Agreement Adjusted EBITDA”) to exceed certain prescribed levels set forth in the Amended Credit Agreement. Under our interest coverage ratio test, we covenant not to allow the ratio of our Credit Agreement Adjusted EBITDA to our consolidated interest expense (as defined in our Amended Credit Agreement) to be less than certain prescribed levels set forth in the Amended Credit Agreement. Each of our financial ratios is measured at the end of each fiscal quarter.</w:t>
      </w:r>
    </w:p>
    <w:p>
      <w:pPr>
        <w:spacing w:after="0" w:line="69"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Our Amended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55"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Amended Credit Agreement restricts our ability to sell assets. Even if we could consummate those sales, the proceeds that we realize from them may not be adequate to meet any debt service obligations then due. Furthermore, if an event of default were to occur with respect to our Amended Credit Agreement, our creditors could, among other things, accelerate the maturity of our indebtedness.</w:t>
      </w:r>
    </w:p>
    <w:p>
      <w:pPr>
        <w:spacing w:after="0" w:line="67"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auto"/>
        </w:rPr>
        <w:t>As of June 30, 2013 and December 31, 2012 we were in compliance with all of our covenant requirements. Our covenant requirements and actual ratios as of June 30, 2013 and December 31, 2012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80" w:type="dxa"/>
            <w:vAlign w:val="bottom"/>
            <w:gridSpan w:val="4"/>
          </w:tcPr>
          <w:p>
            <w:pPr>
              <w:ind w:left="860"/>
              <w:spacing w:after="0"/>
              <w:rPr>
                <w:sz w:val="20"/>
                <w:szCs w:val="20"/>
                <w:color w:val="auto"/>
              </w:rPr>
            </w:pPr>
            <w:r>
              <w:rPr>
                <w:rFonts w:ascii="Arial" w:cs="Arial" w:eastAsia="Arial" w:hAnsi="Arial"/>
                <w:sz w:val="16"/>
                <w:szCs w:val="16"/>
                <w:b w:val="1"/>
                <w:bCs w:val="1"/>
                <w:color w:val="auto"/>
              </w:rPr>
              <w:t>June 30, 2013</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2012</w:t>
            </w:r>
          </w:p>
        </w:tc>
        <w:tc>
          <w:tcPr>
            <w:tcW w:w="0" w:type="dxa"/>
            <w:vAlign w:val="bottom"/>
          </w:tcPr>
          <w:p>
            <w:pPr>
              <w:spacing w:after="0"/>
              <w:rPr>
                <w:sz w:val="1"/>
                <w:szCs w:val="1"/>
                <w:color w:val="auto"/>
              </w:rPr>
            </w:pPr>
          </w:p>
        </w:tc>
      </w:tr>
      <w:tr>
        <w:trPr>
          <w:trHeight w:val="193"/>
        </w:trPr>
        <w:tc>
          <w:tcPr>
            <w:tcW w:w="39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840" w:type="dxa"/>
            <w:vAlign w:val="bottom"/>
          </w:tcPr>
          <w:p>
            <w:pPr>
              <w:spacing w:after="0"/>
              <w:rPr>
                <w:sz w:val="16"/>
                <w:szCs w:val="16"/>
                <w:color w:val="auto"/>
              </w:rPr>
            </w:pP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98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162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3340" w:type="dxa"/>
            <w:vAlign w:val="bottom"/>
            <w:gridSpan w:val="2"/>
            <w:shd w:val="clear" w:color="auto" w:fill="CCEEFF"/>
          </w:tcPr>
          <w:p>
            <w:pPr>
              <w:jc w:val="center"/>
              <w:ind w:left="1750"/>
              <w:spacing w:after="0"/>
              <w:rPr>
                <w:sz w:val="20"/>
                <w:szCs w:val="20"/>
                <w:color w:val="auto"/>
              </w:rPr>
            </w:pPr>
            <w:r>
              <w:rPr>
                <w:rFonts w:ascii="Arial" w:cs="Arial" w:eastAsia="Arial" w:hAnsi="Arial"/>
                <w:sz w:val="18"/>
                <w:szCs w:val="18"/>
                <w:color w:val="auto"/>
                <w:w w:val="96"/>
              </w:rPr>
              <w:t>4.00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2.38</w:t>
            </w:r>
          </w:p>
        </w:tc>
        <w:tc>
          <w:tcPr>
            <w:tcW w:w="0" w:type="dxa"/>
            <w:vAlign w:val="bottom"/>
          </w:tcPr>
          <w:p>
            <w:pPr>
              <w:spacing w:after="0"/>
              <w:rPr>
                <w:sz w:val="1"/>
                <w:szCs w:val="1"/>
                <w:color w:val="auto"/>
              </w:rPr>
            </w:pPr>
          </w:p>
        </w:tc>
      </w:tr>
      <w:tr>
        <w:trPr>
          <w:trHeight w:val="261"/>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3340" w:type="dxa"/>
            <w:vAlign w:val="bottom"/>
            <w:gridSpan w:val="2"/>
          </w:tcPr>
          <w:p>
            <w:pPr>
              <w:jc w:val="center"/>
              <w:ind w:left="1750"/>
              <w:spacing w:after="0"/>
              <w:rPr>
                <w:sz w:val="20"/>
                <w:szCs w:val="20"/>
                <w:color w:val="auto"/>
              </w:rPr>
            </w:pPr>
            <w:r>
              <w:rPr>
                <w:rFonts w:ascii="Arial" w:cs="Arial" w:eastAsia="Arial" w:hAnsi="Arial"/>
                <w:sz w:val="18"/>
                <w:szCs w:val="18"/>
                <w:color w:val="auto"/>
                <w:w w:val="96"/>
              </w:rPr>
              <w:t>3.00</w:t>
            </w:r>
          </w:p>
        </w:tc>
        <w:tc>
          <w:tcPr>
            <w:tcW w:w="12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9.03</w:t>
            </w:r>
          </w:p>
        </w:tc>
        <w:tc>
          <w:tcPr>
            <w:tcW w:w="0" w:type="dxa"/>
            <w:vAlign w:val="bottom"/>
          </w:tcPr>
          <w:p>
            <w:pPr>
              <w:spacing w:after="0"/>
              <w:rPr>
                <w:sz w:val="1"/>
                <w:szCs w:val="1"/>
                <w:color w:val="auto"/>
              </w:rPr>
            </w:pPr>
          </w:p>
        </w:tc>
      </w:tr>
      <w:tr>
        <w:trPr>
          <w:trHeight w:val="689"/>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51" w:name="page52"/>
    <w:bookmarkEnd w:id="51"/>
    <w:p>
      <w:pPr>
        <w:ind w:right="420" w:firstLine="486"/>
        <w:spacing w:after="0" w:line="29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ended June 30, 2013 and December 31, 2012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74"/>
        </w:trPr>
        <w:tc>
          <w:tcPr>
            <w:tcW w:w="83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4"/>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171,045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151,918</w:t>
            </w:r>
          </w:p>
        </w:tc>
        <w:tc>
          <w:tcPr>
            <w:tcW w:w="0" w:type="dxa"/>
            <w:vAlign w:val="bottom"/>
          </w:tcPr>
          <w:p>
            <w:pPr>
              <w:spacing w:after="0"/>
              <w:rPr>
                <w:sz w:val="1"/>
                <w:szCs w:val="1"/>
                <w:color w:val="auto"/>
              </w:rPr>
            </w:pPr>
          </w:p>
        </w:tc>
      </w:tr>
      <w:tr>
        <w:trPr>
          <w:trHeight w:val="265"/>
        </w:trPr>
        <w:tc>
          <w:tcPr>
            <w:tcW w:w="83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50,182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54,826</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110,828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98,673</w:t>
            </w:r>
          </w:p>
        </w:tc>
        <w:tc>
          <w:tcPr>
            <w:tcW w:w="0" w:type="dxa"/>
            <w:vAlign w:val="bottom"/>
          </w:tcPr>
          <w:p>
            <w:pPr>
              <w:spacing w:after="0"/>
              <w:rPr>
                <w:sz w:val="1"/>
                <w:szCs w:val="1"/>
                <w:color w:val="auto"/>
              </w:rPr>
            </w:pPr>
          </w:p>
        </w:tc>
      </w:tr>
      <w:tr>
        <w:trPr>
          <w:trHeight w:val="265"/>
        </w:trPr>
        <w:tc>
          <w:tcPr>
            <w:tcW w:w="8340" w:type="dxa"/>
            <w:vAlign w:val="bottom"/>
          </w:tcPr>
          <w:p>
            <w:pPr>
              <w:ind w:left="80"/>
              <w:spacing w:after="0"/>
              <w:rPr>
                <w:sz w:val="20"/>
                <w:szCs w:val="20"/>
                <w:color w:val="auto"/>
              </w:rPr>
            </w:pPr>
            <w:r>
              <w:rPr>
                <w:rFonts w:ascii="Arial" w:cs="Arial" w:eastAsia="Arial" w:hAnsi="Arial"/>
                <w:sz w:val="18"/>
                <w:szCs w:val="18"/>
                <w:color w:val="auto"/>
              </w:rPr>
              <w:t>Amortization of intangible assets(1)</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39,306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39,542</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fixed assets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37,922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245"/>
        </w:trPr>
        <w:tc>
          <w:tcPr>
            <w:tcW w:w="8340" w:type="dxa"/>
            <w:vAlign w:val="bottom"/>
          </w:tcPr>
          <w:p>
            <w:pPr>
              <w:ind w:left="8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409,283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377,213</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Employee share-based compensation expense(2)</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16,656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20,474</w:t>
            </w: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costs(5)</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Equity issuance and related offering costs(6)</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14,123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45"/>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75,630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77,269</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484,913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454,482</w:t>
            </w: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Advisor and financial institution share-based compensation expense(8)</w:t>
            </w:r>
          </w:p>
        </w:tc>
        <w:tc>
          <w:tcPr>
            <w:tcW w:w="2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Other(9)</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55"/>
        </w:trPr>
        <w:tc>
          <w:tcPr>
            <w:tcW w:w="8340" w:type="dxa"/>
            <w:vAlign w:val="bottom"/>
          </w:tcPr>
          <w:p>
            <w:pPr>
              <w:ind w:left="80"/>
              <w:spacing w:after="0"/>
              <w:rPr>
                <w:sz w:val="20"/>
                <w:szCs w:val="20"/>
                <w:color w:val="auto"/>
              </w:rPr>
            </w:pPr>
            <w:r>
              <w:rPr>
                <w:rFonts w:ascii="Arial" w:cs="Arial" w:eastAsia="Arial" w:hAnsi="Arial"/>
                <w:sz w:val="18"/>
                <w:szCs w:val="18"/>
                <w:color w:val="auto"/>
              </w:rPr>
              <w:t>Credit Agreement 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495,836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462,479</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28"/>
        <w:spacing w:after="0" w:line="26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merger transaction in 2005 and various acquisitions.</w:t>
      </w:r>
    </w:p>
    <w:p>
      <w:pPr>
        <w:spacing w:after="0" w:line="59"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 date fair value and recognized over the requisite service period of the individual awards, which generally equals the vesting period.</w:t>
      </w:r>
    </w:p>
    <w:p>
      <w:pPr>
        <w:spacing w:after="0" w:line="55"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Approximately $11.8 million and $11.4 million were recognized as charges against earnings due to net increases in estimated fair value of contingent consideration during the trailing twelve months ended June 30, 2013 and December 31, 2012, respectively.</w:t>
      </w:r>
    </w:p>
    <w:p>
      <w:pPr>
        <w:spacing w:after="0" w:line="61"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incurred resulting from the expansion of our Service Value Commitment, the 2011 consolidation of UVEST and the 2009 consolidation of the Affiliated Entities. As of June 30, 2013, we have recognized approximately 19% of costs related to the expansion of the Service Value Commitment, which is expected to be completed in 2015. As of June 30, 2013, approximately 91% and 99% of costs related to the 2011 consolidation of UVEST and the 2009 consolidation of the Affiliated Entities, respectively, have been recognized. The remaining costs for the 2011 consolidation of UVEST and the 2009 consolidation of the Affiliated Entities largely consist of the amortization of transition payments that have been made in connection with these two consolidations for the retention of advisors and financial institutions that are expected to be recognized into earnings by December 2014.</w:t>
      </w:r>
    </w:p>
    <w:p>
      <w:pPr>
        <w:spacing w:after="0" w:line="70" w:lineRule="exact"/>
        <w:rPr>
          <w:rFonts w:ascii="Arial" w:cs="Arial" w:eastAsia="Arial" w:hAnsi="Arial"/>
          <w:sz w:val="18"/>
          <w:szCs w:val="18"/>
          <w:color w:val="auto"/>
        </w:rPr>
      </w:pPr>
    </w:p>
    <w:p>
      <w:pPr>
        <w:ind w:left="660" w:right="440" w:hanging="328"/>
        <w:spacing w:after="0" w:line="26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our Previous Credit Agreement and Original Credit Agreement for the trailing twelve months ended June 30, 2013 and December 31, 2012, respectively, including the write-off of $8.0 million and $16.5 million, respectively, of unamortized debt issuance costs that have no future economic benefit, as well as various other charges incurred in connection with the establishment of the Amended Credit Agreement and the Previous Credit Agreement, respectively.</w:t>
      </w:r>
    </w:p>
    <w:p>
      <w:pPr>
        <w:spacing w:after="0" w:line="67" w:lineRule="exact"/>
        <w:rPr>
          <w:rFonts w:ascii="Arial" w:cs="Arial" w:eastAsia="Arial" w:hAnsi="Arial"/>
          <w:sz w:val="18"/>
          <w:szCs w:val="18"/>
          <w:color w:val="auto"/>
        </w:rPr>
      </w:pPr>
    </w:p>
    <w:p>
      <w:pPr>
        <w:jc w:val="both"/>
        <w:ind w:left="660" w:right="60" w:hanging="328"/>
        <w:spacing w:after="0" w:line="27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twelve months ended June 30, 2013 and December 31, 2012, related to the closing of the secondary offering in the second quarter of 2012. In addition, results for the twelve months ended June 30, 2013 and December 31, 2012 include a $3.9 million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0" w:right="239" w:bottom="1440" w:gutter="0" w:footer="0" w:header="0"/>
        </w:sectPr>
      </w:pPr>
    </w:p>
    <w:bookmarkStart w:id="52" w:name="page53"/>
    <w:bookmarkEnd w:id="52"/>
    <w:p>
      <w:pPr>
        <w:ind w:left="660"/>
        <w:spacing w:after="0" w:line="339" w:lineRule="auto"/>
        <w:rPr>
          <w:sz w:val="20"/>
          <w:szCs w:val="20"/>
          <w:color w:val="auto"/>
        </w:rPr>
      </w:pPr>
      <w:r>
        <w:rPr>
          <w:rFonts w:ascii="Arial" w:cs="Arial" w:eastAsia="Arial" w:hAnsi="Arial"/>
          <w:sz w:val="18"/>
          <w:szCs w:val="18"/>
          <w:color w:val="auto"/>
        </w:rPr>
        <w:t>charge for the late deposit of withholding taxes related to the exercise of certain non-qualified stock options in connection with the 2010 initial public offering (See Note 9 in the unaudited condensed consolidated financial statements).</w:t>
      </w:r>
    </w:p>
    <w:p>
      <w:pPr>
        <w:spacing w:after="0" w:line="9" w:lineRule="exact"/>
        <w:rPr>
          <w:sz w:val="20"/>
          <w:szCs w:val="20"/>
          <w:color w:val="auto"/>
        </w:rPr>
      </w:pPr>
    </w:p>
    <w:p>
      <w:pPr>
        <w:ind w:left="660" w:right="320" w:hanging="328"/>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Generally, represents certain excise and other taxes. Results for the twelve months ended June 30, 2013 and December 31, 2012 include approximately $7.0 million, respectively, for consulting services and technology development aimed at enhancing our performance in support of our advisors while operating at a lower cost under the Program. In addition, results for the twelve months ended June 30, 2013 and December 31, 2012, include asset impairment charges of $4.8 million and $4.0 million, respectively, for certain fixed assets related to internally developed software that were determined to have no estimated fair value. Results for the twelve months ended June 30, 2013 include $2.7 million of severance and termination benefits related to a change in management structure that have been excluded from the presentation of Adjusted EBITDA.</w:t>
      </w:r>
    </w:p>
    <w:p>
      <w:pPr>
        <w:spacing w:after="0" w:line="69" w:lineRule="exact"/>
        <w:rPr>
          <w:rFonts w:ascii="Arial" w:cs="Arial" w:eastAsia="Arial" w:hAnsi="Arial"/>
          <w:sz w:val="18"/>
          <w:szCs w:val="18"/>
          <w:color w:val="auto"/>
        </w:rPr>
      </w:pPr>
    </w:p>
    <w:p>
      <w:pPr>
        <w:ind w:left="660" w:right="140" w:hanging="328"/>
        <w:spacing w:after="0" w:line="27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Credit Agreement Adjusted EBITDA excludes the recognition of share-based compensation expense from stock options and warrants granted to advisors and financial institutions based on the fair value of the awards at each interim reporting period under the Black-Scholes valuation model, as defined under the terms of the Amended Credit Agreement.</w:t>
      </w:r>
    </w:p>
    <w:p>
      <w:pPr>
        <w:spacing w:after="0" w:line="163" w:lineRule="exact"/>
        <w:rPr>
          <w:rFonts w:ascii="Arial" w:cs="Arial" w:eastAsia="Arial" w:hAnsi="Arial"/>
          <w:sz w:val="18"/>
          <w:szCs w:val="18"/>
          <w:color w:val="auto"/>
        </w:rPr>
      </w:pPr>
    </w:p>
    <w:p>
      <w:pPr>
        <w:ind w:left="660" w:right="100" w:hanging="328"/>
        <w:spacing w:after="0" w:line="29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Amended Credit Agreement to arrive at Credit Agreement Adjusted EBITDA including employee severance costs, employee signing costs, and employee retention or completion bonuses.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jc w:val="both"/>
        <w:ind w:right="320" w:firstLine="486"/>
        <w:spacing w:after="0" w:line="271"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9 and 14 of our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June 30, 2013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&lt; 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r>
      <w:tr>
        <w:trPr>
          <w:trHeight w:val="254"/>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419,853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60,798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247,132</w:t>
            </w:r>
          </w:p>
        </w:tc>
      </w:tr>
      <w:tr>
        <w:trPr>
          <w:trHeight w:val="265"/>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facilities(3)</w:t>
            </w:r>
          </w:p>
        </w:tc>
        <w:tc>
          <w:tcPr>
            <w:tcW w:w="2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1,540,515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481,052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1,026,948</w:t>
            </w:r>
          </w:p>
        </w:tc>
      </w:tr>
      <w:tr>
        <w:trPr>
          <w:trHeight w:val="275"/>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credit(4)</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payments(5):</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A</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Amended Term Loan B</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248,214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35,491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73,744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97,404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41,575</w:t>
            </w:r>
          </w:p>
        </w:tc>
      </w:tr>
      <w:tr>
        <w:trPr>
          <w:trHeight w:val="255"/>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2,271,466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206,711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654,891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1,315,655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spacing w:after="0" w:line="11" w:lineRule="exact"/>
        <w:rPr>
          <w:sz w:val="20"/>
          <w:szCs w:val="20"/>
          <w:color w:val="auto"/>
        </w:rPr>
      </w:pPr>
    </w:p>
    <w:p>
      <w:pPr>
        <w:ind w:left="66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June 2013, we entered into a long-term contractual obligation with a third-party service provider to enhance the quality, speed and cost of processes that support us by outsourcing certain functions. The table above includes the minimum payments due over the duration of the contract. The contractual obligation may be canceled, subject to a termination penalty that is approximately equal to the initial annual minimum payment. The termination penalty steps down ratably through the passage of time. Minimum payments have not been reduced by this termination penalty.</w:t>
      </w:r>
    </w:p>
    <w:p>
      <w:pPr>
        <w:spacing w:after="0" w:line="71"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Minimum payments for applicable leases have not been reduced by minimum sublease rental income of $4.4 million that is due in the future under noncancelable subleases. Note 9 of our unaudited condensed consolidated financial statements provides further detail on operating lease obligations and obligations under noncancelable service contracts.</w:t>
      </w:r>
    </w:p>
    <w:p>
      <w:pPr>
        <w:spacing w:after="0" w:line="55" w:lineRule="exact"/>
        <w:rPr>
          <w:rFonts w:ascii="Arial" w:cs="Arial" w:eastAsia="Arial" w:hAnsi="Arial"/>
          <w:sz w:val="18"/>
          <w:szCs w:val="18"/>
          <w:color w:val="auto"/>
        </w:rPr>
      </w:pPr>
    </w:p>
    <w:p>
      <w:pPr>
        <w:ind w:left="660" w:right="120" w:hanging="328"/>
        <w:spacing w:after="0" w:line="29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principal payments under our Amended Credit Agreement. See Note 8 of our unaudited condensed consolidated financial statements for further detail.</w:t>
      </w:r>
    </w:p>
    <w:p>
      <w:pPr>
        <w:spacing w:after="0" w:line="36" w:lineRule="exact"/>
        <w:rPr>
          <w:rFonts w:ascii="Arial" w:cs="Arial" w:eastAsia="Arial" w:hAnsi="Arial"/>
          <w:sz w:val="18"/>
          <w:szCs w:val="18"/>
          <w:color w:val="auto"/>
        </w:rPr>
      </w:pPr>
    </w:p>
    <w:p>
      <w:pPr>
        <w:ind w:left="660" w:right="760" w:hanging="328"/>
        <w:spacing w:after="0" w:line="29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Revolving Credit Facility. See Note 8 of our unaudited condensed consolidated financial statements for further detail.</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87" w:right="259" w:bottom="1440" w:gutter="0" w:footer="0" w:header="0"/>
        </w:sectPr>
      </w:pPr>
    </w:p>
    <w:bookmarkStart w:id="53" w:name="page54"/>
    <w:bookmarkEnd w:id="53"/>
    <w:p>
      <w:pPr>
        <w:ind w:left="660" w:hanging="328"/>
        <w:spacing w:after="0" w:line="27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June 30, 2013 remain unchanged. See Note 8 of our unaudited condensed consolidated financial statements for further detail.</w:t>
      </w:r>
    </w:p>
    <w:p>
      <w:pPr>
        <w:spacing w:after="0" w:line="10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Our acquisitions of NRP, Concord and Veritat involve the potential payment of contingent consideration dependent upon the achievement of certain revenue, gross-margin and assets under management milestones. The table above does not reflect any such obligations, as the amounts are uncertain. See Note 4 of our unaudited condensed consolidated financial statements for further discussion of the amount of future contingent consideration we could be required to pay in connection with these acquisitions.</w:t>
      </w:r>
    </w:p>
    <w:p>
      <w:pPr>
        <w:spacing w:after="0" w:line="129" w:lineRule="exact"/>
        <w:rPr>
          <w:sz w:val="20"/>
          <w:szCs w:val="20"/>
          <w:color w:val="auto"/>
        </w:rPr>
      </w:pPr>
    </w:p>
    <w:p>
      <w:pPr>
        <w:ind w:right="340" w:firstLine="486"/>
        <w:spacing w:after="0" w:line="271" w:lineRule="auto"/>
        <w:rPr>
          <w:sz w:val="20"/>
          <w:szCs w:val="20"/>
          <w:color w:val="auto"/>
        </w:rPr>
      </w:pPr>
      <w:r>
        <w:rPr>
          <w:rFonts w:ascii="Arial" w:cs="Arial" w:eastAsia="Arial" w:hAnsi="Arial"/>
          <w:sz w:val="18"/>
          <w:szCs w:val="18"/>
          <w:color w:val="auto"/>
        </w:rPr>
        <w:t>As of June 30, 2013, we have a liability for unrecognized tax benefits of $21.2 million, which we have netted against income taxes receivable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280" w:firstLine="486"/>
        <w:spacing w:after="0" w:line="294"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46" w:lineRule="exact"/>
        <w:rPr>
          <w:sz w:val="20"/>
          <w:szCs w:val="20"/>
          <w:color w:val="auto"/>
        </w:rPr>
      </w:pPr>
    </w:p>
    <w:p>
      <w:pPr>
        <w:ind w:right="340" w:firstLine="486"/>
        <w:spacing w:after="0" w:line="271" w:lineRule="auto"/>
        <w:rPr>
          <w:sz w:val="20"/>
          <w:szCs w:val="20"/>
          <w:color w:val="auto"/>
        </w:rPr>
      </w:pPr>
      <w:r>
        <w:rPr>
          <w:rFonts w:ascii="Arial" w:cs="Arial" w:eastAsia="Arial" w:hAnsi="Arial"/>
          <w:sz w:val="18"/>
          <w:szCs w:val="18"/>
          <w:color w:val="auto"/>
        </w:rPr>
        <w:t>At June 30, 2013,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7"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2012 Annual Report on Form 10-K, those accounting policies that we consider to be significant in determining our results of operations and financial condition. There have been no material changes to those policies that we consider to be significant since the filing of our 2012 Annual Report on Form 10-K. The accounting principles used in preparing our unaudited condensed consolidated financial statements conform in all material respects to GAAP.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170"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60" w:right="259" w:bottom="1440" w:gutter="0" w:footer="0" w:header="0"/>
        </w:sectPr>
      </w:pPr>
    </w:p>
    <w:bookmarkStart w:id="54" w:name="page55"/>
    <w:bookmarkEnd w:id="54"/>
    <w:p>
      <w:pPr>
        <w:ind w:right="180"/>
        <w:spacing w:after="0" w:line="279" w:lineRule="auto"/>
        <w:rPr>
          <w:sz w:val="20"/>
          <w:szCs w:val="20"/>
          <w:color w:val="auto"/>
        </w:rPr>
      </w:pPr>
      <w:r>
        <w:rPr>
          <w:rFonts w:ascii="Arial" w:cs="Arial" w:eastAsia="Arial" w:hAnsi="Arial"/>
          <w:sz w:val="17"/>
          <w:szCs w:val="17"/>
          <w:color w:val="auto"/>
        </w:rPr>
        <w:t>level of securities deposited is monitored by the settlement area within our broker dealer support services department. Our research department develops model portfolios that are used by advisors in developing client portfolios. We currently maintain approximately 180 accounts based on model portfolios. At the time the portfolio is developed, we purchase the securities in that model portfolio in an amount equal to the account minimum for a client. Account minimums vary by product and can range from $10,000 to $ 250,000 per model. We utilize these positions to track the performance of the research department. The limits on this activity are based at the inception of each new model.</w:t>
      </w:r>
    </w:p>
    <w:p>
      <w:pPr>
        <w:spacing w:after="0" w:line="16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At June 30, 2013, the fair value of our trading securities owned were $9.0 million. Securities sold, but not yet purchased were $0.2 million at June 30, 2013. See Note 4 of our unaudited condensed consolidated financial statements for information regarding the fair value of trading securities owned and securities sold, but not yet purchased associated with our client facilitation activities. See Note 5 of our unaudited condensed consolidated financial statements for information regarding the fair value of securities held to maturity.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7"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We are exposed to risk associated with changes in interest rates. As of June 30, 2013, all of the outstanding debt under our Amended Credit Agreement, $1.5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163"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June 30, 2013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60"/>
        </w:trPr>
        <w:tc>
          <w:tcPr>
            <w:tcW w:w="4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2"/>
                <w:szCs w:val="22"/>
                <w:color w:val="auto"/>
              </w:rPr>
            </w:pPr>
          </w:p>
        </w:tc>
        <w:tc>
          <w:tcPr>
            <w:tcW w:w="900" w:type="dxa"/>
            <w:vAlign w:val="bottom"/>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74"/>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3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4"/>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5"/>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Amended Term Loan B(2)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1,081,140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55"/>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1,540,515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7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6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variable interest rate for our Term Loan A is based on the one-month LIBOR of 0.20%, plus the applicable interest rate margin of 2.50%.</w:t>
      </w:r>
    </w:p>
    <w:p>
      <w:pPr>
        <w:spacing w:after="0" w:line="59"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variable interest rate for Amended Term Loan B is comprised of two components: the first component is based on fifty percent of the outstanding loan balance with interest calculated at the greater of the three-month LIBOR of 0.28% or 0.75%, plus the applicable interest rate margin of 2.50%; the second component is based on fifty percent of the outstanding loan balance with interest calculated at the greater of the six-month LIBOR of 0.42% or 0.75%, plus the applicable interest rate margin of 2.50%.</w:t>
      </w:r>
    </w:p>
    <w:p>
      <w:pPr>
        <w:spacing w:after="0" w:line="12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0" w:right="239" w:bottom="1440" w:gutter="0" w:footer="0" w:header="0"/>
        </w:sectPr>
      </w:pPr>
    </w:p>
    <w:bookmarkStart w:id="55" w:name="page56"/>
    <w:bookmarkEnd w:id="55"/>
    <w:p>
      <w:pPr>
        <w:ind w:right="320" w:firstLine="486"/>
        <w:spacing w:after="0" w:line="271" w:lineRule="auto"/>
        <w:rPr>
          <w:sz w:val="20"/>
          <w:szCs w:val="20"/>
          <w:color w:val="auto"/>
        </w:rPr>
      </w:pPr>
      <w:r>
        <w:rPr>
          <w:rFonts w:ascii="Arial" w:cs="Arial" w:eastAsia="Arial" w:hAnsi="Arial"/>
          <w:sz w:val="18"/>
          <w:szCs w:val="18"/>
          <w:color w:val="auto"/>
        </w:rPr>
        <w:t>The average Federal Reserve effective federal funds rate ("FFER") for June 2013 was 0.12%. The following table reflects the approximate annual impact to asset-based revenues on our insured cash programs (assuming that client balances at June 30, 2013 remain unchanged) of an upward or downward change in short-term interest rates of one basis point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32"/>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20"/>
                <w:szCs w:val="20"/>
                <w:color w:val="auto"/>
              </w:rPr>
            </w:pPr>
          </w:p>
        </w:tc>
      </w:tr>
      <w:tr>
        <w:trPr>
          <w:trHeight w:val="254"/>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65"/>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3"/>
                <w:szCs w:val="23"/>
                <w:color w:val="auto"/>
              </w:rPr>
            </w:pPr>
          </w:p>
        </w:tc>
        <w:tc>
          <w:tcPr>
            <w:tcW w:w="7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5"/>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- 2.25%</w:t>
            </w:r>
          </w:p>
        </w:tc>
        <w:tc>
          <w:tcPr>
            <w:tcW w:w="120" w:type="dxa"/>
            <w:vAlign w:val="bottom"/>
            <w:shd w:val="clear" w:color="auto" w:fill="CCEEFF"/>
          </w:tcPr>
          <w:p>
            <w:pPr>
              <w:spacing w:after="0"/>
              <w:rPr>
                <w:sz w:val="23"/>
                <w:szCs w:val="23"/>
                <w:color w:val="auto"/>
              </w:rPr>
            </w:pPr>
          </w:p>
        </w:tc>
        <w:tc>
          <w:tcPr>
            <w:tcW w:w="7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bl>
    <w:p>
      <w:pPr>
        <w:spacing w:after="0" w:line="85" w:lineRule="exact"/>
        <w:rPr>
          <w:sz w:val="20"/>
          <w:szCs w:val="20"/>
          <w:color w:val="auto"/>
        </w:rPr>
      </w:pPr>
    </w:p>
    <w:p>
      <w:pPr>
        <w:ind w:right="400" w:firstLine="486"/>
        <w:spacing w:after="0" w:line="271" w:lineRule="auto"/>
        <w:rPr>
          <w:sz w:val="20"/>
          <w:szCs w:val="20"/>
          <w:color w:val="auto"/>
        </w:rPr>
      </w:pPr>
      <w:r>
        <w:rPr>
          <w:rFonts w:ascii="Arial" w:cs="Arial" w:eastAsia="Arial" w:hAnsi="Arial"/>
          <w:sz w:val="18"/>
          <w:szCs w:val="18"/>
          <w:color w:val="auto"/>
        </w:rPr>
        <w:t>The actual impact to asset-based revenues, including a change in the FFER of greater than 2.25%, may vary depending on the FRS committee's strategy in response to a change in interest rate levels, the significance of a change, and actual balances at the time of such 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7"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163"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(for purposes of margin lending,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170"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six months ended June 30, 2013 and 2012.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175"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as well as third -party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 party service providers. In the event of a breakdown or improper operation of systems or improper action by employees, advisors or third 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3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 Management</w:t>
      </w:r>
    </w:p>
    <w:p>
      <w:pPr>
        <w:spacing w:after="0" w:line="227"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is responsible for, among other things, appointing, overseeing and replacing, if necessary, the independent auditor and assisting the Board in overseeing:</w:t>
      </w:r>
    </w:p>
    <w:p>
      <w:pPr>
        <w:spacing w:after="0" w:line="28" w:lineRule="exact"/>
        <w:rPr>
          <w:sz w:val="20"/>
          <w:szCs w:val="20"/>
          <w:color w:val="auto"/>
        </w:rPr>
      </w:pPr>
    </w:p>
    <w:p>
      <w:pPr>
        <w:ind w:left="1200" w:hanging="30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integrity of our accounting and financial reporting processes;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performance of our independent auditor and internal audit function.</w:t>
      </w:r>
    </w:p>
    <w:p>
      <w:pPr>
        <w:spacing w:after="0" w:line="131"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In addition, the Audit Committee prepares the Audit Committee report required by the SEC to be included in our Annual Report on Form 10-K or our proxy statement.</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Compensation and Human Resources Committee was established for the primary purpose of:</w:t>
      </w:r>
    </w:p>
    <w:p>
      <w:pPr>
        <w:spacing w:after="0" w:line="63" w:lineRule="exact"/>
        <w:rPr>
          <w:sz w:val="20"/>
          <w:szCs w:val="20"/>
          <w:color w:val="auto"/>
        </w:rPr>
      </w:pPr>
    </w:p>
    <w:p>
      <w:pPr>
        <w:ind w:left="1140" w:right="460" w:hanging="241"/>
        <w:spacing w:after="0" w:line="263"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overseeing our efforts to attract, retain and motivate members of our senior management team in partnership with the Chief Executive Officer;</w:t>
      </w:r>
    </w:p>
    <w:p>
      <w:pPr>
        <w:ind w:left="1140" w:right="240" w:hanging="241"/>
        <w:spacing w:after="0" w:line="250"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carrying out the Board’s overall responsibility relating to the determination of compensation for all executive officers to achieve the proper risk-reward balance and not encourage unnecessary or excessive risk-taking;</w:t>
      </w:r>
    </w:p>
    <w:p>
      <w:pPr>
        <w:ind w:left="1140" w:hanging="241"/>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overseeing all other aspects of our compensation and human resource policies; and</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overseeing our management resources, succession planning and management development activities.</w:t>
      </w:r>
    </w:p>
    <w:p>
      <w:pPr>
        <w:spacing w:after="0" w:line="41"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As mandated by the Audit Committee, we also have established a Risk Oversight Committee comprised of a group of our senior-most executives to oversee the risk management activities of the Company.</w:t>
      </w:r>
    </w:p>
    <w:p>
      <w:pPr>
        <w:spacing w:after="0" w:line="64"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27"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There were no changes in our internal control over financial reporting that occurred during the second quarter ended June 30, 2013 that have materially affected, or are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74" w:right="2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 xml:space="preserve">There have been no material changes in the information regarding the Company’s risks, as set forth under Part I, “Item 1A. Risk Factors” in the Company’s 2012 Annual Report on Form 10-K, except for the following revised risk factors, each of which appeared in Part I, </w:t>
      </w:r>
      <w:r>
        <w:rPr>
          <w:rFonts w:ascii="Times New Roman" w:cs="Times New Roman" w:eastAsia="Times New Roman" w:hAnsi="Times New Roman"/>
          <w:sz w:val="18"/>
          <w:szCs w:val="18"/>
          <w:color w:val="auto"/>
        </w:rPr>
        <w:t>“</w:t>
      </w:r>
      <w:r>
        <w:rPr>
          <w:rFonts w:ascii="Arial" w:cs="Arial" w:eastAsia="Arial" w:hAnsi="Arial"/>
          <w:sz w:val="18"/>
          <w:szCs w:val="18"/>
          <w:color w:val="auto"/>
        </w:rPr>
        <w:t>Item 1A. Risk Factors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2012 Annual Report on Form 10-K, but have been revised to reflect events that occurred during the current reporting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33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w:t>
      </w:r>
    </w:p>
    <w:p>
      <w:pPr>
        <w:spacing w:after="0" w:line="25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and the election of each class for three-year terms;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33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271" w:lineRule="exact"/>
        <w:rPr>
          <w:rFonts w:ascii="Arial" w:cs="Arial" w:eastAsia="Arial" w:hAnsi="Arial"/>
          <w:sz w:val="18"/>
          <w:szCs w:val="18"/>
          <w:color w:val="auto"/>
        </w:rPr>
      </w:pPr>
    </w:p>
    <w:p>
      <w:pPr>
        <w:ind w:left="660" w:right="280" w:hanging="328"/>
        <w:spacing w:after="0" w:line="29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 the inability to remove directors other than for cause; and</w:t>
      </w:r>
    </w:p>
    <w:p>
      <w:pPr>
        <w:spacing w:after="0" w:line="252" w:lineRule="exact"/>
        <w:rPr>
          <w:rFonts w:ascii="Arial" w:cs="Arial" w:eastAsia="Arial" w:hAnsi="Arial"/>
          <w:sz w:val="18"/>
          <w:szCs w:val="18"/>
          <w:color w:val="auto"/>
        </w:rPr>
      </w:pPr>
    </w:p>
    <w:p>
      <w:pPr>
        <w:ind w:left="660" w:right="380" w:hanging="328"/>
        <w:spacing w:after="0" w:line="27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or a potential hostile acquirer, likely preventing acquisitions that have not been approved by our board of directors.</w:t>
      </w:r>
    </w:p>
    <w:p>
      <w:pPr>
        <w:spacing w:after="0" w:line="2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outsourced service providers to perform key functions.</w:t>
      </w:r>
    </w:p>
    <w:p>
      <w:pPr>
        <w:spacing w:after="0" w:line="33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rely on outsourced service providers to perform certain key technology, processing and support functions. For example, we have an agreement with Thomson Reuters BETA Systems, a division of Thomson Reuters, under which they provide us operational support, including data processing services for securities transactions and back office processing support. Our use of third party service providers may decrease our ability to control operating risks and information technology systems risks. Any significant failures by our service providers could cause us to incur losses and could harm our reputation. If we had to change these service providers, we would experience a disruption to our business. Although we believe we have the resources to make such transitions with minimal disruption, we cannot predict the costs and time for such conversions. We cannot provide any assurance that the disruption caused by a change in our service providers would not have a material adverse effect on our business. We are transitioning additional business processes to third party service providers in connection with the Service Value Commitment, which increases our reliance on outsourced providers and the related risks described above. To the extent we outsource selected services or selected functions to third party service providers in foreign jurisdictions, we could be exposed to risks inherent in conducting business outside of the United States, including international economic and political conditions, and the additional costs associated with complying with foreign laws and fluctuations in currency values.</w:t>
      </w:r>
    </w:p>
    <w:p>
      <w:pPr>
        <w:sectPr>
          <w:pgSz w:w="11900" w:h="16838" w:orient="portrait"/>
          <w:cols w:equalWidth="0" w:num="1">
            <w:col w:w="11400"/>
          </w:cols>
          <w:pgMar w:left="240" w:top="412" w:right="259"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12" w:right="2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second quarter of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00" w:type="dxa"/>
            <w:vAlign w:val="bottom"/>
          </w:tcPr>
          <w:p>
            <w:pPr>
              <w:spacing w:after="0"/>
              <w:rPr>
                <w:sz w:val="14"/>
                <w:szCs w:val="1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4"/>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April 1, 2013 through April 30, 2013</w:t>
            </w:r>
          </w:p>
        </w:tc>
        <w:tc>
          <w:tcPr>
            <w:tcW w:w="1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81,983,490</w:t>
            </w:r>
          </w:p>
        </w:tc>
        <w:tc>
          <w:tcPr>
            <w:tcW w:w="0" w:type="dxa"/>
            <w:vAlign w:val="bottom"/>
          </w:tcPr>
          <w:p>
            <w:pPr>
              <w:spacing w:after="0"/>
              <w:rPr>
                <w:sz w:val="1"/>
                <w:szCs w:val="1"/>
                <w:color w:val="auto"/>
              </w:rPr>
            </w:pPr>
          </w:p>
        </w:tc>
      </w:tr>
      <w:tr>
        <w:trPr>
          <w:trHeight w:val="265"/>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May 1, 2013 through May 31, 2013(2)</w:t>
            </w:r>
          </w:p>
        </w:tc>
        <w:tc>
          <w:tcPr>
            <w:tcW w:w="1740" w:type="dxa"/>
            <w:vAlign w:val="bottom"/>
          </w:tcPr>
          <w:p>
            <w:pPr>
              <w:jc w:val="right"/>
              <w:ind w:right="38"/>
              <w:spacing w:after="0"/>
              <w:rPr>
                <w:sz w:val="20"/>
                <w:szCs w:val="20"/>
                <w:color w:val="auto"/>
              </w:rPr>
            </w:pPr>
            <w:r>
              <w:rPr>
                <w:rFonts w:ascii="Arial" w:cs="Arial" w:eastAsia="Arial" w:hAnsi="Arial"/>
                <w:sz w:val="18"/>
                <w:szCs w:val="18"/>
                <w:color w:val="auto"/>
              </w:rPr>
              <w:t>77,951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23"/>
                <w:szCs w:val="23"/>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77,951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79,098,165</w:t>
            </w:r>
          </w:p>
        </w:tc>
        <w:tc>
          <w:tcPr>
            <w:tcW w:w="0" w:type="dxa"/>
            <w:vAlign w:val="bottom"/>
          </w:tcPr>
          <w:p>
            <w:pPr>
              <w:spacing w:after="0"/>
              <w:rPr>
                <w:sz w:val="1"/>
                <w:szCs w:val="1"/>
                <w:color w:val="auto"/>
              </w:rPr>
            </w:pPr>
          </w:p>
        </w:tc>
      </w:tr>
      <w:tr>
        <w:trPr>
          <w:trHeight w:val="27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1, 2013 through June 30, 2013</w:t>
            </w:r>
          </w:p>
        </w:tc>
        <w:tc>
          <w:tcPr>
            <w:tcW w:w="1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1,350,625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36.99</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1,350,625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29,162,931</w:t>
            </w:r>
          </w:p>
        </w:tc>
        <w:tc>
          <w:tcPr>
            <w:tcW w:w="0" w:type="dxa"/>
            <w:vAlign w:val="bottom"/>
          </w:tcPr>
          <w:p>
            <w:pPr>
              <w:spacing w:after="0"/>
              <w:rPr>
                <w:sz w:val="1"/>
                <w:szCs w:val="1"/>
                <w:color w:val="auto"/>
              </w:rPr>
            </w:pPr>
          </w:p>
        </w:tc>
      </w:tr>
      <w:tr>
        <w:trPr>
          <w:trHeight w:val="255"/>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April 1, 2013 through June 30, 2013</w:t>
            </w:r>
          </w:p>
        </w:tc>
        <w:tc>
          <w:tcPr>
            <w:tcW w:w="1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1,428,576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1,428,576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29,162,931</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3"/>
            <w:vMerge w:val="continue"/>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 10 of the unaudited condensed consolidated financial statements for additional information.</w:t>
      </w:r>
    </w:p>
    <w:p>
      <w:pPr>
        <w:spacing w:after="0" w:line="95" w:lineRule="exact"/>
        <w:rPr>
          <w:rFonts w:ascii="Arial" w:cs="Arial" w:eastAsia="Arial" w:hAnsi="Arial"/>
          <w:sz w:val="18"/>
          <w:szCs w:val="18"/>
          <w:color w:val="auto"/>
        </w:rPr>
      </w:pPr>
    </w:p>
    <w:p>
      <w:pPr>
        <w:ind w:left="500" w:right="840" w:hanging="492"/>
        <w:spacing w:after="0" w:line="292"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May 2013, the Board authorized the Company to repurchase up to an additional $200.0 million of the Company's issued and outstanding shares of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Section 219 of the Iran Threat Reduction and Syria Human Rights Act of 2012, which was signed into law on August 10, 2012, added a new subsection (r) to Section 13 of the Exchange Act, which requires us to disclose whether we or any of our “affiliates” has engaged during the quarterly period ended June 30, 2013 in certain activities, including any transaction or dealing with the Government of Iran that is not conducted pursuant to a specific authorization of the U.S. government. Because the SEC defines the term “affiliate” broadly, it includes any entity controlled by us as well as any person or entity that controls us or is under common control with us (“control” is also construed broadly by the SEC). Neither we nor our controlled affiliates have knowingly engaged in any transaction or dealing reportable under Section 13(r) of the Exchange Act during the quarterly period ended June 30, 2013.</w:t>
      </w:r>
    </w:p>
    <w:p>
      <w:pPr>
        <w:spacing w:after="0" w:line="28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Funds affiliated with Hellman &amp; Friedman LLC (“H&amp;F”) own a minority interest in the Company. H&amp;F has provided us with disclosure for Gaztransport &amp; Technigaz S.A.S, another of its minority-owned portfolio companies, which may be considered an affiliate of H&amp;F under Section 13(r) of the Exchange Act. Such disclosure is included in, and the Company hereby incorporates by reference herein, Exhibit 99.1 to this Quarterly Report on Form 10-Q.</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5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4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40" w:type="dxa"/>
            <w:vAlign w:val="bottom"/>
          </w:tcPr>
          <w:p>
            <w:pPr>
              <w:ind w:left="180"/>
              <w:spacing w:after="0"/>
              <w:rPr>
                <w:sz w:val="20"/>
                <w:szCs w:val="20"/>
                <w:color w:val="auto"/>
              </w:rPr>
            </w:pPr>
            <w:r>
              <w:rPr>
                <w:rFonts w:ascii="Arial" w:cs="Arial" w:eastAsia="Arial" w:hAnsi="Arial"/>
                <w:sz w:val="18"/>
                <w:szCs w:val="18"/>
                <w:color w:val="auto"/>
                <w:w w:val="99"/>
              </w:rPr>
              <w:t>Third Amended and Restated Bylaws (previously filed as Exhibit 3.1 to the Current Report on Form 8-K/A (File Number 001-</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August 8, 2012 and incorporated herein by reference)</w:t>
            </w:r>
          </w:p>
        </w:tc>
      </w:tr>
      <w:tr>
        <w:trPr>
          <w:trHeight w:val="459"/>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99.1</w:t>
            </w:r>
          </w:p>
        </w:tc>
        <w:tc>
          <w:tcPr>
            <w:tcW w:w="10040" w:type="dxa"/>
            <w:vAlign w:val="bottom"/>
          </w:tcPr>
          <w:p>
            <w:pPr>
              <w:ind w:left="180"/>
              <w:spacing w:after="0"/>
              <w:rPr>
                <w:sz w:val="20"/>
                <w:szCs w:val="20"/>
                <w:color w:val="auto"/>
              </w:rPr>
            </w:pPr>
            <w:r>
              <w:rPr>
                <w:rFonts w:ascii="Arial" w:cs="Arial" w:eastAsia="Arial" w:hAnsi="Arial"/>
                <w:sz w:val="18"/>
                <w:szCs w:val="18"/>
                <w:color w:val="auto"/>
              </w:rPr>
              <w:t>Disclosure pursuant to Section 13(r) of the Securities Exchange Act of 1934, as amended (filed herewith)</w:t>
            </w:r>
          </w:p>
        </w:tc>
      </w:tr>
      <w:tr>
        <w:trPr>
          <w:trHeight w:val="52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918"/>
        </w:trPr>
        <w:tc>
          <w:tcPr>
            <w:tcW w:w="920" w:type="dxa"/>
            <w:vAlign w:val="bottom"/>
          </w:tcPr>
          <w:p>
            <w:pPr>
              <w:spacing w:after="0"/>
              <w:rPr>
                <w:sz w:val="24"/>
                <w:szCs w:val="24"/>
                <w:color w:val="auto"/>
              </w:rPr>
            </w:pPr>
          </w:p>
        </w:tc>
        <w:tc>
          <w:tcPr>
            <w:tcW w:w="10040" w:type="dxa"/>
            <w:vAlign w:val="bottom"/>
          </w:tcPr>
          <w:p>
            <w:pPr>
              <w:ind w:left="438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280"/>
          </w:cols>
          <w:pgMar w:left="240" w:top="358" w:right="37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5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28575</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28575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358"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0" w:hanging="652"/>
        <w:spacing w:after="0" w:line="323"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660" w:right="300" w:hanging="652"/>
        <w:spacing w:after="0" w:line="27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ind w:left="1300" w:right="180" w:hanging="644"/>
        <w:spacing w:after="0" w:line="271"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1300" w:right="160" w:hanging="644"/>
        <w:spacing w:after="0" w:line="271"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1300" w:right="100" w:hanging="644"/>
        <w:spacing w:after="0" w:line="271"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240" w:hanging="644"/>
        <w:spacing w:after="0" w:line="271"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520" w:hanging="652"/>
        <w:spacing w:after="0" w:line="27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100" w:hanging="644"/>
        <w:spacing w:after="0" w:line="271"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 w:hanging="644"/>
        <w:spacing w:after="0" w:line="292"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0" w:hanging="652"/>
        <w:spacing w:after="0" w:line="32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660" w:right="300" w:hanging="652"/>
        <w:spacing w:after="0" w:line="27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ind w:left="1300" w:right="180" w:hanging="644"/>
        <w:spacing w:after="0" w:line="27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1300" w:right="160" w:hanging="644"/>
        <w:spacing w:after="0" w:line="27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1300" w:right="100" w:hanging="644"/>
        <w:spacing w:after="0" w:line="27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240" w:hanging="644"/>
        <w:spacing w:after="0" w:line="27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520" w:hanging="652"/>
        <w:spacing w:after="0" w:line="27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100" w:hanging="644"/>
        <w:spacing w:after="0" w:line="27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 w:hanging="644"/>
        <w:spacing w:after="0" w:line="292"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ind w:right="140" w:firstLine="250"/>
        <w:spacing w:after="0" w:line="271"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2013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163" w:lineRule="exact"/>
        <w:rPr>
          <w:sz w:val="20"/>
          <w:szCs w:val="20"/>
          <w:color w:val="auto"/>
        </w:rPr>
      </w:pPr>
    </w:p>
    <w:p>
      <w:pPr>
        <w:ind w:left="820" w:hanging="488"/>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92"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right="20" w:firstLine="240"/>
        <w:spacing w:after="0" w:line="29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ind w:right="40" w:firstLine="250"/>
        <w:spacing w:after="0" w:line="271"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2013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163" w:lineRule="exact"/>
        <w:rPr>
          <w:sz w:val="20"/>
          <w:szCs w:val="20"/>
          <w:color w:val="auto"/>
        </w:rPr>
      </w:pPr>
    </w:p>
    <w:p>
      <w:pPr>
        <w:ind w:left="820" w:hanging="488"/>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92"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right="20" w:firstLine="240"/>
        <w:spacing w:after="0" w:line="29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7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13(r) DISCLOSURE</w:t>
      </w:r>
    </w:p>
    <w:p>
      <w:pPr>
        <w:spacing w:after="0" w:line="18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Funds affiliated with Hellman &amp; Friedman LLC ("H&amp;F"), own a minority interest in the Company. H&amp;F provided us with the disclosure reproduced below relating to another of its minority-owned portfolio companies, GTT (defined below), which may be considered an affiliate of H&amp;F under Section 13(r) of the Exchange Act. We have no involvement in, control over or knowledge of the activities of GTT, any of its predecessor companies or any of its subsidiaries, and we have not independently verified or participated in the preparation of the disclosure below regarding GTT.</w:t>
      </w:r>
    </w:p>
    <w:p>
      <w:pPr>
        <w:spacing w:after="0" w:line="135"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“Gaztransport &amp; Technigaz S.A.S. (“GTT”), a French engineering company specializing in technology for the maritime transportation and storage of liquefied natural gas entered into a license agreement (the “License Agreement”) with Iran Shipbuilding &amp; Offshore Industries Complex Co. (“ISOICO”) in December 2002. No performance or services were ever made or provided under the License Agreement, and GTT never received any revenues or booked any profits under the License Agreement. On April 30, 2013, pursuant to the terms of the License Agreement, GTT gave notice of termination of the License Agreement, which termination will be effective on December 23, 2013. GTT does not anticipate that any performance will be sought or given under the terms of the License Agreement, and GTT does not intend to have any business with ISOICO in the future.”</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5"/>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1."/>
      <w:numFmt w:val="decimal"/>
      <w:start w:val="8"/>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9"/>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0"/>
    </w:lvl>
  </w:abstractNum>
  <w:abstractNum w:abstractNumId="15">
    <w:nsid w:val="5577F8E1"/>
    <w:multiLevelType w:val="hybridMultilevel"/>
    <w:lvl w:ilvl="0">
      <w:lvlJc w:val="left"/>
      <w:lvlText w:val="%1."/>
      <w:numFmt w:val="decimal"/>
      <w:start w:val="11"/>
    </w:lvl>
  </w:abstractNum>
  <w:abstractNum w:abstractNumId="16">
    <w:nsid w:val="440BADFC"/>
    <w:multiLevelType w:val="hybridMultilevel"/>
    <w:lvl w:ilvl="0">
      <w:lvlJc w:val="left"/>
      <w:lvlText w:val="%1."/>
      <w:numFmt w:val="decimal"/>
      <w:start w:val="12"/>
    </w:lvl>
  </w:abstractNum>
  <w:abstractNum w:abstractNumId="17">
    <w:nsid w:val="5072367"/>
    <w:multiLevelType w:val="hybridMultilevel"/>
    <w:lvl w:ilvl="0">
      <w:lvlJc w:val="left"/>
      <w:lvlText w:val="%1."/>
      <w:numFmt w:val="decimal"/>
      <w:start w:val="13"/>
    </w:lvl>
  </w:abstractNum>
  <w:abstractNum w:abstractNumId="18">
    <w:nsid w:val="3804823E"/>
    <w:multiLevelType w:val="hybridMultilevel"/>
    <w:lvl w:ilvl="0">
      <w:lvlJc w:val="left"/>
      <w:lvlText w:val="%1."/>
      <w:numFmt w:val="decimal"/>
      <w:start w:val="14"/>
    </w:lvl>
  </w:abstractNum>
  <w:abstractNum w:abstractNumId="19">
    <w:nsid w:val="77465F01"/>
    <w:multiLevelType w:val="hybridMultilevel"/>
    <w:lvl w:ilvl="0">
      <w:lvlJc w:val="left"/>
      <w:lvlText w:val="%1."/>
      <w:numFmt w:val="decimal"/>
      <w:start w:val="15"/>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lvl w:ilvl="1">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5"/>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5"/>
    </w:lvl>
  </w:abstractNum>
  <w:abstractNum w:abstractNumId="32">
    <w:nsid w:val="1D4ED43B"/>
    <w:multiLevelType w:val="hybridMultilevel"/>
    <w:lvl w:ilvl="0">
      <w:lvlJc w:val="left"/>
      <w:lvlText w:val="(%1)"/>
      <w:numFmt w:val="lowerLetter"/>
      <w:start w:val="3"/>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4"/>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7"/>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5"/>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2019-12-07T15:41:57Z</dcterms:created>
  <dcterms:modified xsi:type="dcterms:W3CDTF">2019-12-07T15:41:57Z</dcterms:modified>
</cp:coreProperties>
</file>