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367665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 SECURITIES AND EXCHANGE COMMISSION</w:t>
      </w:r>
    </w:p>
    <w:p>
      <w:pPr>
        <w:spacing w:after="0" w:line="47"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68"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189" w:lineRule="exact"/>
        <w:rPr>
          <w:sz w:val="24"/>
          <w:szCs w:val="24"/>
          <w:color w:val="auto"/>
        </w:rPr>
      </w:pPr>
    </w:p>
    <w:p>
      <w:pPr>
        <w:ind w:left="1080" w:hanging="597"/>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4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quarterly period ended June 30, 2015</w:t>
      </w:r>
    </w:p>
    <w:p>
      <w:pPr>
        <w:spacing w:after="0" w:line="6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218" w:lineRule="exact"/>
        <w:rPr>
          <w:sz w:val="24"/>
          <w:szCs w:val="24"/>
          <w:color w:val="auto"/>
        </w:rPr>
      </w:pPr>
    </w:p>
    <w:p>
      <w:pPr>
        <w:ind w:left="1080" w:hanging="597"/>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43" w:lineRule="exact"/>
        <w:rPr>
          <w:sz w:val="24"/>
          <w:szCs w:val="24"/>
          <w:color w:val="auto"/>
        </w:rPr>
      </w:pPr>
    </w:p>
    <w:p>
      <w:pPr>
        <w:ind w:left="4060"/>
        <w:spacing w:after="0"/>
        <w:tabs>
          <w:tab w:leader="none" w:pos="71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6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File Number: 001-34963</w:t>
      </w:r>
    </w:p>
    <w:p>
      <w:pPr>
        <w:spacing w:after="0" w:line="127"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LPL Financial Holdings Inc.</w:t>
      </w:r>
    </w:p>
    <w:p>
      <w:pPr>
        <w:spacing w:after="0" w:line="99" w:lineRule="exact"/>
        <w:rPr>
          <w:sz w:val="24"/>
          <w:szCs w:val="24"/>
          <w:color w:val="auto"/>
        </w:rPr>
      </w:pPr>
    </w:p>
    <w:p>
      <w:pPr>
        <w:jc w:val="center"/>
        <w:ind w:right="-79"/>
        <w:spacing w:after="0"/>
        <w:rPr>
          <w:sz w:val="20"/>
          <w:szCs w:val="20"/>
          <w:color w:val="auto"/>
        </w:rPr>
      </w:pPr>
      <w:r>
        <w:rPr>
          <w:rFonts w:ascii="Arial" w:cs="Arial" w:eastAsia="Arial" w:hAnsi="Arial"/>
          <w:sz w:val="16"/>
          <w:szCs w:val="16"/>
          <w:i w:val="1"/>
          <w:iCs w:val="1"/>
          <w:color w:val="auto"/>
        </w:rPr>
        <w:t>(Exact name of registrant as specified in its charter)</w:t>
      </w:r>
    </w:p>
    <w:p>
      <w:pPr>
        <w:spacing w:after="0" w:line="158" w:lineRule="exact"/>
        <w:rPr>
          <w:sz w:val="24"/>
          <w:szCs w:val="24"/>
          <w:color w:val="auto"/>
        </w:rPr>
      </w:pPr>
    </w:p>
    <w:tbl>
      <w:tblPr>
        <w:tblLayout w:type="fixed"/>
        <w:tblInd w:w="1700" w:type="dxa"/>
        <w:tblCellMar>
          <w:top w:w="0" w:type="dxa"/>
          <w:left w:w="0" w:type="dxa"/>
          <w:bottom w:w="0" w:type="dxa"/>
          <w:right w:w="0" w:type="dxa"/>
        </w:tblCellMar>
      </w:tblPr>
      <w:tr>
        <w:trPr>
          <w:trHeight w:val="239"/>
        </w:trPr>
        <w:tc>
          <w:tcPr>
            <w:tcW w:w="4260" w:type="dxa"/>
            <w:vAlign w:val="bottom"/>
          </w:tcPr>
          <w:p>
            <w:pPr>
              <w:jc w:val="center"/>
              <w:ind w:right="1850"/>
              <w:spacing w:after="0"/>
              <w:rPr>
                <w:sz w:val="20"/>
                <w:szCs w:val="20"/>
                <w:color w:val="auto"/>
              </w:rPr>
            </w:pPr>
            <w:r>
              <w:rPr>
                <w:rFonts w:ascii="Arial" w:cs="Arial" w:eastAsia="Arial" w:hAnsi="Arial"/>
                <w:sz w:val="18"/>
                <w:szCs w:val="18"/>
                <w:b w:val="1"/>
                <w:bCs w:val="1"/>
                <w:color w:val="auto"/>
              </w:rPr>
              <w:t>Delaware</w:t>
            </w:r>
          </w:p>
        </w:tc>
        <w:tc>
          <w:tcPr>
            <w:tcW w:w="3320" w:type="dxa"/>
            <w:vAlign w:val="bottom"/>
          </w:tcPr>
          <w:p>
            <w:pPr>
              <w:jc w:val="center"/>
              <w:ind w:left="1810"/>
              <w:spacing w:after="0"/>
              <w:rPr>
                <w:sz w:val="20"/>
                <w:szCs w:val="20"/>
                <w:color w:val="auto"/>
              </w:rPr>
            </w:pPr>
            <w:r>
              <w:rPr>
                <w:rFonts w:ascii="Arial" w:cs="Arial" w:eastAsia="Arial" w:hAnsi="Arial"/>
                <w:sz w:val="18"/>
                <w:szCs w:val="18"/>
                <w:b w:val="1"/>
                <w:bCs w:val="1"/>
                <w:color w:val="auto"/>
              </w:rPr>
              <w:t>20-3717839</w:t>
            </w:r>
          </w:p>
        </w:tc>
      </w:tr>
      <w:tr>
        <w:trPr>
          <w:trHeight w:val="257"/>
        </w:trPr>
        <w:tc>
          <w:tcPr>
            <w:tcW w:w="4260" w:type="dxa"/>
            <w:vAlign w:val="bottom"/>
          </w:tcPr>
          <w:p>
            <w:pPr>
              <w:jc w:val="center"/>
              <w:ind w:right="1830"/>
              <w:spacing w:after="0"/>
              <w:rPr>
                <w:sz w:val="20"/>
                <w:szCs w:val="20"/>
                <w:color w:val="auto"/>
              </w:rPr>
            </w:pPr>
            <w:r>
              <w:rPr>
                <w:rFonts w:ascii="Arial" w:cs="Arial" w:eastAsia="Arial" w:hAnsi="Arial"/>
                <w:sz w:val="18"/>
                <w:szCs w:val="18"/>
                <w:i w:val="1"/>
                <w:iCs w:val="1"/>
                <w:color w:val="auto"/>
              </w:rPr>
              <w:t>(State or other jurisdiction of</w:t>
            </w:r>
          </w:p>
        </w:tc>
        <w:tc>
          <w:tcPr>
            <w:tcW w:w="3320" w:type="dxa"/>
            <w:vAlign w:val="bottom"/>
          </w:tcPr>
          <w:p>
            <w:pPr>
              <w:jc w:val="center"/>
              <w:ind w:left="1830"/>
              <w:spacing w:after="0"/>
              <w:rPr>
                <w:sz w:val="20"/>
                <w:szCs w:val="20"/>
                <w:color w:val="auto"/>
              </w:rPr>
            </w:pPr>
            <w:r>
              <w:rPr>
                <w:rFonts w:ascii="Arial" w:cs="Arial" w:eastAsia="Arial" w:hAnsi="Arial"/>
                <w:sz w:val="18"/>
                <w:szCs w:val="18"/>
                <w:i w:val="1"/>
                <w:iCs w:val="1"/>
                <w:color w:val="auto"/>
                <w:w w:val="99"/>
              </w:rPr>
              <w:t>(I.R.S. Employer</w:t>
            </w:r>
          </w:p>
        </w:tc>
      </w:tr>
      <w:tr>
        <w:trPr>
          <w:trHeight w:val="257"/>
        </w:trPr>
        <w:tc>
          <w:tcPr>
            <w:tcW w:w="4260" w:type="dxa"/>
            <w:vAlign w:val="bottom"/>
          </w:tcPr>
          <w:p>
            <w:pPr>
              <w:jc w:val="center"/>
              <w:ind w:right="1830"/>
              <w:spacing w:after="0"/>
              <w:rPr>
                <w:sz w:val="20"/>
                <w:szCs w:val="20"/>
                <w:color w:val="auto"/>
              </w:rPr>
            </w:pPr>
            <w:r>
              <w:rPr>
                <w:rFonts w:ascii="Arial" w:cs="Arial" w:eastAsia="Arial" w:hAnsi="Arial"/>
                <w:sz w:val="18"/>
                <w:szCs w:val="18"/>
                <w:i w:val="1"/>
                <w:iCs w:val="1"/>
                <w:color w:val="auto"/>
                <w:w w:val="99"/>
              </w:rPr>
              <w:t>incorporation or organization)</w:t>
            </w:r>
          </w:p>
        </w:tc>
        <w:tc>
          <w:tcPr>
            <w:tcW w:w="3320" w:type="dxa"/>
            <w:vAlign w:val="bottom"/>
          </w:tcPr>
          <w:p>
            <w:pPr>
              <w:jc w:val="center"/>
              <w:ind w:left="1830"/>
              <w:spacing w:after="0"/>
              <w:rPr>
                <w:sz w:val="20"/>
                <w:szCs w:val="20"/>
                <w:color w:val="auto"/>
              </w:rPr>
            </w:pPr>
            <w:r>
              <w:rPr>
                <w:rFonts w:ascii="Arial" w:cs="Arial" w:eastAsia="Arial" w:hAnsi="Arial"/>
                <w:sz w:val="18"/>
                <w:szCs w:val="18"/>
                <w:i w:val="1"/>
                <w:iCs w:val="1"/>
                <w:color w:val="auto"/>
                <w:w w:val="99"/>
              </w:rPr>
              <w:t>Identification No.)</w:t>
            </w:r>
          </w:p>
        </w:tc>
      </w:tr>
    </w:tbl>
    <w:p>
      <w:pPr>
        <w:spacing w:after="0" w:line="13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75 State Street, Boston, MA 02109</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18"/>
          <w:szCs w:val="18"/>
          <w:i w:val="1"/>
          <w:iCs w:val="1"/>
          <w:color w:val="auto"/>
        </w:rPr>
        <w:t>(Address of Principal Executive Offices) (Zip Code)</w:t>
      </w:r>
    </w:p>
    <w:p>
      <w:pPr>
        <w:spacing w:after="0" w:line="20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(617) 423-3644</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266" w:lineRule="exact"/>
        <w:rPr>
          <w:sz w:val="24"/>
          <w:szCs w:val="24"/>
          <w:color w:val="auto"/>
        </w:rPr>
      </w:pPr>
    </w:p>
    <w:p>
      <w:pPr>
        <w:ind w:right="60" w:firstLine="270"/>
        <w:spacing w:after="0" w:line="25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 Yes o No</w:t>
      </w:r>
    </w:p>
    <w:p>
      <w:pPr>
        <w:spacing w:after="0" w:line="107" w:lineRule="exact"/>
        <w:rPr>
          <w:sz w:val="24"/>
          <w:szCs w:val="24"/>
          <w:color w:val="auto"/>
        </w:rPr>
      </w:pPr>
    </w:p>
    <w:p>
      <w:pPr>
        <w:ind w:right="280" w:firstLine="270"/>
        <w:spacing w:after="0" w:line="256"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x Yes o No</w:t>
      </w:r>
    </w:p>
    <w:p>
      <w:pPr>
        <w:spacing w:after="0" w:line="107" w:lineRule="exact"/>
        <w:rPr>
          <w:sz w:val="24"/>
          <w:szCs w:val="24"/>
          <w:color w:val="auto"/>
        </w:rPr>
      </w:pPr>
    </w:p>
    <w:p>
      <w:pPr>
        <w:jc w:val="both"/>
        <w:ind w:firstLine="270"/>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89" w:lineRule="exact"/>
        <w:rPr>
          <w:sz w:val="24"/>
          <w:szCs w:val="24"/>
          <w:color w:val="auto"/>
        </w:rPr>
      </w:pPr>
    </w:p>
    <w:p>
      <w:pPr>
        <w:ind w:left="480"/>
        <w:spacing w:after="0"/>
        <w:tabs>
          <w:tab w:leader="none" w:pos="3280" w:val="left"/>
          <w:tab w:leader="none" w:pos="5780" w:val="left"/>
          <w:tab w:leader="none" w:pos="8660" w:val="left"/>
        </w:tabs>
        <w:rPr>
          <w:sz w:val="20"/>
          <w:szCs w:val="20"/>
          <w:color w:val="auto"/>
        </w:rPr>
      </w:pPr>
      <w:r>
        <w:rPr>
          <w:rFonts w:ascii="Arial" w:cs="Arial" w:eastAsia="Arial" w:hAnsi="Arial"/>
          <w:sz w:val="18"/>
          <w:szCs w:val="18"/>
          <w:color w:val="auto"/>
        </w:rPr>
        <w:t>Large accelerated filer x</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7"/>
          <w:szCs w:val="17"/>
          <w:color w:val="auto"/>
        </w:rPr>
        <w:t>Smaller reporting company o</w:t>
      </w:r>
    </w:p>
    <w:p>
      <w:pPr>
        <w:spacing w:after="0" w:line="82" w:lineRule="exact"/>
        <w:rPr>
          <w:sz w:val="24"/>
          <w:szCs w:val="24"/>
          <w:color w:val="auto"/>
        </w:rPr>
      </w:pPr>
    </w:p>
    <w:p>
      <w:pPr>
        <w:ind w:left="5240"/>
        <w:spacing w:after="0"/>
        <w:rPr>
          <w:sz w:val="20"/>
          <w:szCs w:val="20"/>
          <w:color w:val="auto"/>
        </w:rPr>
      </w:pPr>
      <w:r>
        <w:rPr>
          <w:rFonts w:ascii="Arial" w:cs="Arial" w:eastAsia="Arial" w:hAnsi="Arial"/>
          <w:sz w:val="14"/>
          <w:szCs w:val="14"/>
          <w:color w:val="auto"/>
        </w:rPr>
        <w:t>(Do not check if a smaller reporting company)</w:t>
      </w:r>
    </w:p>
    <w:p>
      <w:pPr>
        <w:spacing w:after="0" w:line="117" w:lineRule="exact"/>
        <w:rPr>
          <w:sz w:val="24"/>
          <w:szCs w:val="24"/>
          <w:color w:val="auto"/>
        </w:rPr>
      </w:pPr>
    </w:p>
    <w:p>
      <w:pPr>
        <w:ind w:right="980" w:firstLine="270"/>
        <w:spacing w:after="0" w:line="434" w:lineRule="auto"/>
        <w:rPr>
          <w:sz w:val="20"/>
          <w:szCs w:val="20"/>
          <w:color w:val="auto"/>
        </w:rPr>
      </w:pPr>
      <w:r>
        <w:rPr>
          <w:rFonts w:ascii="Arial" w:cs="Arial" w:eastAsia="Arial" w:hAnsi="Arial"/>
          <w:sz w:val="18"/>
          <w:szCs w:val="18"/>
          <w:color w:val="auto"/>
        </w:rPr>
        <w:t>Indicate by check mark whether the registrant is a shell company (as defined in Rule 12b-2 of the Exchange Act). o Yes x No The number of shares of Common Stock, par value $0.001 per share, outstanding as of July 31, 2015 was 95,262,247.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35560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825" w:right="29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580" w:type="dxa"/>
            <w:vAlign w:val="bottom"/>
            <w:gridSpan w:val="23"/>
          </w:tcPr>
          <w:p>
            <w:pPr>
              <w:spacing w:after="0"/>
              <w:rPr>
                <w:sz w:val="20"/>
                <w:szCs w:val="20"/>
                <w:color w:val="auto"/>
              </w:rPr>
            </w:pPr>
            <w:r>
              <w:rPr>
                <w:rFonts w:ascii="Arial" w:cs="Arial" w:eastAsia="Arial" w:hAnsi="Arial"/>
                <w:sz w:val="14"/>
                <w:szCs w:val="14"/>
                <w:b w:val="1"/>
                <w:bCs w:val="1"/>
                <w:color w:val="auto"/>
              </w:rPr>
              <w:t>Item Number</w:t>
            </w:r>
          </w:p>
        </w:tc>
        <w:tc>
          <w:tcPr>
            <w:tcW w:w="80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Page</w:t>
            </w:r>
          </w:p>
        </w:tc>
      </w:tr>
      <w:tr>
        <w:trPr>
          <w:trHeight w:val="392"/>
        </w:trPr>
        <w:tc>
          <w:tcPr>
            <w:tcW w:w="10580" w:type="dxa"/>
            <w:vAlign w:val="bottom"/>
            <w:gridSpan w:val="23"/>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 FINANCIAL INFORMATION</w:t>
              </w:r>
            </w:hyperlink>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8"/>
        </w:trPr>
        <w:tc>
          <w:tcPr>
            <w:tcW w:w="180" w:type="dxa"/>
            <w:vAlign w:val="bottom"/>
            <w:tcBorders>
              <w:top w:val="single" w:sz="8" w:color="0000EE"/>
            </w:tcBorders>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1.</w:t>
              </w:r>
            </w:hyperlink>
          </w:p>
        </w:tc>
        <w:tc>
          <w:tcPr>
            <w:tcW w:w="2940" w:type="dxa"/>
            <w:vAlign w:val="bottom"/>
            <w:tcBorders>
              <w:top w:val="single" w:sz="8" w:color="0000EE"/>
            </w:tcBorders>
            <w:gridSpan w:val="12"/>
          </w:tcPr>
          <w:p>
            <w:pPr>
              <w:ind w:left="20"/>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Financial Statements (unaudited)</w:t>
              </w:r>
            </w:hyperlink>
          </w:p>
        </w:tc>
        <w:tc>
          <w:tcPr>
            <w:tcW w:w="7460" w:type="dxa"/>
            <w:vAlign w:val="bottom"/>
            <w:gridSpan w:val="10"/>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780" w:type="dxa"/>
            <w:vAlign w:val="bottom"/>
            <w:gridSpan w:val="14"/>
          </w:tcPr>
          <w:p>
            <w:pPr>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Condensed Consolidated Statements of Income (unaudited)</w:t>
              </w:r>
            </w:hyperlink>
          </w:p>
        </w:tc>
        <w:tc>
          <w:tcPr>
            <w:tcW w:w="5120" w:type="dxa"/>
            <w:vAlign w:val="bottom"/>
            <w:gridSpan w:val="7"/>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5">
              <w:r>
                <w:rPr>
                  <w:rFonts w:ascii="Arial" w:cs="Arial" w:eastAsia="Arial" w:hAnsi="Arial"/>
                  <w:sz w:val="18"/>
                  <w:szCs w:val="18"/>
                  <w:color w:val="0000EE"/>
                </w:rPr>
                <w:t>1</w:t>
              </w:r>
            </w:hyperlink>
          </w:p>
        </w:tc>
      </w:tr>
      <w:tr>
        <w:trPr>
          <w:trHeight w:val="20"/>
        </w:trPr>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900" w:type="dxa"/>
            <w:vAlign w:val="bottom"/>
            <w:gridSpan w:val="21"/>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Comprehensive Income (unaudited)</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5">
              <w:r>
                <w:rPr>
                  <w:rFonts w:ascii="Arial" w:cs="Arial" w:eastAsia="Arial" w:hAnsi="Arial"/>
                  <w:sz w:val="18"/>
                  <w:szCs w:val="18"/>
                  <w:color w:val="0000EE"/>
                </w:rPr>
                <w:t>2</w:t>
              </w:r>
            </w:hyperlink>
          </w:p>
        </w:tc>
      </w:tr>
      <w:tr>
        <w:trPr>
          <w:trHeight w:val="20"/>
        </w:trPr>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720" w:type="dxa"/>
            <w:vAlign w:val="bottom"/>
            <w:gridSpan w:val="17"/>
          </w:tcPr>
          <w:p>
            <w:pPr>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Condensed Consolidated Statements of Financial Condition (unaudited)</w:t>
              </w:r>
            </w:hyperlink>
          </w:p>
        </w:tc>
        <w:tc>
          <w:tcPr>
            <w:tcW w:w="360" w:type="dxa"/>
            <w:vAlign w:val="bottom"/>
            <w:gridSpan w:val="2"/>
          </w:tcPr>
          <w:p>
            <w:pPr>
              <w:spacing w:after="0"/>
              <w:rPr>
                <w:sz w:val="24"/>
                <w:szCs w:val="24"/>
                <w:color w:val="auto"/>
              </w:rPr>
            </w:pPr>
          </w:p>
        </w:tc>
        <w:tc>
          <w:tcPr>
            <w:tcW w:w="3820" w:type="dxa"/>
            <w:vAlign w:val="bottom"/>
            <w:gridSpan w:val="2"/>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6">
              <w:r>
                <w:rPr>
                  <w:rFonts w:ascii="Arial" w:cs="Arial" w:eastAsia="Arial" w:hAnsi="Arial"/>
                  <w:sz w:val="18"/>
                  <w:szCs w:val="18"/>
                  <w:color w:val="0000EE"/>
                </w:rPr>
                <w:t>3</w:t>
              </w:r>
            </w:hyperlink>
          </w:p>
        </w:tc>
      </w:tr>
      <w:tr>
        <w:trPr>
          <w:trHeight w:val="20"/>
        </w:trPr>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20" w:type="dxa"/>
            <w:vAlign w:val="bottom"/>
            <w:gridSpan w:val="18"/>
          </w:tcPr>
          <w:p>
            <w:pPr>
              <w:spacing w:after="0"/>
              <w:rPr>
                <w:rFonts w:ascii="Arial" w:cs="Arial" w:eastAsia="Arial" w:hAnsi="Arial"/>
                <w:sz w:val="18"/>
                <w:szCs w:val="18"/>
                <w:color w:val="0000EE"/>
                <w:w w:val="99"/>
              </w:rPr>
            </w:pPr>
            <w:hyperlink w:anchor="page7">
              <w:r>
                <w:rPr>
                  <w:rFonts w:ascii="Arial" w:cs="Arial" w:eastAsia="Arial" w:hAnsi="Arial"/>
                  <w:sz w:val="18"/>
                  <w:szCs w:val="18"/>
                  <w:color w:val="0000EE"/>
                  <w:w w:val="99"/>
                </w:rPr>
                <w:t>Condensed Consolidated Statements of Stockholders’ Equity (unaudited)</w:t>
              </w:r>
            </w:hyperlink>
          </w:p>
        </w:tc>
        <w:tc>
          <w:tcPr>
            <w:tcW w:w="4080" w:type="dxa"/>
            <w:vAlign w:val="bottom"/>
            <w:gridSpan w:val="3"/>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7">
              <w:r>
                <w:rPr>
                  <w:rFonts w:ascii="Arial" w:cs="Arial" w:eastAsia="Arial" w:hAnsi="Arial"/>
                  <w:sz w:val="18"/>
                  <w:szCs w:val="18"/>
                  <w:color w:val="0000EE"/>
                </w:rPr>
                <w:t>4</w:t>
              </w:r>
            </w:hyperlink>
          </w:p>
        </w:tc>
      </w:tr>
      <w:tr>
        <w:trPr>
          <w:trHeight w:val="20"/>
        </w:trPr>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20" w:type="dxa"/>
            <w:vAlign w:val="bottom"/>
            <w:gridSpan w:val="18"/>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Cash Flows (unaudited)</w:t>
              </w:r>
            </w:hyperlink>
          </w:p>
        </w:tc>
        <w:tc>
          <w:tcPr>
            <w:tcW w:w="4080" w:type="dxa"/>
            <w:vAlign w:val="bottom"/>
            <w:gridSpan w:val="3"/>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8">
              <w:r>
                <w:rPr>
                  <w:rFonts w:ascii="Arial" w:cs="Arial" w:eastAsia="Arial" w:hAnsi="Arial"/>
                  <w:sz w:val="18"/>
                  <w:szCs w:val="18"/>
                  <w:color w:val="0000EE"/>
                </w:rPr>
                <w:t>5</w:t>
              </w:r>
            </w:hyperlink>
          </w:p>
        </w:tc>
      </w:tr>
      <w:tr>
        <w:trPr>
          <w:trHeight w:val="20"/>
        </w:trPr>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900" w:type="dxa"/>
            <w:vAlign w:val="bottom"/>
            <w:gridSpan w:val="21"/>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Notes to Condensed Consolidated Financial Statements (unaudited)</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11">
              <w:r>
                <w:rPr>
                  <w:rFonts w:ascii="Arial" w:cs="Arial" w:eastAsia="Arial" w:hAnsi="Arial"/>
                  <w:sz w:val="18"/>
                  <w:szCs w:val="18"/>
                  <w:color w:val="0000EE"/>
                </w:rPr>
                <w:t>7</w:t>
              </w:r>
            </w:hyperlink>
          </w:p>
        </w:tc>
      </w:tr>
      <w:tr>
        <w:trPr>
          <w:trHeight w:val="20"/>
        </w:trPr>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80" w:type="dxa"/>
            <w:vAlign w:val="bottom"/>
          </w:tcPr>
          <w:p>
            <w:pPr>
              <w:spacing w:after="0"/>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2.</w:t>
              </w:r>
            </w:hyperlink>
          </w:p>
        </w:tc>
        <w:tc>
          <w:tcPr>
            <w:tcW w:w="7660" w:type="dxa"/>
            <w:vAlign w:val="bottom"/>
            <w:gridSpan w:val="21"/>
          </w:tcPr>
          <w:p>
            <w:pPr>
              <w:ind w:left="20"/>
              <w:spacing w:after="0"/>
              <w:rPr>
                <w:rFonts w:ascii="Arial" w:cs="Arial" w:eastAsia="Arial" w:hAnsi="Arial"/>
                <w:sz w:val="18"/>
                <w:szCs w:val="18"/>
                <w:b w:val="1"/>
                <w:bCs w:val="1"/>
                <w:color w:val="0000EE"/>
                <w:w w:val="99"/>
              </w:rPr>
            </w:pPr>
            <w:hyperlink w:anchor="page25">
              <w:r>
                <w:rPr>
                  <w:rFonts w:ascii="Arial" w:cs="Arial" w:eastAsia="Arial" w:hAnsi="Arial"/>
                  <w:sz w:val="18"/>
                  <w:szCs w:val="18"/>
                  <w:b w:val="1"/>
                  <w:bCs w:val="1"/>
                  <w:color w:val="0000EE"/>
                  <w:w w:val="99"/>
                </w:rPr>
                <w:t>Management’s Discussion and Analysis of Financial Condition and Results of Operations</w:t>
              </w:r>
            </w:hyperlink>
          </w:p>
        </w:tc>
        <w:tc>
          <w:tcPr>
            <w:tcW w:w="2740" w:type="dxa"/>
            <w:vAlign w:val="bottom"/>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25">
              <w:r>
                <w:rPr>
                  <w:rFonts w:ascii="Arial" w:cs="Arial" w:eastAsia="Arial" w:hAnsi="Arial"/>
                  <w:sz w:val="18"/>
                  <w:szCs w:val="18"/>
                  <w:color w:val="0000EE"/>
                </w:rPr>
                <w:t>21</w:t>
              </w:r>
            </w:hyperlink>
          </w:p>
        </w:tc>
      </w:tr>
      <w:tr>
        <w:trPr>
          <w:trHeight w:val="20"/>
        </w:trPr>
        <w:tc>
          <w:tcPr>
            <w:tcW w:w="1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60" w:type="dxa"/>
            <w:vAlign w:val="bottom"/>
            <w:gridSpan w:val="7"/>
            <w:shd w:val="clear" w:color="auto" w:fill="0000EE"/>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80" w:type="dxa"/>
            <w:vAlign w:val="bottom"/>
          </w:tcPr>
          <w:p>
            <w:pPr>
              <w:spacing w:after="0"/>
              <w:rPr>
                <w:rFonts w:ascii="Arial" w:cs="Arial" w:eastAsia="Arial" w:hAnsi="Arial"/>
                <w:sz w:val="18"/>
                <w:szCs w:val="18"/>
                <w:b w:val="1"/>
                <w:bCs w:val="1"/>
                <w:color w:val="0000EE"/>
              </w:rPr>
            </w:pPr>
            <w:hyperlink w:anchor="page46">
              <w:r>
                <w:rPr>
                  <w:rFonts w:ascii="Arial" w:cs="Arial" w:eastAsia="Arial" w:hAnsi="Arial"/>
                  <w:sz w:val="18"/>
                  <w:szCs w:val="18"/>
                  <w:b w:val="1"/>
                  <w:bCs w:val="1"/>
                  <w:color w:val="0000EE"/>
                </w:rPr>
                <w:t>3.</w:t>
              </w:r>
            </w:hyperlink>
          </w:p>
        </w:tc>
        <w:tc>
          <w:tcPr>
            <w:tcW w:w="5100" w:type="dxa"/>
            <w:vAlign w:val="bottom"/>
            <w:gridSpan w:val="13"/>
          </w:tcPr>
          <w:p>
            <w:pPr>
              <w:ind w:left="20"/>
              <w:spacing w:after="0"/>
              <w:rPr>
                <w:rFonts w:ascii="Arial" w:cs="Arial" w:eastAsia="Arial" w:hAnsi="Arial"/>
                <w:sz w:val="18"/>
                <w:szCs w:val="18"/>
                <w:b w:val="1"/>
                <w:bCs w:val="1"/>
                <w:color w:val="0000EE"/>
                <w:w w:val="99"/>
              </w:rPr>
            </w:pPr>
            <w:hyperlink w:anchor="page46">
              <w:r>
                <w:rPr>
                  <w:rFonts w:ascii="Arial" w:cs="Arial" w:eastAsia="Arial" w:hAnsi="Arial"/>
                  <w:sz w:val="18"/>
                  <w:szCs w:val="18"/>
                  <w:b w:val="1"/>
                  <w:bCs w:val="1"/>
                  <w:color w:val="0000EE"/>
                  <w:w w:val="99"/>
                </w:rPr>
                <w:t>Quantitative and Qualitative Disclosures About Market Risk</w:t>
              </w:r>
            </w:hyperlink>
          </w:p>
        </w:tc>
        <w:tc>
          <w:tcPr>
            <w:tcW w:w="2560" w:type="dxa"/>
            <w:vAlign w:val="bottom"/>
            <w:gridSpan w:val="8"/>
          </w:tcPr>
          <w:p>
            <w:pPr>
              <w:spacing w:after="0"/>
              <w:rPr>
                <w:sz w:val="24"/>
                <w:szCs w:val="24"/>
                <w:color w:val="auto"/>
              </w:rPr>
            </w:pPr>
          </w:p>
        </w:tc>
        <w:tc>
          <w:tcPr>
            <w:tcW w:w="2740" w:type="dxa"/>
            <w:vAlign w:val="bottom"/>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46">
              <w:r>
                <w:rPr>
                  <w:rFonts w:ascii="Arial" w:cs="Arial" w:eastAsia="Arial" w:hAnsi="Arial"/>
                  <w:sz w:val="18"/>
                  <w:szCs w:val="18"/>
                  <w:color w:val="0000EE"/>
                </w:rPr>
                <w:t>40</w:t>
              </w:r>
            </w:hyperlink>
          </w:p>
        </w:tc>
      </w:tr>
      <w:tr>
        <w:trPr>
          <w:trHeight w:val="20"/>
        </w:trPr>
        <w:tc>
          <w:tcPr>
            <w:tcW w:w="1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0" w:type="dxa"/>
            <w:vAlign w:val="bottom"/>
            <w:gridSpan w:val="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80" w:type="dxa"/>
            <w:vAlign w:val="bottom"/>
          </w:tcPr>
          <w:p>
            <w:pPr>
              <w:spacing w:after="0"/>
              <w:rPr>
                <w:rFonts w:ascii="Arial" w:cs="Arial" w:eastAsia="Arial" w:hAnsi="Arial"/>
                <w:sz w:val="18"/>
                <w:szCs w:val="18"/>
                <w:b w:val="1"/>
                <w:bCs w:val="1"/>
                <w:color w:val="0000EE"/>
              </w:rPr>
            </w:pPr>
            <w:hyperlink w:anchor="page50">
              <w:r>
                <w:rPr>
                  <w:rFonts w:ascii="Arial" w:cs="Arial" w:eastAsia="Arial" w:hAnsi="Arial"/>
                  <w:sz w:val="18"/>
                  <w:szCs w:val="18"/>
                  <w:b w:val="1"/>
                  <w:bCs w:val="1"/>
                  <w:color w:val="0000EE"/>
                </w:rPr>
                <w:t>4.</w:t>
              </w:r>
            </w:hyperlink>
          </w:p>
        </w:tc>
        <w:tc>
          <w:tcPr>
            <w:tcW w:w="5100" w:type="dxa"/>
            <w:vAlign w:val="bottom"/>
            <w:gridSpan w:val="13"/>
          </w:tcPr>
          <w:p>
            <w:pPr>
              <w:ind w:left="20"/>
              <w:spacing w:after="0"/>
              <w:rPr>
                <w:rFonts w:ascii="Arial" w:cs="Arial" w:eastAsia="Arial" w:hAnsi="Arial"/>
                <w:sz w:val="18"/>
                <w:szCs w:val="18"/>
                <w:b w:val="1"/>
                <w:bCs w:val="1"/>
                <w:color w:val="0000EE"/>
              </w:rPr>
            </w:pPr>
            <w:hyperlink w:anchor="page50">
              <w:r>
                <w:rPr>
                  <w:rFonts w:ascii="Arial" w:cs="Arial" w:eastAsia="Arial" w:hAnsi="Arial"/>
                  <w:sz w:val="18"/>
                  <w:szCs w:val="18"/>
                  <w:b w:val="1"/>
                  <w:bCs w:val="1"/>
                  <w:color w:val="0000EE"/>
                </w:rPr>
                <w:t>Controls and Procedures</w:t>
              </w:r>
            </w:hyperlink>
          </w:p>
        </w:tc>
        <w:tc>
          <w:tcPr>
            <w:tcW w:w="5300" w:type="dxa"/>
            <w:vAlign w:val="bottom"/>
            <w:gridSpan w:val="9"/>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50">
              <w:r>
                <w:rPr>
                  <w:rFonts w:ascii="Arial" w:cs="Arial" w:eastAsia="Arial" w:hAnsi="Arial"/>
                  <w:sz w:val="18"/>
                  <w:szCs w:val="18"/>
                  <w:color w:val="0000EE"/>
                </w:rPr>
                <w:t>44</w:t>
              </w:r>
            </w:hyperlink>
          </w:p>
        </w:tc>
      </w:tr>
      <w:tr>
        <w:trPr>
          <w:trHeight w:val="20"/>
        </w:trPr>
        <w:tc>
          <w:tcPr>
            <w:tcW w:w="90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5200" w:type="dxa"/>
            <w:vAlign w:val="bottom"/>
            <w:gridSpan w:val="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2840" w:type="dxa"/>
            <w:vAlign w:val="bottom"/>
            <w:gridSpan w:val="10"/>
          </w:tcPr>
          <w:p>
            <w:pPr>
              <w:spacing w:after="0"/>
              <w:rPr>
                <w:rFonts w:ascii="Arial" w:cs="Arial" w:eastAsia="Arial" w:hAnsi="Arial"/>
                <w:sz w:val="18"/>
                <w:szCs w:val="18"/>
                <w:b w:val="1"/>
                <w:bCs w:val="1"/>
                <w:color w:val="0000EE"/>
                <w:w w:val="98"/>
              </w:rPr>
            </w:pPr>
            <w:hyperlink w:anchor="page50">
              <w:r>
                <w:rPr>
                  <w:rFonts w:ascii="Arial" w:cs="Arial" w:eastAsia="Arial" w:hAnsi="Arial"/>
                  <w:sz w:val="18"/>
                  <w:szCs w:val="18"/>
                  <w:b w:val="1"/>
                  <w:bCs w:val="1"/>
                  <w:color w:val="0000EE"/>
                  <w:w w:val="98"/>
                </w:rPr>
                <w:t>PART II — OTHER INFORMATION</w:t>
              </w:r>
            </w:hyperlink>
          </w:p>
        </w:tc>
        <w:tc>
          <w:tcPr>
            <w:tcW w:w="7740" w:type="dxa"/>
            <w:vAlign w:val="bottom"/>
            <w:gridSpan w:val="13"/>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50">
              <w:r>
                <w:rPr>
                  <w:rFonts w:ascii="Arial" w:cs="Arial" w:eastAsia="Arial" w:hAnsi="Arial"/>
                  <w:sz w:val="18"/>
                  <w:szCs w:val="18"/>
                  <w:color w:val="0000EE"/>
                </w:rPr>
                <w:t>45</w:t>
              </w:r>
            </w:hyperlink>
          </w:p>
        </w:tc>
      </w:tr>
      <w:tr>
        <w:trPr>
          <w:trHeight w:val="20"/>
        </w:trPr>
        <w:tc>
          <w:tcPr>
            <w:tcW w:w="1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5200" w:type="dxa"/>
            <w:vAlign w:val="bottom"/>
            <w:gridSpan w:val="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80" w:type="dxa"/>
            <w:vAlign w:val="bottom"/>
          </w:tcPr>
          <w:p>
            <w:pPr>
              <w:spacing w:after="0"/>
              <w:rPr>
                <w:rFonts w:ascii="Arial" w:cs="Arial" w:eastAsia="Arial" w:hAnsi="Arial"/>
                <w:sz w:val="18"/>
                <w:szCs w:val="18"/>
                <w:b w:val="1"/>
                <w:bCs w:val="1"/>
                <w:color w:val="0000EE"/>
              </w:rPr>
            </w:pPr>
            <w:hyperlink w:anchor="page51">
              <w:r>
                <w:rPr>
                  <w:rFonts w:ascii="Arial" w:cs="Arial" w:eastAsia="Arial" w:hAnsi="Arial"/>
                  <w:sz w:val="18"/>
                  <w:szCs w:val="18"/>
                  <w:b w:val="1"/>
                  <w:bCs w:val="1"/>
                  <w:color w:val="0000EE"/>
                </w:rPr>
                <w:t>1.</w:t>
              </w:r>
            </w:hyperlink>
          </w:p>
        </w:tc>
        <w:tc>
          <w:tcPr>
            <w:tcW w:w="1620" w:type="dxa"/>
            <w:vAlign w:val="bottom"/>
            <w:gridSpan w:val="6"/>
          </w:tcPr>
          <w:p>
            <w:pPr>
              <w:ind w:left="20"/>
              <w:spacing w:after="0"/>
              <w:rPr>
                <w:rFonts w:ascii="Arial" w:cs="Arial" w:eastAsia="Arial" w:hAnsi="Arial"/>
                <w:sz w:val="18"/>
                <w:szCs w:val="18"/>
                <w:b w:val="1"/>
                <w:bCs w:val="1"/>
                <w:color w:val="0000EE"/>
                <w:w w:val="98"/>
              </w:rPr>
            </w:pPr>
            <w:hyperlink w:anchor="page51">
              <w:r>
                <w:rPr>
                  <w:rFonts w:ascii="Arial" w:cs="Arial" w:eastAsia="Arial" w:hAnsi="Arial"/>
                  <w:sz w:val="18"/>
                  <w:szCs w:val="18"/>
                  <w:b w:val="1"/>
                  <w:bCs w:val="1"/>
                  <w:color w:val="0000EE"/>
                  <w:w w:val="98"/>
                </w:rPr>
                <w:t>Legal Proceedings</w:t>
              </w:r>
            </w:hyperlink>
          </w:p>
        </w:tc>
        <w:tc>
          <w:tcPr>
            <w:tcW w:w="1040" w:type="dxa"/>
            <w:vAlign w:val="bottom"/>
            <w:gridSpan w:val="3"/>
          </w:tcPr>
          <w:p>
            <w:pPr>
              <w:spacing w:after="0"/>
              <w:rPr>
                <w:sz w:val="24"/>
                <w:szCs w:val="24"/>
                <w:color w:val="auto"/>
              </w:rPr>
            </w:pPr>
          </w:p>
        </w:tc>
        <w:tc>
          <w:tcPr>
            <w:tcW w:w="7740" w:type="dxa"/>
            <w:vAlign w:val="bottom"/>
            <w:gridSpan w:val="13"/>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51">
              <w:r>
                <w:rPr>
                  <w:rFonts w:ascii="Arial" w:cs="Arial" w:eastAsia="Arial" w:hAnsi="Arial"/>
                  <w:sz w:val="18"/>
                  <w:szCs w:val="18"/>
                  <w:color w:val="0000EE"/>
                </w:rPr>
                <w:t>45</w:t>
              </w:r>
            </w:hyperlink>
          </w:p>
        </w:tc>
      </w:tr>
      <w:tr>
        <w:trPr>
          <w:trHeight w:val="20"/>
        </w:trPr>
        <w:tc>
          <w:tcPr>
            <w:tcW w:w="90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5200" w:type="dxa"/>
            <w:vAlign w:val="bottom"/>
            <w:gridSpan w:val="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800" w:type="dxa"/>
            <w:vAlign w:val="bottom"/>
            <w:gridSpan w:val="7"/>
          </w:tcPr>
          <w:p>
            <w:pPr>
              <w:spacing w:after="0"/>
              <w:rPr>
                <w:rFonts w:ascii="Arial" w:cs="Arial" w:eastAsia="Arial" w:hAnsi="Arial"/>
                <w:sz w:val="18"/>
                <w:szCs w:val="18"/>
                <w:b w:val="1"/>
                <w:bCs w:val="1"/>
                <w:color w:val="0000EE"/>
              </w:rPr>
            </w:pPr>
            <w:hyperlink w:anchor="page51">
              <w:r>
                <w:rPr>
                  <w:rFonts w:ascii="Arial" w:cs="Arial" w:eastAsia="Arial" w:hAnsi="Arial"/>
                  <w:sz w:val="18"/>
                  <w:szCs w:val="18"/>
                  <w:b w:val="1"/>
                  <w:bCs w:val="1"/>
                  <w:color w:val="0000EE"/>
                </w:rPr>
                <w:t>1A. Risk Factors</w:t>
              </w:r>
            </w:hyperlink>
          </w:p>
        </w:tc>
        <w:tc>
          <w:tcPr>
            <w:tcW w:w="8780" w:type="dxa"/>
            <w:vAlign w:val="bottom"/>
            <w:gridSpan w:val="16"/>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51">
              <w:r>
                <w:rPr>
                  <w:rFonts w:ascii="Arial" w:cs="Arial" w:eastAsia="Arial" w:hAnsi="Arial"/>
                  <w:sz w:val="18"/>
                  <w:szCs w:val="18"/>
                  <w:color w:val="0000EE"/>
                </w:rPr>
                <w:t>45</w:t>
              </w:r>
            </w:hyperlink>
          </w:p>
        </w:tc>
      </w:tr>
      <w:tr>
        <w:trPr>
          <w:trHeight w:val="20"/>
        </w:trPr>
        <w:tc>
          <w:tcPr>
            <w:tcW w:w="1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5200" w:type="dxa"/>
            <w:vAlign w:val="bottom"/>
            <w:gridSpan w:val="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80" w:type="dxa"/>
            <w:vAlign w:val="bottom"/>
          </w:tcPr>
          <w:p>
            <w:pPr>
              <w:spacing w:after="0"/>
              <w:rPr>
                <w:rFonts w:ascii="Arial" w:cs="Arial" w:eastAsia="Arial" w:hAnsi="Arial"/>
                <w:sz w:val="18"/>
                <w:szCs w:val="18"/>
                <w:b w:val="1"/>
                <w:bCs w:val="1"/>
                <w:color w:val="0000EE"/>
              </w:rPr>
            </w:pPr>
            <w:hyperlink w:anchor="page51">
              <w:r>
                <w:rPr>
                  <w:rFonts w:ascii="Arial" w:cs="Arial" w:eastAsia="Arial" w:hAnsi="Arial"/>
                  <w:sz w:val="18"/>
                  <w:szCs w:val="18"/>
                  <w:b w:val="1"/>
                  <w:bCs w:val="1"/>
                  <w:color w:val="0000EE"/>
                </w:rPr>
                <w:t>2.</w:t>
              </w:r>
            </w:hyperlink>
          </w:p>
        </w:tc>
        <w:tc>
          <w:tcPr>
            <w:tcW w:w="10400" w:type="dxa"/>
            <w:vAlign w:val="bottom"/>
            <w:gridSpan w:val="22"/>
          </w:tcPr>
          <w:p>
            <w:pPr>
              <w:ind w:left="20"/>
              <w:spacing w:after="0"/>
              <w:rPr>
                <w:rFonts w:ascii="Arial" w:cs="Arial" w:eastAsia="Arial" w:hAnsi="Arial"/>
                <w:sz w:val="18"/>
                <w:szCs w:val="18"/>
                <w:b w:val="1"/>
                <w:bCs w:val="1"/>
                <w:color w:val="0000EE"/>
              </w:rPr>
            </w:pPr>
            <w:hyperlink w:anchor="page51">
              <w:r>
                <w:rPr>
                  <w:rFonts w:ascii="Arial" w:cs="Arial" w:eastAsia="Arial" w:hAnsi="Arial"/>
                  <w:sz w:val="18"/>
                  <w:szCs w:val="18"/>
                  <w:b w:val="1"/>
                  <w:bCs w:val="1"/>
                  <w:color w:val="0000EE"/>
                </w:rPr>
                <w:t>Unregistered Sales of Equity Securities and Use of Proceeds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51">
              <w:r>
                <w:rPr>
                  <w:rFonts w:ascii="Arial" w:cs="Arial" w:eastAsia="Arial" w:hAnsi="Arial"/>
                  <w:sz w:val="18"/>
                  <w:szCs w:val="18"/>
                  <w:color w:val="0000EE"/>
                </w:rPr>
                <w:t>45</w:t>
              </w:r>
            </w:hyperlink>
          </w:p>
        </w:tc>
      </w:tr>
      <w:tr>
        <w:trPr>
          <w:trHeight w:val="20"/>
        </w:trPr>
        <w:tc>
          <w:tcPr>
            <w:tcW w:w="1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440" w:type="dxa"/>
            <w:vAlign w:val="bottom"/>
            <w:gridSpan w:val="4"/>
            <w:shd w:val="clear" w:color="auto" w:fill="0000EE"/>
          </w:tcPr>
          <w:p>
            <w:pPr>
              <w:spacing w:after="0" w:line="20" w:lineRule="exact"/>
              <w:rPr>
                <w:sz w:val="1"/>
                <w:szCs w:val="1"/>
                <w:color w:val="auto"/>
              </w:rPr>
            </w:pPr>
          </w:p>
        </w:tc>
        <w:tc>
          <w:tcPr>
            <w:tcW w:w="5200" w:type="dxa"/>
            <w:vAlign w:val="bottom"/>
            <w:gridSpan w:val="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80" w:type="dxa"/>
            <w:vAlign w:val="bottom"/>
          </w:tcPr>
          <w:p>
            <w:pPr>
              <w:spacing w:after="0"/>
              <w:rPr>
                <w:rFonts w:ascii="Arial" w:cs="Arial" w:eastAsia="Arial" w:hAnsi="Arial"/>
                <w:sz w:val="18"/>
                <w:szCs w:val="18"/>
                <w:b w:val="1"/>
                <w:bCs w:val="1"/>
                <w:color w:val="0000EE"/>
              </w:rPr>
            </w:pPr>
            <w:hyperlink w:anchor="page51">
              <w:r>
                <w:rPr>
                  <w:rFonts w:ascii="Arial" w:cs="Arial" w:eastAsia="Arial" w:hAnsi="Arial"/>
                  <w:sz w:val="18"/>
                  <w:szCs w:val="18"/>
                  <w:b w:val="1"/>
                  <w:bCs w:val="1"/>
                  <w:color w:val="0000EE"/>
                </w:rPr>
                <w:t>3.</w:t>
              </w:r>
            </w:hyperlink>
          </w:p>
        </w:tc>
        <w:tc>
          <w:tcPr>
            <w:tcW w:w="2760" w:type="dxa"/>
            <w:vAlign w:val="bottom"/>
            <w:gridSpan w:val="10"/>
          </w:tcPr>
          <w:p>
            <w:pPr>
              <w:ind w:left="20"/>
              <w:spacing w:after="0"/>
              <w:rPr>
                <w:rFonts w:ascii="Arial" w:cs="Arial" w:eastAsia="Arial" w:hAnsi="Arial"/>
                <w:sz w:val="18"/>
                <w:szCs w:val="18"/>
                <w:b w:val="1"/>
                <w:bCs w:val="1"/>
                <w:color w:val="0000EE"/>
                <w:w w:val="99"/>
              </w:rPr>
            </w:pPr>
            <w:hyperlink w:anchor="page51">
              <w:r>
                <w:rPr>
                  <w:rFonts w:ascii="Arial" w:cs="Arial" w:eastAsia="Arial" w:hAnsi="Arial"/>
                  <w:sz w:val="18"/>
                  <w:szCs w:val="18"/>
                  <w:b w:val="1"/>
                  <w:bCs w:val="1"/>
                  <w:color w:val="0000EE"/>
                  <w:w w:val="99"/>
                </w:rPr>
                <w:t>Defaults Upon Senior Securities</w:t>
              </w:r>
            </w:hyperlink>
          </w:p>
        </w:tc>
        <w:tc>
          <w:tcPr>
            <w:tcW w:w="2440" w:type="dxa"/>
            <w:vAlign w:val="bottom"/>
            <w:gridSpan w:val="4"/>
          </w:tcPr>
          <w:p>
            <w:pPr>
              <w:spacing w:after="0"/>
              <w:rPr>
                <w:sz w:val="24"/>
                <w:szCs w:val="24"/>
                <w:color w:val="auto"/>
              </w:rPr>
            </w:pPr>
          </w:p>
        </w:tc>
        <w:tc>
          <w:tcPr>
            <w:tcW w:w="5200" w:type="dxa"/>
            <w:vAlign w:val="bottom"/>
            <w:gridSpan w:val="8"/>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51">
              <w:r>
                <w:rPr>
                  <w:rFonts w:ascii="Arial" w:cs="Arial" w:eastAsia="Arial" w:hAnsi="Arial"/>
                  <w:sz w:val="18"/>
                  <w:szCs w:val="18"/>
                  <w:color w:val="0000EE"/>
                </w:rPr>
                <w:t>46</w:t>
              </w:r>
            </w:hyperlink>
          </w:p>
        </w:tc>
      </w:tr>
      <w:tr>
        <w:trPr>
          <w:trHeight w:val="20"/>
        </w:trPr>
        <w:tc>
          <w:tcPr>
            <w:tcW w:w="1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7640" w:type="dxa"/>
            <w:vAlign w:val="bottom"/>
            <w:gridSpan w:val="1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80" w:type="dxa"/>
            <w:vAlign w:val="bottom"/>
          </w:tcPr>
          <w:p>
            <w:pPr>
              <w:spacing w:after="0"/>
              <w:rPr>
                <w:rFonts w:ascii="Arial" w:cs="Arial" w:eastAsia="Arial" w:hAnsi="Arial"/>
                <w:sz w:val="18"/>
                <w:szCs w:val="18"/>
                <w:b w:val="1"/>
                <w:bCs w:val="1"/>
                <w:color w:val="0000EE"/>
              </w:rPr>
            </w:pPr>
            <w:hyperlink w:anchor="page52">
              <w:r>
                <w:rPr>
                  <w:rFonts w:ascii="Arial" w:cs="Arial" w:eastAsia="Arial" w:hAnsi="Arial"/>
                  <w:sz w:val="18"/>
                  <w:szCs w:val="18"/>
                  <w:b w:val="1"/>
                  <w:bCs w:val="1"/>
                  <w:color w:val="0000EE"/>
                </w:rPr>
                <w:t>4.</w:t>
              </w:r>
            </w:hyperlink>
          </w:p>
        </w:tc>
        <w:tc>
          <w:tcPr>
            <w:tcW w:w="2760" w:type="dxa"/>
            <w:vAlign w:val="bottom"/>
            <w:gridSpan w:val="10"/>
          </w:tcPr>
          <w:p>
            <w:pPr>
              <w:ind w:left="20"/>
              <w:spacing w:after="0"/>
              <w:rPr>
                <w:rFonts w:ascii="Arial" w:cs="Arial" w:eastAsia="Arial" w:hAnsi="Arial"/>
                <w:sz w:val="18"/>
                <w:szCs w:val="18"/>
                <w:b w:val="1"/>
                <w:bCs w:val="1"/>
                <w:color w:val="0000EE"/>
              </w:rPr>
            </w:pPr>
            <w:hyperlink w:anchor="page52">
              <w:r>
                <w:rPr>
                  <w:rFonts w:ascii="Arial" w:cs="Arial" w:eastAsia="Arial" w:hAnsi="Arial"/>
                  <w:sz w:val="18"/>
                  <w:szCs w:val="18"/>
                  <w:b w:val="1"/>
                  <w:bCs w:val="1"/>
                  <w:color w:val="0000EE"/>
                </w:rPr>
                <w:t>Mine Safety Disclosures</w:t>
              </w:r>
            </w:hyperlink>
          </w:p>
        </w:tc>
        <w:tc>
          <w:tcPr>
            <w:tcW w:w="7640" w:type="dxa"/>
            <w:vAlign w:val="bottom"/>
            <w:gridSpan w:val="12"/>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52">
              <w:r>
                <w:rPr>
                  <w:rFonts w:ascii="Arial" w:cs="Arial" w:eastAsia="Arial" w:hAnsi="Arial"/>
                  <w:sz w:val="18"/>
                  <w:szCs w:val="18"/>
                  <w:color w:val="0000EE"/>
                </w:rPr>
                <w:t>46</w:t>
              </w:r>
            </w:hyperlink>
          </w:p>
        </w:tc>
      </w:tr>
      <w:tr>
        <w:trPr>
          <w:trHeight w:val="20"/>
        </w:trPr>
        <w:tc>
          <w:tcPr>
            <w:tcW w:w="1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8320" w:type="dxa"/>
            <w:vAlign w:val="bottom"/>
            <w:gridSpan w:val="1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80" w:type="dxa"/>
            <w:vAlign w:val="bottom"/>
          </w:tcPr>
          <w:p>
            <w:pPr>
              <w:spacing w:after="0"/>
              <w:rPr>
                <w:rFonts w:ascii="Arial" w:cs="Arial" w:eastAsia="Arial" w:hAnsi="Arial"/>
                <w:sz w:val="18"/>
                <w:szCs w:val="18"/>
                <w:b w:val="1"/>
                <w:bCs w:val="1"/>
                <w:color w:val="0000EE"/>
              </w:rPr>
            </w:pPr>
            <w:hyperlink w:anchor="page52">
              <w:r>
                <w:rPr>
                  <w:rFonts w:ascii="Arial" w:cs="Arial" w:eastAsia="Arial" w:hAnsi="Arial"/>
                  <w:sz w:val="18"/>
                  <w:szCs w:val="18"/>
                  <w:b w:val="1"/>
                  <w:bCs w:val="1"/>
                  <w:color w:val="0000EE"/>
                </w:rPr>
                <w:t>5.</w:t>
              </w:r>
            </w:hyperlink>
          </w:p>
        </w:tc>
        <w:tc>
          <w:tcPr>
            <w:tcW w:w="1540" w:type="dxa"/>
            <w:vAlign w:val="bottom"/>
            <w:gridSpan w:val="5"/>
          </w:tcPr>
          <w:p>
            <w:pPr>
              <w:ind w:left="20"/>
              <w:spacing w:after="0"/>
              <w:rPr>
                <w:rFonts w:ascii="Arial" w:cs="Arial" w:eastAsia="Arial" w:hAnsi="Arial"/>
                <w:sz w:val="18"/>
                <w:szCs w:val="18"/>
                <w:b w:val="1"/>
                <w:bCs w:val="1"/>
                <w:color w:val="0000EE"/>
                <w:w w:val="98"/>
              </w:rPr>
            </w:pPr>
            <w:hyperlink w:anchor="page52">
              <w:r>
                <w:rPr>
                  <w:rFonts w:ascii="Arial" w:cs="Arial" w:eastAsia="Arial" w:hAnsi="Arial"/>
                  <w:sz w:val="18"/>
                  <w:szCs w:val="18"/>
                  <w:b w:val="1"/>
                  <w:bCs w:val="1"/>
                  <w:color w:val="0000EE"/>
                  <w:w w:val="98"/>
                </w:rPr>
                <w:t>Other Information</w:t>
              </w:r>
            </w:hyperlink>
          </w:p>
        </w:tc>
        <w:tc>
          <w:tcPr>
            <w:tcW w:w="540" w:type="dxa"/>
            <w:vAlign w:val="bottom"/>
            <w:gridSpan w:val="2"/>
          </w:tcPr>
          <w:p>
            <w:pPr>
              <w:spacing w:after="0"/>
              <w:rPr>
                <w:sz w:val="24"/>
                <w:szCs w:val="24"/>
                <w:color w:val="auto"/>
              </w:rPr>
            </w:pPr>
          </w:p>
        </w:tc>
        <w:tc>
          <w:tcPr>
            <w:tcW w:w="8320" w:type="dxa"/>
            <w:vAlign w:val="bottom"/>
            <w:gridSpan w:val="15"/>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52">
              <w:r>
                <w:rPr>
                  <w:rFonts w:ascii="Arial" w:cs="Arial" w:eastAsia="Arial" w:hAnsi="Arial"/>
                  <w:sz w:val="18"/>
                  <w:szCs w:val="18"/>
                  <w:color w:val="0000EE"/>
                </w:rPr>
                <w:t>46</w:t>
              </w:r>
            </w:hyperlink>
          </w:p>
        </w:tc>
      </w:tr>
      <w:tr>
        <w:trPr>
          <w:trHeight w:val="20"/>
        </w:trPr>
        <w:tc>
          <w:tcPr>
            <w:tcW w:w="1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860" w:type="dxa"/>
            <w:vAlign w:val="bottom"/>
            <w:gridSpan w:val="17"/>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80" w:type="dxa"/>
            <w:vAlign w:val="bottom"/>
          </w:tcPr>
          <w:p>
            <w:pPr>
              <w:spacing w:after="0"/>
              <w:rPr>
                <w:rFonts w:ascii="Arial" w:cs="Arial" w:eastAsia="Arial" w:hAnsi="Arial"/>
                <w:sz w:val="18"/>
                <w:szCs w:val="18"/>
                <w:b w:val="1"/>
                <w:bCs w:val="1"/>
                <w:color w:val="0000EE"/>
              </w:rPr>
            </w:pPr>
            <w:hyperlink w:anchor="page52">
              <w:r>
                <w:rPr>
                  <w:rFonts w:ascii="Arial" w:cs="Arial" w:eastAsia="Arial" w:hAnsi="Arial"/>
                  <w:sz w:val="18"/>
                  <w:szCs w:val="18"/>
                  <w:b w:val="1"/>
                  <w:bCs w:val="1"/>
                  <w:color w:val="0000EE"/>
                </w:rPr>
                <w:t>6.</w:t>
              </w:r>
            </w:hyperlink>
          </w:p>
        </w:tc>
        <w:tc>
          <w:tcPr>
            <w:tcW w:w="720" w:type="dxa"/>
            <w:vAlign w:val="bottom"/>
            <w:gridSpan w:val="2"/>
          </w:tcPr>
          <w:p>
            <w:pPr>
              <w:ind w:left="20"/>
              <w:spacing w:after="0"/>
              <w:rPr>
                <w:rFonts w:ascii="Arial" w:cs="Arial" w:eastAsia="Arial" w:hAnsi="Arial"/>
                <w:sz w:val="18"/>
                <w:szCs w:val="18"/>
                <w:b w:val="1"/>
                <w:bCs w:val="1"/>
                <w:color w:val="0000EE"/>
                <w:w w:val="97"/>
              </w:rPr>
            </w:pPr>
            <w:hyperlink w:anchor="page52">
              <w:r>
                <w:rPr>
                  <w:rFonts w:ascii="Arial" w:cs="Arial" w:eastAsia="Arial" w:hAnsi="Arial"/>
                  <w:sz w:val="18"/>
                  <w:szCs w:val="18"/>
                  <w:b w:val="1"/>
                  <w:bCs w:val="1"/>
                  <w:color w:val="0000EE"/>
                  <w:w w:val="97"/>
                </w:rPr>
                <w:t>Exhibits</w:t>
              </w:r>
            </w:hyperlink>
          </w:p>
        </w:tc>
        <w:tc>
          <w:tcPr>
            <w:tcW w:w="820" w:type="dxa"/>
            <w:vAlign w:val="bottom"/>
            <w:gridSpan w:val="3"/>
          </w:tcPr>
          <w:p>
            <w:pPr>
              <w:spacing w:after="0"/>
              <w:rPr>
                <w:sz w:val="24"/>
                <w:szCs w:val="24"/>
                <w:color w:val="auto"/>
              </w:rPr>
            </w:pPr>
          </w:p>
        </w:tc>
        <w:tc>
          <w:tcPr>
            <w:tcW w:w="8860" w:type="dxa"/>
            <w:vAlign w:val="bottom"/>
            <w:gridSpan w:val="17"/>
          </w:tcPr>
          <w:p>
            <w:pPr>
              <w:spacing w:after="0"/>
              <w:rPr>
                <w:sz w:val="24"/>
                <w:szCs w:val="24"/>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52">
              <w:r>
                <w:rPr>
                  <w:rFonts w:ascii="Arial" w:cs="Arial" w:eastAsia="Arial" w:hAnsi="Arial"/>
                  <w:sz w:val="18"/>
                  <w:szCs w:val="18"/>
                  <w:color w:val="0000EE"/>
                </w:rPr>
                <w:t>47</w:t>
              </w:r>
            </w:hyperlink>
          </w:p>
        </w:tc>
      </w:tr>
      <w:tr>
        <w:trPr>
          <w:trHeight w:val="20"/>
        </w:trPr>
        <w:tc>
          <w:tcPr>
            <w:tcW w:w="90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20" w:type="dxa"/>
            <w:vAlign w:val="bottom"/>
            <w:gridSpan w:val="19"/>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0580" w:type="dxa"/>
            <w:vAlign w:val="bottom"/>
            <w:gridSpan w:val="23"/>
          </w:tcPr>
          <w:p>
            <w:pPr>
              <w:spacing w:after="0"/>
              <w:rPr>
                <w:rFonts w:ascii="Arial" w:cs="Arial" w:eastAsia="Arial" w:hAnsi="Arial"/>
                <w:sz w:val="18"/>
                <w:szCs w:val="18"/>
                <w:b w:val="1"/>
                <w:bCs w:val="1"/>
                <w:color w:val="0000EE"/>
              </w:rPr>
            </w:pPr>
            <w:hyperlink w:anchor="page53">
              <w:r>
                <w:rPr>
                  <w:rFonts w:ascii="Arial" w:cs="Arial" w:eastAsia="Arial" w:hAnsi="Arial"/>
                  <w:sz w:val="18"/>
                  <w:szCs w:val="18"/>
                  <w:b w:val="1"/>
                  <w:bCs w:val="1"/>
                  <w:color w:val="0000EE"/>
                </w:rPr>
                <w:t>SIGNATURES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53">
              <w:r>
                <w:rPr>
                  <w:rFonts w:ascii="Arial" w:cs="Arial" w:eastAsia="Arial" w:hAnsi="Arial"/>
                  <w:sz w:val="18"/>
                  <w:szCs w:val="18"/>
                  <w:color w:val="0000EE"/>
                </w:rPr>
                <w:t>48</w:t>
              </w:r>
            </w:hyperlink>
          </w:p>
        </w:tc>
      </w:tr>
      <w:tr>
        <w:trPr>
          <w:trHeight w:val="20"/>
        </w:trPr>
        <w:tc>
          <w:tcPr>
            <w:tcW w:w="1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80"/>
          </w:cols>
          <w:pgMar w:left="280" w:top="684"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355" w:lineRule="exact"/>
        <w:rPr>
          <w:sz w:val="20"/>
          <w:szCs w:val="20"/>
          <w:color w:val="auto"/>
        </w:rPr>
      </w:pPr>
    </w:p>
    <w:p>
      <w:pPr>
        <w:ind w:right="160" w:firstLine="486"/>
        <w:spacing w:after="0" w:line="253"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required by the Securities Exchange Act of 1934, as amended (“Exchange Act”), with the Securities and Exchange Commission (“SEC”). You may read and copy any document we file with the SEC at the SEC’s public reference room located at 100 F Street, N.E., Washington, D.C. 20549, U.S.A. Please call the SEC at 1-800-SEC-0330 for further information on the public reference room. Our SEC filings are also available to the public from the SEC’s internet site at </w:t>
      </w:r>
      <w:r>
        <w:rPr>
          <w:rFonts w:ascii="Arial" w:cs="Arial" w:eastAsia="Arial" w:hAnsi="Arial"/>
          <w:sz w:val="18"/>
          <w:szCs w:val="18"/>
          <w:i w:val="1"/>
          <w:iCs w:val="1"/>
          <w:u w:val="single" w:color="auto"/>
          <w:color w:val="auto"/>
        </w:rPr>
        <w:t>http://www.sec.gov</w:t>
      </w:r>
      <w:r>
        <w:rPr>
          <w:rFonts w:ascii="Arial" w:cs="Arial" w:eastAsia="Arial" w:hAnsi="Arial"/>
          <w:sz w:val="18"/>
          <w:szCs w:val="18"/>
          <w:i w:val="1"/>
          <w:iCs w:val="1"/>
          <w:color w:val="auto"/>
        </w:rPr>
        <w:t>.</w:t>
      </w:r>
    </w:p>
    <w:p>
      <w:pPr>
        <w:spacing w:after="0" w:line="206" w:lineRule="exact"/>
        <w:rPr>
          <w:sz w:val="20"/>
          <w:szCs w:val="20"/>
          <w:color w:val="auto"/>
        </w:rPr>
      </w:pPr>
    </w:p>
    <w:p>
      <w:pPr>
        <w:ind w:right="120" w:firstLine="486"/>
        <w:spacing w:after="0" w:line="252" w:lineRule="auto"/>
        <w:rPr>
          <w:sz w:val="20"/>
          <w:szCs w:val="20"/>
          <w:color w:val="auto"/>
        </w:rPr>
      </w:pPr>
      <w:r>
        <w:rPr>
          <w:rFonts w:ascii="Arial" w:cs="Arial" w:eastAsia="Arial" w:hAnsi="Arial"/>
          <w:sz w:val="18"/>
          <w:szCs w:val="18"/>
          <w:color w:val="auto"/>
        </w:rPr>
        <w:t xml:space="preserve">On our internet site, </w:t>
      </w:r>
      <w:r>
        <w:rPr>
          <w:rFonts w:ascii="Arial" w:cs="Arial" w:eastAsia="Arial" w:hAnsi="Arial"/>
          <w:sz w:val="18"/>
          <w:szCs w:val="18"/>
          <w:u w:val="single" w:color="auto"/>
          <w:color w:val="auto"/>
        </w:rPr>
        <w:t>http://www.lpl.com</w:t>
      </w:r>
      <w:r>
        <w:rPr>
          <w:rFonts w:ascii="Arial" w:cs="Arial" w:eastAsia="Arial" w:hAnsi="Arial"/>
          <w:sz w:val="18"/>
          <w:szCs w:val="18"/>
          <w:color w:val="auto"/>
        </w:rPr>
        <w:t>, we post the following filings as soon as reasonably practicable after they are electronically filed with or furnished to the SEC: our annual reports on Form 10-K, our proxy statements, our quarterly reports on Form 10-Q, our current reports on Form 8-K, and any amendments to those reports filed or furnished pursuant to Section 13(a) or 15(d) of the Exchange Act. Hard copies of all such filings are available free of charge by request via email (</w:t>
      </w:r>
      <w:r>
        <w:rPr>
          <w:rFonts w:ascii="Arial" w:cs="Arial" w:eastAsia="Arial" w:hAnsi="Arial"/>
          <w:sz w:val="18"/>
          <w:szCs w:val="18"/>
          <w:u w:val="single" w:color="auto"/>
          <w:color w:val="auto"/>
        </w:rPr>
        <w:t>investor.relations@lpl.com</w:t>
      </w:r>
      <w:r>
        <w:rPr>
          <w:rFonts w:ascii="Arial" w:cs="Arial" w:eastAsia="Arial" w:hAnsi="Arial"/>
          <w:sz w:val="18"/>
          <w:szCs w:val="18"/>
          <w:color w:val="auto"/>
        </w:rPr>
        <w:t>), telephone (617) 897-4574, or mail (LPL Financial Investor Relations at 75 State Street, 24th Floor, Boston, MA 02109). The information contained or incorporated on our website is not a part of this Quarterly Report on Form 10-Q.</w:t>
      </w:r>
    </w:p>
    <w:p>
      <w:pPr>
        <w:spacing w:after="0" w:line="191" w:lineRule="exact"/>
        <w:rPr>
          <w:sz w:val="20"/>
          <w:szCs w:val="20"/>
          <w:color w:val="auto"/>
        </w:rPr>
      </w:pPr>
    </w:p>
    <w:p>
      <w:pPr>
        <w:ind w:right="320" w:firstLine="486"/>
        <w:spacing w:after="0" w:line="282" w:lineRule="auto"/>
        <w:rPr>
          <w:sz w:val="20"/>
          <w:szCs w:val="20"/>
          <w:color w:val="auto"/>
        </w:rPr>
      </w:pPr>
      <w:r>
        <w:rPr>
          <w:rFonts w:ascii="Arial" w:cs="Arial" w:eastAsia="Arial" w:hAnsi="Arial"/>
          <w:sz w:val="18"/>
          <w:szCs w:val="18"/>
          <w:i w:val="1"/>
          <w:iCs w:val="1"/>
          <w:color w:val="auto"/>
        </w:rPr>
        <w:t>When we use the terms “LPLFH,” “we,” “us,” “our” and the “Company,” we mean LPL Financial Holdings Inc., a Delaware corporation, and its consolidated subsidiaries, taken as a whole, unless the context otherwise indicates.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47"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Statements in Item 2 - “Management's Discussion and Analysis of Financial Condition and Results of Operations” and other sections of this Quarterly Report on Form 10-Q regarding the Company's future financial and operating results, growth, business strategies and plans, liquidity, future share repurchases, and future dividends, including statements regarding future resolution of regulatory matters and related costs, income projections based on changes in interest rates, and projected savings and anticipated improvements to the Company's operating model, services, and technology as a result of its Service Value Commitment initiative or restructuring initiatives, as well as any other statements that are not related to present facts or current conditions or that are not purely historical, constitute forward-looking statements. These forward-looking statements are based on the Company's historical performance and its plans, estimates, and expectations as of August 5, 2015. The words “anticipates,” “believes,” “expects,” “may,” “plans,” “predicts,” “will,” and similar expressions are intended to identify forward-looking statements, although not all forward-looking statements contain these identifying words. Forward-looking statements are not guarantees that the future results, plans, intentions, or expectations expressed or implied by the Company will be achieved. Matters subject to forward-looking statements involve known and unknown risks and uncertainties, including economic, legislative, regulatory, competitive, and other factors, which may cause actual financial or operating results, levels of activity, or the timing of events, to be materially different than those expressed or implied by forward-looking statements. Important factors that could cause or contribute to such differences include: changes in general economic and financial market conditions, including retail investor sentiment; fluctuations in the value of brokerage and advisory assets; fluctuations in levels of net new advisory assets and the related impact on fee revenue; effects of competition in the financial services industry; changes in the number of the Company's financial advisors and institutions, and their ability to market effectively financial products and services; changes in interest rates and fees payable by banks participating in the Company's cash sweep program, including the Company's success in negotiating agreements with current or additional counterparties; changes in the growth of the Company’s fee-based business; the effect of current, pending, and future legislation, regulation, and regulatory actions, including disciplinary actions imposed by federal and state securities regulators and self-regulatory organizations; the costs of settling and remediating issues related to pending or future regulatory matters; execution of the Company's plans and its success in realizing the service improvements and efficiencies expected to result from its initiatives and programs, particularly its technological initiatives; the Company's success in negotiating and developing commercial arrangements with third-party services providers; the performance of third-party service providers on which the Company relies; the Company's ability to control operating risks, information technology systems risks, cybersecurity risks, and sourcing risks; and the other factors set forth in Part I, “Item 1A. Risk Factors” in the Company's 2014 Annual Report on Form 10-K, as may be amended or updated in our Quarterly Reports on Form 10-Q. Except as required by law, the Company specifically disclaims any obligation to update any forward-looking statements as a result of developments occurring after the date of this quarterly report, even if its estimates change, and you should not rely on statements contained herein as representing the Company's views as of any date subsequent to the date of this quarterly report.</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360" w:right="23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9019"/>
          </w:cols>
          <w:pgMar w:left="1440" w:top="841" w:right="1440"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6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gridSpan w:val="4"/>
          </w:tcPr>
          <w:p>
            <w:pPr>
              <w:jc w:val="right"/>
              <w:ind w:right="199"/>
              <w:spacing w:after="0"/>
              <w:rPr>
                <w:sz w:val="20"/>
                <w:szCs w:val="20"/>
                <w:color w:val="auto"/>
              </w:rPr>
            </w:pPr>
            <w:r>
              <w:rPr>
                <w:rFonts w:ascii="Arial" w:cs="Arial" w:eastAsia="Arial" w:hAnsi="Arial"/>
                <w:sz w:val="16"/>
                <w:szCs w:val="16"/>
                <w:b w:val="1"/>
                <w:bCs w:val="1"/>
                <w:color w:val="auto"/>
              </w:rPr>
              <w:t>Three Months Ended June 30,</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260"/>
        </w:trPr>
        <w:tc>
          <w:tcPr>
            <w:tcW w:w="5620" w:type="dxa"/>
            <w:vAlign w:val="bottom"/>
          </w:tcPr>
          <w:p>
            <w:pPr>
              <w:ind w:left="40"/>
              <w:spacing w:after="0"/>
              <w:rPr>
                <w:sz w:val="20"/>
                <w:szCs w:val="20"/>
                <w:color w:val="auto"/>
              </w:rPr>
            </w:pPr>
            <w:r>
              <w:rPr>
                <w:rFonts w:ascii="Arial" w:cs="Arial" w:eastAsia="Arial" w:hAnsi="Arial"/>
                <w:sz w:val="16"/>
                <w:szCs w:val="16"/>
                <w:color w:val="auto"/>
              </w:rPr>
              <w:t>REVENUES:</w:t>
            </w: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Commission</w:t>
            </w: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509,689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535,177</w:t>
            </w:r>
          </w:p>
        </w:tc>
        <w:tc>
          <w:tcPr>
            <w:tcW w:w="36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1,033,088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1,069,751</w:t>
            </w:r>
          </w:p>
        </w:tc>
        <w:tc>
          <w:tcPr>
            <w:tcW w:w="0" w:type="dxa"/>
            <w:vAlign w:val="bottom"/>
          </w:tcPr>
          <w:p>
            <w:pPr>
              <w:spacing w:after="0"/>
              <w:rPr>
                <w:sz w:val="1"/>
                <w:szCs w:val="1"/>
                <w:color w:val="auto"/>
              </w:rPr>
            </w:pPr>
          </w:p>
        </w:tc>
      </w:tr>
      <w:tr>
        <w:trPr>
          <w:trHeight w:val="260"/>
        </w:trPr>
        <w:tc>
          <w:tcPr>
            <w:tcW w:w="5620" w:type="dxa"/>
            <w:vAlign w:val="bottom"/>
          </w:tcPr>
          <w:p>
            <w:pPr>
              <w:ind w:left="360"/>
              <w:spacing w:after="0"/>
              <w:rPr>
                <w:sz w:val="20"/>
                <w:szCs w:val="20"/>
                <w:color w:val="auto"/>
              </w:rPr>
            </w:pPr>
            <w:r>
              <w:rPr>
                <w:rFonts w:ascii="Arial" w:cs="Arial" w:eastAsia="Arial" w:hAnsi="Arial"/>
                <w:sz w:val="16"/>
                <w:szCs w:val="16"/>
                <w:color w:val="auto"/>
              </w:rPr>
              <w:t>Advisory</w:t>
            </w:r>
          </w:p>
        </w:tc>
        <w:tc>
          <w:tcPr>
            <w:tcW w:w="20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344,884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330,394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686,996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657,647</w:t>
            </w: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Asset-based</w:t>
            </w: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125,072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118,537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245,704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233,211</w:t>
            </w:r>
          </w:p>
        </w:tc>
        <w:tc>
          <w:tcPr>
            <w:tcW w:w="0" w:type="dxa"/>
            <w:vAlign w:val="bottom"/>
          </w:tcPr>
          <w:p>
            <w:pPr>
              <w:spacing w:after="0"/>
              <w:rPr>
                <w:sz w:val="1"/>
                <w:szCs w:val="1"/>
                <w:color w:val="auto"/>
              </w:rPr>
            </w:pPr>
          </w:p>
        </w:tc>
      </w:tr>
      <w:tr>
        <w:trPr>
          <w:trHeight w:val="260"/>
        </w:trPr>
        <w:tc>
          <w:tcPr>
            <w:tcW w:w="5620" w:type="dxa"/>
            <w:vAlign w:val="bottom"/>
          </w:tcPr>
          <w:p>
            <w:pPr>
              <w:ind w:left="360"/>
              <w:spacing w:after="0"/>
              <w:rPr>
                <w:sz w:val="20"/>
                <w:szCs w:val="20"/>
                <w:color w:val="auto"/>
              </w:rPr>
            </w:pPr>
            <w:r>
              <w:rPr>
                <w:rFonts w:ascii="Arial" w:cs="Arial" w:eastAsia="Arial" w:hAnsi="Arial"/>
                <w:sz w:val="16"/>
                <w:szCs w:val="16"/>
                <w:color w:val="auto"/>
              </w:rPr>
              <w:t>Transaction and fee</w:t>
            </w:r>
          </w:p>
        </w:tc>
        <w:tc>
          <w:tcPr>
            <w:tcW w:w="20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97,811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91,625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199,506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181,610</w:t>
            </w: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Interest income, net of interest expense</w:t>
            </w: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5,177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4,791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9,755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9,552</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8,028</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12,205</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24,914</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28,389</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Total net revenues</w:t>
            </w:r>
          </w:p>
        </w:tc>
        <w:tc>
          <w:tcPr>
            <w:tcW w:w="2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1,090,661</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1,092,729</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2,199,963</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2,180,160</w:t>
            </w:r>
          </w:p>
        </w:tc>
        <w:tc>
          <w:tcPr>
            <w:tcW w:w="0" w:type="dxa"/>
            <w:vAlign w:val="bottom"/>
          </w:tcPr>
          <w:p>
            <w:pPr>
              <w:spacing w:after="0"/>
              <w:rPr>
                <w:sz w:val="1"/>
                <w:szCs w:val="1"/>
                <w:color w:val="auto"/>
              </w:rPr>
            </w:pPr>
          </w:p>
        </w:tc>
      </w:tr>
      <w:tr>
        <w:trPr>
          <w:trHeight w:val="254"/>
        </w:trPr>
        <w:tc>
          <w:tcPr>
            <w:tcW w:w="5620" w:type="dxa"/>
            <w:vAlign w:val="bottom"/>
          </w:tcPr>
          <w:p>
            <w:pPr>
              <w:ind w:left="40"/>
              <w:spacing w:after="0"/>
              <w:rPr>
                <w:sz w:val="20"/>
                <w:szCs w:val="20"/>
                <w:color w:val="auto"/>
              </w:rPr>
            </w:pPr>
            <w:r>
              <w:rPr>
                <w:rFonts w:ascii="Arial" w:cs="Arial" w:eastAsia="Arial" w:hAnsi="Arial"/>
                <w:sz w:val="16"/>
                <w:szCs w:val="16"/>
                <w:color w:val="auto"/>
              </w:rPr>
              <w:t>EXPENSES:</w:t>
            </w: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Commission and advisory</w:t>
            </w: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736,854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751,662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1,478,101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1,496,205</w:t>
            </w:r>
          </w:p>
        </w:tc>
        <w:tc>
          <w:tcPr>
            <w:tcW w:w="0" w:type="dxa"/>
            <w:vAlign w:val="bottom"/>
          </w:tcPr>
          <w:p>
            <w:pPr>
              <w:spacing w:after="0"/>
              <w:rPr>
                <w:sz w:val="1"/>
                <w:szCs w:val="1"/>
                <w:color w:val="auto"/>
              </w:rPr>
            </w:pPr>
          </w:p>
        </w:tc>
      </w:tr>
      <w:tr>
        <w:trPr>
          <w:trHeight w:val="260"/>
        </w:trPr>
        <w:tc>
          <w:tcPr>
            <w:tcW w:w="5620" w:type="dxa"/>
            <w:vAlign w:val="bottom"/>
          </w:tcPr>
          <w:p>
            <w:pPr>
              <w:ind w:left="360"/>
              <w:spacing w:after="0"/>
              <w:rPr>
                <w:sz w:val="20"/>
                <w:szCs w:val="20"/>
                <w:color w:val="auto"/>
              </w:rPr>
            </w:pPr>
            <w:r>
              <w:rPr>
                <w:rFonts w:ascii="Arial" w:cs="Arial" w:eastAsia="Arial" w:hAnsi="Arial"/>
                <w:sz w:val="16"/>
                <w:szCs w:val="16"/>
                <w:color w:val="auto"/>
              </w:rPr>
              <w:t>Compensation and benefits</w:t>
            </w:r>
          </w:p>
        </w:tc>
        <w:tc>
          <w:tcPr>
            <w:tcW w:w="20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112,337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104,821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224,617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211,169</w:t>
            </w: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Promotional</w:t>
            </w: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26,684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29,729</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62,376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56,912</w:t>
            </w:r>
          </w:p>
        </w:tc>
        <w:tc>
          <w:tcPr>
            <w:tcW w:w="0" w:type="dxa"/>
            <w:vAlign w:val="bottom"/>
          </w:tcPr>
          <w:p>
            <w:pPr>
              <w:spacing w:after="0"/>
              <w:rPr>
                <w:sz w:val="1"/>
                <w:szCs w:val="1"/>
                <w:color w:val="auto"/>
              </w:rPr>
            </w:pPr>
          </w:p>
        </w:tc>
      </w:tr>
      <w:tr>
        <w:trPr>
          <w:trHeight w:val="260"/>
        </w:trPr>
        <w:tc>
          <w:tcPr>
            <w:tcW w:w="5620" w:type="dxa"/>
            <w:vAlign w:val="bottom"/>
          </w:tcPr>
          <w:p>
            <w:pPr>
              <w:ind w:left="360"/>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26,732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23,818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52,798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46,099</w:t>
            </w: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Occupancy and equipment</w:t>
            </w: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21,315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21,798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42,197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43,879</w:t>
            </w:r>
          </w:p>
        </w:tc>
        <w:tc>
          <w:tcPr>
            <w:tcW w:w="0" w:type="dxa"/>
            <w:vAlign w:val="bottom"/>
          </w:tcPr>
          <w:p>
            <w:pPr>
              <w:spacing w:after="0"/>
              <w:rPr>
                <w:sz w:val="1"/>
                <w:szCs w:val="1"/>
                <w:color w:val="auto"/>
              </w:rPr>
            </w:pPr>
          </w:p>
        </w:tc>
      </w:tr>
      <w:tr>
        <w:trPr>
          <w:trHeight w:val="260"/>
        </w:trPr>
        <w:tc>
          <w:tcPr>
            <w:tcW w:w="5620" w:type="dxa"/>
            <w:vAlign w:val="bottom"/>
          </w:tcPr>
          <w:p>
            <w:pPr>
              <w:ind w:left="360"/>
              <w:spacing w:after="0"/>
              <w:rPr>
                <w:sz w:val="20"/>
                <w:szCs w:val="20"/>
                <w:color w:val="auto"/>
              </w:rPr>
            </w:pPr>
            <w:r>
              <w:rPr>
                <w:rFonts w:ascii="Arial" w:cs="Arial" w:eastAsia="Arial" w:hAnsi="Arial"/>
                <w:sz w:val="16"/>
                <w:szCs w:val="16"/>
                <w:color w:val="auto"/>
              </w:rPr>
              <w:t>Professional services</w:t>
            </w:r>
          </w:p>
        </w:tc>
        <w:tc>
          <w:tcPr>
            <w:tcW w:w="20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14,529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15,715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28,573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30,028</w:t>
            </w: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Brokerage, clearing and exchange</w:t>
            </w: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13,536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12,329</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26,277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24,504</w:t>
            </w:r>
          </w:p>
        </w:tc>
        <w:tc>
          <w:tcPr>
            <w:tcW w:w="0" w:type="dxa"/>
            <w:vAlign w:val="bottom"/>
          </w:tcPr>
          <w:p>
            <w:pPr>
              <w:spacing w:after="0"/>
              <w:rPr>
                <w:sz w:val="1"/>
                <w:szCs w:val="1"/>
                <w:color w:val="auto"/>
              </w:rPr>
            </w:pPr>
          </w:p>
        </w:tc>
      </w:tr>
      <w:tr>
        <w:trPr>
          <w:trHeight w:val="260"/>
        </w:trPr>
        <w:tc>
          <w:tcPr>
            <w:tcW w:w="5620" w:type="dxa"/>
            <w:vAlign w:val="bottom"/>
          </w:tcPr>
          <w:p>
            <w:pPr>
              <w:ind w:left="360"/>
              <w:spacing w:after="0"/>
              <w:rPr>
                <w:sz w:val="20"/>
                <w:szCs w:val="20"/>
                <w:color w:val="auto"/>
              </w:rPr>
            </w:pPr>
            <w:r>
              <w:rPr>
                <w:rFonts w:ascii="Arial" w:cs="Arial" w:eastAsia="Arial" w:hAnsi="Arial"/>
                <w:sz w:val="16"/>
                <w:szCs w:val="16"/>
                <w:color w:val="auto"/>
              </w:rPr>
              <w:t>Communications and data processing</w:t>
            </w:r>
          </w:p>
        </w:tc>
        <w:tc>
          <w:tcPr>
            <w:tcW w:w="20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11,107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10,463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22,721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21,122</w:t>
            </w: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Restructuring charges</w:t>
            </w: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4,492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9,225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8,416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16,545</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25,822</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29,094</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57,944</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49,235</w:t>
            </w:r>
          </w:p>
        </w:tc>
        <w:tc>
          <w:tcPr>
            <w:tcW w:w="0" w:type="dxa"/>
            <w:vAlign w:val="bottom"/>
          </w:tcPr>
          <w:p>
            <w:pPr>
              <w:spacing w:after="0"/>
              <w:rPr>
                <w:sz w:val="1"/>
                <w:szCs w:val="1"/>
                <w:color w:val="auto"/>
              </w:rPr>
            </w:pPr>
          </w:p>
        </w:tc>
      </w:tr>
      <w:tr>
        <w:trPr>
          <w:trHeight w:val="250"/>
        </w:trPr>
        <w:tc>
          <w:tcPr>
            <w:tcW w:w="56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Total operating expenses</w:t>
            </w:r>
          </w:p>
        </w:tc>
        <w:tc>
          <w:tcPr>
            <w:tcW w:w="2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993,408</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1,008,654</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2,004,020</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1,995,698</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Non-operating interest expense</w:t>
            </w: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13,163</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12,914</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27,178</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25,754</w:t>
            </w:r>
          </w:p>
        </w:tc>
        <w:tc>
          <w:tcPr>
            <w:tcW w:w="0" w:type="dxa"/>
            <w:vAlign w:val="bottom"/>
          </w:tcPr>
          <w:p>
            <w:pPr>
              <w:spacing w:after="0"/>
              <w:rPr>
                <w:sz w:val="1"/>
                <w:szCs w:val="1"/>
                <w:color w:val="auto"/>
              </w:rPr>
            </w:pPr>
          </w:p>
        </w:tc>
      </w:tr>
      <w:tr>
        <w:trPr>
          <w:trHeight w:val="264"/>
        </w:trPr>
        <w:tc>
          <w:tcPr>
            <w:tcW w:w="56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Total expenses</w:t>
            </w:r>
          </w:p>
        </w:tc>
        <w:tc>
          <w:tcPr>
            <w:tcW w:w="2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1,006,571</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1,021,568</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2,031,198</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2,021,452</w:t>
            </w:r>
          </w:p>
        </w:tc>
        <w:tc>
          <w:tcPr>
            <w:tcW w:w="0" w:type="dxa"/>
            <w:vAlign w:val="bottom"/>
          </w:tcPr>
          <w:p>
            <w:pPr>
              <w:spacing w:after="0"/>
              <w:rPr>
                <w:sz w:val="1"/>
                <w:szCs w:val="1"/>
                <w:color w:val="auto"/>
              </w:rPr>
            </w:pPr>
          </w:p>
        </w:tc>
      </w:tr>
      <w:tr>
        <w:trPr>
          <w:trHeight w:val="247"/>
        </w:trPr>
        <w:tc>
          <w:tcPr>
            <w:tcW w:w="5620" w:type="dxa"/>
            <w:vAlign w:val="bottom"/>
          </w:tcPr>
          <w:p>
            <w:pPr>
              <w:ind w:left="80"/>
              <w:spacing w:after="0"/>
              <w:rPr>
                <w:sz w:val="20"/>
                <w:szCs w:val="20"/>
                <w:color w:val="auto"/>
              </w:rPr>
            </w:pPr>
            <w:r>
              <w:rPr>
                <w:rFonts w:ascii="Arial" w:cs="Arial" w:eastAsia="Arial" w:hAnsi="Arial"/>
                <w:sz w:val="16"/>
                <w:szCs w:val="16"/>
                <w:color w:val="auto"/>
              </w:rPr>
              <w:t>INCOME BEFORE PROVISION FOR INCOME TAXES</w:t>
            </w:r>
          </w:p>
        </w:tc>
        <w:tc>
          <w:tcPr>
            <w:tcW w:w="20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84,090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71,161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168,765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158,708</w:t>
            </w:r>
          </w:p>
        </w:tc>
        <w:tc>
          <w:tcPr>
            <w:tcW w:w="0" w:type="dxa"/>
            <w:vAlign w:val="bottom"/>
          </w:tcPr>
          <w:p>
            <w:pPr>
              <w:spacing w:after="0"/>
              <w:rPr>
                <w:sz w:val="1"/>
                <w:szCs w:val="1"/>
                <w:color w:val="auto"/>
              </w:rPr>
            </w:pPr>
          </w:p>
        </w:tc>
      </w:tr>
      <w:tr>
        <w:trPr>
          <w:trHeight w:val="273"/>
        </w:trPr>
        <w:tc>
          <w:tcPr>
            <w:tcW w:w="5620" w:type="dxa"/>
            <w:vAlign w:val="bottom"/>
            <w:shd w:val="clear" w:color="auto" w:fill="CCEEFF"/>
          </w:tcPr>
          <w:p>
            <w:pPr>
              <w:ind w:left="80"/>
              <w:spacing w:after="0"/>
              <w:rPr>
                <w:sz w:val="20"/>
                <w:szCs w:val="20"/>
                <w:color w:val="auto"/>
              </w:rPr>
            </w:pPr>
            <w:r>
              <w:rPr>
                <w:rFonts w:ascii="Arial" w:cs="Arial" w:eastAsia="Arial" w:hAnsi="Arial"/>
                <w:sz w:val="16"/>
                <w:szCs w:val="16"/>
                <w:color w:val="auto"/>
              </w:rPr>
              <w:t>PROVISION FOR INCOME TAXES</w:t>
            </w:r>
          </w:p>
        </w:tc>
        <w:tc>
          <w:tcPr>
            <w:tcW w:w="2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33,848</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28,070</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67,845</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62,482</w:t>
            </w:r>
          </w:p>
        </w:tc>
        <w:tc>
          <w:tcPr>
            <w:tcW w:w="0" w:type="dxa"/>
            <w:vAlign w:val="bottom"/>
          </w:tcPr>
          <w:p>
            <w:pPr>
              <w:spacing w:after="0"/>
              <w:rPr>
                <w:sz w:val="1"/>
                <w:szCs w:val="1"/>
                <w:color w:val="auto"/>
              </w:rPr>
            </w:pPr>
          </w:p>
        </w:tc>
      </w:tr>
      <w:tr>
        <w:trPr>
          <w:trHeight w:val="264"/>
        </w:trPr>
        <w:tc>
          <w:tcPr>
            <w:tcW w:w="5620" w:type="dxa"/>
            <w:vAlign w:val="bottom"/>
          </w:tcPr>
          <w:p>
            <w:pPr>
              <w:ind w:left="80"/>
              <w:spacing w:after="0"/>
              <w:rPr>
                <w:sz w:val="20"/>
                <w:szCs w:val="20"/>
                <w:color w:val="auto"/>
              </w:rPr>
            </w:pPr>
            <w:r>
              <w:rPr>
                <w:rFonts w:ascii="Arial" w:cs="Arial" w:eastAsia="Arial" w:hAnsi="Arial"/>
                <w:sz w:val="16"/>
                <w:szCs w:val="16"/>
                <w:color w:val="auto"/>
              </w:rPr>
              <w:t>NET INCOME</w:t>
            </w: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50,242</w:t>
            </w:r>
          </w:p>
        </w:tc>
        <w:tc>
          <w:tcPr>
            <w:tcW w:w="120" w:type="dxa"/>
            <w:vAlign w:val="bottom"/>
          </w:tcPr>
          <w:p>
            <w:pPr>
              <w:spacing w:after="0"/>
              <w:rPr>
                <w:sz w:val="22"/>
                <w:szCs w:val="22"/>
                <w:color w:val="auto"/>
              </w:rPr>
            </w:pPr>
          </w:p>
        </w:tc>
        <w:tc>
          <w:tcPr>
            <w:tcW w:w="300" w:type="dxa"/>
            <w:vAlign w:val="bottom"/>
          </w:tcPr>
          <w:p>
            <w:pPr>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43,091</w:t>
            </w:r>
          </w:p>
        </w:tc>
        <w:tc>
          <w:tcPr>
            <w:tcW w:w="36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100,920</w:t>
            </w:r>
          </w:p>
        </w:tc>
        <w:tc>
          <w:tcPr>
            <w:tcW w:w="12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96,226</w:t>
            </w:r>
          </w:p>
        </w:tc>
        <w:tc>
          <w:tcPr>
            <w:tcW w:w="0" w:type="dxa"/>
            <w:vAlign w:val="bottom"/>
          </w:tcPr>
          <w:p>
            <w:pPr>
              <w:spacing w:after="0"/>
              <w:rPr>
                <w:sz w:val="1"/>
                <w:szCs w:val="1"/>
                <w:color w:val="auto"/>
              </w:rPr>
            </w:pPr>
          </w:p>
        </w:tc>
      </w:tr>
      <w:tr>
        <w:trPr>
          <w:trHeight w:val="20"/>
        </w:trPr>
        <w:tc>
          <w:tcPr>
            <w:tcW w:w="5620" w:type="dxa"/>
            <w:vAlign w:val="bottom"/>
            <w:vMerge w:val="restart"/>
          </w:tcPr>
          <w:p>
            <w:pPr>
              <w:ind w:left="80"/>
              <w:spacing w:after="0"/>
              <w:rPr>
                <w:sz w:val="20"/>
                <w:szCs w:val="20"/>
                <w:color w:val="auto"/>
              </w:rPr>
            </w:pPr>
            <w:r>
              <w:rPr>
                <w:rFonts w:ascii="Arial" w:cs="Arial" w:eastAsia="Arial" w:hAnsi="Arial"/>
                <w:sz w:val="16"/>
                <w:szCs w:val="16"/>
                <w:color w:val="auto"/>
              </w:rPr>
              <w:t>EARNINGS PER SHARE (NOTE 12)</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562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Earnings per share, basic</w:t>
            </w: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0.52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0.43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0.96</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620" w:type="dxa"/>
            <w:vAlign w:val="bottom"/>
          </w:tcPr>
          <w:p>
            <w:pPr>
              <w:ind w:left="360"/>
              <w:spacing w:after="0"/>
              <w:rPr>
                <w:sz w:val="20"/>
                <w:szCs w:val="20"/>
                <w:color w:val="auto"/>
              </w:rPr>
            </w:pPr>
            <w:r>
              <w:rPr>
                <w:rFonts w:ascii="Arial" w:cs="Arial" w:eastAsia="Arial" w:hAnsi="Arial"/>
                <w:sz w:val="16"/>
                <w:szCs w:val="16"/>
                <w:color w:val="auto"/>
              </w:rPr>
              <w:t>Earnings per share, diluted</w:t>
            </w: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0.52</w:t>
            </w:r>
          </w:p>
        </w:tc>
        <w:tc>
          <w:tcPr>
            <w:tcW w:w="120" w:type="dxa"/>
            <w:vAlign w:val="bottom"/>
          </w:tcPr>
          <w:p>
            <w:pPr>
              <w:spacing w:after="0"/>
              <w:rPr>
                <w:sz w:val="22"/>
                <w:szCs w:val="22"/>
                <w:color w:val="auto"/>
              </w:rPr>
            </w:pPr>
          </w:p>
        </w:tc>
        <w:tc>
          <w:tcPr>
            <w:tcW w:w="300" w:type="dxa"/>
            <w:vAlign w:val="bottom"/>
          </w:tcPr>
          <w:p>
            <w:pPr>
              <w:ind w:left="2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0.42</w:t>
            </w:r>
          </w:p>
        </w:tc>
        <w:tc>
          <w:tcPr>
            <w:tcW w:w="36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0.94</w:t>
            </w:r>
          </w:p>
        </w:tc>
        <w:tc>
          <w:tcPr>
            <w:tcW w:w="0" w:type="dxa"/>
            <w:vAlign w:val="bottom"/>
          </w:tcPr>
          <w:p>
            <w:pPr>
              <w:spacing w:after="0"/>
              <w:rPr>
                <w:sz w:val="1"/>
                <w:szCs w:val="1"/>
                <w:color w:val="auto"/>
              </w:rPr>
            </w:pPr>
          </w:p>
        </w:tc>
      </w:tr>
      <w:tr>
        <w:trPr>
          <w:trHeight w:val="224"/>
        </w:trPr>
        <w:tc>
          <w:tcPr>
            <w:tcW w:w="56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Weighted-average shares outstanding, basic</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95,724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100,244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96,136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100,756</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20" w:type="dxa"/>
            <w:vAlign w:val="bottom"/>
          </w:tcPr>
          <w:p>
            <w:pPr>
              <w:ind w:left="360"/>
              <w:spacing w:after="0"/>
              <w:rPr>
                <w:sz w:val="20"/>
                <w:szCs w:val="20"/>
                <w:color w:val="auto"/>
              </w:rPr>
            </w:pPr>
            <w:r>
              <w:rPr>
                <w:rFonts w:ascii="Arial" w:cs="Arial" w:eastAsia="Arial" w:hAnsi="Arial"/>
                <w:sz w:val="16"/>
                <w:szCs w:val="16"/>
                <w:color w:val="auto"/>
              </w:rPr>
              <w:t>Weighted-average shares outstanding, diluted</w:t>
            </w: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97,239</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102,029</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97,715</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102,672</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unaudited condensed consolidated financial statements.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6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580" w:type="dxa"/>
            <w:vAlign w:val="bottom"/>
            <w:gridSpan w:val="5"/>
          </w:tcPr>
          <w:p>
            <w:pPr>
              <w:ind w:left="20"/>
              <w:spacing w:after="0"/>
              <w:rPr>
                <w:sz w:val="20"/>
                <w:szCs w:val="20"/>
                <w:color w:val="auto"/>
              </w:rPr>
            </w:pPr>
            <w:r>
              <w:rPr>
                <w:rFonts w:ascii="Arial" w:cs="Arial" w:eastAsia="Arial" w:hAnsi="Arial"/>
                <w:sz w:val="16"/>
                <w:szCs w:val="16"/>
                <w:b w:val="1"/>
                <w:bCs w:val="1"/>
                <w:color w:val="auto"/>
              </w:rPr>
              <w:t>Three Months Ended June 30,</w:t>
            </w:r>
          </w:p>
        </w:tc>
        <w:tc>
          <w:tcPr>
            <w:tcW w:w="200" w:type="dxa"/>
            <w:vAlign w:val="bottom"/>
          </w:tcPr>
          <w:p>
            <w:pPr>
              <w:spacing w:after="0"/>
              <w:rPr>
                <w:sz w:val="19"/>
                <w:szCs w:val="19"/>
                <w:color w:val="auto"/>
              </w:rPr>
            </w:pPr>
          </w:p>
        </w:tc>
        <w:tc>
          <w:tcPr>
            <w:tcW w:w="2420" w:type="dxa"/>
            <w:vAlign w:val="bottom"/>
            <w:gridSpan w:val="4"/>
          </w:tcPr>
          <w:p>
            <w:pPr>
              <w:jc w:val="right"/>
              <w:ind w:right="159"/>
              <w:spacing w:after="0"/>
              <w:rPr>
                <w:sz w:val="20"/>
                <w:szCs w:val="20"/>
                <w:color w:val="auto"/>
              </w:rPr>
            </w:pPr>
            <w:r>
              <w:rPr>
                <w:rFonts w:ascii="Arial" w:cs="Arial" w:eastAsia="Arial" w:hAnsi="Arial"/>
                <w:sz w:val="16"/>
                <w:szCs w:val="16"/>
                <w:b w:val="1"/>
                <w:bCs w:val="1"/>
                <w:color w:val="auto"/>
              </w:rPr>
              <w:t>Six Months Ended June 30,</w:t>
            </w:r>
          </w:p>
        </w:tc>
      </w:tr>
      <w:tr>
        <w:trPr>
          <w:trHeight w:val="264"/>
        </w:trPr>
        <w:tc>
          <w:tcPr>
            <w:tcW w:w="608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2014</w:t>
            </w:r>
          </w:p>
        </w:tc>
      </w:tr>
      <w:tr>
        <w:trPr>
          <w:trHeight w:val="257"/>
        </w:trPr>
        <w:tc>
          <w:tcPr>
            <w:tcW w:w="6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50,242</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43,091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100,920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96,226</w:t>
            </w:r>
          </w:p>
        </w:tc>
      </w:tr>
      <w:tr>
        <w:trPr>
          <w:trHeight w:val="260"/>
        </w:trPr>
        <w:tc>
          <w:tcPr>
            <w:tcW w:w="6080" w:type="dxa"/>
            <w:vAlign w:val="bottom"/>
          </w:tcPr>
          <w:p>
            <w:pPr>
              <w:ind w:left="40"/>
              <w:spacing w:after="0"/>
              <w:rPr>
                <w:sz w:val="20"/>
                <w:szCs w:val="20"/>
                <w:color w:val="auto"/>
              </w:rPr>
            </w:pPr>
            <w:r>
              <w:rPr>
                <w:rFonts w:ascii="Arial" w:cs="Arial" w:eastAsia="Arial" w:hAnsi="Arial"/>
                <w:sz w:val="16"/>
                <w:szCs w:val="16"/>
                <w:color w:val="auto"/>
              </w:rPr>
              <w:t>Other comprehensive income, net of tax:</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28"/>
        </w:trPr>
        <w:tc>
          <w:tcPr>
            <w:tcW w:w="60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Unrealized (loss) gain on cash flow hedges, net of tax expense of ($93),</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189"/>
        </w:trPr>
        <w:tc>
          <w:tcPr>
            <w:tcW w:w="60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$251, $194, and $926 for the three and six months ended June 30, 2015</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214"/>
        </w:trPr>
        <w:tc>
          <w:tcPr>
            <w:tcW w:w="60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and 2014, respectively</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1,462</w:t>
            </w:r>
          </w:p>
        </w:tc>
      </w:tr>
      <w:tr>
        <w:trPr>
          <w:trHeight w:val="218"/>
        </w:trPr>
        <w:tc>
          <w:tcPr>
            <w:tcW w:w="6080" w:type="dxa"/>
            <w:vAlign w:val="bottom"/>
          </w:tcPr>
          <w:p>
            <w:pPr>
              <w:ind w:left="360"/>
              <w:spacing w:after="0"/>
              <w:rPr>
                <w:sz w:val="20"/>
                <w:szCs w:val="20"/>
                <w:color w:val="auto"/>
              </w:rPr>
            </w:pPr>
            <w:r>
              <w:rPr>
                <w:rFonts w:ascii="Arial" w:cs="Arial" w:eastAsia="Arial" w:hAnsi="Arial"/>
                <w:sz w:val="16"/>
                <w:szCs w:val="16"/>
                <w:color w:val="auto"/>
              </w:rPr>
              <w:t>Reclassification adjustment for realized gain on cash flow hedges included in</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189"/>
        </w:trPr>
        <w:tc>
          <w:tcPr>
            <w:tcW w:w="6080" w:type="dxa"/>
            <w:vAlign w:val="bottom"/>
          </w:tcPr>
          <w:p>
            <w:pPr>
              <w:ind w:left="520"/>
              <w:spacing w:after="0"/>
              <w:rPr>
                <w:sz w:val="20"/>
                <w:szCs w:val="20"/>
                <w:color w:val="auto"/>
              </w:rPr>
            </w:pPr>
            <w:r>
              <w:rPr>
                <w:rFonts w:ascii="Arial" w:cs="Arial" w:eastAsia="Arial" w:hAnsi="Arial"/>
                <w:sz w:val="16"/>
                <w:szCs w:val="16"/>
                <w:color w:val="auto"/>
              </w:rPr>
              <w:t>net income, net of tax expense of $143, $28, $228, and $28 for the three</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08"/>
        </w:trPr>
        <w:tc>
          <w:tcPr>
            <w:tcW w:w="608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and six months ended June 30, 2015 and 2014, respectively</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r>
      <w:tr>
        <w:trPr>
          <w:trHeight w:val="250"/>
        </w:trPr>
        <w:tc>
          <w:tcPr>
            <w:tcW w:w="6080" w:type="dxa"/>
            <w:vAlign w:val="bottom"/>
            <w:shd w:val="clear" w:color="auto" w:fill="CCEEFF"/>
          </w:tcPr>
          <w:p>
            <w:pPr>
              <w:ind w:left="760"/>
              <w:spacing w:after="0"/>
              <w:rPr>
                <w:sz w:val="20"/>
                <w:szCs w:val="20"/>
                <w:color w:val="auto"/>
              </w:rPr>
            </w:pPr>
            <w:r>
              <w:rPr>
                <w:rFonts w:ascii="Arial" w:cs="Arial" w:eastAsia="Arial" w:hAnsi="Arial"/>
                <w:sz w:val="16"/>
                <w:szCs w:val="16"/>
                <w:color w:val="auto"/>
              </w:rPr>
              <w:t>Total other comprehensive income, net of tax</w:t>
            </w:r>
          </w:p>
        </w:tc>
        <w:tc>
          <w:tcPr>
            <w:tcW w:w="1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(403)</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355</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1,417</w:t>
            </w:r>
          </w:p>
        </w:tc>
      </w:tr>
      <w:tr>
        <w:trPr>
          <w:trHeight w:val="240"/>
        </w:trPr>
        <w:tc>
          <w:tcPr>
            <w:tcW w:w="6080" w:type="dxa"/>
            <w:vAlign w:val="bottom"/>
          </w:tcPr>
          <w:p>
            <w:pPr>
              <w:ind w:left="40"/>
              <w:spacing w:after="0"/>
              <w:rPr>
                <w:sz w:val="20"/>
                <w:szCs w:val="20"/>
                <w:color w:val="auto"/>
              </w:rPr>
            </w:pPr>
            <w:r>
              <w:rPr>
                <w:rFonts w:ascii="Arial" w:cs="Arial" w:eastAsia="Arial" w:hAnsi="Arial"/>
                <w:sz w:val="16"/>
                <w:szCs w:val="16"/>
                <w:color w:val="auto"/>
              </w:rPr>
              <w:t>TOTAL COMPREHENSIVE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49,839</w:t>
            </w:r>
          </w:p>
        </w:tc>
        <w:tc>
          <w:tcPr>
            <w:tcW w:w="12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43,446</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100,834</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97,643</w:t>
            </w:r>
          </w:p>
        </w:tc>
      </w:tr>
      <w:tr>
        <w:trPr>
          <w:trHeight w:val="20"/>
        </w:trPr>
        <w:tc>
          <w:tcPr>
            <w:tcW w:w="6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unaudited condensed consolidated financial statements.</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49" w:right="239" w:bottom="1440" w:gutter="0" w:footer="0" w:header="0"/>
        </w:sectPr>
      </w:pPr>
    </w:p>
    <w:bookmarkStart w:id="6" w:name="page7"/>
    <w:bookmarkEnd w:id="6"/>
    <w:p>
      <w:pPr>
        <w:ind w:left="3440"/>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Condensed Consolidated Statements of Financial Condition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par value)</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w:t>
            </w:r>
          </w:p>
        </w:tc>
        <w:tc>
          <w:tcPr>
            <w:tcW w:w="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83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9"/>
                <w:szCs w:val="19"/>
                <w:color w:val="auto"/>
              </w:rPr>
            </w:pPr>
          </w:p>
        </w:tc>
        <w:tc>
          <w:tcPr>
            <w:tcW w:w="14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w w:val="99"/>
              </w:rPr>
              <w:t>December 31, 2014</w:t>
            </w:r>
          </w:p>
        </w:tc>
        <w:tc>
          <w:tcPr>
            <w:tcW w:w="0" w:type="dxa"/>
            <w:vAlign w:val="bottom"/>
          </w:tcPr>
          <w:p>
            <w:pPr>
              <w:spacing w:after="0"/>
              <w:rPr>
                <w:sz w:val="1"/>
                <w:szCs w:val="1"/>
                <w:color w:val="auto"/>
              </w:rPr>
            </w:pPr>
          </w:p>
        </w:tc>
      </w:tr>
      <w:tr>
        <w:trPr>
          <w:trHeight w:val="260"/>
        </w:trPr>
        <w:tc>
          <w:tcPr>
            <w:tcW w:w="8340" w:type="dxa"/>
            <w:vAlign w:val="bottom"/>
          </w:tcPr>
          <w:p>
            <w:pPr>
              <w:ind w:left="3860"/>
              <w:spacing w:after="0"/>
              <w:rPr>
                <w:sz w:val="20"/>
                <w:szCs w:val="20"/>
                <w:color w:val="auto"/>
              </w:rPr>
            </w:pPr>
            <w:r>
              <w:rPr>
                <w:rFonts w:ascii="Arial" w:cs="Arial" w:eastAsia="Arial" w:hAnsi="Arial"/>
                <w:sz w:val="16"/>
                <w:szCs w:val="16"/>
                <w:b w:val="1"/>
                <w:bCs w:val="1"/>
                <w:color w:val="auto"/>
              </w:rPr>
              <w:t>ASSETS</w:t>
            </w: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547,320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412,332</w:t>
            </w:r>
          </w:p>
        </w:tc>
        <w:tc>
          <w:tcPr>
            <w:tcW w:w="0" w:type="dxa"/>
            <w:vAlign w:val="bottom"/>
          </w:tcPr>
          <w:p>
            <w:pPr>
              <w:spacing w:after="0"/>
              <w:rPr>
                <w:sz w:val="1"/>
                <w:szCs w:val="1"/>
                <w:color w:val="auto"/>
              </w:rPr>
            </w:pPr>
          </w:p>
        </w:tc>
      </w:tr>
      <w:tr>
        <w:trPr>
          <w:trHeight w:val="260"/>
        </w:trPr>
        <w:tc>
          <w:tcPr>
            <w:tcW w:w="8340" w:type="dxa"/>
            <w:vAlign w:val="bottom"/>
          </w:tcPr>
          <w:p>
            <w:pPr>
              <w:ind w:left="40"/>
              <w:spacing w:after="0"/>
              <w:rPr>
                <w:sz w:val="20"/>
                <w:szCs w:val="20"/>
                <w:color w:val="auto"/>
              </w:rPr>
            </w:pPr>
            <w:r>
              <w:rPr>
                <w:rFonts w:ascii="Arial" w:cs="Arial" w:eastAsia="Arial" w:hAnsi="Arial"/>
                <w:sz w:val="16"/>
                <w:szCs w:val="16"/>
                <w:color w:val="auto"/>
              </w:rPr>
              <w:t>Cash and securities segregated under federal and other regulations</w:t>
            </w:r>
          </w:p>
        </w:tc>
        <w:tc>
          <w:tcPr>
            <w:tcW w:w="26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399,875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568,930</w:t>
            </w:r>
          </w:p>
        </w:tc>
        <w:tc>
          <w:tcPr>
            <w:tcW w:w="0" w:type="dxa"/>
            <w:vAlign w:val="bottom"/>
          </w:tcPr>
          <w:p>
            <w:pPr>
              <w:spacing w:after="0"/>
              <w:rPr>
                <w:sz w:val="1"/>
                <w:szCs w:val="1"/>
                <w:color w:val="auto"/>
              </w:rPr>
            </w:pPr>
          </w:p>
        </w:tc>
      </w:tr>
      <w:tr>
        <w:trPr>
          <w:trHeight w:val="28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Restricted cash</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27,176</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1,109</w:t>
            </w:r>
          </w:p>
        </w:tc>
        <w:tc>
          <w:tcPr>
            <w:tcW w:w="0" w:type="dxa"/>
            <w:vAlign w:val="bottom"/>
          </w:tcPr>
          <w:p>
            <w:pPr>
              <w:spacing w:after="0"/>
              <w:rPr>
                <w:sz w:val="1"/>
                <w:szCs w:val="1"/>
                <w:color w:val="auto"/>
              </w:rPr>
            </w:pPr>
          </w:p>
        </w:tc>
      </w:tr>
      <w:tr>
        <w:trPr>
          <w:trHeight w:val="260"/>
        </w:trPr>
        <w:tc>
          <w:tcPr>
            <w:tcW w:w="8340" w:type="dxa"/>
            <w:vAlign w:val="bottom"/>
          </w:tcPr>
          <w:p>
            <w:pPr>
              <w:ind w:left="40"/>
              <w:spacing w:after="0"/>
              <w:rPr>
                <w:sz w:val="20"/>
                <w:szCs w:val="20"/>
                <w:color w:val="auto"/>
              </w:rPr>
            </w:pPr>
            <w:r>
              <w:rPr>
                <w:rFonts w:ascii="Arial" w:cs="Arial" w:eastAsia="Arial" w:hAnsi="Arial"/>
                <w:sz w:val="16"/>
                <w:szCs w:val="16"/>
                <w:color w:val="auto"/>
              </w:rPr>
              <w:t>Receivables from:</w:t>
            </w: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83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Clients, net of allowance of $1,283 at June 30, 2015 and $1,245 at December 31, 2014</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331,992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365,390</w:t>
            </w:r>
          </w:p>
        </w:tc>
        <w:tc>
          <w:tcPr>
            <w:tcW w:w="0" w:type="dxa"/>
            <w:vAlign w:val="bottom"/>
          </w:tcPr>
          <w:p>
            <w:pPr>
              <w:spacing w:after="0"/>
              <w:rPr>
                <w:sz w:val="1"/>
                <w:szCs w:val="1"/>
                <w:color w:val="auto"/>
              </w:rPr>
            </w:pPr>
          </w:p>
        </w:tc>
      </w:tr>
      <w:tr>
        <w:trPr>
          <w:trHeight w:val="260"/>
        </w:trPr>
        <w:tc>
          <w:tcPr>
            <w:tcW w:w="8340" w:type="dxa"/>
            <w:vAlign w:val="bottom"/>
          </w:tcPr>
          <w:p>
            <w:pPr>
              <w:ind w:left="120"/>
              <w:spacing w:after="0"/>
              <w:rPr>
                <w:sz w:val="20"/>
                <w:szCs w:val="20"/>
                <w:color w:val="auto"/>
              </w:rPr>
            </w:pPr>
            <w:r>
              <w:rPr>
                <w:rFonts w:ascii="Arial" w:cs="Arial" w:eastAsia="Arial" w:hAnsi="Arial"/>
                <w:sz w:val="16"/>
                <w:szCs w:val="16"/>
                <w:color w:val="auto"/>
              </w:rPr>
              <w:t>Product sponsors, broker-dealers, and clearing organizations</w:t>
            </w:r>
          </w:p>
        </w:tc>
        <w:tc>
          <w:tcPr>
            <w:tcW w:w="26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164,033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177,470</w:t>
            </w:r>
          </w:p>
        </w:tc>
        <w:tc>
          <w:tcPr>
            <w:tcW w:w="0" w:type="dxa"/>
            <w:vAlign w:val="bottom"/>
          </w:tcPr>
          <w:p>
            <w:pPr>
              <w:spacing w:after="0"/>
              <w:rPr>
                <w:sz w:val="1"/>
                <w:szCs w:val="1"/>
                <w:color w:val="auto"/>
              </w:rPr>
            </w:pPr>
          </w:p>
        </w:tc>
      </w:tr>
      <w:tr>
        <w:trPr>
          <w:trHeight w:val="280"/>
        </w:trPr>
        <w:tc>
          <w:tcPr>
            <w:tcW w:w="83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Others, net of allowance of $10,751 at June 30, 2015 and $8,379 at December 31, 2014</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314,805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291,449</w:t>
            </w:r>
          </w:p>
        </w:tc>
        <w:tc>
          <w:tcPr>
            <w:tcW w:w="0" w:type="dxa"/>
            <w:vAlign w:val="bottom"/>
          </w:tcPr>
          <w:p>
            <w:pPr>
              <w:spacing w:after="0"/>
              <w:rPr>
                <w:sz w:val="1"/>
                <w:szCs w:val="1"/>
                <w:color w:val="auto"/>
              </w:rPr>
            </w:pPr>
          </w:p>
        </w:tc>
      </w:tr>
      <w:tr>
        <w:trPr>
          <w:trHeight w:val="260"/>
        </w:trPr>
        <w:tc>
          <w:tcPr>
            <w:tcW w:w="8340" w:type="dxa"/>
            <w:vAlign w:val="bottom"/>
          </w:tcPr>
          <w:p>
            <w:pPr>
              <w:ind w:left="40"/>
              <w:spacing w:after="0"/>
              <w:rPr>
                <w:sz w:val="20"/>
                <w:szCs w:val="20"/>
                <w:color w:val="auto"/>
              </w:rPr>
            </w:pPr>
            <w:r>
              <w:rPr>
                <w:rFonts w:ascii="Arial" w:cs="Arial" w:eastAsia="Arial" w:hAnsi="Arial"/>
                <w:sz w:val="16"/>
                <w:szCs w:val="16"/>
                <w:color w:val="auto"/>
              </w:rPr>
              <w:t>Securities owned:</w:t>
            </w: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Trading — at fair value</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11,986</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13,466</w:t>
            </w:r>
          </w:p>
        </w:tc>
        <w:tc>
          <w:tcPr>
            <w:tcW w:w="0" w:type="dxa"/>
            <w:vAlign w:val="bottom"/>
          </w:tcPr>
          <w:p>
            <w:pPr>
              <w:spacing w:after="0"/>
              <w:rPr>
                <w:sz w:val="1"/>
                <w:szCs w:val="1"/>
                <w:color w:val="auto"/>
              </w:rPr>
            </w:pPr>
          </w:p>
        </w:tc>
      </w:tr>
      <w:tr>
        <w:trPr>
          <w:trHeight w:val="260"/>
        </w:trPr>
        <w:tc>
          <w:tcPr>
            <w:tcW w:w="8340" w:type="dxa"/>
            <w:vAlign w:val="bottom"/>
          </w:tcPr>
          <w:p>
            <w:pPr>
              <w:ind w:left="180"/>
              <w:spacing w:after="0"/>
              <w:rPr>
                <w:sz w:val="20"/>
                <w:szCs w:val="20"/>
                <w:color w:val="auto"/>
              </w:rPr>
            </w:pPr>
            <w:r>
              <w:rPr>
                <w:rFonts w:ascii="Arial" w:cs="Arial" w:eastAsia="Arial" w:hAnsi="Arial"/>
                <w:sz w:val="16"/>
                <w:szCs w:val="16"/>
                <w:color w:val="auto"/>
              </w:rPr>
              <w:t>Held-to-maturity — at amortized cost</w:t>
            </w:r>
          </w:p>
        </w:tc>
        <w:tc>
          <w:tcPr>
            <w:tcW w:w="26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8,599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8,594</w:t>
            </w:r>
          </w:p>
        </w:tc>
        <w:tc>
          <w:tcPr>
            <w:tcW w:w="0" w:type="dxa"/>
            <w:vAlign w:val="bottom"/>
          </w:tcPr>
          <w:p>
            <w:pPr>
              <w:spacing w:after="0"/>
              <w:rPr>
                <w:sz w:val="1"/>
                <w:szCs w:val="1"/>
                <w:color w:val="auto"/>
              </w:rPr>
            </w:pPr>
          </w:p>
        </w:tc>
      </w:tr>
      <w:tr>
        <w:trPr>
          <w:trHeight w:val="28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Securities borrowed</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5,603</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5,035</w:t>
            </w:r>
          </w:p>
        </w:tc>
        <w:tc>
          <w:tcPr>
            <w:tcW w:w="0" w:type="dxa"/>
            <w:vAlign w:val="bottom"/>
          </w:tcPr>
          <w:p>
            <w:pPr>
              <w:spacing w:after="0"/>
              <w:rPr>
                <w:sz w:val="1"/>
                <w:szCs w:val="1"/>
                <w:color w:val="auto"/>
              </w:rPr>
            </w:pPr>
          </w:p>
        </w:tc>
      </w:tr>
      <w:tr>
        <w:trPr>
          <w:trHeight w:val="260"/>
        </w:trPr>
        <w:tc>
          <w:tcPr>
            <w:tcW w:w="8340" w:type="dxa"/>
            <w:vAlign w:val="bottom"/>
          </w:tcPr>
          <w:p>
            <w:pPr>
              <w:ind w:left="40"/>
              <w:spacing w:after="0"/>
              <w:rPr>
                <w:sz w:val="20"/>
                <w:szCs w:val="20"/>
                <w:color w:val="auto"/>
              </w:rPr>
            </w:pPr>
            <w:r>
              <w:rPr>
                <w:rFonts w:ascii="Arial" w:cs="Arial" w:eastAsia="Arial" w:hAnsi="Arial"/>
                <w:sz w:val="16"/>
                <w:szCs w:val="16"/>
                <w:color w:val="auto"/>
              </w:rPr>
              <w:t>Income taxes receivable</w:t>
            </w:r>
          </w:p>
        </w:tc>
        <w:tc>
          <w:tcPr>
            <w:tcW w:w="26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9,355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28"/>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Fixed assets, net of accumulated depreciation and amortization of $304,879 at June 30, 2015 and $288,834 at</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83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December 31, 2014</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237,116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214,154</w:t>
            </w:r>
          </w:p>
        </w:tc>
        <w:tc>
          <w:tcPr>
            <w:tcW w:w="0" w:type="dxa"/>
            <w:vAlign w:val="bottom"/>
          </w:tcPr>
          <w:p>
            <w:pPr>
              <w:spacing w:after="0"/>
              <w:rPr>
                <w:sz w:val="1"/>
                <w:szCs w:val="1"/>
                <w:color w:val="auto"/>
              </w:rPr>
            </w:pPr>
          </w:p>
        </w:tc>
      </w:tr>
      <w:tr>
        <w:trPr>
          <w:trHeight w:val="218"/>
        </w:trPr>
        <w:tc>
          <w:tcPr>
            <w:tcW w:w="8340" w:type="dxa"/>
            <w:vAlign w:val="bottom"/>
          </w:tcPr>
          <w:p>
            <w:pPr>
              <w:ind w:left="40"/>
              <w:spacing w:after="0"/>
              <w:rPr>
                <w:sz w:val="20"/>
                <w:szCs w:val="20"/>
                <w:color w:val="auto"/>
              </w:rPr>
            </w:pPr>
            <w:r>
              <w:rPr>
                <w:rFonts w:ascii="Arial" w:cs="Arial" w:eastAsia="Arial" w:hAnsi="Arial"/>
                <w:sz w:val="16"/>
                <w:szCs w:val="16"/>
                <w:color w:val="auto"/>
              </w:rPr>
              <w:t>Debt issuance costs, net of accumulated amortization of $13,190 at June 30, 2015 and $11,724 at December 31,</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8340" w:type="dxa"/>
            <w:vAlign w:val="bottom"/>
          </w:tcPr>
          <w:p>
            <w:pPr>
              <w:ind w:left="200"/>
              <w:spacing w:after="0"/>
              <w:rPr>
                <w:sz w:val="20"/>
                <w:szCs w:val="20"/>
                <w:color w:val="auto"/>
              </w:rPr>
            </w:pPr>
            <w:r>
              <w:rPr>
                <w:rFonts w:ascii="Arial" w:cs="Arial" w:eastAsia="Arial" w:hAnsi="Arial"/>
                <w:sz w:val="16"/>
                <w:szCs w:val="16"/>
                <w:color w:val="auto"/>
              </w:rPr>
              <w:t>2014</w:t>
            </w:r>
          </w:p>
        </w:tc>
        <w:tc>
          <w:tcPr>
            <w:tcW w:w="260" w:type="dxa"/>
            <w:vAlign w:val="bottom"/>
          </w:tcPr>
          <w:p>
            <w:pPr>
              <w:spacing w:after="0"/>
              <w:rPr>
                <w:sz w:val="17"/>
                <w:szCs w:val="17"/>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11,775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13,241</w:t>
            </w:r>
          </w:p>
        </w:tc>
        <w:tc>
          <w:tcPr>
            <w:tcW w:w="0" w:type="dxa"/>
            <w:vAlign w:val="bottom"/>
          </w:tcPr>
          <w:p>
            <w:pPr>
              <w:spacing w:after="0"/>
              <w:rPr>
                <w:sz w:val="1"/>
                <w:szCs w:val="1"/>
                <w:color w:val="auto"/>
              </w:rPr>
            </w:pPr>
          </w:p>
        </w:tc>
      </w:tr>
      <w:tr>
        <w:trPr>
          <w:trHeight w:val="28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1,365,838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1,365,838</w:t>
            </w:r>
          </w:p>
        </w:tc>
        <w:tc>
          <w:tcPr>
            <w:tcW w:w="0" w:type="dxa"/>
            <w:vAlign w:val="bottom"/>
          </w:tcPr>
          <w:p>
            <w:pPr>
              <w:spacing w:after="0"/>
              <w:rPr>
                <w:sz w:val="1"/>
                <w:szCs w:val="1"/>
                <w:color w:val="auto"/>
              </w:rPr>
            </w:pPr>
          </w:p>
        </w:tc>
      </w:tr>
      <w:tr>
        <w:trPr>
          <w:trHeight w:val="218"/>
        </w:trPr>
        <w:tc>
          <w:tcPr>
            <w:tcW w:w="8340" w:type="dxa"/>
            <w:vAlign w:val="bottom"/>
          </w:tcPr>
          <w:p>
            <w:pPr>
              <w:ind w:left="40"/>
              <w:spacing w:after="0"/>
              <w:rPr>
                <w:sz w:val="20"/>
                <w:szCs w:val="20"/>
                <w:color w:val="auto"/>
              </w:rPr>
            </w:pPr>
            <w:r>
              <w:rPr>
                <w:rFonts w:ascii="Arial" w:cs="Arial" w:eastAsia="Arial" w:hAnsi="Arial"/>
                <w:sz w:val="16"/>
                <w:szCs w:val="16"/>
                <w:color w:val="auto"/>
              </w:rPr>
              <w:t>Intangible assets, net of accumulated amortization of $323,673 at June 30, 2015 and $305,154 at December 31,</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8340" w:type="dxa"/>
            <w:vAlign w:val="bottom"/>
          </w:tcPr>
          <w:p>
            <w:pPr>
              <w:ind w:left="200"/>
              <w:spacing w:after="0"/>
              <w:rPr>
                <w:sz w:val="20"/>
                <w:szCs w:val="20"/>
                <w:color w:val="auto"/>
              </w:rPr>
            </w:pPr>
            <w:r>
              <w:rPr>
                <w:rFonts w:ascii="Arial" w:cs="Arial" w:eastAsia="Arial" w:hAnsi="Arial"/>
                <w:sz w:val="16"/>
                <w:szCs w:val="16"/>
                <w:color w:val="auto"/>
              </w:rPr>
              <w:t>2014</w:t>
            </w:r>
          </w:p>
        </w:tc>
        <w:tc>
          <w:tcPr>
            <w:tcW w:w="260" w:type="dxa"/>
            <w:vAlign w:val="bottom"/>
          </w:tcPr>
          <w:p>
            <w:pPr>
              <w:spacing w:after="0"/>
              <w:rPr>
                <w:sz w:val="17"/>
                <w:szCs w:val="17"/>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411,097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430,704</w:t>
            </w:r>
          </w:p>
        </w:tc>
        <w:tc>
          <w:tcPr>
            <w:tcW w:w="0" w:type="dxa"/>
            <w:vAlign w:val="bottom"/>
          </w:tcPr>
          <w:p>
            <w:pPr>
              <w:spacing w:after="0"/>
              <w:rPr>
                <w:sz w:val="1"/>
                <w:szCs w:val="1"/>
                <w:color w:val="auto"/>
              </w:rPr>
            </w:pPr>
          </w:p>
        </w:tc>
      </w:tr>
      <w:tr>
        <w:trPr>
          <w:trHeight w:val="273"/>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2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195,950</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183,197</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Total assets</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4,042,520</w:t>
            </w:r>
          </w:p>
        </w:tc>
        <w:tc>
          <w:tcPr>
            <w:tcW w:w="100" w:type="dxa"/>
            <w:vAlign w:val="bottom"/>
          </w:tcPr>
          <w:p>
            <w:pPr>
              <w:spacing w:after="0"/>
              <w:rPr>
                <w:sz w:val="20"/>
                <w:szCs w:val="20"/>
                <w:color w:val="auto"/>
              </w:rPr>
            </w:pPr>
          </w:p>
        </w:tc>
        <w:tc>
          <w:tcPr>
            <w:tcW w:w="3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4,050,993</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4000"/>
              <w:spacing w:after="0"/>
              <w:rPr>
                <w:sz w:val="20"/>
                <w:szCs w:val="20"/>
                <w:color w:val="auto"/>
              </w:rPr>
            </w:pPr>
            <w:r>
              <w:rPr>
                <w:rFonts w:ascii="Arial" w:cs="Arial" w:eastAsia="Arial" w:hAnsi="Arial"/>
                <w:sz w:val="16"/>
                <w:szCs w:val="16"/>
                <w:b w:val="1"/>
                <w:bCs w:val="1"/>
                <w:color w:val="auto"/>
              </w:rPr>
              <w:t>LIABILITIES AND STOCKHOLDERS’ EQUITY</w:t>
            </w: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3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8340" w:type="dxa"/>
            <w:vAlign w:val="bottom"/>
          </w:tcPr>
          <w:p>
            <w:pPr>
              <w:ind w:left="40"/>
              <w:spacing w:after="0"/>
              <w:rPr>
                <w:sz w:val="20"/>
                <w:szCs w:val="20"/>
                <w:color w:val="auto"/>
              </w:rPr>
            </w:pPr>
            <w:r>
              <w:rPr>
                <w:rFonts w:ascii="Arial" w:cs="Arial" w:eastAsia="Arial" w:hAnsi="Arial"/>
                <w:sz w:val="16"/>
                <w:szCs w:val="16"/>
                <w:color w:val="auto"/>
              </w:rPr>
              <w:t>LIABILITIES: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Drafts payable</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133,579</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180,099</w:t>
            </w:r>
          </w:p>
        </w:tc>
        <w:tc>
          <w:tcPr>
            <w:tcW w:w="0" w:type="dxa"/>
            <w:vAlign w:val="bottom"/>
          </w:tcPr>
          <w:p>
            <w:pPr>
              <w:spacing w:after="0"/>
              <w:rPr>
                <w:sz w:val="1"/>
                <w:szCs w:val="1"/>
                <w:color w:val="auto"/>
              </w:rPr>
            </w:pPr>
          </w:p>
        </w:tc>
      </w:tr>
      <w:tr>
        <w:trPr>
          <w:trHeight w:val="260"/>
        </w:trPr>
        <w:tc>
          <w:tcPr>
            <w:tcW w:w="8340" w:type="dxa"/>
            <w:vAlign w:val="bottom"/>
          </w:tcPr>
          <w:p>
            <w:pPr>
              <w:ind w:left="180"/>
              <w:spacing w:after="0"/>
              <w:rPr>
                <w:sz w:val="20"/>
                <w:szCs w:val="20"/>
                <w:color w:val="auto"/>
              </w:rPr>
            </w:pPr>
            <w:r>
              <w:rPr>
                <w:rFonts w:ascii="Arial" w:cs="Arial" w:eastAsia="Arial" w:hAnsi="Arial"/>
                <w:sz w:val="16"/>
                <w:szCs w:val="16"/>
                <w:color w:val="auto"/>
              </w:rPr>
              <w:t>Payables to clients</w:t>
            </w:r>
          </w:p>
        </w:tc>
        <w:tc>
          <w:tcPr>
            <w:tcW w:w="26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617,763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652,714</w:t>
            </w:r>
          </w:p>
        </w:tc>
        <w:tc>
          <w:tcPr>
            <w:tcW w:w="0" w:type="dxa"/>
            <w:vAlign w:val="bottom"/>
          </w:tcPr>
          <w:p>
            <w:pPr>
              <w:spacing w:after="0"/>
              <w:rPr>
                <w:sz w:val="1"/>
                <w:szCs w:val="1"/>
                <w:color w:val="auto"/>
              </w:rPr>
            </w:pPr>
          </w:p>
        </w:tc>
      </w:tr>
      <w:tr>
        <w:trPr>
          <w:trHeight w:val="280"/>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Payables to broker-dealers and clearing organizations</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38,952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45,427</w:t>
            </w:r>
          </w:p>
        </w:tc>
        <w:tc>
          <w:tcPr>
            <w:tcW w:w="0" w:type="dxa"/>
            <w:vAlign w:val="bottom"/>
          </w:tcPr>
          <w:p>
            <w:pPr>
              <w:spacing w:after="0"/>
              <w:rPr>
                <w:sz w:val="1"/>
                <w:szCs w:val="1"/>
                <w:color w:val="auto"/>
              </w:rPr>
            </w:pPr>
          </w:p>
        </w:tc>
      </w:tr>
      <w:tr>
        <w:trPr>
          <w:trHeight w:val="260"/>
        </w:trPr>
        <w:tc>
          <w:tcPr>
            <w:tcW w:w="8340" w:type="dxa"/>
            <w:vAlign w:val="bottom"/>
          </w:tcPr>
          <w:p>
            <w:pPr>
              <w:ind w:left="180"/>
              <w:spacing w:after="0"/>
              <w:rPr>
                <w:sz w:val="20"/>
                <w:szCs w:val="20"/>
                <w:color w:val="auto"/>
              </w:rPr>
            </w:pPr>
            <w:r>
              <w:rPr>
                <w:rFonts w:ascii="Arial" w:cs="Arial" w:eastAsia="Arial" w:hAnsi="Arial"/>
                <w:sz w:val="16"/>
                <w:szCs w:val="16"/>
                <w:color w:val="auto"/>
              </w:rPr>
              <w:t>Accrued commission and advisory expenses payable</w:t>
            </w:r>
          </w:p>
        </w:tc>
        <w:tc>
          <w:tcPr>
            <w:tcW w:w="26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134,364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146,504</w:t>
            </w:r>
          </w:p>
        </w:tc>
        <w:tc>
          <w:tcPr>
            <w:tcW w:w="0" w:type="dxa"/>
            <w:vAlign w:val="bottom"/>
          </w:tcPr>
          <w:p>
            <w:pPr>
              <w:spacing w:after="0"/>
              <w:rPr>
                <w:sz w:val="1"/>
                <w:szCs w:val="1"/>
                <w:color w:val="auto"/>
              </w:rPr>
            </w:pPr>
          </w:p>
        </w:tc>
      </w:tr>
      <w:tr>
        <w:trPr>
          <w:trHeight w:val="280"/>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Accounts payable and accrued liabilities</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304,883</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289,426</w:t>
            </w:r>
          </w:p>
        </w:tc>
        <w:tc>
          <w:tcPr>
            <w:tcW w:w="0" w:type="dxa"/>
            <w:vAlign w:val="bottom"/>
          </w:tcPr>
          <w:p>
            <w:pPr>
              <w:spacing w:after="0"/>
              <w:rPr>
                <w:sz w:val="1"/>
                <w:szCs w:val="1"/>
                <w:color w:val="auto"/>
              </w:rPr>
            </w:pPr>
          </w:p>
        </w:tc>
      </w:tr>
      <w:tr>
        <w:trPr>
          <w:trHeight w:val="260"/>
        </w:trPr>
        <w:tc>
          <w:tcPr>
            <w:tcW w:w="8340" w:type="dxa"/>
            <w:vAlign w:val="bottom"/>
          </w:tcPr>
          <w:p>
            <w:pPr>
              <w:ind w:left="180"/>
              <w:spacing w:after="0"/>
              <w:rPr>
                <w:sz w:val="20"/>
                <w:szCs w:val="20"/>
                <w:color w:val="auto"/>
              </w:rPr>
            </w:pPr>
            <w:r>
              <w:rPr>
                <w:rFonts w:ascii="Arial" w:cs="Arial" w:eastAsia="Arial" w:hAnsi="Arial"/>
                <w:sz w:val="16"/>
                <w:szCs w:val="16"/>
                <w:color w:val="auto"/>
              </w:rPr>
              <w:t>Unearned revenue</w:t>
            </w:r>
          </w:p>
        </w:tc>
        <w:tc>
          <w:tcPr>
            <w:tcW w:w="26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82,991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64,482</w:t>
            </w:r>
          </w:p>
        </w:tc>
        <w:tc>
          <w:tcPr>
            <w:tcW w:w="0" w:type="dxa"/>
            <w:vAlign w:val="bottom"/>
          </w:tcPr>
          <w:p>
            <w:pPr>
              <w:spacing w:after="0"/>
              <w:rPr>
                <w:sz w:val="1"/>
                <w:szCs w:val="1"/>
                <w:color w:val="auto"/>
              </w:rPr>
            </w:pPr>
          </w:p>
        </w:tc>
      </w:tr>
      <w:tr>
        <w:trPr>
          <w:trHeight w:val="280"/>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Securities sold, but not yet purchased — at fair value</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1,735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302</w:t>
            </w:r>
          </w:p>
        </w:tc>
        <w:tc>
          <w:tcPr>
            <w:tcW w:w="0" w:type="dxa"/>
            <w:vAlign w:val="bottom"/>
          </w:tcPr>
          <w:p>
            <w:pPr>
              <w:spacing w:after="0"/>
              <w:rPr>
                <w:sz w:val="1"/>
                <w:szCs w:val="1"/>
                <w:color w:val="auto"/>
              </w:rPr>
            </w:pPr>
          </w:p>
        </w:tc>
      </w:tr>
      <w:tr>
        <w:trPr>
          <w:trHeight w:val="260"/>
        </w:trPr>
        <w:tc>
          <w:tcPr>
            <w:tcW w:w="8340" w:type="dxa"/>
            <w:vAlign w:val="bottom"/>
          </w:tcPr>
          <w:p>
            <w:pPr>
              <w:ind w:left="180"/>
              <w:spacing w:after="0"/>
              <w:rPr>
                <w:sz w:val="20"/>
                <w:szCs w:val="20"/>
                <w:color w:val="auto"/>
              </w:rPr>
            </w:pPr>
            <w:r>
              <w:rPr>
                <w:rFonts w:ascii="Arial" w:cs="Arial" w:eastAsia="Arial" w:hAnsi="Arial"/>
                <w:sz w:val="16"/>
                <w:szCs w:val="16"/>
                <w:color w:val="auto"/>
              </w:rPr>
              <w:t>Senior secured credit facilities</w:t>
            </w:r>
          </w:p>
        </w:tc>
        <w:tc>
          <w:tcPr>
            <w:tcW w:w="26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1,693,838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1,634,258</w:t>
            </w:r>
          </w:p>
        </w:tc>
        <w:tc>
          <w:tcPr>
            <w:tcW w:w="0" w:type="dxa"/>
            <w:vAlign w:val="bottom"/>
          </w:tcPr>
          <w:p>
            <w:pPr>
              <w:spacing w:after="0"/>
              <w:rPr>
                <w:sz w:val="1"/>
                <w:szCs w:val="1"/>
                <w:color w:val="auto"/>
              </w:rPr>
            </w:pPr>
          </w:p>
        </w:tc>
      </w:tr>
      <w:tr>
        <w:trPr>
          <w:trHeight w:val="280"/>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Leasehold financing obligation</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26,337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Deferred income taxes, net</w:t>
            </w:r>
          </w:p>
        </w:tc>
        <w:tc>
          <w:tcPr>
            <w:tcW w:w="2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64,990</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66,181</w:t>
            </w:r>
          </w:p>
        </w:tc>
        <w:tc>
          <w:tcPr>
            <w:tcW w:w="0" w:type="dxa"/>
            <w:vAlign w:val="bottom"/>
          </w:tcPr>
          <w:p>
            <w:pPr>
              <w:spacing w:after="0"/>
              <w:rPr>
                <w:sz w:val="1"/>
                <w:szCs w:val="1"/>
                <w:color w:val="auto"/>
              </w:rPr>
            </w:pPr>
          </w:p>
        </w:tc>
      </w:tr>
      <w:tr>
        <w:trPr>
          <w:trHeight w:val="257"/>
        </w:trPr>
        <w:tc>
          <w:tcPr>
            <w:tcW w:w="83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liabilities</w:t>
            </w:r>
          </w:p>
        </w:tc>
        <w:tc>
          <w:tcPr>
            <w:tcW w:w="2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3,099,432</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3,079,393</w:t>
            </w:r>
          </w:p>
        </w:tc>
        <w:tc>
          <w:tcPr>
            <w:tcW w:w="0" w:type="dxa"/>
            <w:vAlign w:val="bottom"/>
          </w:tcPr>
          <w:p>
            <w:pPr>
              <w:spacing w:after="0"/>
              <w:rPr>
                <w:sz w:val="1"/>
                <w:szCs w:val="1"/>
                <w:color w:val="auto"/>
              </w:rPr>
            </w:pPr>
          </w:p>
        </w:tc>
      </w:tr>
      <w:tr>
        <w:trPr>
          <w:trHeight w:val="254"/>
        </w:trPr>
        <w:tc>
          <w:tcPr>
            <w:tcW w:w="8340" w:type="dxa"/>
            <w:vAlign w:val="bottom"/>
          </w:tcPr>
          <w:p>
            <w:pPr>
              <w:ind w:left="720"/>
              <w:spacing w:after="0"/>
              <w:rPr>
                <w:sz w:val="20"/>
                <w:szCs w:val="20"/>
                <w:color w:val="auto"/>
              </w:rPr>
            </w:pPr>
            <w:r>
              <w:rPr>
                <w:rFonts w:ascii="Arial" w:cs="Arial" w:eastAsia="Arial" w:hAnsi="Arial"/>
                <w:sz w:val="16"/>
                <w:szCs w:val="16"/>
                <w:color w:val="auto"/>
              </w:rPr>
              <w:t>Commitments and contingencies</w:t>
            </w: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STOCKHOLDERS’ EQUITY:</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8340" w:type="dxa"/>
            <w:vAlign w:val="bottom"/>
          </w:tcPr>
          <w:p>
            <w:pPr>
              <w:ind w:left="200"/>
              <w:spacing w:after="0"/>
              <w:rPr>
                <w:sz w:val="20"/>
                <w:szCs w:val="20"/>
                <w:color w:val="auto"/>
              </w:rPr>
            </w:pPr>
            <w:r>
              <w:rPr>
                <w:rFonts w:ascii="Arial" w:cs="Arial" w:eastAsia="Arial" w:hAnsi="Arial"/>
                <w:sz w:val="16"/>
                <w:szCs w:val="16"/>
                <w:color w:val="auto"/>
              </w:rPr>
              <w:t>Common stock, $.001 par value; 600,000,000 shares authorized; 119,046,228 shares issued at June 30, 2015</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8340" w:type="dxa"/>
            <w:vAlign w:val="bottom"/>
          </w:tcPr>
          <w:p>
            <w:pPr>
              <w:ind w:left="360"/>
              <w:spacing w:after="0"/>
              <w:rPr>
                <w:sz w:val="20"/>
                <w:szCs w:val="20"/>
                <w:color w:val="auto"/>
              </w:rPr>
            </w:pPr>
            <w:r>
              <w:rPr>
                <w:rFonts w:ascii="Arial" w:cs="Arial" w:eastAsia="Arial" w:hAnsi="Arial"/>
                <w:sz w:val="16"/>
                <w:szCs w:val="16"/>
                <w:color w:val="auto"/>
              </w:rPr>
              <w:t>and 118,234,552 shares issued at December 31, 2014</w:t>
            </w:r>
          </w:p>
        </w:tc>
        <w:tc>
          <w:tcPr>
            <w:tcW w:w="260" w:type="dxa"/>
            <w:vAlign w:val="bottom"/>
          </w:tcPr>
          <w:p>
            <w:pPr>
              <w:spacing w:after="0"/>
              <w:rPr>
                <w:sz w:val="17"/>
                <w:szCs w:val="17"/>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119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280"/>
        </w:trPr>
        <w:tc>
          <w:tcPr>
            <w:tcW w:w="83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Additional paid-in capital</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1,390,594</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1,355,085</w:t>
            </w:r>
          </w:p>
        </w:tc>
        <w:tc>
          <w:tcPr>
            <w:tcW w:w="0" w:type="dxa"/>
            <w:vAlign w:val="bottom"/>
          </w:tcPr>
          <w:p>
            <w:pPr>
              <w:spacing w:after="0"/>
              <w:rPr>
                <w:sz w:val="1"/>
                <w:szCs w:val="1"/>
                <w:color w:val="auto"/>
              </w:rPr>
            </w:pPr>
          </w:p>
        </w:tc>
      </w:tr>
      <w:tr>
        <w:trPr>
          <w:trHeight w:val="260"/>
        </w:trPr>
        <w:tc>
          <w:tcPr>
            <w:tcW w:w="8340" w:type="dxa"/>
            <w:vAlign w:val="bottom"/>
          </w:tcPr>
          <w:p>
            <w:pPr>
              <w:ind w:left="200"/>
              <w:spacing w:after="0"/>
              <w:rPr>
                <w:sz w:val="20"/>
                <w:szCs w:val="20"/>
                <w:color w:val="auto"/>
              </w:rPr>
            </w:pPr>
            <w:r>
              <w:rPr>
                <w:rFonts w:ascii="Arial" w:cs="Arial" w:eastAsia="Arial" w:hAnsi="Arial"/>
                <w:sz w:val="16"/>
                <w:szCs w:val="16"/>
                <w:color w:val="auto"/>
              </w:rPr>
              <w:t>Treasury stock, at cost — 23,831,516 shares at June 30, 2015 and 21,089,882 shares at December 31, 2014</w:t>
            </w:r>
          </w:p>
        </w:tc>
        <w:tc>
          <w:tcPr>
            <w:tcW w:w="2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(897,270)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(780,661)</w:t>
            </w:r>
          </w:p>
        </w:tc>
        <w:tc>
          <w:tcPr>
            <w:tcW w:w="0" w:type="dxa"/>
            <w:vAlign w:val="bottom"/>
          </w:tcPr>
          <w:p>
            <w:pPr>
              <w:spacing w:after="0"/>
              <w:rPr>
                <w:sz w:val="1"/>
                <w:szCs w:val="1"/>
                <w:color w:val="auto"/>
              </w:rPr>
            </w:pPr>
          </w:p>
        </w:tc>
      </w:tr>
      <w:tr>
        <w:trPr>
          <w:trHeight w:val="280"/>
        </w:trPr>
        <w:tc>
          <w:tcPr>
            <w:tcW w:w="83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Accumulated other comprehensive income</w:t>
            </w: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851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937</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Retained earnings</w:t>
            </w:r>
          </w:p>
        </w:tc>
        <w:tc>
          <w:tcPr>
            <w:tcW w:w="2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448,794</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396,121</w:t>
            </w:r>
          </w:p>
        </w:tc>
        <w:tc>
          <w:tcPr>
            <w:tcW w:w="0" w:type="dxa"/>
            <w:vAlign w:val="bottom"/>
          </w:tcPr>
          <w:p>
            <w:pPr>
              <w:spacing w:after="0"/>
              <w:rPr>
                <w:sz w:val="1"/>
                <w:szCs w:val="1"/>
                <w:color w:val="auto"/>
              </w:rPr>
            </w:pPr>
          </w:p>
        </w:tc>
      </w:tr>
      <w:tr>
        <w:trPr>
          <w:trHeight w:val="250"/>
        </w:trPr>
        <w:tc>
          <w:tcPr>
            <w:tcW w:w="83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stockholders’ equity</w:t>
            </w:r>
          </w:p>
        </w:tc>
        <w:tc>
          <w:tcPr>
            <w:tcW w:w="2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943,088</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971,600</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Total liabilities and stockholders’ equity</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4,042,520</w:t>
            </w:r>
          </w:p>
        </w:tc>
        <w:tc>
          <w:tcPr>
            <w:tcW w:w="100" w:type="dxa"/>
            <w:vAlign w:val="bottom"/>
          </w:tcPr>
          <w:p>
            <w:pPr>
              <w:spacing w:after="0"/>
              <w:rPr>
                <w:sz w:val="20"/>
                <w:szCs w:val="20"/>
                <w:color w:val="auto"/>
              </w:rPr>
            </w:pPr>
          </w:p>
        </w:tc>
        <w:tc>
          <w:tcPr>
            <w:tcW w:w="3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4,050,993</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3220"/>
              <w:spacing w:after="0"/>
              <w:rPr>
                <w:sz w:val="20"/>
                <w:szCs w:val="20"/>
                <w:color w:val="auto"/>
              </w:rPr>
            </w:pPr>
            <w:r>
              <w:rPr>
                <w:rFonts w:ascii="Arial" w:cs="Arial" w:eastAsia="Arial" w:hAnsi="Arial"/>
                <w:sz w:val="16"/>
                <w:szCs w:val="16"/>
                <w:color w:val="auto"/>
              </w:rPr>
              <w:t>See notes to unaudited condensed consolidated financial statements.</w:t>
            </w: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34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33" w:right="239" w:bottom="1440" w:gutter="0" w:footer="0" w:header="0"/>
        </w:sectPr>
      </w:pPr>
    </w:p>
    <w:p>
      <w:pPr>
        <w:spacing w:after="0" w:line="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333" w:right="2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740" w:type="dxa"/>
            <w:vAlign w:val="bottom"/>
          </w:tcPr>
          <w:p>
            <w:pPr>
              <w:spacing w:after="0"/>
              <w:rPr>
                <w:sz w:val="16"/>
                <w:szCs w:val="16"/>
                <w:color w:val="auto"/>
              </w:rPr>
            </w:pPr>
          </w:p>
        </w:tc>
        <w:tc>
          <w:tcPr>
            <w:tcW w:w="1880" w:type="dxa"/>
            <w:vAlign w:val="bottom"/>
            <w:gridSpan w:val="5"/>
          </w:tcPr>
          <w:p>
            <w:pPr>
              <w:ind w:left="38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Additional</w:t>
            </w:r>
          </w:p>
        </w:tc>
        <w:tc>
          <w:tcPr>
            <w:tcW w:w="1920" w:type="dxa"/>
            <w:vAlign w:val="bottom"/>
            <w:gridSpan w:val="5"/>
          </w:tcPr>
          <w:p>
            <w:pPr>
              <w:ind w:left="400"/>
              <w:spacing w:after="0"/>
              <w:rPr>
                <w:sz w:val="20"/>
                <w:szCs w:val="20"/>
                <w:color w:val="auto"/>
              </w:rPr>
            </w:pPr>
            <w:r>
              <w:rPr>
                <w:rFonts w:ascii="Arial" w:cs="Arial" w:eastAsia="Arial" w:hAnsi="Arial"/>
                <w:sz w:val="14"/>
                <w:szCs w:val="14"/>
                <w:b w:val="1"/>
                <w:bCs w:val="1"/>
                <w:color w:val="auto"/>
              </w:rPr>
              <w:t>Treasury Stock</w:t>
            </w:r>
          </w:p>
        </w:tc>
        <w:tc>
          <w:tcPr>
            <w:tcW w:w="12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center"/>
              <w:ind w:right="4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54"/>
        </w:trPr>
        <w:tc>
          <w:tcPr>
            <w:tcW w:w="274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gridSpan w:val="2"/>
            <w:vMerge w:val="restart"/>
          </w:tcPr>
          <w:p>
            <w:pPr>
              <w:jc w:val="center"/>
              <w:ind w:right="240"/>
              <w:spacing w:after="0" w:line="135" w:lineRule="exact"/>
              <w:rPr>
                <w:sz w:val="20"/>
                <w:szCs w:val="20"/>
                <w:color w:val="auto"/>
              </w:rPr>
            </w:pPr>
            <w:r>
              <w:rPr>
                <w:rFonts w:ascii="Arial" w:cs="Arial" w:eastAsia="Arial" w:hAnsi="Arial"/>
                <w:sz w:val="14"/>
                <w:szCs w:val="14"/>
                <w:b w:val="1"/>
                <w:bCs w:val="1"/>
                <w:color w:val="auto"/>
              </w:rPr>
              <w:t>Paid-In</w:t>
            </w: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gridSpan w:val="2"/>
            <w:vMerge w:val="restart"/>
          </w:tcPr>
          <w:p>
            <w:pPr>
              <w:jc w:val="center"/>
              <w:ind w:right="220"/>
              <w:spacing w:after="0" w:line="135" w:lineRule="exact"/>
              <w:rPr>
                <w:sz w:val="20"/>
                <w:szCs w:val="20"/>
                <w:color w:val="auto"/>
              </w:rPr>
            </w:pPr>
            <w:r>
              <w:rPr>
                <w:rFonts w:ascii="Arial" w:cs="Arial" w:eastAsia="Arial" w:hAnsi="Arial"/>
                <w:sz w:val="14"/>
                <w:szCs w:val="14"/>
                <w:b w:val="1"/>
                <w:bCs w:val="1"/>
                <w:color w:val="auto"/>
              </w:rPr>
              <w:t>Comprehensive</w:t>
            </w:r>
          </w:p>
        </w:tc>
        <w:tc>
          <w:tcPr>
            <w:tcW w:w="120" w:type="dxa"/>
            <w:vAlign w:val="bottom"/>
          </w:tcPr>
          <w:p>
            <w:pPr>
              <w:spacing w:after="0"/>
              <w:rPr>
                <w:sz w:val="4"/>
                <w:szCs w:val="4"/>
                <w:color w:val="auto"/>
              </w:rPr>
            </w:pPr>
          </w:p>
        </w:tc>
        <w:tc>
          <w:tcPr>
            <w:tcW w:w="880" w:type="dxa"/>
            <w:vAlign w:val="bottom"/>
            <w:gridSpan w:val="2"/>
            <w:vMerge w:val="restart"/>
          </w:tcPr>
          <w:p>
            <w:pPr>
              <w:ind w:left="20"/>
              <w:spacing w:after="0" w:line="135" w:lineRule="exact"/>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4"/>
                <w:szCs w:val="4"/>
                <w:color w:val="auto"/>
              </w:rPr>
            </w:pPr>
          </w:p>
        </w:tc>
        <w:tc>
          <w:tcPr>
            <w:tcW w:w="1120" w:type="dxa"/>
            <w:vAlign w:val="bottom"/>
            <w:vMerge w:val="restart"/>
          </w:tcPr>
          <w:p>
            <w:pPr>
              <w:jc w:val="center"/>
              <w:ind w:right="48"/>
              <w:spacing w:after="0" w:line="135"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61"/>
        </w:trPr>
        <w:tc>
          <w:tcPr>
            <w:tcW w:w="2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740" w:type="dxa"/>
            <w:vAlign w:val="bottom"/>
          </w:tcPr>
          <w:p>
            <w:pPr>
              <w:spacing w:after="0"/>
              <w:rPr>
                <w:sz w:val="17"/>
                <w:szCs w:val="17"/>
                <w:color w:val="auto"/>
              </w:rPr>
            </w:pPr>
          </w:p>
        </w:tc>
        <w:tc>
          <w:tcPr>
            <w:tcW w:w="940" w:type="dxa"/>
            <w:vAlign w:val="bottom"/>
            <w:gridSpan w:val="2"/>
          </w:tcPr>
          <w:p>
            <w:pPr>
              <w:ind w:left="18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7"/>
                <w:szCs w:val="17"/>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Capital</w:t>
            </w:r>
          </w:p>
        </w:tc>
        <w:tc>
          <w:tcPr>
            <w:tcW w:w="920" w:type="dxa"/>
            <w:vAlign w:val="bottom"/>
            <w:gridSpan w:val="2"/>
          </w:tcPr>
          <w:p>
            <w:pPr>
              <w:ind w:left="16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7"/>
                <w:szCs w:val="17"/>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Income</w:t>
            </w:r>
          </w:p>
        </w:tc>
        <w:tc>
          <w:tcPr>
            <w:tcW w:w="120" w:type="dxa"/>
            <w:vAlign w:val="bottom"/>
          </w:tcPr>
          <w:p>
            <w:pPr>
              <w:spacing w:after="0"/>
              <w:rPr>
                <w:sz w:val="17"/>
                <w:szCs w:val="17"/>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7"/>
                <w:szCs w:val="17"/>
                <w:color w:val="auto"/>
              </w:rPr>
            </w:pPr>
          </w:p>
        </w:tc>
        <w:tc>
          <w:tcPr>
            <w:tcW w:w="1120" w:type="dxa"/>
            <w:vAlign w:val="bottom"/>
          </w:tcPr>
          <w:p>
            <w:pPr>
              <w:jc w:val="center"/>
              <w:ind w:right="4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56"/>
        </w:trPr>
        <w:tc>
          <w:tcPr>
            <w:tcW w:w="2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 December 31, 2013</w:t>
            </w:r>
          </w:p>
        </w:tc>
        <w:tc>
          <w:tcPr>
            <w:tcW w:w="8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117,112</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117</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1,292,374</w:t>
            </w:r>
          </w:p>
        </w:tc>
        <w:tc>
          <w:tcPr>
            <w:tcW w:w="120" w:type="dxa"/>
            <w:vAlign w:val="bottom"/>
            <w:tcBorders>
              <w:top w:val="single" w:sz="8" w:color="CCEEFF"/>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15,216</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(506,205)</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115</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313,570</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1,099,971</w:t>
            </w:r>
          </w:p>
        </w:tc>
        <w:tc>
          <w:tcPr>
            <w:tcW w:w="0" w:type="dxa"/>
            <w:vAlign w:val="bottom"/>
          </w:tcPr>
          <w:p>
            <w:pPr>
              <w:spacing w:after="0"/>
              <w:rPr>
                <w:sz w:val="1"/>
                <w:szCs w:val="1"/>
                <w:color w:val="auto"/>
              </w:rPr>
            </w:pPr>
          </w:p>
        </w:tc>
      </w:tr>
      <w:tr>
        <w:trPr>
          <w:trHeight w:val="194"/>
        </w:trPr>
        <w:tc>
          <w:tcPr>
            <w:tcW w:w="2740" w:type="dxa"/>
            <w:vAlign w:val="bottom"/>
          </w:tcPr>
          <w:p>
            <w:pPr>
              <w:ind w:left="180"/>
              <w:spacing w:after="0"/>
              <w:rPr>
                <w:sz w:val="20"/>
                <w:szCs w:val="20"/>
                <w:color w:val="auto"/>
              </w:rPr>
            </w:pPr>
            <w:r>
              <w:rPr>
                <w:rFonts w:ascii="Arial" w:cs="Arial" w:eastAsia="Arial" w:hAnsi="Arial"/>
                <w:sz w:val="14"/>
                <w:szCs w:val="14"/>
                <w:color w:val="auto"/>
              </w:rPr>
              <w:t>Net income and other comprehensive</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740" w:type="dxa"/>
            <w:vAlign w:val="bottom"/>
          </w:tcPr>
          <w:p>
            <w:pPr>
              <w:ind w:left="260"/>
              <w:spacing w:after="0"/>
              <w:rPr>
                <w:sz w:val="20"/>
                <w:szCs w:val="20"/>
                <w:color w:val="auto"/>
              </w:rPr>
            </w:pPr>
            <w:r>
              <w:rPr>
                <w:rFonts w:ascii="Arial" w:cs="Arial" w:eastAsia="Arial" w:hAnsi="Arial"/>
                <w:sz w:val="14"/>
                <w:szCs w:val="14"/>
                <w:color w:val="auto"/>
              </w:rPr>
              <w:t>income, net of tax expense</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1,417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96,226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97,643</w:t>
            </w: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Issuance of common stock to settle</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7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restricted stock units, net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(599)</w:t>
            </w:r>
          </w:p>
        </w:tc>
        <w:tc>
          <w:tcPr>
            <w:tcW w:w="0" w:type="dxa"/>
            <w:vAlign w:val="bottom"/>
          </w:tcPr>
          <w:p>
            <w:pPr>
              <w:spacing w:after="0"/>
              <w:rPr>
                <w:sz w:val="1"/>
                <w:szCs w:val="1"/>
                <w:color w:val="auto"/>
              </w:rPr>
            </w:pPr>
          </w:p>
        </w:tc>
      </w:tr>
      <w:tr>
        <w:trPr>
          <w:trHeight w:val="264"/>
        </w:trPr>
        <w:tc>
          <w:tcPr>
            <w:tcW w:w="2740" w:type="dxa"/>
            <w:vAlign w:val="bottom"/>
          </w:tcPr>
          <w:p>
            <w:pPr>
              <w:ind w:left="180"/>
              <w:spacing w:after="0"/>
              <w:rPr>
                <w:sz w:val="20"/>
                <w:szCs w:val="20"/>
                <w:color w:val="auto"/>
              </w:rPr>
            </w:pPr>
            <w:r>
              <w:rPr>
                <w:rFonts w:ascii="Arial" w:cs="Arial" w:eastAsia="Arial" w:hAnsi="Arial"/>
                <w:sz w:val="14"/>
                <w:szCs w:val="14"/>
                <w:color w:val="auto"/>
              </w:rPr>
              <w:t>Treasury stock purchases</w:t>
            </w: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2,458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(125,010)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(125,010)</w:t>
            </w: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dividends on common stock</w:t>
            </w: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(48,109)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(48,109)</w:t>
            </w:r>
          </w:p>
        </w:tc>
        <w:tc>
          <w:tcPr>
            <w:tcW w:w="0" w:type="dxa"/>
            <w:vAlign w:val="bottom"/>
          </w:tcPr>
          <w:p>
            <w:pPr>
              <w:spacing w:after="0"/>
              <w:rPr>
                <w:sz w:val="1"/>
                <w:szCs w:val="1"/>
                <w:color w:val="auto"/>
              </w:rPr>
            </w:pPr>
          </w:p>
        </w:tc>
      </w:tr>
      <w:tr>
        <w:trPr>
          <w:trHeight w:val="264"/>
        </w:trPr>
        <w:tc>
          <w:tcPr>
            <w:tcW w:w="2740" w:type="dxa"/>
            <w:vAlign w:val="bottom"/>
          </w:tcPr>
          <w:p>
            <w:pPr>
              <w:ind w:left="180"/>
              <w:spacing w:after="0"/>
              <w:rPr>
                <w:sz w:val="20"/>
                <w:szCs w:val="20"/>
                <w:color w:val="auto"/>
              </w:rPr>
            </w:pPr>
            <w:r>
              <w:rPr>
                <w:rFonts w:ascii="Arial" w:cs="Arial" w:eastAsia="Arial" w:hAnsi="Arial"/>
                <w:sz w:val="14"/>
                <w:szCs w:val="14"/>
                <w:color w:val="auto"/>
              </w:rPr>
              <w:t>Stock option exercises and other</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884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21,572</w:t>
            </w:r>
          </w:p>
        </w:tc>
        <w:tc>
          <w:tcPr>
            <w:tcW w:w="12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700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22,332</w:t>
            </w: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Share-based compensation</w:t>
            </w: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15,609</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15,609</w:t>
            </w:r>
          </w:p>
        </w:tc>
        <w:tc>
          <w:tcPr>
            <w:tcW w:w="0" w:type="dxa"/>
            <w:vAlign w:val="bottom"/>
          </w:tcPr>
          <w:p>
            <w:pPr>
              <w:spacing w:after="0"/>
              <w:rPr>
                <w:sz w:val="1"/>
                <w:szCs w:val="1"/>
                <w:color w:val="auto"/>
              </w:rPr>
            </w:pPr>
          </w:p>
        </w:tc>
      </w:tr>
      <w:tr>
        <w:trPr>
          <w:trHeight w:val="194"/>
        </w:trPr>
        <w:tc>
          <w:tcPr>
            <w:tcW w:w="2740" w:type="dxa"/>
            <w:vAlign w:val="bottom"/>
          </w:tcPr>
          <w:p>
            <w:pPr>
              <w:ind w:left="180"/>
              <w:spacing w:after="0"/>
              <w:rPr>
                <w:sz w:val="20"/>
                <w:szCs w:val="20"/>
                <w:color w:val="auto"/>
              </w:rPr>
            </w:pPr>
            <w:r>
              <w:rPr>
                <w:rFonts w:ascii="Arial" w:cs="Arial" w:eastAsia="Arial" w:hAnsi="Arial"/>
                <w:sz w:val="14"/>
                <w:szCs w:val="14"/>
                <w:color w:val="auto"/>
              </w:rPr>
              <w:t>Excess tax benefits from share-based</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74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compensation</w:t>
            </w:r>
          </w:p>
        </w:tc>
        <w:tc>
          <w:tcPr>
            <w:tcW w:w="8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6,755</w:t>
            </w:r>
          </w:p>
        </w:tc>
        <w:tc>
          <w:tcPr>
            <w:tcW w:w="12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6,755</w:t>
            </w:r>
          </w:p>
        </w:tc>
        <w:tc>
          <w:tcPr>
            <w:tcW w:w="0" w:type="dxa"/>
            <w:vAlign w:val="bottom"/>
          </w:tcPr>
          <w:p>
            <w:pPr>
              <w:spacing w:after="0"/>
              <w:rPr>
                <w:sz w:val="1"/>
                <w:szCs w:val="1"/>
                <w:color w:val="auto"/>
              </w:rPr>
            </w:pPr>
          </w:p>
        </w:tc>
      </w:tr>
      <w:tr>
        <w:trPr>
          <w:trHeight w:val="243"/>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 June 30, 2014</w:t>
            </w: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118,031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1,336,310</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17,666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(631,115)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1,532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361,747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1,068,592</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 December 31, 2014</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118,235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1,355,085</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21,090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(780,661)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937</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396,121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971,600</w:t>
            </w:r>
          </w:p>
        </w:tc>
        <w:tc>
          <w:tcPr>
            <w:tcW w:w="0" w:type="dxa"/>
            <w:vAlign w:val="bottom"/>
          </w:tcPr>
          <w:p>
            <w:pPr>
              <w:spacing w:after="0"/>
              <w:rPr>
                <w:sz w:val="1"/>
                <w:szCs w:val="1"/>
                <w:color w:val="auto"/>
              </w:rPr>
            </w:pPr>
          </w:p>
        </w:tc>
      </w:tr>
      <w:tr>
        <w:trPr>
          <w:trHeight w:val="194"/>
        </w:trPr>
        <w:tc>
          <w:tcPr>
            <w:tcW w:w="2740" w:type="dxa"/>
            <w:vAlign w:val="bottom"/>
          </w:tcPr>
          <w:p>
            <w:pPr>
              <w:ind w:left="180"/>
              <w:spacing w:after="0"/>
              <w:rPr>
                <w:sz w:val="20"/>
                <w:szCs w:val="20"/>
                <w:color w:val="auto"/>
              </w:rPr>
            </w:pPr>
            <w:r>
              <w:rPr>
                <w:rFonts w:ascii="Arial" w:cs="Arial" w:eastAsia="Arial" w:hAnsi="Arial"/>
                <w:sz w:val="14"/>
                <w:szCs w:val="14"/>
                <w:color w:val="auto"/>
              </w:rPr>
              <w:t>Net income and other comprehensive</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740" w:type="dxa"/>
            <w:vAlign w:val="bottom"/>
          </w:tcPr>
          <w:p>
            <w:pPr>
              <w:ind w:left="260"/>
              <w:spacing w:after="0"/>
              <w:rPr>
                <w:sz w:val="20"/>
                <w:szCs w:val="20"/>
                <w:color w:val="auto"/>
              </w:rPr>
            </w:pPr>
            <w:r>
              <w:rPr>
                <w:rFonts w:ascii="Arial" w:cs="Arial" w:eastAsia="Arial" w:hAnsi="Arial"/>
                <w:sz w:val="14"/>
                <w:szCs w:val="14"/>
                <w:color w:val="auto"/>
              </w:rPr>
              <w:t>income, net of tax expense</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(86)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100,920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100,834</w:t>
            </w: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Issuance of common stock to settle</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7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restricted stock units, net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(1,848)</w:t>
            </w:r>
          </w:p>
        </w:tc>
        <w:tc>
          <w:tcPr>
            <w:tcW w:w="0" w:type="dxa"/>
            <w:vAlign w:val="bottom"/>
          </w:tcPr>
          <w:p>
            <w:pPr>
              <w:spacing w:after="0"/>
              <w:rPr>
                <w:sz w:val="1"/>
                <w:szCs w:val="1"/>
                <w:color w:val="auto"/>
              </w:rPr>
            </w:pPr>
          </w:p>
        </w:tc>
      </w:tr>
      <w:tr>
        <w:trPr>
          <w:trHeight w:val="264"/>
        </w:trPr>
        <w:tc>
          <w:tcPr>
            <w:tcW w:w="2740" w:type="dxa"/>
            <w:vAlign w:val="bottom"/>
          </w:tcPr>
          <w:p>
            <w:pPr>
              <w:ind w:left="80"/>
              <w:spacing w:after="0"/>
              <w:rPr>
                <w:sz w:val="20"/>
                <w:szCs w:val="20"/>
                <w:color w:val="auto"/>
              </w:rPr>
            </w:pPr>
            <w:r>
              <w:rPr>
                <w:rFonts w:ascii="Arial" w:cs="Arial" w:eastAsia="Arial" w:hAnsi="Arial"/>
                <w:sz w:val="14"/>
                <w:szCs w:val="14"/>
                <w:color w:val="auto"/>
              </w:rPr>
              <w:t>Treasury stock purchases</w:t>
            </w: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2,731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(115,824)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(115,824)</w:t>
            </w: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dividends on common stock</w:t>
            </w: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(48,274)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(48,274)</w:t>
            </w:r>
          </w:p>
        </w:tc>
        <w:tc>
          <w:tcPr>
            <w:tcW w:w="0" w:type="dxa"/>
            <w:vAlign w:val="bottom"/>
          </w:tcPr>
          <w:p>
            <w:pPr>
              <w:spacing w:after="0"/>
              <w:rPr>
                <w:sz w:val="1"/>
                <w:szCs w:val="1"/>
                <w:color w:val="auto"/>
              </w:rPr>
            </w:pPr>
          </w:p>
        </w:tc>
      </w:tr>
      <w:tr>
        <w:trPr>
          <w:trHeight w:val="264"/>
        </w:trPr>
        <w:tc>
          <w:tcPr>
            <w:tcW w:w="2740" w:type="dxa"/>
            <w:vAlign w:val="bottom"/>
          </w:tcPr>
          <w:p>
            <w:pPr>
              <w:ind w:left="180"/>
              <w:spacing w:after="0"/>
              <w:rPr>
                <w:sz w:val="20"/>
                <w:szCs w:val="20"/>
                <w:color w:val="auto"/>
              </w:rPr>
            </w:pPr>
            <w:r>
              <w:rPr>
                <w:rFonts w:ascii="Arial" w:cs="Arial" w:eastAsia="Arial" w:hAnsi="Arial"/>
                <w:sz w:val="14"/>
                <w:szCs w:val="14"/>
                <w:color w:val="auto"/>
              </w:rPr>
              <w:t>Stock option exercises and other</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695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18,651</w:t>
            </w:r>
          </w:p>
        </w:tc>
        <w:tc>
          <w:tcPr>
            <w:tcW w:w="12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1,064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19,742</w:t>
            </w: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Share-based compensation</w:t>
            </w: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15,850</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15,850</w:t>
            </w:r>
          </w:p>
        </w:tc>
        <w:tc>
          <w:tcPr>
            <w:tcW w:w="0" w:type="dxa"/>
            <w:vAlign w:val="bottom"/>
          </w:tcPr>
          <w:p>
            <w:pPr>
              <w:spacing w:after="0"/>
              <w:rPr>
                <w:sz w:val="1"/>
                <w:szCs w:val="1"/>
                <w:color w:val="auto"/>
              </w:rPr>
            </w:pPr>
          </w:p>
        </w:tc>
      </w:tr>
      <w:tr>
        <w:trPr>
          <w:trHeight w:val="194"/>
        </w:trPr>
        <w:tc>
          <w:tcPr>
            <w:tcW w:w="2740" w:type="dxa"/>
            <w:vAlign w:val="bottom"/>
          </w:tcPr>
          <w:p>
            <w:pPr>
              <w:ind w:left="180"/>
              <w:spacing w:after="0"/>
              <w:rPr>
                <w:sz w:val="20"/>
                <w:szCs w:val="20"/>
                <w:color w:val="auto"/>
              </w:rPr>
            </w:pPr>
            <w:r>
              <w:rPr>
                <w:rFonts w:ascii="Arial" w:cs="Arial" w:eastAsia="Arial" w:hAnsi="Arial"/>
                <w:sz w:val="14"/>
                <w:szCs w:val="14"/>
                <w:color w:val="auto"/>
              </w:rPr>
              <w:t>Excess tax benefits from share-based</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74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compensation</w:t>
            </w:r>
          </w:p>
        </w:tc>
        <w:tc>
          <w:tcPr>
            <w:tcW w:w="8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1,008</w:t>
            </w:r>
          </w:p>
        </w:tc>
        <w:tc>
          <w:tcPr>
            <w:tcW w:w="12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1,008</w:t>
            </w:r>
          </w:p>
        </w:tc>
        <w:tc>
          <w:tcPr>
            <w:tcW w:w="0" w:type="dxa"/>
            <w:vAlign w:val="bottom"/>
          </w:tcPr>
          <w:p>
            <w:pPr>
              <w:spacing w:after="0"/>
              <w:rPr>
                <w:sz w:val="1"/>
                <w:szCs w:val="1"/>
                <w:color w:val="auto"/>
              </w:rPr>
            </w:pPr>
          </w:p>
        </w:tc>
      </w:tr>
      <w:tr>
        <w:trPr>
          <w:trHeight w:val="243"/>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 June 30, 2015</w:t>
            </w: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119,046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1,390,594</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23,832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(897,270)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851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448,794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943,088</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unaudited condensed consolidated financial statements.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49" w:right="239" w:bottom="1440" w:gutter="0" w:footer="0" w:header="0"/>
        </w:sectPr>
      </w:pPr>
    </w:p>
    <w:bookmarkStart w:id="8" w:name="page9"/>
    <w:bookmarkEnd w:id="8"/>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5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6"/>
                <w:szCs w:val="16"/>
                <w:b w:val="1"/>
                <w:bCs w:val="1"/>
                <w:color w:val="auto"/>
              </w:rPr>
              <w:t>Six Months Ended June 30,</w:t>
            </w:r>
          </w:p>
        </w:tc>
      </w:tr>
      <w:tr>
        <w:trPr>
          <w:trHeight w:val="264"/>
        </w:trPr>
        <w:tc>
          <w:tcPr>
            <w:tcW w:w="85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2014</w:t>
            </w:r>
          </w:p>
        </w:tc>
      </w:tr>
      <w:tr>
        <w:trPr>
          <w:trHeight w:val="260"/>
        </w:trPr>
        <w:tc>
          <w:tcPr>
            <w:tcW w:w="8580" w:type="dxa"/>
            <w:vAlign w:val="bottom"/>
          </w:tcPr>
          <w:p>
            <w:pPr>
              <w:ind w:left="80"/>
              <w:spacing w:after="0"/>
              <w:rPr>
                <w:sz w:val="20"/>
                <w:szCs w:val="20"/>
                <w:color w:val="auto"/>
              </w:rPr>
            </w:pPr>
            <w:r>
              <w:rPr>
                <w:rFonts w:ascii="Arial" w:cs="Arial" w:eastAsia="Arial" w:hAnsi="Arial"/>
                <w:sz w:val="16"/>
                <w:szCs w:val="16"/>
                <w:color w:val="auto"/>
              </w:rPr>
              <w:t>CASH FLOWS FROM OPERATING ACTIVITIES:</w:t>
            </w: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80"/>
        </w:trPr>
        <w:tc>
          <w:tcPr>
            <w:tcW w:w="8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income</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100,920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96,226</w:t>
            </w:r>
          </w:p>
        </w:tc>
      </w:tr>
      <w:tr>
        <w:trPr>
          <w:trHeight w:val="260"/>
        </w:trPr>
        <w:tc>
          <w:tcPr>
            <w:tcW w:w="8580" w:type="dxa"/>
            <w:vAlign w:val="bottom"/>
          </w:tcPr>
          <w:p>
            <w:pPr>
              <w:ind w:left="36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80"/>
        </w:trPr>
        <w:tc>
          <w:tcPr>
            <w:tcW w:w="8580" w:type="dxa"/>
            <w:vAlign w:val="bottom"/>
            <w:shd w:val="clear" w:color="auto" w:fill="CCEEFF"/>
          </w:tcPr>
          <w:p>
            <w:pPr>
              <w:ind w:left="540"/>
              <w:spacing w:after="0"/>
              <w:rPr>
                <w:sz w:val="20"/>
                <w:szCs w:val="20"/>
                <w:color w:val="auto"/>
              </w:rPr>
            </w:pPr>
            <w:r>
              <w:rPr>
                <w:rFonts w:ascii="Arial" w:cs="Arial" w:eastAsia="Arial" w:hAnsi="Arial"/>
                <w:sz w:val="16"/>
                <w:szCs w:val="16"/>
                <w:color w:val="auto"/>
              </w:rPr>
              <w:t>Noncash items:</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60"/>
        </w:trPr>
        <w:tc>
          <w:tcPr>
            <w:tcW w:w="8580" w:type="dxa"/>
            <w:vAlign w:val="bottom"/>
          </w:tcPr>
          <w:p>
            <w:pPr>
              <w:ind w:left="68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52,798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46,099</w:t>
            </w:r>
          </w:p>
        </w:tc>
      </w:tr>
      <w:tr>
        <w:trPr>
          <w:trHeight w:val="280"/>
        </w:trPr>
        <w:tc>
          <w:tcPr>
            <w:tcW w:w="8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Amortization of debt issuance costs</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1,466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2,160</w:t>
            </w:r>
          </w:p>
        </w:tc>
      </w:tr>
      <w:tr>
        <w:trPr>
          <w:trHeight w:val="260"/>
        </w:trPr>
        <w:tc>
          <w:tcPr>
            <w:tcW w:w="8580" w:type="dxa"/>
            <w:vAlign w:val="bottom"/>
          </w:tcPr>
          <w:p>
            <w:pPr>
              <w:ind w:left="680"/>
              <w:spacing w:after="0"/>
              <w:rPr>
                <w:sz w:val="20"/>
                <w:szCs w:val="20"/>
                <w:color w:val="auto"/>
              </w:rPr>
            </w:pPr>
            <w:r>
              <w:rPr>
                <w:rFonts w:ascii="Arial" w:cs="Arial" w:eastAsia="Arial" w:hAnsi="Arial"/>
                <w:sz w:val="16"/>
                <w:szCs w:val="16"/>
                <w:color w:val="auto"/>
              </w:rPr>
              <w:t>Share-based compensation</w:t>
            </w:r>
          </w:p>
        </w:tc>
        <w:tc>
          <w:tcPr>
            <w:tcW w:w="26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15,850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15,609</w:t>
            </w:r>
          </w:p>
        </w:tc>
      </w:tr>
      <w:tr>
        <w:trPr>
          <w:trHeight w:val="280"/>
        </w:trPr>
        <w:tc>
          <w:tcPr>
            <w:tcW w:w="8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Excess tax benefits related to share-based compensation</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(6,842)</w:t>
            </w:r>
          </w:p>
        </w:tc>
      </w:tr>
      <w:tr>
        <w:trPr>
          <w:trHeight w:val="260"/>
        </w:trPr>
        <w:tc>
          <w:tcPr>
            <w:tcW w:w="8580" w:type="dxa"/>
            <w:vAlign w:val="bottom"/>
          </w:tcPr>
          <w:p>
            <w:pPr>
              <w:ind w:left="680"/>
              <w:spacing w:after="0"/>
              <w:rPr>
                <w:sz w:val="20"/>
                <w:szCs w:val="20"/>
                <w:color w:val="auto"/>
              </w:rPr>
            </w:pPr>
            <w:r>
              <w:rPr>
                <w:rFonts w:ascii="Arial" w:cs="Arial" w:eastAsia="Arial" w:hAnsi="Arial"/>
                <w:sz w:val="16"/>
                <w:szCs w:val="16"/>
                <w:color w:val="auto"/>
              </w:rPr>
              <w:t>Provision for bad debts</w:t>
            </w:r>
          </w:p>
        </w:tc>
        <w:tc>
          <w:tcPr>
            <w:tcW w:w="26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1,269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860</w:t>
            </w:r>
          </w:p>
        </w:tc>
      </w:tr>
      <w:tr>
        <w:trPr>
          <w:trHeight w:val="280"/>
        </w:trPr>
        <w:tc>
          <w:tcPr>
            <w:tcW w:w="8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Deferred income tax provision</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792</w:t>
            </w:r>
          </w:p>
        </w:tc>
      </w:tr>
      <w:tr>
        <w:trPr>
          <w:trHeight w:val="260"/>
        </w:trPr>
        <w:tc>
          <w:tcPr>
            <w:tcW w:w="8580" w:type="dxa"/>
            <w:vAlign w:val="bottom"/>
          </w:tcPr>
          <w:p>
            <w:pPr>
              <w:ind w:left="680"/>
              <w:spacing w:after="0"/>
              <w:rPr>
                <w:sz w:val="20"/>
                <w:szCs w:val="20"/>
                <w:color w:val="auto"/>
              </w:rPr>
            </w:pPr>
            <w:r>
              <w:rPr>
                <w:rFonts w:ascii="Arial" w:cs="Arial" w:eastAsia="Arial" w:hAnsi="Arial"/>
                <w:sz w:val="16"/>
                <w:szCs w:val="16"/>
                <w:color w:val="auto"/>
              </w:rPr>
              <w:t>Loan forgiveness</w:t>
            </w:r>
          </w:p>
        </w:tc>
        <w:tc>
          <w:tcPr>
            <w:tcW w:w="26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17,904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12,950</w:t>
            </w:r>
          </w:p>
        </w:tc>
      </w:tr>
      <w:tr>
        <w:trPr>
          <w:trHeight w:val="280"/>
        </w:trPr>
        <w:tc>
          <w:tcPr>
            <w:tcW w:w="8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Other</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4,414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1,262</w:t>
            </w:r>
          </w:p>
        </w:tc>
      </w:tr>
      <w:tr>
        <w:trPr>
          <w:trHeight w:val="260"/>
        </w:trPr>
        <w:tc>
          <w:tcPr>
            <w:tcW w:w="8580" w:type="dxa"/>
            <w:vAlign w:val="bottom"/>
          </w:tcPr>
          <w:p>
            <w:pPr>
              <w:ind w:left="540"/>
              <w:spacing w:after="0"/>
              <w:rPr>
                <w:sz w:val="20"/>
                <w:szCs w:val="20"/>
                <w:color w:val="auto"/>
              </w:rPr>
            </w:pPr>
            <w:r>
              <w:rPr>
                <w:rFonts w:ascii="Arial" w:cs="Arial" w:eastAsia="Arial" w:hAnsi="Arial"/>
                <w:sz w:val="16"/>
                <w:szCs w:val="16"/>
                <w:color w:val="auto"/>
              </w:rPr>
              <w:t>Changes in operating assets and liabilities:</w:t>
            </w: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80"/>
        </w:trPr>
        <w:tc>
          <w:tcPr>
            <w:tcW w:w="8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Cash and securities segregated under federal and other regulations</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169,055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104,126</w:t>
            </w:r>
          </w:p>
        </w:tc>
      </w:tr>
      <w:tr>
        <w:trPr>
          <w:trHeight w:val="260"/>
        </w:trPr>
        <w:tc>
          <w:tcPr>
            <w:tcW w:w="8580" w:type="dxa"/>
            <w:vAlign w:val="bottom"/>
          </w:tcPr>
          <w:p>
            <w:pPr>
              <w:ind w:left="680"/>
              <w:spacing w:after="0"/>
              <w:rPr>
                <w:sz w:val="20"/>
                <w:szCs w:val="20"/>
                <w:color w:val="auto"/>
              </w:rPr>
            </w:pPr>
            <w:r>
              <w:rPr>
                <w:rFonts w:ascii="Arial" w:cs="Arial" w:eastAsia="Arial" w:hAnsi="Arial"/>
                <w:sz w:val="16"/>
                <w:szCs w:val="16"/>
                <w:color w:val="auto"/>
              </w:rPr>
              <w:t>Receivables from clients</w:t>
            </w:r>
          </w:p>
        </w:tc>
        <w:tc>
          <w:tcPr>
            <w:tcW w:w="26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33,360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19,271</w:t>
            </w:r>
          </w:p>
        </w:tc>
      </w:tr>
      <w:tr>
        <w:trPr>
          <w:trHeight w:val="280"/>
        </w:trPr>
        <w:tc>
          <w:tcPr>
            <w:tcW w:w="8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Receivables from product sponsors, broker-dealers, and clearing organizations</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13,437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729</w:t>
            </w:r>
          </w:p>
        </w:tc>
      </w:tr>
      <w:tr>
        <w:trPr>
          <w:trHeight w:val="260"/>
        </w:trPr>
        <w:tc>
          <w:tcPr>
            <w:tcW w:w="8580" w:type="dxa"/>
            <w:vAlign w:val="bottom"/>
          </w:tcPr>
          <w:p>
            <w:pPr>
              <w:ind w:left="680"/>
              <w:spacing w:after="0"/>
              <w:rPr>
                <w:sz w:val="20"/>
                <w:szCs w:val="20"/>
                <w:color w:val="auto"/>
              </w:rPr>
            </w:pPr>
            <w:r>
              <w:rPr>
                <w:rFonts w:ascii="Arial" w:cs="Arial" w:eastAsia="Arial" w:hAnsi="Arial"/>
                <w:sz w:val="16"/>
                <w:szCs w:val="16"/>
                <w:color w:val="auto"/>
              </w:rPr>
              <w:t>Receivables from others</w:t>
            </w:r>
          </w:p>
        </w:tc>
        <w:tc>
          <w:tcPr>
            <w:tcW w:w="2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(42,935)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(17,773)</w:t>
            </w:r>
          </w:p>
        </w:tc>
      </w:tr>
      <w:tr>
        <w:trPr>
          <w:trHeight w:val="280"/>
        </w:trPr>
        <w:tc>
          <w:tcPr>
            <w:tcW w:w="8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Securities owned</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1,240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(1,929)</w:t>
            </w:r>
          </w:p>
        </w:tc>
      </w:tr>
      <w:tr>
        <w:trPr>
          <w:trHeight w:val="260"/>
        </w:trPr>
        <w:tc>
          <w:tcPr>
            <w:tcW w:w="8580" w:type="dxa"/>
            <w:vAlign w:val="bottom"/>
          </w:tcPr>
          <w:p>
            <w:pPr>
              <w:ind w:left="680"/>
              <w:spacing w:after="0"/>
              <w:rPr>
                <w:sz w:val="20"/>
                <w:szCs w:val="20"/>
                <w:color w:val="auto"/>
              </w:rPr>
            </w:pPr>
            <w:r>
              <w:rPr>
                <w:rFonts w:ascii="Arial" w:cs="Arial" w:eastAsia="Arial" w:hAnsi="Arial"/>
                <w:sz w:val="16"/>
                <w:szCs w:val="16"/>
                <w:color w:val="auto"/>
              </w:rPr>
              <w:t>Securities borrowed</w:t>
            </w:r>
          </w:p>
        </w:tc>
        <w:tc>
          <w:tcPr>
            <w:tcW w:w="2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(568)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(2,448)</w:t>
            </w:r>
          </w:p>
        </w:tc>
      </w:tr>
      <w:tr>
        <w:trPr>
          <w:trHeight w:val="280"/>
        </w:trPr>
        <w:tc>
          <w:tcPr>
            <w:tcW w:w="8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Other assets</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(16,404)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(25,853)</w:t>
            </w:r>
          </w:p>
        </w:tc>
      </w:tr>
      <w:tr>
        <w:trPr>
          <w:trHeight w:val="260"/>
        </w:trPr>
        <w:tc>
          <w:tcPr>
            <w:tcW w:w="8580" w:type="dxa"/>
            <w:vAlign w:val="bottom"/>
          </w:tcPr>
          <w:p>
            <w:pPr>
              <w:ind w:left="680"/>
              <w:spacing w:after="0"/>
              <w:rPr>
                <w:sz w:val="20"/>
                <w:szCs w:val="20"/>
                <w:color w:val="auto"/>
              </w:rPr>
            </w:pPr>
            <w:r>
              <w:rPr>
                <w:rFonts w:ascii="Arial" w:cs="Arial" w:eastAsia="Arial" w:hAnsi="Arial"/>
                <w:sz w:val="16"/>
                <w:szCs w:val="16"/>
                <w:color w:val="auto"/>
              </w:rPr>
              <w:t>Drafts payable</w:t>
            </w:r>
          </w:p>
        </w:tc>
        <w:tc>
          <w:tcPr>
            <w:tcW w:w="2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(46,520)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(42,807)</w:t>
            </w:r>
          </w:p>
        </w:tc>
      </w:tr>
      <w:tr>
        <w:trPr>
          <w:trHeight w:val="280"/>
        </w:trPr>
        <w:tc>
          <w:tcPr>
            <w:tcW w:w="8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Payables to clients</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(34,951)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(17,639)</w:t>
            </w:r>
          </w:p>
        </w:tc>
      </w:tr>
      <w:tr>
        <w:trPr>
          <w:trHeight w:val="260"/>
        </w:trPr>
        <w:tc>
          <w:tcPr>
            <w:tcW w:w="8580" w:type="dxa"/>
            <w:vAlign w:val="bottom"/>
          </w:tcPr>
          <w:p>
            <w:pPr>
              <w:ind w:left="680"/>
              <w:spacing w:after="0"/>
              <w:rPr>
                <w:sz w:val="20"/>
                <w:szCs w:val="20"/>
                <w:color w:val="auto"/>
              </w:rPr>
            </w:pPr>
            <w:r>
              <w:rPr>
                <w:rFonts w:ascii="Arial" w:cs="Arial" w:eastAsia="Arial" w:hAnsi="Arial"/>
                <w:sz w:val="16"/>
                <w:szCs w:val="16"/>
                <w:color w:val="auto"/>
              </w:rPr>
              <w:t>Payables to broker-dealers and clearing organizations</w:t>
            </w:r>
          </w:p>
        </w:tc>
        <w:tc>
          <w:tcPr>
            <w:tcW w:w="2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(6,475)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(11,323)</w:t>
            </w:r>
          </w:p>
        </w:tc>
      </w:tr>
      <w:tr>
        <w:trPr>
          <w:trHeight w:val="280"/>
        </w:trPr>
        <w:tc>
          <w:tcPr>
            <w:tcW w:w="8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Accrued commission and advisory expenses payable</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(12,140)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1,078</w:t>
            </w:r>
          </w:p>
        </w:tc>
      </w:tr>
      <w:tr>
        <w:trPr>
          <w:trHeight w:val="260"/>
        </w:trPr>
        <w:tc>
          <w:tcPr>
            <w:tcW w:w="8580" w:type="dxa"/>
            <w:vAlign w:val="bottom"/>
          </w:tcPr>
          <w:p>
            <w:pPr>
              <w:ind w:left="680"/>
              <w:spacing w:after="0"/>
              <w:rPr>
                <w:sz w:val="20"/>
                <w:szCs w:val="20"/>
                <w:color w:val="auto"/>
              </w:rPr>
            </w:pPr>
            <w:r>
              <w:rPr>
                <w:rFonts w:ascii="Arial" w:cs="Arial" w:eastAsia="Arial" w:hAnsi="Arial"/>
                <w:sz w:val="16"/>
                <w:szCs w:val="16"/>
                <w:color w:val="auto"/>
              </w:rPr>
              <w:t>Accounts payable and accrued liabilities</w:t>
            </w:r>
          </w:p>
        </w:tc>
        <w:tc>
          <w:tcPr>
            <w:tcW w:w="26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16,472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(36,777)</w:t>
            </w:r>
          </w:p>
        </w:tc>
      </w:tr>
      <w:tr>
        <w:trPr>
          <w:trHeight w:val="280"/>
        </w:trPr>
        <w:tc>
          <w:tcPr>
            <w:tcW w:w="8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Income taxes receivable/payable</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(7,416)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(18,420)</w:t>
            </w:r>
          </w:p>
        </w:tc>
      </w:tr>
      <w:tr>
        <w:trPr>
          <w:trHeight w:val="260"/>
        </w:trPr>
        <w:tc>
          <w:tcPr>
            <w:tcW w:w="8580" w:type="dxa"/>
            <w:vAlign w:val="bottom"/>
          </w:tcPr>
          <w:p>
            <w:pPr>
              <w:ind w:left="680"/>
              <w:spacing w:after="0"/>
              <w:rPr>
                <w:sz w:val="20"/>
                <w:szCs w:val="20"/>
                <w:color w:val="auto"/>
              </w:rPr>
            </w:pPr>
            <w:r>
              <w:rPr>
                <w:rFonts w:ascii="Arial" w:cs="Arial" w:eastAsia="Arial" w:hAnsi="Arial"/>
                <w:sz w:val="16"/>
                <w:szCs w:val="16"/>
                <w:color w:val="auto"/>
              </w:rPr>
              <w:t>Unearned revenue</w:t>
            </w:r>
          </w:p>
        </w:tc>
        <w:tc>
          <w:tcPr>
            <w:tcW w:w="26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18,509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(2,739)</w:t>
            </w:r>
          </w:p>
        </w:tc>
      </w:tr>
      <w:tr>
        <w:trPr>
          <w:trHeight w:val="273"/>
        </w:trPr>
        <w:tc>
          <w:tcPr>
            <w:tcW w:w="8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Securities sold, but not yet purchased</w:t>
            </w: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1,433</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w:t>
            </w:r>
          </w:p>
        </w:tc>
      </w:tr>
      <w:tr>
        <w:trPr>
          <w:trHeight w:val="250"/>
        </w:trPr>
        <w:tc>
          <w:tcPr>
            <w:tcW w:w="8580" w:type="dxa"/>
            <w:vAlign w:val="bottom"/>
          </w:tcPr>
          <w:p>
            <w:pPr>
              <w:ind w:left="540"/>
              <w:spacing w:after="0"/>
              <w:rPr>
                <w:sz w:val="20"/>
                <w:szCs w:val="20"/>
                <w:color w:val="auto"/>
              </w:rPr>
            </w:pPr>
            <w:r>
              <w:rPr>
                <w:rFonts w:ascii="Arial" w:cs="Arial" w:eastAsia="Arial" w:hAnsi="Arial"/>
                <w:sz w:val="16"/>
                <w:szCs w:val="16"/>
                <w:color w:val="auto"/>
              </w:rPr>
              <w:t>Net cash provided by operating activities</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277,706</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142"/>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116,481</w:t>
            </w:r>
          </w:p>
        </w:tc>
      </w:tr>
    </w:tbl>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Continued on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580" w:type="dxa"/>
            <w:vAlign w:val="bottom"/>
          </w:tcPr>
          <w:p>
            <w:pPr>
              <w:jc w:val="center"/>
              <w:ind w:right="4839"/>
              <w:spacing w:after="0"/>
              <w:rPr>
                <w:sz w:val="20"/>
                <w:szCs w:val="20"/>
                <w:color w:val="auto"/>
              </w:rPr>
            </w:pPr>
            <w:r>
              <w:rPr>
                <w:rFonts w:ascii="Arial" w:cs="Arial" w:eastAsia="Arial" w:hAnsi="Arial"/>
                <w:sz w:val="16"/>
                <w:szCs w:val="16"/>
                <w:color w:val="auto"/>
              </w:rPr>
              <w:t>CASH FLOWS FROM INVESTING ACTIVITIES:</w:t>
            </w: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80"/>
        </w:trPr>
        <w:tc>
          <w:tcPr>
            <w:tcW w:w="8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Capital expenditures</w:t>
            </w: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(31,876)</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(45,923)</w:t>
            </w:r>
          </w:p>
        </w:tc>
      </w:tr>
      <w:tr>
        <w:trPr>
          <w:trHeight w:val="260"/>
        </w:trPr>
        <w:tc>
          <w:tcPr>
            <w:tcW w:w="8580" w:type="dxa"/>
            <w:vAlign w:val="bottom"/>
          </w:tcPr>
          <w:p>
            <w:pPr>
              <w:ind w:left="360"/>
              <w:spacing w:after="0"/>
              <w:rPr>
                <w:sz w:val="20"/>
                <w:szCs w:val="20"/>
                <w:color w:val="auto"/>
              </w:rPr>
            </w:pPr>
            <w:r>
              <w:rPr>
                <w:rFonts w:ascii="Arial" w:cs="Arial" w:eastAsia="Arial" w:hAnsi="Arial"/>
                <w:sz w:val="16"/>
                <w:szCs w:val="16"/>
                <w:color w:val="auto"/>
              </w:rPr>
              <w:t>Proceeds from disposal of fixed assets</w:t>
            </w:r>
          </w:p>
        </w:tc>
        <w:tc>
          <w:tcPr>
            <w:tcW w:w="42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1,059</w:t>
            </w:r>
          </w:p>
        </w:tc>
      </w:tr>
      <w:tr>
        <w:trPr>
          <w:trHeight w:val="280"/>
        </w:trPr>
        <w:tc>
          <w:tcPr>
            <w:tcW w:w="8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Purchase of securities classified as held-to-maturity</w:t>
            </w: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(1,506)</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8580" w:type="dxa"/>
            <w:vAlign w:val="bottom"/>
          </w:tcPr>
          <w:p>
            <w:pPr>
              <w:ind w:left="360"/>
              <w:spacing w:after="0"/>
              <w:rPr>
                <w:sz w:val="20"/>
                <w:szCs w:val="20"/>
                <w:color w:val="auto"/>
              </w:rPr>
            </w:pPr>
            <w:r>
              <w:rPr>
                <w:rFonts w:ascii="Arial" w:cs="Arial" w:eastAsia="Arial" w:hAnsi="Arial"/>
                <w:sz w:val="16"/>
                <w:szCs w:val="16"/>
                <w:color w:val="auto"/>
              </w:rPr>
              <w:t>Proceeds from maturity of securities classified as held-to-maturity</w:t>
            </w:r>
          </w:p>
        </w:tc>
        <w:tc>
          <w:tcPr>
            <w:tcW w:w="42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1,500</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3,500</w:t>
            </w:r>
          </w:p>
        </w:tc>
      </w:tr>
      <w:tr>
        <w:trPr>
          <w:trHeight w:val="280"/>
        </w:trPr>
        <w:tc>
          <w:tcPr>
            <w:tcW w:w="8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Deposits of restricted cash</w:t>
            </w: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(26,676)</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85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Release of restricted cash</w:t>
            </w: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609</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138</w:t>
            </w:r>
          </w:p>
        </w:tc>
      </w:tr>
      <w:tr>
        <w:trPr>
          <w:trHeight w:val="257"/>
        </w:trPr>
        <w:tc>
          <w:tcPr>
            <w:tcW w:w="8580" w:type="dxa"/>
            <w:vAlign w:val="bottom"/>
            <w:shd w:val="clear" w:color="auto" w:fill="CCEEFF"/>
          </w:tcPr>
          <w:p>
            <w:pPr>
              <w:jc w:val="center"/>
              <w:ind w:right="4859"/>
              <w:spacing w:after="0"/>
              <w:rPr>
                <w:sz w:val="20"/>
                <w:szCs w:val="20"/>
                <w:color w:val="auto"/>
              </w:rPr>
            </w:pPr>
            <w:r>
              <w:rPr>
                <w:rFonts w:ascii="Arial" w:cs="Arial" w:eastAsia="Arial" w:hAnsi="Arial"/>
                <w:sz w:val="16"/>
                <w:szCs w:val="16"/>
                <w:color w:val="auto"/>
              </w:rPr>
              <w:t>Net cash used in investing activities</w:t>
            </w:r>
          </w:p>
        </w:tc>
        <w:tc>
          <w:tcPr>
            <w:tcW w:w="4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(57,949)</w:t>
            </w:r>
          </w:p>
        </w:tc>
        <w:tc>
          <w:tcPr>
            <w:tcW w:w="12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(41,226)</w:t>
            </w:r>
          </w:p>
        </w:tc>
      </w:tr>
      <w:tr>
        <w:trPr>
          <w:trHeight w:val="254"/>
        </w:trPr>
        <w:tc>
          <w:tcPr>
            <w:tcW w:w="8580" w:type="dxa"/>
            <w:vAlign w:val="bottom"/>
          </w:tcPr>
          <w:p>
            <w:pPr>
              <w:jc w:val="center"/>
              <w:ind w:right="4819"/>
              <w:spacing w:after="0"/>
              <w:rPr>
                <w:sz w:val="20"/>
                <w:szCs w:val="20"/>
                <w:color w:val="auto"/>
              </w:rPr>
            </w:pPr>
            <w:r>
              <w:rPr>
                <w:rFonts w:ascii="Arial" w:cs="Arial" w:eastAsia="Arial" w:hAnsi="Arial"/>
                <w:sz w:val="16"/>
                <w:szCs w:val="16"/>
                <w:color w:val="auto"/>
              </w:rPr>
              <w:t>CASH FLOWS FROM FINANCING ACTIVITIES:</w:t>
            </w:r>
          </w:p>
        </w:tc>
        <w:tc>
          <w:tcPr>
            <w:tcW w:w="4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80"/>
        </w:trPr>
        <w:tc>
          <w:tcPr>
            <w:tcW w:w="8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proceeds from revolving credit facility</w:t>
            </w: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65,000</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bl>
    <w:p>
      <w:pPr>
        <w:sectPr>
          <w:pgSz w:w="11900" w:h="16884" w:orient="portrait"/>
          <w:cols w:equalWidth="0" w:num="1">
            <w:col w:w="11420"/>
          </w:cols>
          <w:pgMar w:left="240" w:top="549" w:right="239"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80" w:type="dxa"/>
            <w:vAlign w:val="bottom"/>
          </w:tcPr>
          <w:p>
            <w:pPr>
              <w:ind w:left="360"/>
              <w:spacing w:after="0"/>
              <w:rPr>
                <w:sz w:val="20"/>
                <w:szCs w:val="20"/>
                <w:color w:val="auto"/>
              </w:rPr>
            </w:pPr>
            <w:r>
              <w:rPr>
                <w:rFonts w:ascii="Arial" w:cs="Arial" w:eastAsia="Arial" w:hAnsi="Arial"/>
                <w:sz w:val="16"/>
                <w:szCs w:val="16"/>
                <w:color w:val="auto"/>
              </w:rPr>
              <w:t>Repayment of senior secured credit facilities</w:t>
            </w: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(5,420)</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(5,419)</w:t>
            </w:r>
          </w:p>
        </w:tc>
        <w:tc>
          <w:tcPr>
            <w:tcW w:w="0" w:type="dxa"/>
            <w:vAlign w:val="bottom"/>
          </w:tcPr>
          <w:p>
            <w:pPr>
              <w:spacing w:after="0"/>
              <w:rPr>
                <w:sz w:val="1"/>
                <w:szCs w:val="1"/>
                <w:color w:val="auto"/>
              </w:rPr>
            </w:pPr>
          </w:p>
        </w:tc>
      </w:tr>
      <w:tr>
        <w:trPr>
          <w:trHeight w:val="47"/>
        </w:trPr>
        <w:tc>
          <w:tcPr>
            <w:tcW w:w="8580" w:type="dxa"/>
            <w:vAlign w:val="bottom"/>
          </w:tcPr>
          <w:p>
            <w:pPr>
              <w:spacing w:after="0"/>
              <w:rPr>
                <w:sz w:val="4"/>
                <w:szCs w:val="4"/>
                <w:color w:val="auto"/>
              </w:rPr>
            </w:pPr>
          </w:p>
        </w:tc>
        <w:tc>
          <w:tcPr>
            <w:tcW w:w="3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8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Payment of contingent consideration</w:t>
            </w:r>
          </w:p>
        </w:tc>
        <w:tc>
          <w:tcPr>
            <w:tcW w:w="38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(3,300)</w:t>
            </w:r>
          </w:p>
        </w:tc>
        <w:tc>
          <w:tcPr>
            <w:tcW w:w="0" w:type="dxa"/>
            <w:vAlign w:val="bottom"/>
          </w:tcPr>
          <w:p>
            <w:pPr>
              <w:spacing w:after="0"/>
              <w:rPr>
                <w:sz w:val="1"/>
                <w:szCs w:val="1"/>
                <w:color w:val="auto"/>
              </w:rPr>
            </w:pPr>
          </w:p>
        </w:tc>
      </w:tr>
      <w:tr>
        <w:trPr>
          <w:trHeight w:val="260"/>
        </w:trPr>
        <w:tc>
          <w:tcPr>
            <w:tcW w:w="8580" w:type="dxa"/>
            <w:vAlign w:val="bottom"/>
          </w:tcPr>
          <w:p>
            <w:pPr>
              <w:ind w:left="360"/>
              <w:spacing w:after="0"/>
              <w:rPr>
                <w:sz w:val="20"/>
                <w:szCs w:val="20"/>
                <w:color w:val="auto"/>
              </w:rPr>
            </w:pPr>
            <w:r>
              <w:rPr>
                <w:rFonts w:ascii="Arial" w:cs="Arial" w:eastAsia="Arial" w:hAnsi="Arial"/>
                <w:sz w:val="16"/>
                <w:szCs w:val="16"/>
                <w:color w:val="auto"/>
              </w:rPr>
              <w:t>Tax payments related to settlement of restricted stock units</w:t>
            </w:r>
          </w:p>
        </w:tc>
        <w:tc>
          <w:tcPr>
            <w:tcW w:w="3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(1,848)</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(599)</w:t>
            </w:r>
          </w:p>
        </w:tc>
        <w:tc>
          <w:tcPr>
            <w:tcW w:w="0" w:type="dxa"/>
            <w:vAlign w:val="bottom"/>
          </w:tcPr>
          <w:p>
            <w:pPr>
              <w:spacing w:after="0"/>
              <w:rPr>
                <w:sz w:val="1"/>
                <w:szCs w:val="1"/>
                <w:color w:val="auto"/>
              </w:rPr>
            </w:pPr>
          </w:p>
        </w:tc>
      </w:tr>
      <w:tr>
        <w:trPr>
          <w:trHeight w:val="280"/>
        </w:trPr>
        <w:tc>
          <w:tcPr>
            <w:tcW w:w="8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Repurchase of common stock</w:t>
            </w: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(115,824)</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(125,010)</w:t>
            </w:r>
          </w:p>
        </w:tc>
        <w:tc>
          <w:tcPr>
            <w:tcW w:w="0" w:type="dxa"/>
            <w:vAlign w:val="bottom"/>
          </w:tcPr>
          <w:p>
            <w:pPr>
              <w:spacing w:after="0"/>
              <w:rPr>
                <w:sz w:val="1"/>
                <w:szCs w:val="1"/>
                <w:color w:val="auto"/>
              </w:rPr>
            </w:pPr>
          </w:p>
        </w:tc>
      </w:tr>
      <w:tr>
        <w:trPr>
          <w:trHeight w:val="260"/>
        </w:trPr>
        <w:tc>
          <w:tcPr>
            <w:tcW w:w="8580" w:type="dxa"/>
            <w:vAlign w:val="bottom"/>
          </w:tcPr>
          <w:p>
            <w:pPr>
              <w:ind w:left="360"/>
              <w:spacing w:after="0"/>
              <w:rPr>
                <w:sz w:val="20"/>
                <w:szCs w:val="20"/>
                <w:color w:val="auto"/>
              </w:rPr>
            </w:pPr>
            <w:r>
              <w:rPr>
                <w:rFonts w:ascii="Arial" w:cs="Arial" w:eastAsia="Arial" w:hAnsi="Arial"/>
                <w:sz w:val="16"/>
                <w:szCs w:val="16"/>
                <w:color w:val="auto"/>
              </w:rPr>
              <w:t>Dividends on common stock</w:t>
            </w:r>
          </w:p>
        </w:tc>
        <w:tc>
          <w:tcPr>
            <w:tcW w:w="3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(48,274)</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(48,109)</w:t>
            </w:r>
          </w:p>
        </w:tc>
        <w:tc>
          <w:tcPr>
            <w:tcW w:w="0" w:type="dxa"/>
            <w:vAlign w:val="bottom"/>
          </w:tcPr>
          <w:p>
            <w:pPr>
              <w:spacing w:after="0"/>
              <w:rPr>
                <w:sz w:val="1"/>
                <w:szCs w:val="1"/>
                <w:color w:val="auto"/>
              </w:rPr>
            </w:pPr>
          </w:p>
        </w:tc>
      </w:tr>
      <w:tr>
        <w:trPr>
          <w:trHeight w:val="280"/>
        </w:trPr>
        <w:tc>
          <w:tcPr>
            <w:tcW w:w="8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Excess tax benefits related to share-based compensation</w:t>
            </w: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1,855</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6,842</w:t>
            </w: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Proceeds from stock option exercises and other</w:t>
            </w: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19,742</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22,332</w:t>
            </w:r>
          </w:p>
        </w:tc>
        <w:tc>
          <w:tcPr>
            <w:tcW w:w="0" w:type="dxa"/>
            <w:vAlign w:val="bottom"/>
          </w:tcPr>
          <w:p>
            <w:pPr>
              <w:spacing w:after="0"/>
              <w:rPr>
                <w:sz w:val="1"/>
                <w:szCs w:val="1"/>
                <w:color w:val="auto"/>
              </w:rPr>
            </w:pPr>
          </w:p>
        </w:tc>
      </w:tr>
      <w:tr>
        <w:trPr>
          <w:trHeight w:val="250"/>
        </w:trPr>
        <w:tc>
          <w:tcPr>
            <w:tcW w:w="8580" w:type="dxa"/>
            <w:vAlign w:val="bottom"/>
            <w:shd w:val="clear" w:color="auto" w:fill="CCEEFF"/>
          </w:tcPr>
          <w:p>
            <w:pPr>
              <w:ind w:left="540"/>
              <w:spacing w:after="0"/>
              <w:rPr>
                <w:sz w:val="20"/>
                <w:szCs w:val="20"/>
                <w:color w:val="auto"/>
              </w:rPr>
            </w:pPr>
            <w:r>
              <w:rPr>
                <w:rFonts w:ascii="Arial" w:cs="Arial" w:eastAsia="Arial" w:hAnsi="Arial"/>
                <w:sz w:val="16"/>
                <w:szCs w:val="16"/>
                <w:color w:val="auto"/>
              </w:rPr>
              <w:t>Net cash used in financing activities</w:t>
            </w:r>
          </w:p>
        </w:tc>
        <w:tc>
          <w:tcPr>
            <w:tcW w:w="3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(84,769)</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(153,263)</w:t>
            </w:r>
          </w:p>
        </w:tc>
        <w:tc>
          <w:tcPr>
            <w:tcW w:w="0" w:type="dxa"/>
            <w:vAlign w:val="bottom"/>
          </w:tcPr>
          <w:p>
            <w:pPr>
              <w:spacing w:after="0"/>
              <w:rPr>
                <w:sz w:val="1"/>
                <w:szCs w:val="1"/>
                <w:color w:val="auto"/>
              </w:rPr>
            </w:pPr>
          </w:p>
        </w:tc>
      </w:tr>
      <w:tr>
        <w:trPr>
          <w:trHeight w:val="247"/>
        </w:trPr>
        <w:tc>
          <w:tcPr>
            <w:tcW w:w="8580" w:type="dxa"/>
            <w:vAlign w:val="bottom"/>
          </w:tcPr>
          <w:p>
            <w:pPr>
              <w:ind w:left="80"/>
              <w:spacing w:after="0"/>
              <w:rPr>
                <w:sz w:val="20"/>
                <w:szCs w:val="20"/>
                <w:color w:val="auto"/>
              </w:rPr>
            </w:pPr>
            <w:r>
              <w:rPr>
                <w:rFonts w:ascii="Arial" w:cs="Arial" w:eastAsia="Arial" w:hAnsi="Arial"/>
                <w:sz w:val="16"/>
                <w:szCs w:val="16"/>
                <w:color w:val="auto"/>
              </w:rPr>
              <w:t>NET INCREASE (DECREASE) CASH AND CASH EQUIVALENTS</w:t>
            </w:r>
          </w:p>
        </w:tc>
        <w:tc>
          <w:tcPr>
            <w:tcW w:w="38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134,988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(78,008)</w:t>
            </w:r>
          </w:p>
        </w:tc>
        <w:tc>
          <w:tcPr>
            <w:tcW w:w="0" w:type="dxa"/>
            <w:vAlign w:val="bottom"/>
          </w:tcPr>
          <w:p>
            <w:pPr>
              <w:spacing w:after="0"/>
              <w:rPr>
                <w:sz w:val="1"/>
                <w:szCs w:val="1"/>
                <w:color w:val="auto"/>
              </w:rPr>
            </w:pPr>
          </w:p>
        </w:tc>
      </w:tr>
      <w:tr>
        <w:trPr>
          <w:trHeight w:val="273"/>
        </w:trPr>
        <w:tc>
          <w:tcPr>
            <w:tcW w:w="8580" w:type="dxa"/>
            <w:vAlign w:val="bottom"/>
            <w:shd w:val="clear" w:color="auto" w:fill="CCEEFF"/>
          </w:tcPr>
          <w:p>
            <w:pPr>
              <w:ind w:left="80"/>
              <w:spacing w:after="0"/>
              <w:rPr>
                <w:sz w:val="20"/>
                <w:szCs w:val="20"/>
                <w:color w:val="auto"/>
              </w:rPr>
            </w:pPr>
            <w:r>
              <w:rPr>
                <w:rFonts w:ascii="Arial" w:cs="Arial" w:eastAsia="Arial" w:hAnsi="Arial"/>
                <w:sz w:val="16"/>
                <w:szCs w:val="16"/>
                <w:color w:val="auto"/>
              </w:rPr>
              <w:t>CASH AND CASH EQUIVALENTS — Beginning of period</w:t>
            </w:r>
          </w:p>
        </w:tc>
        <w:tc>
          <w:tcPr>
            <w:tcW w:w="3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412,332</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516,584</w:t>
            </w:r>
          </w:p>
        </w:tc>
        <w:tc>
          <w:tcPr>
            <w:tcW w:w="0" w:type="dxa"/>
            <w:vAlign w:val="bottom"/>
          </w:tcPr>
          <w:p>
            <w:pPr>
              <w:spacing w:after="0"/>
              <w:rPr>
                <w:sz w:val="1"/>
                <w:szCs w:val="1"/>
                <w:color w:val="auto"/>
              </w:rPr>
            </w:pPr>
          </w:p>
        </w:tc>
      </w:tr>
      <w:tr>
        <w:trPr>
          <w:trHeight w:val="280"/>
        </w:trPr>
        <w:tc>
          <w:tcPr>
            <w:tcW w:w="858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CASH AND CASH EQUIVALENTS — End of period</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547,320</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438,576</w:t>
            </w:r>
          </w:p>
        </w:tc>
        <w:tc>
          <w:tcPr>
            <w:tcW w:w="0" w:type="dxa"/>
            <w:vAlign w:val="bottom"/>
          </w:tcPr>
          <w:p>
            <w:pPr>
              <w:spacing w:after="0"/>
              <w:rPr>
                <w:sz w:val="1"/>
                <w:szCs w:val="1"/>
                <w:color w:val="auto"/>
              </w:rPr>
            </w:pPr>
          </w:p>
        </w:tc>
      </w:tr>
      <w:tr>
        <w:trPr>
          <w:trHeight w:val="254"/>
        </w:trPr>
        <w:tc>
          <w:tcPr>
            <w:tcW w:w="85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SUPPLEMENTAL DISCLOSURES OF CASH FLOW INFORMATION:</w:t>
            </w:r>
          </w:p>
        </w:tc>
        <w:tc>
          <w:tcPr>
            <w:tcW w:w="3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4"/>
        </w:trPr>
        <w:tc>
          <w:tcPr>
            <w:tcW w:w="85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Interest paid</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25,457</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25,973</w:t>
            </w:r>
          </w:p>
        </w:tc>
        <w:tc>
          <w:tcPr>
            <w:tcW w:w="0" w:type="dxa"/>
            <w:vAlign w:val="bottom"/>
          </w:tcPr>
          <w:p>
            <w:pPr>
              <w:spacing w:after="0"/>
              <w:rPr>
                <w:sz w:val="1"/>
                <w:szCs w:val="1"/>
                <w:color w:val="auto"/>
              </w:rPr>
            </w:pPr>
          </w:p>
        </w:tc>
      </w:tr>
      <w:tr>
        <w:trPr>
          <w:trHeight w:val="224"/>
        </w:trPr>
        <w:tc>
          <w:tcPr>
            <w:tcW w:w="8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Income taxes paid</w:t>
            </w: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77,282</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83,855</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80"/>
              <w:spacing w:after="0"/>
              <w:rPr>
                <w:sz w:val="20"/>
                <w:szCs w:val="20"/>
                <w:color w:val="auto"/>
              </w:rPr>
            </w:pPr>
            <w:r>
              <w:rPr>
                <w:rFonts w:ascii="Arial" w:cs="Arial" w:eastAsia="Arial" w:hAnsi="Arial"/>
                <w:sz w:val="16"/>
                <w:szCs w:val="16"/>
                <w:color w:val="auto"/>
              </w:rPr>
              <w:t>NONCASH DISCLOSURES:</w:t>
            </w: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8580" w:type="dxa"/>
            <w:vAlign w:val="bottom"/>
            <w:vMerge w:val="continue"/>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Capital expenditures included in accounts payable and accrued liabilities</w:t>
            </w: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7,082</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12,904</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580" w:type="dxa"/>
            <w:vAlign w:val="bottom"/>
          </w:tcPr>
          <w:p>
            <w:pPr>
              <w:ind w:left="360"/>
              <w:spacing w:after="0"/>
              <w:rPr>
                <w:sz w:val="20"/>
                <w:szCs w:val="20"/>
                <w:color w:val="auto"/>
              </w:rPr>
            </w:pPr>
            <w:r>
              <w:rPr>
                <w:rFonts w:ascii="Arial" w:cs="Arial" w:eastAsia="Arial" w:hAnsi="Arial"/>
                <w:sz w:val="16"/>
                <w:szCs w:val="16"/>
                <w:color w:val="auto"/>
              </w:rPr>
              <w:t>Fixed assets acquired under build-to-suit lease</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8,114</w:t>
            </w:r>
          </w:p>
        </w:tc>
        <w:tc>
          <w:tcPr>
            <w:tcW w:w="0" w:type="dxa"/>
            <w:vAlign w:val="bottom"/>
          </w:tcPr>
          <w:p>
            <w:pPr>
              <w:spacing w:after="0"/>
              <w:rPr>
                <w:sz w:val="1"/>
                <w:szCs w:val="1"/>
                <w:color w:val="auto"/>
              </w:rPr>
            </w:pPr>
          </w:p>
        </w:tc>
      </w:tr>
      <w:tr>
        <w:trPr>
          <w:trHeight w:val="207"/>
        </w:trPr>
        <w:tc>
          <w:tcPr>
            <w:tcW w:w="8580" w:type="dxa"/>
            <w:vAlign w:val="bottom"/>
            <w:tcBorders>
              <w:top w:val="single" w:sz="8" w:color="CCEEFF"/>
            </w:tcBorders>
            <w:shd w:val="clear" w:color="auto" w:fill="CCEEFF"/>
          </w:tcPr>
          <w:p>
            <w:pPr>
              <w:ind w:left="360"/>
              <w:spacing w:after="0" w:line="180" w:lineRule="exact"/>
              <w:rPr>
                <w:sz w:val="20"/>
                <w:szCs w:val="20"/>
                <w:color w:val="auto"/>
              </w:rPr>
            </w:pPr>
            <w:r>
              <w:rPr>
                <w:rFonts w:ascii="Arial" w:cs="Arial" w:eastAsia="Arial" w:hAnsi="Arial"/>
                <w:sz w:val="16"/>
                <w:szCs w:val="16"/>
                <w:color w:val="auto"/>
              </w:rPr>
              <w:t>Finance obligation related to real estate projects</w:t>
            </w:r>
          </w:p>
        </w:tc>
        <w:tc>
          <w:tcPr>
            <w:tcW w:w="38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26,337</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8"/>
        </w:trPr>
        <w:tc>
          <w:tcPr>
            <w:tcW w:w="858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41"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Cash Flows - Continued</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9019"/>
          </w:cols>
          <w:pgMar w:left="1440" w:top="549" w:right="1440"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60" w:hanging="352"/>
        <w:spacing w:after="0"/>
        <w:tabs>
          <w:tab w:leader="none" w:pos="3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Description of the Company</w:t>
      </w:r>
    </w:p>
    <w:p>
      <w:pPr>
        <w:spacing w:after="0" w:line="247" w:lineRule="exact"/>
        <w:rPr>
          <w:sz w:val="20"/>
          <w:szCs w:val="20"/>
          <w:color w:val="auto"/>
        </w:rPr>
      </w:pPr>
    </w:p>
    <w:p>
      <w:pPr>
        <w:ind w:right="60" w:firstLine="486"/>
        <w:spacing w:after="0" w:line="253" w:lineRule="auto"/>
        <w:rPr>
          <w:sz w:val="20"/>
          <w:szCs w:val="20"/>
          <w:color w:val="auto"/>
        </w:rPr>
      </w:pPr>
      <w:r>
        <w:rPr>
          <w:rFonts w:ascii="Arial" w:cs="Arial" w:eastAsia="Arial" w:hAnsi="Arial"/>
          <w:sz w:val="18"/>
          <w:szCs w:val="18"/>
          <w:color w:val="auto"/>
        </w:rPr>
        <w:t>LPL Financial Holdings Inc. (“LPLFH”), a Delaware holding corporation, together with its consolidated subsidiaries (collectively, the “Company”) provides an integrated platform of brokerage and investment advisory services to independent financial advisors and financial advisors at financial institutions (collectively “advisors”) in the United States of America. Through its custody and clearing platform, using both proprietary and third-party technology, the Company provides access to diversified financial products and services enabling its advisors to offer independent financial advice and brokerage services to retail investors (their “clients”).</w:t>
      </w:r>
    </w:p>
    <w:p>
      <w:pPr>
        <w:spacing w:after="0" w:line="292"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47" w:lineRule="exact"/>
        <w:rPr>
          <w:sz w:val="20"/>
          <w:szCs w:val="20"/>
          <w:color w:val="auto"/>
        </w:rPr>
      </w:pPr>
    </w:p>
    <w:p>
      <w:pPr>
        <w:ind w:right="40" w:firstLine="486"/>
        <w:spacing w:after="0" w:line="274" w:lineRule="auto"/>
        <w:rPr>
          <w:sz w:val="20"/>
          <w:szCs w:val="20"/>
          <w:color w:val="auto"/>
        </w:rPr>
      </w:pPr>
      <w:r>
        <w:rPr>
          <w:rFonts w:ascii="Arial" w:cs="Arial" w:eastAsia="Arial" w:hAnsi="Arial"/>
          <w:sz w:val="17"/>
          <w:szCs w:val="17"/>
          <w:color w:val="auto"/>
        </w:rPr>
        <w:t>The unaudited condensed consolidated financial statements have been prepared pursuant to the rules and regulations of the Securities and Exchange Commission (“SEC”). These unaudited condensed consolidated financial statements reflect all adjustments that are, in the opinion of management, necessary for a fair statement of the results for the interim periods presented. These adjustments are of a normal recurring nature. The Company’s results for any interim period are not necessarily indicative of results for a full year or any other interim period.</w:t>
      </w:r>
    </w:p>
    <w:p>
      <w:pPr>
        <w:spacing w:after="0" w:line="188" w:lineRule="exact"/>
        <w:rPr>
          <w:sz w:val="20"/>
          <w:szCs w:val="20"/>
          <w:color w:val="auto"/>
        </w:rPr>
      </w:pPr>
    </w:p>
    <w:p>
      <w:pPr>
        <w:ind w:right="120" w:firstLine="486"/>
        <w:spacing w:after="0" w:line="253" w:lineRule="auto"/>
        <w:rPr>
          <w:sz w:val="20"/>
          <w:szCs w:val="20"/>
          <w:color w:val="auto"/>
        </w:rPr>
      </w:pPr>
      <w:r>
        <w:rPr>
          <w:rFonts w:ascii="Arial" w:cs="Arial" w:eastAsia="Arial" w:hAnsi="Arial"/>
          <w:sz w:val="18"/>
          <w:szCs w:val="18"/>
          <w:color w:val="auto"/>
        </w:rPr>
        <w:t>The unaudited condensed consolidated financial statements do not include all information and notes necessary for a complete presentation of results of income, comprehensive income, financial position, and cash flows in conformity with generally accepted accounting principles in the United States of America (“GAAP”). Accordingly, these financial statements should be read in conjunction with the Company’s audited consolidated financial statements and the related notes for the year ended December 31, 2014, contained in the Company’s Annual Report on Form 10-K as filed with the SEC.</w:t>
      </w:r>
    </w:p>
    <w:p>
      <w:pPr>
        <w:spacing w:after="0" w:line="188" w:lineRule="exact"/>
        <w:rPr>
          <w:sz w:val="20"/>
          <w:szCs w:val="20"/>
          <w:color w:val="auto"/>
        </w:rPr>
      </w:pPr>
    </w:p>
    <w:p>
      <w:pPr>
        <w:jc w:val="both"/>
        <w:ind w:right="400" w:firstLine="486"/>
        <w:spacing w:after="0" w:line="266" w:lineRule="auto"/>
        <w:rPr>
          <w:sz w:val="20"/>
          <w:szCs w:val="20"/>
          <w:color w:val="auto"/>
        </w:rPr>
      </w:pPr>
      <w:r>
        <w:rPr>
          <w:rFonts w:ascii="Arial" w:cs="Arial" w:eastAsia="Arial" w:hAnsi="Arial"/>
          <w:sz w:val="18"/>
          <w:szCs w:val="18"/>
          <w:color w:val="auto"/>
        </w:rPr>
        <w:t xml:space="preserve">The Company’s significant accounting policies are included in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in the Company’s Annual Report on Form 10-K for the year ended December 31, 2014. There have been no significant changes to these accounting policies during the first six months of 2015.</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w:t>
      </w:r>
    </w:p>
    <w:p>
      <w:pPr>
        <w:spacing w:after="0" w:line="247" w:lineRule="exact"/>
        <w:rPr>
          <w:sz w:val="20"/>
          <w:szCs w:val="20"/>
          <w:color w:val="auto"/>
        </w:rPr>
      </w:pPr>
    </w:p>
    <w:p>
      <w:pPr>
        <w:jc w:val="both"/>
        <w:ind w:right="660" w:firstLine="486"/>
        <w:spacing w:after="0" w:line="256" w:lineRule="auto"/>
        <w:rPr>
          <w:sz w:val="20"/>
          <w:szCs w:val="20"/>
          <w:color w:val="auto"/>
        </w:rPr>
      </w:pPr>
      <w:r>
        <w:rPr>
          <w:rFonts w:ascii="Arial" w:cs="Arial" w:eastAsia="Arial" w:hAnsi="Arial"/>
          <w:sz w:val="18"/>
          <w:szCs w:val="18"/>
          <w:color w:val="auto"/>
        </w:rPr>
        <w:t>These unaudited condensed consolidated financial statements include the accounts of LPLFH and its subsidiaries. Intercompany transactions and balances have been eliminated. Equity investments in which the Company exercises significant influence but does not exercise control and is not the primary beneficiary are accounted for using the equity method.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47"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The preparation of the unaudited condensed consolidated financial statements in conformity with GAAP requires the Company to make estimates and judgments that affect the reported amounts of assets and liabilities, revenue and expenses, and related disclosures of contingent assets and liabilities. These estimates are based on the information that is currently available and on various other assumptions that the Company believes to be reasonable under the circumstances. Actual results could vary from these estimates.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Reportable Segment</w:t>
      </w:r>
    </w:p>
    <w:p>
      <w:pPr>
        <w:spacing w:after="0" w:line="247" w:lineRule="exact"/>
        <w:rPr>
          <w:sz w:val="20"/>
          <w:szCs w:val="20"/>
          <w:color w:val="auto"/>
        </w:rPr>
      </w:pPr>
    </w:p>
    <w:p>
      <w:pPr>
        <w:jc w:val="both"/>
        <w:ind w:right="180" w:firstLine="486"/>
        <w:spacing w:after="0" w:line="256" w:lineRule="auto"/>
        <w:rPr>
          <w:sz w:val="20"/>
          <w:szCs w:val="20"/>
          <w:color w:val="auto"/>
        </w:rPr>
      </w:pPr>
      <w:r>
        <w:rPr>
          <w:rFonts w:ascii="Arial" w:cs="Arial" w:eastAsia="Arial" w:hAnsi="Arial"/>
          <w:sz w:val="18"/>
          <w:szCs w:val="18"/>
          <w:color w:val="auto"/>
        </w:rPr>
        <w:t>The Company's internal reporting is organized into two service channels: Independent Advisor Services and Institution Services. These service channels are aggregated and viewed as one operating segment, and therefore, one reportable segment due to their similar economic characteristics, products and services, production and distribution processes, and regulatory environment.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Restricted cash primarily represents cash restricted for use by the Company’s captive insurance subsidiary.</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41"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47"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 xml:space="preserve">The Company’s financial assets and liabilities are carried at fair value or at amounts that, because of their short-term nature, approximate current fair value, with the exception of its held-to-maturity securities and indebtedness. The Company carries its held-to-maturity securities and indebtedness at amortized cost. The Company measures the implied fair value of its debt instruments using trading levels obtained from a third-party service provider. Accordingly, the debt instruments qualify as Level 2 fair value measurements. See Note 4. </w:t>
      </w:r>
      <w:r>
        <w:rPr>
          <w:rFonts w:ascii="Arial" w:cs="Arial" w:eastAsia="Arial" w:hAnsi="Arial"/>
          <w:sz w:val="18"/>
          <w:szCs w:val="18"/>
          <w:i w:val="1"/>
          <w:iCs w:val="1"/>
          <w:color w:val="auto"/>
        </w:rPr>
        <w:t>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Measurements</w:t>
      </w:r>
      <w:r>
        <w:rPr>
          <w:rFonts w:ascii="Arial" w:cs="Arial" w:eastAsia="Arial" w:hAnsi="Arial"/>
          <w:sz w:val="18"/>
          <w:szCs w:val="18"/>
          <w:color w:val="auto"/>
        </w:rPr>
        <w:t>, for additional detail regarding the Company’s fair value measurements. As of June 30, 2015, the carrying amount and fair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of the Company’s indebtedness was approximately $1,693.8 million and $1,698.6 million, respectively. As of December 31, 2014, the carrying amount and fair value was approximately $1,634.3 million and $1,620.8 million,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Leasehold Financing Obligation</w:t>
      </w:r>
    </w:p>
    <w:p>
      <w:pPr>
        <w:spacing w:after="0" w:line="247"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The Company is involved with the construction of a building in Fort Mill, South Carolina and has determined that it has substantially all of the risks of ownership during construction of the leased property. Accordingly, from an accounting perspective, the Company is deemed to be the owner of the construction project. As such, the Company records an asset for the amount of the total project costs and an amount related to the value attributed to the building under construction in fixed assets, net and the related financing obligation in leasehold financing obligations on the unaudited condensed consolidated statement of financial condition. Once construction is complete, the Company determines if the asset qualifies for sale-leaseback accounting treatment.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39" w:lineRule="exact"/>
        <w:rPr>
          <w:sz w:val="20"/>
          <w:szCs w:val="20"/>
          <w:color w:val="auto"/>
        </w:rPr>
      </w:pPr>
    </w:p>
    <w:p>
      <w:pPr>
        <w:ind w:right="820" w:firstLine="486"/>
        <w:spacing w:after="0" w:line="262" w:lineRule="auto"/>
        <w:rPr>
          <w:sz w:val="20"/>
          <w:szCs w:val="20"/>
          <w:color w:val="auto"/>
        </w:rPr>
      </w:pPr>
      <w:r>
        <w:rPr>
          <w:rFonts w:ascii="Arial" w:cs="Arial" w:eastAsia="Arial" w:hAnsi="Arial"/>
          <w:sz w:val="18"/>
          <w:szCs w:val="18"/>
          <w:color w:val="auto"/>
        </w:rPr>
        <w:t>There are no recently issued accounting pronouncements that would materially impact the Company's condensed consolidated statements of income, comprehensive income, financial condition, or cash flows.</w:t>
      </w:r>
    </w:p>
    <w:p>
      <w:pPr>
        <w:spacing w:after="0" w:line="282" w:lineRule="exact"/>
        <w:rPr>
          <w:sz w:val="20"/>
          <w:szCs w:val="20"/>
          <w:color w:val="auto"/>
        </w:rPr>
      </w:pPr>
    </w:p>
    <w:p>
      <w:pPr>
        <w:ind w:left="360" w:hanging="352"/>
        <w:spacing w:after="0"/>
        <w:tabs>
          <w:tab w:leader="none" w:pos="3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w:t>
      </w:r>
    </w:p>
    <w:p>
      <w:pPr>
        <w:spacing w:after="0" w:line="247" w:lineRule="exact"/>
        <w:rPr>
          <w:sz w:val="20"/>
          <w:szCs w:val="20"/>
          <w:color w:val="auto"/>
        </w:rPr>
      </w:pPr>
    </w:p>
    <w:p>
      <w:pPr>
        <w:ind w:right="100" w:firstLine="486"/>
        <w:spacing w:after="0" w:line="256" w:lineRule="auto"/>
        <w:rPr>
          <w:sz w:val="20"/>
          <w:szCs w:val="20"/>
          <w:color w:val="auto"/>
        </w:rPr>
      </w:pPr>
      <w:r>
        <w:rPr>
          <w:rFonts w:ascii="Arial" w:cs="Arial" w:eastAsia="Arial" w:hAnsi="Arial"/>
          <w:sz w:val="18"/>
          <w:szCs w:val="18"/>
          <w:color w:val="auto"/>
        </w:rPr>
        <w:t>In February 2013, the Company committed to an expansion of its Service Value Commitment initiative (the “Program”), an ongoing effort to position the Company's people, processes, and technology for sustainable long-term growth while improving the service experience of its advisors and delivering efficiencies in its operating model. The Program is expected to be completed in 2015.</w:t>
      </w:r>
    </w:p>
    <w:p>
      <w:pPr>
        <w:spacing w:after="0" w:line="202" w:lineRule="exact"/>
        <w:rPr>
          <w:sz w:val="20"/>
          <w:szCs w:val="20"/>
          <w:color w:val="auto"/>
        </w:rPr>
      </w:pPr>
    </w:p>
    <w:p>
      <w:pPr>
        <w:ind w:right="60" w:firstLine="486"/>
        <w:spacing w:after="0" w:line="262" w:lineRule="auto"/>
        <w:rPr>
          <w:sz w:val="20"/>
          <w:szCs w:val="20"/>
          <w:color w:val="auto"/>
        </w:rPr>
      </w:pPr>
      <w:r>
        <w:rPr>
          <w:rFonts w:ascii="Arial" w:cs="Arial" w:eastAsia="Arial" w:hAnsi="Arial"/>
          <w:sz w:val="18"/>
          <w:szCs w:val="18"/>
          <w:color w:val="auto"/>
        </w:rPr>
        <w:t>The following table summarizes the balance of accrued expenses and the changes in the accrued amounts for the Program as of and for the six months ended June 30, 2015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center"/>
              <w:ind w:right="83"/>
              <w:spacing w:after="0"/>
              <w:rPr>
                <w:sz w:val="20"/>
                <w:szCs w:val="20"/>
                <w:color w:val="auto"/>
              </w:rPr>
            </w:pPr>
            <w:r>
              <w:rPr>
                <w:rFonts w:ascii="Arial" w:cs="Arial" w:eastAsia="Arial" w:hAnsi="Arial"/>
                <w:sz w:val="14"/>
                <w:szCs w:val="14"/>
                <w:b w:val="1"/>
                <w:bCs w:val="1"/>
                <w:color w:val="auto"/>
                <w:w w:val="95"/>
              </w:rPr>
              <w:t>Total</w:t>
            </w:r>
          </w:p>
        </w:tc>
      </w:tr>
      <w:tr>
        <w:trPr>
          <w:trHeight w:val="162"/>
        </w:trPr>
        <w:tc>
          <w:tcPr>
            <w:tcW w:w="3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Cumulative</w:t>
            </w:r>
          </w:p>
        </w:tc>
        <w:tc>
          <w:tcPr>
            <w:tcW w:w="160" w:type="dxa"/>
            <w:vAlign w:val="bottom"/>
          </w:tcPr>
          <w:p>
            <w:pPr>
              <w:spacing w:after="0"/>
              <w:rPr>
                <w:sz w:val="14"/>
                <w:szCs w:val="14"/>
                <w:color w:val="auto"/>
              </w:rPr>
            </w:pPr>
          </w:p>
        </w:tc>
        <w:tc>
          <w:tcPr>
            <w:tcW w:w="1200" w:type="dxa"/>
            <w:vAlign w:val="bottom"/>
          </w:tcPr>
          <w:p>
            <w:pPr>
              <w:jc w:val="center"/>
              <w:ind w:right="83"/>
              <w:spacing w:after="0"/>
              <w:rPr>
                <w:sz w:val="20"/>
                <w:szCs w:val="20"/>
                <w:color w:val="auto"/>
              </w:rPr>
            </w:pPr>
            <w:r>
              <w:rPr>
                <w:rFonts w:ascii="Arial" w:cs="Arial" w:eastAsia="Arial" w:hAnsi="Arial"/>
                <w:sz w:val="14"/>
                <w:szCs w:val="14"/>
                <w:b w:val="1"/>
                <w:bCs w:val="1"/>
                <w:color w:val="auto"/>
              </w:rPr>
              <w:t>Expected</w:t>
            </w:r>
          </w:p>
        </w:tc>
      </w:tr>
      <w:tr>
        <w:trPr>
          <w:trHeight w:val="162"/>
        </w:trPr>
        <w:tc>
          <w:tcPr>
            <w:tcW w:w="3440" w:type="dxa"/>
            <w:vAlign w:val="bottom"/>
          </w:tcPr>
          <w:p>
            <w:pPr>
              <w:spacing w:after="0"/>
              <w:rPr>
                <w:sz w:val="14"/>
                <w:szCs w:val="14"/>
                <w:color w:val="auto"/>
              </w:rPr>
            </w:pPr>
          </w:p>
        </w:tc>
        <w:tc>
          <w:tcPr>
            <w:tcW w:w="1500" w:type="dxa"/>
            <w:vAlign w:val="bottom"/>
            <w:gridSpan w:val="3"/>
          </w:tcPr>
          <w:p>
            <w:pPr>
              <w:ind w:left="20"/>
              <w:spacing w:after="0"/>
              <w:rPr>
                <w:sz w:val="20"/>
                <w:szCs w:val="20"/>
                <w:color w:val="auto"/>
              </w:rPr>
            </w:pPr>
            <w:r>
              <w:rPr>
                <w:rFonts w:ascii="Arial" w:cs="Arial" w:eastAsia="Arial" w:hAnsi="Arial"/>
                <w:sz w:val="14"/>
                <w:szCs w:val="14"/>
                <w:b w:val="1"/>
                <w:bCs w:val="1"/>
                <w:color w:val="auto"/>
              </w:rPr>
              <w:t>Accrued Balance at</w:t>
            </w:r>
          </w:p>
        </w:tc>
        <w:tc>
          <w:tcPr>
            <w:tcW w:w="160" w:type="dxa"/>
            <w:vAlign w:val="bottom"/>
          </w:tcPr>
          <w:p>
            <w:pPr>
              <w:spacing w:after="0"/>
              <w:rPr>
                <w:sz w:val="14"/>
                <w:szCs w:val="14"/>
                <w:color w:val="auto"/>
              </w:rPr>
            </w:pPr>
          </w:p>
        </w:tc>
        <w:tc>
          <w:tcPr>
            <w:tcW w:w="980" w:type="dxa"/>
            <w:vAlign w:val="bottom"/>
            <w:gridSpan w:val="2"/>
          </w:tcPr>
          <w:p>
            <w:pPr>
              <w:ind w:left="160"/>
              <w:spacing w:after="0"/>
              <w:rPr>
                <w:sz w:val="20"/>
                <w:szCs w:val="20"/>
                <w:color w:val="auto"/>
              </w:rPr>
            </w:pPr>
            <w:r>
              <w:rPr>
                <w:rFonts w:ascii="Arial" w:cs="Arial" w:eastAsia="Arial" w:hAnsi="Arial"/>
                <w:sz w:val="14"/>
                <w:szCs w:val="14"/>
                <w:b w:val="1"/>
                <w:bCs w:val="1"/>
                <w:color w:val="auto"/>
              </w:rPr>
              <w:t>Costs</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Borders>
              <w:right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Accrued Balance</w:t>
            </w:r>
          </w:p>
        </w:tc>
        <w:tc>
          <w:tcPr>
            <w:tcW w:w="100" w:type="dxa"/>
            <w:vAlign w:val="bottom"/>
          </w:tcPr>
          <w:p>
            <w:pPr>
              <w:spacing w:after="0"/>
              <w:rPr>
                <w:sz w:val="14"/>
                <w:szCs w:val="14"/>
                <w:color w:val="auto"/>
              </w:rPr>
            </w:pP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Costs Incurred to</w:t>
            </w:r>
          </w:p>
        </w:tc>
        <w:tc>
          <w:tcPr>
            <w:tcW w:w="160" w:type="dxa"/>
            <w:vAlign w:val="bottom"/>
          </w:tcPr>
          <w:p>
            <w:pPr>
              <w:spacing w:after="0"/>
              <w:rPr>
                <w:sz w:val="14"/>
                <w:szCs w:val="14"/>
                <w:color w:val="auto"/>
              </w:rPr>
            </w:pPr>
          </w:p>
        </w:tc>
        <w:tc>
          <w:tcPr>
            <w:tcW w:w="1200" w:type="dxa"/>
            <w:vAlign w:val="bottom"/>
          </w:tcPr>
          <w:p>
            <w:pPr>
              <w:jc w:val="center"/>
              <w:ind w:right="103"/>
              <w:spacing w:after="0"/>
              <w:rPr>
                <w:sz w:val="20"/>
                <w:szCs w:val="20"/>
                <w:color w:val="auto"/>
              </w:rPr>
            </w:pPr>
            <w:r>
              <w:rPr>
                <w:rFonts w:ascii="Arial" w:cs="Arial" w:eastAsia="Arial" w:hAnsi="Arial"/>
                <w:sz w:val="14"/>
                <w:szCs w:val="14"/>
                <w:b w:val="1"/>
                <w:bCs w:val="1"/>
                <w:color w:val="auto"/>
              </w:rPr>
              <w:t>Restructuring</w:t>
            </w:r>
          </w:p>
        </w:tc>
      </w:tr>
      <w:tr>
        <w:trPr>
          <w:trHeight w:val="196"/>
        </w:trPr>
        <w:tc>
          <w:tcPr>
            <w:tcW w:w="344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2014</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Incurred</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Payments</w:t>
            </w:r>
          </w:p>
        </w:tc>
        <w:tc>
          <w:tcPr>
            <w:tcW w:w="10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at June 30, 2015</w:t>
            </w:r>
          </w:p>
        </w:tc>
        <w:tc>
          <w:tcPr>
            <w:tcW w:w="140" w:type="dxa"/>
            <w:vAlign w:val="bottom"/>
            <w:tcBorders>
              <w:bottom w:val="single" w:sz="8" w:color="CCEEFF"/>
              <w:right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Date</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rPr>
              <w:t>Costs</w:t>
            </w:r>
          </w:p>
        </w:tc>
      </w:tr>
      <w:tr>
        <w:trPr>
          <w:trHeight w:val="256"/>
        </w:trPr>
        <w:tc>
          <w:tcPr>
            <w:tcW w:w="3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Outsourcing and other related costs</w:t>
            </w:r>
          </w:p>
        </w:tc>
        <w:tc>
          <w:tcPr>
            <w:tcW w:w="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1,298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(1,298)</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22,786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23,500</w:t>
            </w:r>
          </w:p>
        </w:tc>
      </w:tr>
      <w:tr>
        <w:trPr>
          <w:trHeight w:val="260"/>
        </w:trPr>
        <w:tc>
          <w:tcPr>
            <w:tcW w:w="3440" w:type="dxa"/>
            <w:vAlign w:val="bottom"/>
          </w:tcPr>
          <w:p>
            <w:pPr>
              <w:ind w:left="40"/>
              <w:spacing w:after="0"/>
              <w:rPr>
                <w:sz w:val="20"/>
                <w:szCs w:val="20"/>
                <w:color w:val="auto"/>
              </w:rPr>
            </w:pPr>
            <w:r>
              <w:rPr>
                <w:rFonts w:ascii="Arial" w:cs="Arial" w:eastAsia="Arial" w:hAnsi="Arial"/>
                <w:sz w:val="16"/>
                <w:szCs w:val="16"/>
                <w:color w:val="auto"/>
              </w:rPr>
              <w:t>Technology transformation costs</w:t>
            </w:r>
          </w:p>
        </w:tc>
        <w:tc>
          <w:tcPr>
            <w:tcW w:w="500" w:type="dxa"/>
            <w:vAlign w:val="bottom"/>
          </w:tcPr>
          <w:p>
            <w:pPr>
              <w:spacing w:after="0"/>
              <w:rPr>
                <w:sz w:val="22"/>
                <w:szCs w:val="22"/>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4,458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297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(4,000)</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755</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30,215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23"/>
              <w:spacing w:after="0"/>
              <w:rPr>
                <w:sz w:val="20"/>
                <w:szCs w:val="20"/>
                <w:color w:val="auto"/>
              </w:rPr>
            </w:pPr>
            <w:r>
              <w:rPr>
                <w:rFonts w:ascii="Arial" w:cs="Arial" w:eastAsia="Arial" w:hAnsi="Arial"/>
                <w:sz w:val="16"/>
                <w:szCs w:val="16"/>
                <w:color w:val="auto"/>
              </w:rPr>
              <w:t>30,300</w:t>
            </w:r>
          </w:p>
        </w:tc>
      </w:tr>
      <w:tr>
        <w:trPr>
          <w:trHeight w:val="228"/>
        </w:trPr>
        <w:tc>
          <w:tcPr>
            <w:tcW w:w="3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Employee severance obligations and other</w:t>
            </w: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4"/>
        </w:trPr>
        <w:tc>
          <w:tcPr>
            <w:tcW w:w="34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related costs</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1,999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1,837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2,042</w:t>
            </w:r>
          </w:p>
        </w:tc>
        <w:tc>
          <w:tcPr>
            <w:tcW w:w="1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10,722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13,400</w:t>
            </w:r>
          </w:p>
        </w:tc>
      </w:tr>
      <w:tr>
        <w:trPr>
          <w:trHeight w:val="264"/>
        </w:trPr>
        <w:tc>
          <w:tcPr>
            <w:tcW w:w="3440" w:type="dxa"/>
            <w:vAlign w:val="bottom"/>
          </w:tcPr>
          <w:p>
            <w:pPr>
              <w:ind w:left="40"/>
              <w:spacing w:after="0"/>
              <w:rPr>
                <w:sz w:val="20"/>
                <w:szCs w:val="20"/>
                <w:color w:val="auto"/>
              </w:rPr>
            </w:pPr>
            <w:r>
              <w:rPr>
                <w:rFonts w:ascii="Arial" w:cs="Arial" w:eastAsia="Arial" w:hAnsi="Arial"/>
                <w:sz w:val="16"/>
                <w:szCs w:val="16"/>
                <w:color w:val="auto"/>
              </w:rPr>
              <w:t>Asset impairments</w:t>
            </w:r>
          </w:p>
        </w:tc>
        <w:tc>
          <w:tcPr>
            <w:tcW w:w="50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2"/>
                <w:szCs w:val="22"/>
                <w:color w:val="auto"/>
              </w:rPr>
            </w:pPr>
          </w:p>
        </w:tc>
        <w:tc>
          <w:tcPr>
            <w:tcW w:w="9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842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23"/>
              <w:spacing w:after="0"/>
              <w:rPr>
                <w:sz w:val="20"/>
                <w:szCs w:val="20"/>
                <w:color w:val="auto"/>
              </w:rPr>
            </w:pPr>
            <w:r>
              <w:rPr>
                <w:rFonts w:ascii="Arial" w:cs="Arial" w:eastAsia="Arial" w:hAnsi="Arial"/>
                <w:sz w:val="16"/>
                <w:szCs w:val="16"/>
                <w:color w:val="auto"/>
              </w:rPr>
              <w:t>842</w:t>
            </w:r>
          </w:p>
        </w:tc>
      </w:tr>
      <w:tr>
        <w:trPr>
          <w:trHeight w:val="240"/>
        </w:trPr>
        <w:tc>
          <w:tcPr>
            <w:tcW w:w="3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5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6,457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3,432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(7,092)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2,797</w:t>
            </w:r>
          </w:p>
        </w:tc>
        <w:tc>
          <w:tcPr>
            <w:tcW w:w="14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64,565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68,042</w:t>
            </w:r>
          </w:p>
        </w:tc>
      </w:tr>
      <w:tr>
        <w:trPr>
          <w:trHeight w:val="20"/>
        </w:trPr>
        <w:tc>
          <w:tcPr>
            <w:tcW w:w="34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ind w:right="240" w:firstLine="486"/>
        <w:spacing w:after="0" w:line="252" w:lineRule="auto"/>
        <w:rPr>
          <w:sz w:val="20"/>
          <w:szCs w:val="20"/>
          <w:color w:val="auto"/>
        </w:rPr>
      </w:pPr>
      <w:r>
        <w:rPr>
          <w:rFonts w:ascii="Arial" w:cs="Arial" w:eastAsia="Arial" w:hAnsi="Arial"/>
          <w:sz w:val="18"/>
          <w:szCs w:val="18"/>
          <w:color w:val="auto"/>
        </w:rPr>
        <w:t>In February 2015, the Company committed to a course of action to restructure the business of its subsidiary, Fortigent Holdings Company, Inc. (together with its subsidiaries, “Fortigent”). The Company acquired Fortigent, which provides outsourced wealth management solutions, in April 2012. The intention of the restructuring plan is to migrate Fortigent’s operations from Rockville, Maryland to the Company’s office in Charlotte, North Carolina, simplify and improve the efficiency of Fortigent’s existing service offerings, and position Fortigent to capitalize on the Company's future technology investments and service offerings for financial institutions and advisors focused on high-net-worth clients.</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41"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98" w:lineRule="exact"/>
        <w:rPr>
          <w:sz w:val="20"/>
          <w:szCs w:val="20"/>
          <w:color w:val="auto"/>
        </w:rPr>
      </w:pPr>
    </w:p>
    <w:p>
      <w:pPr>
        <w:ind w:right="40" w:firstLine="486"/>
        <w:spacing w:after="0" w:line="262" w:lineRule="auto"/>
        <w:rPr>
          <w:sz w:val="20"/>
          <w:szCs w:val="20"/>
          <w:color w:val="auto"/>
        </w:rPr>
      </w:pPr>
      <w:r>
        <w:rPr>
          <w:rFonts w:ascii="Arial" w:cs="Arial" w:eastAsia="Arial" w:hAnsi="Arial"/>
          <w:sz w:val="18"/>
          <w:szCs w:val="18"/>
          <w:color w:val="auto"/>
        </w:rPr>
        <w:t>The following table summarizes the balance of accrued expenses and the changes in the accrued amounts for the Fortigent restructuring as of and for the six months ended June 30, 2015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center"/>
              <w:ind w:right="83"/>
              <w:spacing w:after="0"/>
              <w:rPr>
                <w:sz w:val="20"/>
                <w:szCs w:val="20"/>
                <w:color w:val="auto"/>
              </w:rPr>
            </w:pPr>
            <w:r>
              <w:rPr>
                <w:rFonts w:ascii="Arial" w:cs="Arial" w:eastAsia="Arial" w:hAnsi="Arial"/>
                <w:sz w:val="14"/>
                <w:szCs w:val="14"/>
                <w:b w:val="1"/>
                <w:bCs w:val="1"/>
                <w:color w:val="auto"/>
                <w:w w:val="95"/>
              </w:rPr>
              <w:t>Total</w:t>
            </w:r>
          </w:p>
        </w:tc>
      </w:tr>
      <w:tr>
        <w:trPr>
          <w:trHeight w:val="162"/>
        </w:trPr>
        <w:tc>
          <w:tcPr>
            <w:tcW w:w="3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Cumulative</w:t>
            </w:r>
          </w:p>
        </w:tc>
        <w:tc>
          <w:tcPr>
            <w:tcW w:w="160" w:type="dxa"/>
            <w:vAlign w:val="bottom"/>
          </w:tcPr>
          <w:p>
            <w:pPr>
              <w:spacing w:after="0"/>
              <w:rPr>
                <w:sz w:val="14"/>
                <w:szCs w:val="14"/>
                <w:color w:val="auto"/>
              </w:rPr>
            </w:pPr>
          </w:p>
        </w:tc>
        <w:tc>
          <w:tcPr>
            <w:tcW w:w="1200" w:type="dxa"/>
            <w:vAlign w:val="bottom"/>
          </w:tcPr>
          <w:p>
            <w:pPr>
              <w:jc w:val="center"/>
              <w:ind w:right="83"/>
              <w:spacing w:after="0"/>
              <w:rPr>
                <w:sz w:val="20"/>
                <w:szCs w:val="20"/>
                <w:color w:val="auto"/>
              </w:rPr>
            </w:pPr>
            <w:r>
              <w:rPr>
                <w:rFonts w:ascii="Arial" w:cs="Arial" w:eastAsia="Arial" w:hAnsi="Arial"/>
                <w:sz w:val="14"/>
                <w:szCs w:val="14"/>
                <w:b w:val="1"/>
                <w:bCs w:val="1"/>
                <w:color w:val="auto"/>
              </w:rPr>
              <w:t>Expected</w:t>
            </w:r>
          </w:p>
        </w:tc>
      </w:tr>
      <w:tr>
        <w:trPr>
          <w:trHeight w:val="162"/>
        </w:trPr>
        <w:tc>
          <w:tcPr>
            <w:tcW w:w="3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Costs</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Borders>
              <w:right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Accrued Balance</w:t>
            </w:r>
          </w:p>
        </w:tc>
        <w:tc>
          <w:tcPr>
            <w:tcW w:w="100" w:type="dxa"/>
            <w:vAlign w:val="bottom"/>
          </w:tcPr>
          <w:p>
            <w:pPr>
              <w:spacing w:after="0"/>
              <w:rPr>
                <w:sz w:val="14"/>
                <w:szCs w:val="14"/>
                <w:color w:val="auto"/>
              </w:rPr>
            </w:pP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Costs Incurred to</w:t>
            </w:r>
          </w:p>
        </w:tc>
        <w:tc>
          <w:tcPr>
            <w:tcW w:w="160" w:type="dxa"/>
            <w:vAlign w:val="bottom"/>
          </w:tcPr>
          <w:p>
            <w:pPr>
              <w:spacing w:after="0"/>
              <w:rPr>
                <w:sz w:val="14"/>
                <w:szCs w:val="14"/>
                <w:color w:val="auto"/>
              </w:rPr>
            </w:pPr>
          </w:p>
        </w:tc>
        <w:tc>
          <w:tcPr>
            <w:tcW w:w="1200" w:type="dxa"/>
            <w:vAlign w:val="bottom"/>
          </w:tcPr>
          <w:p>
            <w:pPr>
              <w:jc w:val="center"/>
              <w:ind w:right="103"/>
              <w:spacing w:after="0"/>
              <w:rPr>
                <w:sz w:val="20"/>
                <w:szCs w:val="20"/>
                <w:color w:val="auto"/>
              </w:rPr>
            </w:pPr>
            <w:r>
              <w:rPr>
                <w:rFonts w:ascii="Arial" w:cs="Arial" w:eastAsia="Arial" w:hAnsi="Arial"/>
                <w:sz w:val="14"/>
                <w:szCs w:val="14"/>
                <w:b w:val="1"/>
                <w:bCs w:val="1"/>
                <w:color w:val="auto"/>
              </w:rPr>
              <w:t>Restructuring</w:t>
            </w:r>
          </w:p>
        </w:tc>
      </w:tr>
      <w:tr>
        <w:trPr>
          <w:trHeight w:val="196"/>
        </w:trPr>
        <w:tc>
          <w:tcPr>
            <w:tcW w:w="3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Incurred</w:t>
            </w:r>
          </w:p>
        </w:tc>
        <w:tc>
          <w:tcPr>
            <w:tcW w:w="140" w:type="dxa"/>
            <w:vAlign w:val="bottom"/>
          </w:tcPr>
          <w:p>
            <w:pPr>
              <w:spacing w:after="0"/>
              <w:rPr>
                <w:sz w:val="17"/>
                <w:szCs w:val="17"/>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Payments</w:t>
            </w:r>
          </w:p>
        </w:tc>
        <w:tc>
          <w:tcPr>
            <w:tcW w:w="140" w:type="dxa"/>
            <w:vAlign w:val="bottom"/>
          </w:tcPr>
          <w:p>
            <w:pPr>
              <w:spacing w:after="0"/>
              <w:rPr>
                <w:sz w:val="17"/>
                <w:szCs w:val="17"/>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Non-cash</w:t>
            </w:r>
          </w:p>
        </w:tc>
        <w:tc>
          <w:tcPr>
            <w:tcW w:w="1400" w:type="dxa"/>
            <w:vAlign w:val="bottom"/>
            <w:tcBorders>
              <w:right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at June 30, 2015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Date</w:t>
            </w:r>
          </w:p>
        </w:tc>
        <w:tc>
          <w:tcPr>
            <w:tcW w:w="160" w:type="dxa"/>
            <w:vAlign w:val="bottom"/>
          </w:tcPr>
          <w:p>
            <w:pPr>
              <w:spacing w:after="0"/>
              <w:rPr>
                <w:sz w:val="17"/>
                <w:szCs w:val="17"/>
                <w:color w:val="auto"/>
              </w:rPr>
            </w:pPr>
          </w:p>
        </w:tc>
        <w:tc>
          <w:tcPr>
            <w:tcW w:w="1200" w:type="dxa"/>
            <w:vAlign w:val="bottom"/>
          </w:tcPr>
          <w:p>
            <w:pPr>
              <w:jc w:val="center"/>
              <w:ind w:right="83"/>
              <w:spacing w:after="0"/>
              <w:rPr>
                <w:sz w:val="20"/>
                <w:szCs w:val="20"/>
                <w:color w:val="auto"/>
              </w:rPr>
            </w:pPr>
            <w:r>
              <w:rPr>
                <w:rFonts w:ascii="Arial" w:cs="Arial" w:eastAsia="Arial" w:hAnsi="Arial"/>
                <w:sz w:val="14"/>
                <w:szCs w:val="14"/>
                <w:b w:val="1"/>
                <w:bCs w:val="1"/>
                <w:color w:val="auto"/>
              </w:rPr>
              <w:t>Costs</w:t>
            </w:r>
          </w:p>
        </w:tc>
      </w:tr>
      <w:tr>
        <w:trPr>
          <w:trHeight w:val="204"/>
        </w:trPr>
        <w:tc>
          <w:tcPr>
            <w:tcW w:w="37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Employee severance obligations and other related</w:t>
            </w:r>
          </w:p>
        </w:tc>
        <w:tc>
          <w:tcPr>
            <w:tcW w:w="1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right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r>
      <w:tr>
        <w:trPr>
          <w:trHeight w:val="214"/>
        </w:trPr>
        <w:tc>
          <w:tcPr>
            <w:tcW w:w="37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costs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2,219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1,580</w:t>
            </w:r>
          </w:p>
        </w:tc>
        <w:tc>
          <w:tcPr>
            <w:tcW w:w="1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2,219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4,500</w:t>
            </w:r>
          </w:p>
        </w:tc>
      </w:tr>
      <w:tr>
        <w:trPr>
          <w:trHeight w:val="260"/>
        </w:trPr>
        <w:tc>
          <w:tcPr>
            <w:tcW w:w="3780" w:type="dxa"/>
            <w:vAlign w:val="bottom"/>
          </w:tcPr>
          <w:p>
            <w:pPr>
              <w:ind w:left="40"/>
              <w:spacing w:after="0"/>
              <w:rPr>
                <w:sz w:val="20"/>
                <w:szCs w:val="20"/>
                <w:color w:val="auto"/>
              </w:rPr>
            </w:pPr>
            <w:r>
              <w:rPr>
                <w:rFonts w:ascii="Arial" w:cs="Arial" w:eastAsia="Arial" w:hAnsi="Arial"/>
                <w:sz w:val="16"/>
                <w:szCs w:val="16"/>
                <w:color w:val="auto"/>
              </w:rPr>
              <w:t>Relocation and related costs</w:t>
            </w:r>
          </w:p>
        </w:tc>
        <w:tc>
          <w:tcPr>
            <w:tcW w:w="180" w:type="dxa"/>
            <w:vAlign w:val="bottom"/>
          </w:tcPr>
          <w:p>
            <w:pPr>
              <w:spacing w:after="0"/>
              <w:rPr>
                <w:sz w:val="22"/>
                <w:szCs w:val="22"/>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1,758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(1,188)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570</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1,758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23"/>
              <w:spacing w:after="0"/>
              <w:rPr>
                <w:sz w:val="20"/>
                <w:szCs w:val="20"/>
                <w:color w:val="auto"/>
              </w:rPr>
            </w:pPr>
            <w:r>
              <w:rPr>
                <w:rFonts w:ascii="Arial" w:cs="Arial" w:eastAsia="Arial" w:hAnsi="Arial"/>
                <w:sz w:val="16"/>
                <w:szCs w:val="16"/>
                <w:color w:val="auto"/>
              </w:rPr>
              <w:t>2,000</w:t>
            </w:r>
          </w:p>
        </w:tc>
      </w:tr>
      <w:tr>
        <w:trPr>
          <w:trHeight w:val="280"/>
        </w:trPr>
        <w:tc>
          <w:tcPr>
            <w:tcW w:w="3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Lease restructuring charges</w:t>
            </w:r>
          </w:p>
        </w:tc>
        <w:tc>
          <w:tcPr>
            <w:tcW w:w="18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24"/>
                <w:szCs w:val="24"/>
                <w:color w:val="auto"/>
              </w:rPr>
            </w:pPr>
          </w:p>
        </w:tc>
        <w:tc>
          <w:tcPr>
            <w:tcW w:w="9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1,300</w:t>
            </w:r>
          </w:p>
        </w:tc>
      </w:tr>
      <w:tr>
        <w:trPr>
          <w:trHeight w:val="264"/>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Asset impairments</w:t>
            </w: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433</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(433)</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ind w:left="6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right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433</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1,200</w:t>
            </w:r>
          </w:p>
        </w:tc>
      </w:tr>
      <w:tr>
        <w:trPr>
          <w:trHeight w:val="240"/>
        </w:trPr>
        <w:tc>
          <w:tcPr>
            <w:tcW w:w="3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4,410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2,150</w:t>
            </w:r>
          </w:p>
        </w:tc>
        <w:tc>
          <w:tcPr>
            <w:tcW w:w="14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4,410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9,000</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left="360" w:hanging="352"/>
        <w:spacing w:after="0"/>
        <w:tabs>
          <w:tab w:leader="none" w:pos="3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47"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at the measurement date. Inputs used to measure fair value are prioritized within a three-level fair value hierarchy. This hierarchy requires entities to maximize the use of observable inputs and minimize the use of unobservable inputs. The three levels of inputs used to measure fair value are as follows:</w:t>
      </w:r>
    </w:p>
    <w:p>
      <w:pPr>
        <w:spacing w:after="0" w:line="186" w:lineRule="exact"/>
        <w:rPr>
          <w:sz w:val="20"/>
          <w:szCs w:val="20"/>
          <w:color w:val="auto"/>
        </w:rPr>
      </w:pPr>
    </w:p>
    <w:p>
      <w:pPr>
        <w:ind w:left="116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in active markets for identical assets or liabilities.</w:t>
      </w:r>
    </w:p>
    <w:p>
      <w:pPr>
        <w:spacing w:after="0" w:line="117" w:lineRule="exact"/>
        <w:rPr>
          <w:sz w:val="20"/>
          <w:szCs w:val="20"/>
          <w:color w:val="auto"/>
        </w:rPr>
      </w:pPr>
    </w:p>
    <w:p>
      <w:pPr>
        <w:ind w:left="520" w:right="80" w:firstLine="648"/>
        <w:spacing w:after="0" w:line="266"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Observable inputs other than quoted prices included in Level 1, such as quoted prices for similar assets and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in active markets; quoted prices for identical or similar assets and liabilities in markets that are not active; or other inputs that are observable or can be corroborated by observable market data.</w:t>
      </w:r>
    </w:p>
    <w:p>
      <w:pPr>
        <w:spacing w:after="0" w:line="68" w:lineRule="exact"/>
        <w:rPr>
          <w:sz w:val="20"/>
          <w:szCs w:val="20"/>
          <w:color w:val="auto"/>
        </w:rPr>
      </w:pPr>
    </w:p>
    <w:p>
      <w:pPr>
        <w:ind w:left="520" w:right="60" w:firstLine="648"/>
        <w:spacing w:after="0" w:line="266"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Unobservable inputs that are supported by little or no market activity and that are significant to the fair value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assets or liabilities. This includes certain pricing models, discounted cash flow methodologies, and similar techniques that use significant unobservable inputs.</w:t>
      </w:r>
    </w:p>
    <w:p>
      <w:pPr>
        <w:spacing w:after="0" w:line="86" w:lineRule="exact"/>
        <w:rPr>
          <w:sz w:val="20"/>
          <w:szCs w:val="20"/>
          <w:color w:val="auto"/>
        </w:rPr>
      </w:pPr>
    </w:p>
    <w:p>
      <w:pPr>
        <w:jc w:val="both"/>
        <w:ind w:right="240" w:firstLine="486"/>
        <w:spacing w:after="0" w:line="262" w:lineRule="auto"/>
        <w:rPr>
          <w:sz w:val="20"/>
          <w:szCs w:val="20"/>
          <w:color w:val="auto"/>
        </w:rPr>
      </w:pPr>
      <w:r>
        <w:rPr>
          <w:rFonts w:ascii="Arial" w:cs="Arial" w:eastAsia="Arial" w:hAnsi="Arial"/>
          <w:sz w:val="18"/>
          <w:szCs w:val="18"/>
          <w:color w:val="auto"/>
        </w:rPr>
        <w:t>There have been no transfers of assets or liabilities between these fair value measurement classifications during the six months ended June 30, 2015.</w:t>
      </w:r>
    </w:p>
    <w:p>
      <w:pPr>
        <w:spacing w:after="0" w:line="88" w:lineRule="exact"/>
        <w:rPr>
          <w:sz w:val="20"/>
          <w:szCs w:val="20"/>
          <w:color w:val="auto"/>
        </w:rPr>
      </w:pPr>
    </w:p>
    <w:p>
      <w:pPr>
        <w:jc w:val="both"/>
        <w:ind w:right="220" w:firstLine="486"/>
        <w:spacing w:after="0" w:line="256" w:lineRule="auto"/>
        <w:rPr>
          <w:sz w:val="20"/>
          <w:szCs w:val="20"/>
          <w:color w:val="auto"/>
        </w:rPr>
      </w:pPr>
      <w:r>
        <w:rPr>
          <w:rFonts w:ascii="Arial" w:cs="Arial" w:eastAsia="Arial" w:hAnsi="Arial"/>
          <w:sz w:val="18"/>
          <w:szCs w:val="18"/>
          <w:color w:val="auto"/>
        </w:rPr>
        <w:t>The Company’s fair value measurements are evaluated within the fair value hierarchy, based on the nature of inputs used to determine the fair value at the measurement date. At June 30, 2015, the Company had the following financial assets and liabilities that are measured at fair value on a recurring basis:</w:t>
      </w:r>
    </w:p>
    <w:p>
      <w:pPr>
        <w:spacing w:after="0" w:line="76" w:lineRule="exact"/>
        <w:rPr>
          <w:sz w:val="20"/>
          <w:szCs w:val="20"/>
          <w:color w:val="auto"/>
        </w:rPr>
      </w:pPr>
    </w:p>
    <w:p>
      <w:pPr>
        <w:ind w:left="500" w:right="860"/>
        <w:spacing w:after="0" w:line="282" w:lineRule="auto"/>
        <w:rPr>
          <w:sz w:val="20"/>
          <w:szCs w:val="20"/>
          <w:color w:val="auto"/>
        </w:rPr>
      </w:pPr>
      <w:r>
        <w:rPr>
          <w:rFonts w:ascii="Arial" w:cs="Arial" w:eastAsia="Arial" w:hAnsi="Arial"/>
          <w:sz w:val="18"/>
          <w:szCs w:val="18"/>
          <w:i w:val="1"/>
          <w:iCs w:val="1"/>
          <w:color w:val="auto"/>
        </w:rPr>
        <w:t xml:space="preserve">Cash Equivalents </w:t>
      </w:r>
      <w:r>
        <w:rPr>
          <w:rFonts w:ascii="Arial" w:cs="Arial" w:eastAsia="Arial" w:hAnsi="Arial"/>
          <w:sz w:val="18"/>
          <w:szCs w:val="18"/>
          <w:color w:val="auto"/>
        </w:rPr>
        <w:t>— The Company’s cash equivalents include money market funds, which are short term in nature with readily</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determinable values derived from active markets.</w:t>
      </w:r>
    </w:p>
    <w:p>
      <w:pPr>
        <w:spacing w:after="0" w:line="54" w:lineRule="exact"/>
        <w:rPr>
          <w:sz w:val="20"/>
          <w:szCs w:val="20"/>
          <w:color w:val="auto"/>
        </w:rPr>
      </w:pPr>
    </w:p>
    <w:p>
      <w:pPr>
        <w:ind w:left="500" w:right="80"/>
        <w:spacing w:after="0" w:line="261" w:lineRule="auto"/>
        <w:rPr>
          <w:sz w:val="20"/>
          <w:szCs w:val="20"/>
          <w:color w:val="auto"/>
        </w:rPr>
      </w:pPr>
      <w:r>
        <w:rPr>
          <w:rFonts w:ascii="Arial" w:cs="Arial" w:eastAsia="Arial" w:hAnsi="Arial"/>
          <w:sz w:val="18"/>
          <w:szCs w:val="18"/>
          <w:i w:val="1"/>
          <w:iCs w:val="1"/>
          <w:color w:val="auto"/>
        </w:rPr>
        <w:t xml:space="preserve">Securities Owned and Securities Sold, But Not Yet Purchased </w:t>
      </w:r>
      <w:r>
        <w:rPr>
          <w:rFonts w:ascii="Arial" w:cs="Arial" w:eastAsia="Arial" w:hAnsi="Arial"/>
          <w:sz w:val="18"/>
          <w:szCs w:val="18"/>
          <w:color w:val="auto"/>
        </w:rPr>
        <w:t>— The Company's trading securities consist of house account model</w:t>
      </w:r>
      <w:r>
        <w:rPr>
          <w:rFonts w:ascii="Arial" w:cs="Arial" w:eastAsia="Arial" w:hAnsi="Arial"/>
          <w:sz w:val="18"/>
          <w:szCs w:val="18"/>
          <w:i w:val="1"/>
          <w:iCs w:val="1"/>
          <w:color w:val="auto"/>
        </w:rPr>
        <w:t xml:space="preserve"> </w:t>
      </w:r>
      <w:r>
        <w:rPr>
          <w:rFonts w:ascii="Arial" w:cs="Arial" w:eastAsia="Arial" w:hAnsi="Arial"/>
          <w:sz w:val="18"/>
          <w:szCs w:val="18"/>
          <w:color w:val="auto"/>
        </w:rPr>
        <w:t>portfolios established and managed for the purpose of benchmarking the performance of its fee-based advisory platforms and temporary positions resulting from the processing of client transactions. Examples of these securities include money market funds, U.S. treasury obligations, mutual funds, certificates of deposit, and traded equity and debt securities.</w:t>
      </w:r>
    </w:p>
    <w:p>
      <w:pPr>
        <w:spacing w:after="0" w:line="90"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The Company uses prices obtained from independent third-party pricing services to measure the fair value of its trading securities. Prices received from the pricing services are validated using various methods including comparison to prices received from additional pricing services, comparison to available quoted market prices, and review of other relevant market data including implied yields of major categories of securities. In general, these quoted prices are derived from active markets for identical assets or liabilities. When quoted prices in active markets for identical assets and liabilities are not available, the quoted prices are based on similar assets and liabilities or inputs other than the quoted prices that are observable, either directly or indirectly. For certificates of deposit and treasury securities, the Company utilizes market-based inputs, including observable market interest rates that correspond to the remaining maturities or the next interest reset dates. At June 30, 2015, the Company did not adjust prices received from the independent third-party pricing services.</w:t>
      </w:r>
    </w:p>
    <w:p>
      <w:pPr>
        <w:spacing w:after="0" w:line="80" w:lineRule="exact"/>
        <w:rPr>
          <w:sz w:val="20"/>
          <w:szCs w:val="20"/>
          <w:color w:val="auto"/>
        </w:rPr>
      </w:pPr>
    </w:p>
    <w:p>
      <w:pPr>
        <w:ind w:left="500" w:right="260"/>
        <w:spacing w:after="0" w:line="266" w:lineRule="auto"/>
        <w:rPr>
          <w:sz w:val="20"/>
          <w:szCs w:val="20"/>
          <w:color w:val="auto"/>
        </w:rPr>
      </w:pPr>
      <w:r>
        <w:rPr>
          <w:rFonts w:ascii="Arial" w:cs="Arial" w:eastAsia="Arial" w:hAnsi="Arial"/>
          <w:sz w:val="18"/>
          <w:szCs w:val="18"/>
          <w:i w:val="1"/>
          <w:iCs w:val="1"/>
          <w:color w:val="auto"/>
        </w:rPr>
        <w:t xml:space="preserve">Other Assets </w:t>
      </w:r>
      <w:r>
        <w:rPr>
          <w:rFonts w:ascii="Arial" w:cs="Arial" w:eastAsia="Arial" w:hAnsi="Arial"/>
          <w:sz w:val="18"/>
          <w:szCs w:val="18"/>
          <w:color w:val="auto"/>
        </w:rPr>
        <w:t>— The Company’s other assets include: (1) deferred compensation plan assets that are invested in money market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 mutual funds, which are actively traded and valued based on quoted market prices; (2) certain non-traded real estate investment trusts and auction rate notes, which are valued</w:t>
      </w:r>
    </w:p>
    <w:p>
      <w:pPr>
        <w:sectPr>
          <w:pgSz w:w="11900" w:h="16838" w:orient="portrait"/>
          <w:cols w:equalWidth="0" w:num="1">
            <w:col w:w="11420"/>
          </w:cols>
          <w:pgMar w:left="240" w:top="441" w:right="239" w:bottom="1440" w:gutter="0" w:footer="0" w:header="0"/>
        </w:sect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441" w:right="239" w:bottom="144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98" w:lineRule="exact"/>
        <w:rPr>
          <w:sz w:val="20"/>
          <w:szCs w:val="20"/>
          <w:color w:val="auto"/>
        </w:rPr>
      </w:pPr>
    </w:p>
    <w:p>
      <w:pPr>
        <w:jc w:val="both"/>
        <w:ind w:left="500" w:right="200"/>
        <w:spacing w:after="0" w:line="256" w:lineRule="auto"/>
        <w:rPr>
          <w:sz w:val="20"/>
          <w:szCs w:val="20"/>
          <w:color w:val="auto"/>
        </w:rPr>
      </w:pPr>
      <w:r>
        <w:rPr>
          <w:rFonts w:ascii="Arial" w:cs="Arial" w:eastAsia="Arial" w:hAnsi="Arial"/>
          <w:sz w:val="18"/>
          <w:szCs w:val="18"/>
          <w:color w:val="auto"/>
        </w:rPr>
        <w:t>using quoted prices for identical or similar securities and other inputs that are observable or can be corroborated by observable market data; and (3) cash flow hedges, which are measured using quoted prices for similar cash flow hedges, taking into account counterparty credit risk and the Company's own non-performance risk.</w:t>
      </w:r>
    </w:p>
    <w:p>
      <w:pPr>
        <w:spacing w:after="0" w:line="76" w:lineRule="exact"/>
        <w:rPr>
          <w:sz w:val="20"/>
          <w:szCs w:val="20"/>
          <w:color w:val="auto"/>
        </w:rPr>
      </w:pPr>
    </w:p>
    <w:p>
      <w:pPr>
        <w:ind w:left="500" w:right="260"/>
        <w:spacing w:after="0" w:line="282" w:lineRule="auto"/>
        <w:rPr>
          <w:sz w:val="20"/>
          <w:szCs w:val="20"/>
          <w:color w:val="auto"/>
        </w:rPr>
      </w:pPr>
      <w:r>
        <w:rPr>
          <w:rFonts w:ascii="Arial" w:cs="Arial" w:eastAsia="Arial" w:hAnsi="Arial"/>
          <w:sz w:val="18"/>
          <w:szCs w:val="18"/>
          <w:i w:val="1"/>
          <w:iCs w:val="1"/>
          <w:color w:val="auto"/>
        </w:rPr>
        <w:t xml:space="preserve">Accounts Payable and Accrued Liabilities </w:t>
      </w:r>
      <w:r>
        <w:rPr>
          <w:rFonts w:ascii="Arial" w:cs="Arial" w:eastAsia="Arial" w:hAnsi="Arial"/>
          <w:sz w:val="18"/>
          <w:szCs w:val="18"/>
          <w:color w:val="auto"/>
        </w:rPr>
        <w:t>— The Company's accounts payable and accrued liabilities include contingent consideration</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that are measured using Level 3 inputs.</w:t>
      </w:r>
    </w:p>
    <w:p>
      <w:pPr>
        <w:spacing w:after="0" w:line="7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Company’s financial assets and financial liabilities measured at fair value on a recurring basis 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30, 2015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7"/>
                <w:szCs w:val="17"/>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7"/>
                <w:szCs w:val="17"/>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3</w:t>
            </w:r>
          </w:p>
        </w:tc>
        <w:tc>
          <w:tcPr>
            <w:tcW w:w="320" w:type="dxa"/>
            <w:vAlign w:val="bottom"/>
          </w:tcPr>
          <w:p>
            <w:pPr>
              <w:spacing w:after="0"/>
              <w:rPr>
                <w:sz w:val="17"/>
                <w:szCs w:val="17"/>
                <w:color w:val="auto"/>
              </w:rPr>
            </w:pPr>
          </w:p>
        </w:tc>
        <w:tc>
          <w:tcPr>
            <w:tcW w:w="1040" w:type="dxa"/>
            <w:vAlign w:val="bottom"/>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6"/>
        </w:trPr>
        <w:tc>
          <w:tcPr>
            <w:tcW w:w="5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8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620" w:type="dxa"/>
            <w:vAlign w:val="bottom"/>
          </w:tcPr>
          <w:p>
            <w:pPr>
              <w:ind w:left="180"/>
              <w:spacing w:after="0"/>
              <w:rPr>
                <w:sz w:val="20"/>
                <w:szCs w:val="20"/>
                <w:color w:val="auto"/>
              </w:rPr>
            </w:pPr>
            <w:r>
              <w:rPr>
                <w:rFonts w:ascii="Arial" w:cs="Arial" w:eastAsia="Arial" w:hAnsi="Arial"/>
                <w:sz w:val="16"/>
                <w:szCs w:val="16"/>
                <w:color w:val="auto"/>
              </w:rPr>
              <w:t>Cash equivalents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8,234</w:t>
            </w:r>
          </w:p>
        </w:tc>
        <w:tc>
          <w:tcPr>
            <w:tcW w:w="120" w:type="dxa"/>
            <w:vAlign w:val="bottom"/>
          </w:tcPr>
          <w:p>
            <w:pPr>
              <w:spacing w:after="0"/>
              <w:rPr>
                <w:sz w:val="22"/>
                <w:szCs w:val="22"/>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8,234</w:t>
            </w: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Securities owned — trading:</w:t>
            </w: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5620" w:type="dxa"/>
            <w:vAlign w:val="bottom"/>
          </w:tcPr>
          <w:p>
            <w:pPr>
              <w:ind w:left="380"/>
              <w:spacing w:after="0"/>
              <w:rPr>
                <w:sz w:val="20"/>
                <w:szCs w:val="20"/>
                <w:color w:val="auto"/>
              </w:rPr>
            </w:pPr>
            <w:r>
              <w:rPr>
                <w:rFonts w:ascii="Arial" w:cs="Arial" w:eastAsia="Arial" w:hAnsi="Arial"/>
                <w:sz w:val="16"/>
                <w:szCs w:val="16"/>
                <w:color w:val="auto"/>
              </w:rPr>
              <w:t>Money market funds</w:t>
            </w:r>
          </w:p>
        </w:tc>
        <w:tc>
          <w:tcPr>
            <w:tcW w:w="280" w:type="dxa"/>
            <w:vAlign w:val="bottom"/>
          </w:tcPr>
          <w:p>
            <w:pPr>
              <w:spacing w:after="0"/>
              <w:rPr>
                <w:sz w:val="22"/>
                <w:szCs w:val="22"/>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262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262</w:t>
            </w: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Mutual funds</w:t>
            </w: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7,333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7,333</w:t>
            </w:r>
          </w:p>
        </w:tc>
        <w:tc>
          <w:tcPr>
            <w:tcW w:w="0" w:type="dxa"/>
            <w:vAlign w:val="bottom"/>
          </w:tcPr>
          <w:p>
            <w:pPr>
              <w:spacing w:after="0"/>
              <w:rPr>
                <w:sz w:val="1"/>
                <w:szCs w:val="1"/>
                <w:color w:val="auto"/>
              </w:rPr>
            </w:pPr>
          </w:p>
        </w:tc>
      </w:tr>
      <w:tr>
        <w:trPr>
          <w:trHeight w:val="260"/>
        </w:trPr>
        <w:tc>
          <w:tcPr>
            <w:tcW w:w="5620" w:type="dxa"/>
            <w:vAlign w:val="bottom"/>
          </w:tcPr>
          <w:p>
            <w:pPr>
              <w:ind w:left="380"/>
              <w:spacing w:after="0"/>
              <w:rPr>
                <w:sz w:val="20"/>
                <w:szCs w:val="20"/>
                <w:color w:val="auto"/>
              </w:rPr>
            </w:pPr>
            <w:r>
              <w:rPr>
                <w:rFonts w:ascii="Arial" w:cs="Arial" w:eastAsia="Arial" w:hAnsi="Arial"/>
                <w:sz w:val="16"/>
                <w:szCs w:val="16"/>
                <w:color w:val="auto"/>
              </w:rPr>
              <w:t>Equity securities</w:t>
            </w:r>
          </w:p>
        </w:tc>
        <w:tc>
          <w:tcPr>
            <w:tcW w:w="280" w:type="dxa"/>
            <w:vAlign w:val="bottom"/>
          </w:tcPr>
          <w:p>
            <w:pPr>
              <w:spacing w:after="0"/>
              <w:rPr>
                <w:sz w:val="22"/>
                <w:szCs w:val="22"/>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Debt securities</w:t>
            </w:r>
          </w:p>
        </w:tc>
        <w:tc>
          <w:tcPr>
            <w:tcW w:w="28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U.S. treasury obligations</w:t>
            </w: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4,310</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4,310</w:t>
            </w:r>
          </w:p>
        </w:tc>
        <w:tc>
          <w:tcPr>
            <w:tcW w:w="0" w:type="dxa"/>
            <w:vAlign w:val="bottom"/>
          </w:tcPr>
          <w:p>
            <w:pPr>
              <w:spacing w:after="0"/>
              <w:rPr>
                <w:sz w:val="1"/>
                <w:szCs w:val="1"/>
                <w:color w:val="auto"/>
              </w:rPr>
            </w:pPr>
          </w:p>
        </w:tc>
      </w:tr>
      <w:tr>
        <w:trPr>
          <w:trHeight w:val="25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securities owned — trading</w:t>
            </w:r>
          </w:p>
        </w:tc>
        <w:tc>
          <w:tcPr>
            <w:tcW w:w="2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11,965</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11,986</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assets</w:t>
            </w: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98,804</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4,100</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102,904</w:t>
            </w:r>
          </w:p>
        </w:tc>
        <w:tc>
          <w:tcPr>
            <w:tcW w:w="0" w:type="dxa"/>
            <w:vAlign w:val="bottom"/>
          </w:tcPr>
          <w:p>
            <w:pPr>
              <w:spacing w:after="0"/>
              <w:rPr>
                <w:sz w:val="1"/>
                <w:szCs w:val="1"/>
                <w:color w:val="auto"/>
              </w:rPr>
            </w:pPr>
          </w:p>
        </w:tc>
      </w:tr>
      <w:tr>
        <w:trPr>
          <w:trHeight w:val="24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assets at fair value</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119,003</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4,121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123,124</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Liabilities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Securities sold, but not yet purchased:</w:t>
            </w: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5620" w:type="dxa"/>
            <w:vAlign w:val="bottom"/>
          </w:tcPr>
          <w:p>
            <w:pPr>
              <w:ind w:left="380"/>
              <w:spacing w:after="0"/>
              <w:rPr>
                <w:sz w:val="20"/>
                <w:szCs w:val="20"/>
                <w:color w:val="auto"/>
              </w:rPr>
            </w:pPr>
            <w:r>
              <w:rPr>
                <w:rFonts w:ascii="Arial" w:cs="Arial" w:eastAsia="Arial" w:hAnsi="Arial"/>
                <w:sz w:val="16"/>
                <w:szCs w:val="16"/>
                <w:color w:val="auto"/>
              </w:rPr>
              <w:t>Equity securities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2"/>
                <w:szCs w:val="22"/>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73"/>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Debt securities</w:t>
            </w:r>
          </w:p>
        </w:tc>
        <w:tc>
          <w:tcPr>
            <w:tcW w:w="2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1,693</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1,693</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securities sold, but not yet purchased</w:t>
            </w: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1,693</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1,735</w:t>
            </w:r>
          </w:p>
        </w:tc>
        <w:tc>
          <w:tcPr>
            <w:tcW w:w="0" w:type="dxa"/>
            <w:vAlign w:val="bottom"/>
          </w:tcPr>
          <w:p>
            <w:pPr>
              <w:spacing w:after="0"/>
              <w:rPr>
                <w:sz w:val="1"/>
                <w:szCs w:val="1"/>
                <w:color w:val="auto"/>
              </w:rPr>
            </w:pPr>
          </w:p>
        </w:tc>
      </w:tr>
      <w:tr>
        <w:trPr>
          <w:trHeight w:val="25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Accounts payable and accrued liabilities</w:t>
            </w:r>
          </w:p>
        </w:tc>
        <w:tc>
          <w:tcPr>
            <w:tcW w:w="28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527</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527</w:t>
            </w:r>
          </w:p>
        </w:tc>
        <w:tc>
          <w:tcPr>
            <w:tcW w:w="0" w:type="dxa"/>
            <w:vAlign w:val="bottom"/>
          </w:tcPr>
          <w:p>
            <w:pPr>
              <w:spacing w:after="0"/>
              <w:rPr>
                <w:sz w:val="1"/>
                <w:szCs w:val="1"/>
                <w:color w:val="auto"/>
              </w:rPr>
            </w:pPr>
          </w:p>
        </w:tc>
      </w:tr>
      <w:tr>
        <w:trPr>
          <w:trHeight w:val="240"/>
        </w:trPr>
        <w:tc>
          <w:tcPr>
            <w:tcW w:w="5620" w:type="dxa"/>
            <w:vAlign w:val="bottom"/>
          </w:tcPr>
          <w:p>
            <w:pPr>
              <w:ind w:left="380"/>
              <w:spacing w:after="0"/>
              <w:rPr>
                <w:sz w:val="20"/>
                <w:szCs w:val="20"/>
                <w:color w:val="auto"/>
              </w:rPr>
            </w:pPr>
            <w:r>
              <w:rPr>
                <w:rFonts w:ascii="Arial" w:cs="Arial" w:eastAsia="Arial" w:hAnsi="Arial"/>
                <w:sz w:val="16"/>
                <w:szCs w:val="16"/>
                <w:color w:val="auto"/>
              </w:rPr>
              <w:t>Total liabilities at fair value</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1,693</w:t>
            </w: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527</w:t>
            </w:r>
          </w:p>
        </w:tc>
        <w:tc>
          <w:tcPr>
            <w:tcW w:w="12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2,262</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41"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9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Company’s financial assets and financial liabilities measured at fair value on a recurring basis 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2014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7"/>
                <w:szCs w:val="17"/>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7"/>
                <w:szCs w:val="17"/>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3</w:t>
            </w:r>
          </w:p>
        </w:tc>
        <w:tc>
          <w:tcPr>
            <w:tcW w:w="320" w:type="dxa"/>
            <w:vAlign w:val="bottom"/>
          </w:tcPr>
          <w:p>
            <w:pPr>
              <w:spacing w:after="0"/>
              <w:rPr>
                <w:sz w:val="17"/>
                <w:szCs w:val="17"/>
                <w:color w:val="auto"/>
              </w:rPr>
            </w:pPr>
          </w:p>
        </w:tc>
        <w:tc>
          <w:tcPr>
            <w:tcW w:w="1040" w:type="dxa"/>
            <w:vAlign w:val="bottom"/>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6"/>
        </w:trPr>
        <w:tc>
          <w:tcPr>
            <w:tcW w:w="5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8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620" w:type="dxa"/>
            <w:vAlign w:val="bottom"/>
          </w:tcPr>
          <w:p>
            <w:pPr>
              <w:ind w:left="180"/>
              <w:spacing w:after="0"/>
              <w:rPr>
                <w:sz w:val="20"/>
                <w:szCs w:val="20"/>
                <w:color w:val="auto"/>
              </w:rPr>
            </w:pPr>
            <w:r>
              <w:rPr>
                <w:rFonts w:ascii="Arial" w:cs="Arial" w:eastAsia="Arial" w:hAnsi="Arial"/>
                <w:sz w:val="16"/>
                <w:szCs w:val="16"/>
                <w:color w:val="auto"/>
              </w:rPr>
              <w:t>Cash equivalents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22,592</w:t>
            </w:r>
          </w:p>
        </w:tc>
        <w:tc>
          <w:tcPr>
            <w:tcW w:w="120" w:type="dxa"/>
            <w:vAlign w:val="bottom"/>
          </w:tcPr>
          <w:p>
            <w:pPr>
              <w:spacing w:after="0"/>
              <w:rPr>
                <w:sz w:val="22"/>
                <w:szCs w:val="22"/>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22,592</w:t>
            </w: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Securities owned — trading:</w:t>
            </w: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5620" w:type="dxa"/>
            <w:vAlign w:val="bottom"/>
          </w:tcPr>
          <w:p>
            <w:pPr>
              <w:ind w:left="380"/>
              <w:spacing w:after="0"/>
              <w:rPr>
                <w:sz w:val="20"/>
                <w:szCs w:val="20"/>
                <w:color w:val="auto"/>
              </w:rPr>
            </w:pPr>
            <w:r>
              <w:rPr>
                <w:rFonts w:ascii="Arial" w:cs="Arial" w:eastAsia="Arial" w:hAnsi="Arial"/>
                <w:sz w:val="16"/>
                <w:szCs w:val="16"/>
                <w:color w:val="auto"/>
              </w:rPr>
              <w:t>Money market funds</w:t>
            </w:r>
          </w:p>
        </w:tc>
        <w:tc>
          <w:tcPr>
            <w:tcW w:w="280" w:type="dxa"/>
            <w:vAlign w:val="bottom"/>
          </w:tcPr>
          <w:p>
            <w:pPr>
              <w:spacing w:after="0"/>
              <w:rPr>
                <w:sz w:val="22"/>
                <w:szCs w:val="22"/>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293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293</w:t>
            </w: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Mutual funds</w:t>
            </w: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7,570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7,570</w:t>
            </w:r>
          </w:p>
        </w:tc>
        <w:tc>
          <w:tcPr>
            <w:tcW w:w="0" w:type="dxa"/>
            <w:vAlign w:val="bottom"/>
          </w:tcPr>
          <w:p>
            <w:pPr>
              <w:spacing w:after="0"/>
              <w:rPr>
                <w:sz w:val="1"/>
                <w:szCs w:val="1"/>
                <w:color w:val="auto"/>
              </w:rPr>
            </w:pPr>
          </w:p>
        </w:tc>
      </w:tr>
      <w:tr>
        <w:trPr>
          <w:trHeight w:val="260"/>
        </w:trPr>
        <w:tc>
          <w:tcPr>
            <w:tcW w:w="5620" w:type="dxa"/>
            <w:vAlign w:val="bottom"/>
          </w:tcPr>
          <w:p>
            <w:pPr>
              <w:ind w:left="380"/>
              <w:spacing w:after="0"/>
              <w:rPr>
                <w:sz w:val="20"/>
                <w:szCs w:val="20"/>
                <w:color w:val="auto"/>
              </w:rPr>
            </w:pPr>
            <w:r>
              <w:rPr>
                <w:rFonts w:ascii="Arial" w:cs="Arial" w:eastAsia="Arial" w:hAnsi="Arial"/>
                <w:sz w:val="16"/>
                <w:szCs w:val="16"/>
                <w:color w:val="auto"/>
              </w:rPr>
              <w:t>Equity securities</w:t>
            </w:r>
          </w:p>
        </w:tc>
        <w:tc>
          <w:tcPr>
            <w:tcW w:w="280" w:type="dxa"/>
            <w:vAlign w:val="bottom"/>
          </w:tcPr>
          <w:p>
            <w:pPr>
              <w:spacing w:after="0"/>
              <w:rPr>
                <w:sz w:val="22"/>
                <w:szCs w:val="22"/>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224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224</w:t>
            </w: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Debt securities</w:t>
            </w:r>
          </w:p>
        </w:tc>
        <w:tc>
          <w:tcPr>
            <w:tcW w:w="28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1,379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1,379</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U.S. treasury obligations</w:t>
            </w: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4,000</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4,000</w:t>
            </w:r>
          </w:p>
        </w:tc>
        <w:tc>
          <w:tcPr>
            <w:tcW w:w="0" w:type="dxa"/>
            <w:vAlign w:val="bottom"/>
          </w:tcPr>
          <w:p>
            <w:pPr>
              <w:spacing w:after="0"/>
              <w:rPr>
                <w:sz w:val="1"/>
                <w:szCs w:val="1"/>
                <w:color w:val="auto"/>
              </w:rPr>
            </w:pPr>
          </w:p>
        </w:tc>
      </w:tr>
      <w:tr>
        <w:trPr>
          <w:trHeight w:val="25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securities owned — trading</w:t>
            </w:r>
          </w:p>
        </w:tc>
        <w:tc>
          <w:tcPr>
            <w:tcW w:w="2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12,087</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1,379</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13,466</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assets</w:t>
            </w: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75,540</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5,058</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80,598</w:t>
            </w:r>
          </w:p>
        </w:tc>
        <w:tc>
          <w:tcPr>
            <w:tcW w:w="0" w:type="dxa"/>
            <w:vAlign w:val="bottom"/>
          </w:tcPr>
          <w:p>
            <w:pPr>
              <w:spacing w:after="0"/>
              <w:rPr>
                <w:sz w:val="1"/>
                <w:szCs w:val="1"/>
                <w:color w:val="auto"/>
              </w:rPr>
            </w:pPr>
          </w:p>
        </w:tc>
      </w:tr>
      <w:tr>
        <w:trPr>
          <w:trHeight w:val="24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assets at fair value</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110,219</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6,437</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116,656</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Liabilities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Securities sold, but not yet purchased:</w:t>
            </w: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5620" w:type="dxa"/>
            <w:vAlign w:val="bottom"/>
          </w:tcPr>
          <w:p>
            <w:pPr>
              <w:ind w:left="380"/>
              <w:spacing w:after="0"/>
              <w:rPr>
                <w:sz w:val="20"/>
                <w:szCs w:val="20"/>
                <w:color w:val="auto"/>
              </w:rPr>
            </w:pPr>
            <w:r>
              <w:rPr>
                <w:rFonts w:ascii="Arial" w:cs="Arial" w:eastAsia="Arial" w:hAnsi="Arial"/>
                <w:sz w:val="16"/>
                <w:szCs w:val="16"/>
                <w:color w:val="auto"/>
              </w:rPr>
              <w:t>Mutual funds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2"/>
                <w:szCs w:val="22"/>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Equity securities</w:t>
            </w: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279</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279</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Debt securities</w:t>
            </w: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5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securities sold, but not yet purchased</w:t>
            </w:r>
          </w:p>
        </w:tc>
        <w:tc>
          <w:tcPr>
            <w:tcW w:w="2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292</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302</w:t>
            </w:r>
          </w:p>
        </w:tc>
        <w:tc>
          <w:tcPr>
            <w:tcW w:w="0" w:type="dxa"/>
            <w:vAlign w:val="bottom"/>
          </w:tcPr>
          <w:p>
            <w:pPr>
              <w:spacing w:after="0"/>
              <w:rPr>
                <w:sz w:val="1"/>
                <w:szCs w:val="1"/>
                <w:color w:val="auto"/>
              </w:rPr>
            </w:pPr>
          </w:p>
        </w:tc>
      </w:tr>
      <w:tr>
        <w:trPr>
          <w:trHeight w:val="250"/>
        </w:trPr>
        <w:tc>
          <w:tcPr>
            <w:tcW w:w="5620" w:type="dxa"/>
            <w:vAlign w:val="bottom"/>
          </w:tcPr>
          <w:p>
            <w:pPr>
              <w:ind w:left="180"/>
              <w:spacing w:after="0"/>
              <w:rPr>
                <w:sz w:val="20"/>
                <w:szCs w:val="20"/>
                <w:color w:val="auto"/>
              </w:rPr>
            </w:pPr>
            <w:r>
              <w:rPr>
                <w:rFonts w:ascii="Arial" w:cs="Arial" w:eastAsia="Arial" w:hAnsi="Arial"/>
                <w:sz w:val="16"/>
                <w:szCs w:val="16"/>
                <w:color w:val="auto"/>
              </w:rPr>
              <w:t>Accounts payable and accrued liabilities</w:t>
            </w:r>
          </w:p>
        </w:tc>
        <w:tc>
          <w:tcPr>
            <w:tcW w:w="28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527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527</w:t>
            </w:r>
          </w:p>
        </w:tc>
        <w:tc>
          <w:tcPr>
            <w:tcW w:w="0" w:type="dxa"/>
            <w:vAlign w:val="bottom"/>
          </w:tcPr>
          <w:p>
            <w:pPr>
              <w:spacing w:after="0"/>
              <w:rPr>
                <w:sz w:val="1"/>
                <w:szCs w:val="1"/>
                <w:color w:val="auto"/>
              </w:rPr>
            </w:pPr>
          </w:p>
        </w:tc>
      </w:tr>
      <w:tr>
        <w:trPr>
          <w:trHeight w:val="240"/>
        </w:trPr>
        <w:tc>
          <w:tcPr>
            <w:tcW w:w="562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liabilities at fair value</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292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527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829</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Level 3 Recurring Fair Value Measurements</w:t>
      </w:r>
    </w:p>
    <w:p>
      <w:pPr>
        <w:spacing w:after="0" w:line="247" w:lineRule="exact"/>
        <w:rPr>
          <w:sz w:val="20"/>
          <w:szCs w:val="20"/>
          <w:color w:val="auto"/>
        </w:rPr>
      </w:pPr>
    </w:p>
    <w:p>
      <w:pPr>
        <w:ind w:right="160" w:firstLine="486"/>
        <w:spacing w:after="0" w:line="252" w:lineRule="auto"/>
        <w:rPr>
          <w:sz w:val="20"/>
          <w:szCs w:val="20"/>
          <w:color w:val="auto"/>
        </w:rPr>
      </w:pPr>
      <w:r>
        <w:rPr>
          <w:rFonts w:ascii="Arial" w:cs="Arial" w:eastAsia="Arial" w:hAnsi="Arial"/>
          <w:sz w:val="18"/>
          <w:szCs w:val="18"/>
          <w:color w:val="auto"/>
        </w:rPr>
        <w:t>The Company determines the fair value for its contingent consideration obligations using an income approach whereby the Company assesses the probability and timing of the achievement of the applicable milestones, which are based on contractually negotiated financial or operating targets that vary by acquisition transaction, such as revenues. The contingent payments are estimated using a probability weighted, multi-scenario analysis of expected future performance of the acquired businesses. The Company then discounts these expected payment amounts to calculate the fair value as of the valuation date. The Company's management evaluates the underlying projections and other related factors used in determining fair value each period and makes updates when there have been significant changes in management's expectations.</w:t>
      </w:r>
    </w:p>
    <w:p>
      <w:pPr>
        <w:spacing w:after="0" w:line="239" w:lineRule="exact"/>
        <w:rPr>
          <w:sz w:val="20"/>
          <w:szCs w:val="20"/>
          <w:color w:val="auto"/>
        </w:rPr>
      </w:pPr>
    </w:p>
    <w:p>
      <w:pPr>
        <w:ind w:left="360" w:hanging="352"/>
        <w:spacing w:after="0"/>
        <w:tabs>
          <w:tab w:leader="none" w:pos="3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Held-to-Maturity Securities</w:t>
      </w:r>
    </w:p>
    <w:p>
      <w:pPr>
        <w:spacing w:after="0" w:line="247" w:lineRule="exact"/>
        <w:rPr>
          <w:sz w:val="20"/>
          <w:szCs w:val="20"/>
          <w:color w:val="auto"/>
        </w:rPr>
      </w:pPr>
    </w:p>
    <w:p>
      <w:pPr>
        <w:ind w:right="260" w:firstLine="486"/>
        <w:spacing w:after="0" w:line="254" w:lineRule="auto"/>
        <w:rPr>
          <w:sz w:val="20"/>
          <w:szCs w:val="20"/>
          <w:color w:val="auto"/>
        </w:rPr>
      </w:pPr>
      <w:r>
        <w:rPr>
          <w:rFonts w:ascii="Arial" w:cs="Arial" w:eastAsia="Arial" w:hAnsi="Arial"/>
          <w:sz w:val="18"/>
          <w:szCs w:val="18"/>
          <w:color w:val="auto"/>
        </w:rPr>
        <w:t>The Company holds certain investments in securities, primarily U.S. government notes, which are recorded at amortized cost because the Company has both the intent and the ability to hold these investments to maturity. Interest income is accrued as earned. Premiums and discounts are amortized using a method that approximates the effective yield method over the term of the security and are recorded as an adjustment to the investment yield.</w:t>
      </w:r>
    </w:p>
    <w:p>
      <w:pPr>
        <w:spacing w:after="0" w:line="2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amortized cost, gross unrealized gain or loss, and fair value of securities held-to-maturity were as follows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June 30,</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tcPr>
          <w:p>
            <w:pPr>
              <w:jc w:val="right"/>
              <w:ind w:right="319"/>
              <w:spacing w:after="0"/>
              <w:rPr>
                <w:sz w:val="20"/>
                <w:szCs w:val="20"/>
                <w:color w:val="auto"/>
              </w:rPr>
            </w:pPr>
            <w:r>
              <w:rPr>
                <w:rFonts w:ascii="Arial" w:cs="Arial" w:eastAsia="Arial" w:hAnsi="Arial"/>
                <w:sz w:val="16"/>
                <w:szCs w:val="16"/>
                <w:b w:val="1"/>
                <w:bCs w:val="1"/>
                <w:color w:val="auto"/>
              </w:rPr>
              <w:t>December 31,</w:t>
            </w:r>
          </w:p>
        </w:tc>
      </w:tr>
      <w:tr>
        <w:trPr>
          <w:trHeight w:val="228"/>
        </w:trPr>
        <w:tc>
          <w:tcPr>
            <w:tcW w:w="766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2015</w:t>
            </w:r>
          </w:p>
        </w:tc>
        <w:tc>
          <w:tcPr>
            <w:tcW w:w="5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2014</w:t>
            </w:r>
          </w:p>
        </w:tc>
      </w:tr>
      <w:tr>
        <w:trPr>
          <w:trHeight w:val="257"/>
        </w:trPr>
        <w:tc>
          <w:tcPr>
            <w:tcW w:w="7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Amortized cost</w:t>
            </w:r>
          </w:p>
        </w:tc>
        <w:tc>
          <w:tcPr>
            <w:tcW w:w="1260" w:type="dxa"/>
            <w:vAlign w:val="bottom"/>
            <w:shd w:val="clear" w:color="auto" w:fill="CCEEFF"/>
          </w:tcPr>
          <w:p>
            <w:pPr>
              <w:jc w:val="right"/>
              <w:ind w:right="1059"/>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8,599</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8,594</w:t>
            </w:r>
          </w:p>
        </w:tc>
      </w:tr>
      <w:tr>
        <w:trPr>
          <w:trHeight w:val="264"/>
        </w:trPr>
        <w:tc>
          <w:tcPr>
            <w:tcW w:w="76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Gross unrealized gain (loss)</w:t>
            </w:r>
          </w:p>
        </w:tc>
        <w:tc>
          <w:tcPr>
            <w:tcW w:w="12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r>
      <w:tr>
        <w:trPr>
          <w:trHeight w:val="240"/>
        </w:trPr>
        <w:tc>
          <w:tcPr>
            <w:tcW w:w="7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Fair value</w:t>
            </w:r>
          </w:p>
        </w:tc>
        <w:tc>
          <w:tcPr>
            <w:tcW w:w="1260" w:type="dxa"/>
            <w:vAlign w:val="bottom"/>
            <w:tcBorders>
              <w:bottom w:val="single" w:sz="8" w:color="auto"/>
            </w:tcBorders>
            <w:shd w:val="clear" w:color="auto" w:fill="CCEEFF"/>
          </w:tcPr>
          <w:p>
            <w:pPr>
              <w:jc w:val="right"/>
              <w:ind w:right="105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8,601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8,580</w:t>
            </w:r>
          </w:p>
        </w:tc>
      </w:tr>
      <w:tr>
        <w:trPr>
          <w:trHeight w:val="20"/>
        </w:trPr>
        <w:tc>
          <w:tcPr>
            <w:tcW w:w="76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41"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 June 30, 2015, the securities held-to-maturity were scheduled to mature as follows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3"/>
          </w:tcPr>
          <w:p>
            <w:pPr>
              <w:ind w:left="40"/>
              <w:spacing w:after="0"/>
              <w:rPr>
                <w:sz w:val="20"/>
                <w:szCs w:val="20"/>
                <w:color w:val="auto"/>
              </w:rPr>
            </w:pPr>
            <w:r>
              <w:rPr>
                <w:rFonts w:ascii="Arial" w:cs="Arial" w:eastAsia="Arial" w:hAnsi="Arial"/>
                <w:sz w:val="16"/>
                <w:szCs w:val="16"/>
                <w:b w:val="1"/>
                <w:bCs w:val="1"/>
                <w:color w:val="auto"/>
              </w:rPr>
              <w:t>After one but within</w:t>
            </w:r>
          </w:p>
        </w:tc>
        <w:tc>
          <w:tcPr>
            <w:tcW w:w="1700" w:type="dxa"/>
            <w:vAlign w:val="bottom"/>
            <w:gridSpan w:val="3"/>
          </w:tcPr>
          <w:p>
            <w:pPr>
              <w:ind w:left="40"/>
              <w:spacing w:after="0"/>
              <w:rPr>
                <w:sz w:val="20"/>
                <w:szCs w:val="20"/>
                <w:color w:val="auto"/>
              </w:rPr>
            </w:pPr>
            <w:r>
              <w:rPr>
                <w:rFonts w:ascii="Arial" w:cs="Arial" w:eastAsia="Arial" w:hAnsi="Arial"/>
                <w:sz w:val="16"/>
                <w:szCs w:val="16"/>
                <w:b w:val="1"/>
                <w:bCs w:val="1"/>
                <w:color w:val="auto"/>
              </w:rPr>
              <w:t>After five but within</w:t>
            </w: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28"/>
        </w:trPr>
        <w:tc>
          <w:tcPr>
            <w:tcW w:w="4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ind w:left="40"/>
              <w:spacing w:after="0"/>
              <w:rPr>
                <w:sz w:val="20"/>
                <w:szCs w:val="20"/>
                <w:color w:val="auto"/>
              </w:rPr>
            </w:pPr>
            <w:r>
              <w:rPr>
                <w:rFonts w:ascii="Arial" w:cs="Arial" w:eastAsia="Arial" w:hAnsi="Arial"/>
                <w:sz w:val="16"/>
                <w:szCs w:val="16"/>
                <w:b w:val="1"/>
                <w:bCs w:val="1"/>
                <w:color w:val="auto"/>
              </w:rPr>
              <w:t>Within one year</w:t>
            </w:r>
          </w:p>
        </w:tc>
        <w:tc>
          <w:tcPr>
            <w:tcW w:w="280" w:type="dxa"/>
            <w:vAlign w:val="bottom"/>
          </w:tcPr>
          <w:p>
            <w:pPr>
              <w:spacing w:after="0"/>
              <w:rPr>
                <w:sz w:val="19"/>
                <w:szCs w:val="19"/>
                <w:color w:val="auto"/>
              </w:rPr>
            </w:pPr>
          </w:p>
        </w:tc>
        <w:tc>
          <w:tcPr>
            <w:tcW w:w="1420" w:type="dxa"/>
            <w:vAlign w:val="bottom"/>
            <w:gridSpan w:val="2"/>
          </w:tcPr>
          <w:p>
            <w:pPr>
              <w:ind w:left="140"/>
              <w:spacing w:after="0"/>
              <w:rPr>
                <w:sz w:val="20"/>
                <w:szCs w:val="20"/>
                <w:color w:val="auto"/>
              </w:rPr>
            </w:pPr>
            <w:r>
              <w:rPr>
                <w:rFonts w:ascii="Arial" w:cs="Arial" w:eastAsia="Arial" w:hAnsi="Arial"/>
                <w:sz w:val="16"/>
                <w:szCs w:val="16"/>
                <w:b w:val="1"/>
                <w:bCs w:val="1"/>
                <w:color w:val="auto"/>
              </w:rPr>
              <w:t>five years</w:t>
            </w:r>
          </w:p>
        </w:tc>
        <w:tc>
          <w:tcPr>
            <w:tcW w:w="280" w:type="dxa"/>
            <w:vAlign w:val="bottom"/>
          </w:tcPr>
          <w:p>
            <w:pPr>
              <w:spacing w:after="0"/>
              <w:rPr>
                <w:sz w:val="19"/>
                <w:szCs w:val="19"/>
                <w:color w:val="auto"/>
              </w:rPr>
            </w:pPr>
          </w:p>
        </w:tc>
        <w:tc>
          <w:tcPr>
            <w:tcW w:w="1420" w:type="dxa"/>
            <w:vAlign w:val="bottom"/>
            <w:gridSpan w:val="2"/>
          </w:tcPr>
          <w:p>
            <w:pPr>
              <w:ind w:left="160"/>
              <w:spacing w:after="0"/>
              <w:rPr>
                <w:sz w:val="20"/>
                <w:szCs w:val="20"/>
                <w:color w:val="auto"/>
              </w:rPr>
            </w:pPr>
            <w:r>
              <w:rPr>
                <w:rFonts w:ascii="Arial" w:cs="Arial" w:eastAsia="Arial" w:hAnsi="Arial"/>
                <w:sz w:val="16"/>
                <w:szCs w:val="16"/>
                <w:b w:val="1"/>
                <w:bCs w:val="1"/>
                <w:color w:val="auto"/>
              </w:rPr>
              <w:t>ten years</w:t>
            </w:r>
          </w:p>
        </w:tc>
        <w:tc>
          <w:tcPr>
            <w:tcW w:w="360" w:type="dxa"/>
            <w:vAlign w:val="bottom"/>
          </w:tcPr>
          <w:p>
            <w:pPr>
              <w:spacing w:after="0"/>
              <w:rPr>
                <w:sz w:val="19"/>
                <w:szCs w:val="19"/>
                <w:color w:val="auto"/>
              </w:rPr>
            </w:pPr>
          </w:p>
        </w:tc>
        <w:tc>
          <w:tcPr>
            <w:tcW w:w="1240" w:type="dxa"/>
            <w:vAlign w:val="bottom"/>
          </w:tcPr>
          <w:p>
            <w:pPr>
              <w:jc w:val="right"/>
              <w:ind w:right="519"/>
              <w:spacing w:after="0"/>
              <w:rPr>
                <w:sz w:val="20"/>
                <w:szCs w:val="20"/>
                <w:color w:val="auto"/>
              </w:rPr>
            </w:pPr>
            <w:r>
              <w:rPr>
                <w:rFonts w:ascii="Arial" w:cs="Arial" w:eastAsia="Arial" w:hAnsi="Arial"/>
                <w:sz w:val="16"/>
                <w:szCs w:val="16"/>
                <w:b w:val="1"/>
                <w:bCs w:val="1"/>
                <w:color w:val="auto"/>
              </w:rPr>
              <w:t>Total</w:t>
            </w:r>
          </w:p>
        </w:tc>
      </w:tr>
      <w:tr>
        <w:trPr>
          <w:trHeight w:val="24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U.S. government notes — at amortized cost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4,098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4,001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8,599</w:t>
            </w: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24"/>
        </w:trPr>
        <w:tc>
          <w:tcPr>
            <w:tcW w:w="4700" w:type="dxa"/>
            <w:vAlign w:val="bottom"/>
          </w:tcPr>
          <w:p>
            <w:pPr>
              <w:ind w:left="40"/>
              <w:spacing w:after="0"/>
              <w:rPr>
                <w:sz w:val="20"/>
                <w:szCs w:val="20"/>
                <w:color w:val="auto"/>
              </w:rPr>
            </w:pPr>
            <w:r>
              <w:rPr>
                <w:rFonts w:ascii="Arial" w:cs="Arial" w:eastAsia="Arial" w:hAnsi="Arial"/>
                <w:sz w:val="16"/>
                <w:szCs w:val="16"/>
                <w:color w:val="auto"/>
              </w:rPr>
              <w:t>U.S. government notes — at fair value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4,103</w:t>
            </w:r>
          </w:p>
        </w:tc>
        <w:tc>
          <w:tcPr>
            <w:tcW w:w="100" w:type="dxa"/>
            <w:vAlign w:val="bottom"/>
          </w:tcPr>
          <w:p>
            <w:pPr>
              <w:spacing w:after="0"/>
              <w:rPr>
                <w:sz w:val="19"/>
                <w:szCs w:val="19"/>
                <w:color w:val="auto"/>
              </w:rPr>
            </w:pP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4,004</w:t>
            </w:r>
          </w:p>
        </w:tc>
        <w:tc>
          <w:tcPr>
            <w:tcW w:w="100" w:type="dxa"/>
            <w:vAlign w:val="bottom"/>
          </w:tcPr>
          <w:p>
            <w:pPr>
              <w:spacing w:after="0"/>
              <w:rPr>
                <w:sz w:val="19"/>
                <w:szCs w:val="19"/>
                <w:color w:val="auto"/>
              </w:rPr>
            </w:pP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494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8,601</w:t>
            </w: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Financial Instruments</w:t>
      </w:r>
    </w:p>
    <w:p>
      <w:pPr>
        <w:spacing w:after="0" w:line="247"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auto"/>
        </w:rPr>
        <w:t>In May 2013, in conjunction with its Service Value Commitment initiative, the Company entered into a long-term contractual obligation (the “Agreement”) with a third-party provider to enhance the quality, speed, and cost of processes by outsourcing certain functions. The Agreement enables the third-party provider to use the services of its affiliates in India to provide services to the Company and provides for the Company to settle the cost of its contractual obligation to the third-party provider in U.S. dollars each month. However, the Agreement provides that on each annual anniversary date of the signing of the Agreement, the price for services (denominated in U.S. dollars) is to be adjusted for the then-current exchange rate between the U.S. dollar (“USD”) and the Indian rupee (“INR”). The Agreement provides that, once an annual adjustment is calculated, there are no further modifications to the amounts paid by the Company to the third-party provider for fluctuations in the exchange rate between the USD and the INR until the reset on the next anniversary date of the signing of the Agreement.</w:t>
      </w:r>
    </w:p>
    <w:p>
      <w:pPr>
        <w:spacing w:after="0" w:line="206" w:lineRule="exact"/>
        <w:rPr>
          <w:sz w:val="20"/>
          <w:szCs w:val="20"/>
          <w:color w:val="auto"/>
        </w:rPr>
      </w:pPr>
    </w:p>
    <w:p>
      <w:pPr>
        <w:ind w:right="20" w:firstLine="486"/>
        <w:spacing w:after="0" w:line="256" w:lineRule="auto"/>
        <w:rPr>
          <w:sz w:val="20"/>
          <w:szCs w:val="20"/>
          <w:color w:val="auto"/>
        </w:rPr>
      </w:pPr>
      <w:r>
        <w:rPr>
          <w:rFonts w:ascii="Arial" w:cs="Arial" w:eastAsia="Arial" w:hAnsi="Arial"/>
          <w:sz w:val="18"/>
          <w:szCs w:val="18"/>
          <w:color w:val="auto"/>
        </w:rPr>
        <w:t>The third-party provider bore the risk of currency movement from the date of signing the Agreement until the reset on the first anniversary of its signing, and bears such risk during each period until the next annual reset date. The Company bears the risk of currency movement at each of the annual reset dates following the first anniversary.</w:t>
      </w:r>
    </w:p>
    <w:p>
      <w:pPr>
        <w:spacing w:after="0" w:line="202" w:lineRule="exact"/>
        <w:rPr>
          <w:sz w:val="20"/>
          <w:szCs w:val="20"/>
          <w:color w:val="auto"/>
        </w:rPr>
      </w:pPr>
    </w:p>
    <w:p>
      <w:pPr>
        <w:ind w:right="100" w:firstLine="486"/>
        <w:spacing w:after="0" w:line="252" w:lineRule="auto"/>
        <w:rPr>
          <w:sz w:val="20"/>
          <w:szCs w:val="20"/>
          <w:color w:val="auto"/>
        </w:rPr>
      </w:pPr>
      <w:r>
        <w:rPr>
          <w:rFonts w:ascii="Arial" w:cs="Arial" w:eastAsia="Arial" w:hAnsi="Arial"/>
          <w:sz w:val="18"/>
          <w:szCs w:val="18"/>
          <w:color w:val="auto"/>
        </w:rPr>
        <w:t>To mitigate foreign currency risk arising from these annual anniversary events, the Company entered into four non-deliverable foreign currency contracts, all of which have been designated as cash flow hedges. The first cash flow hedge, with a notional amount of 560.4 million INR, or $8.5 million, settled in June 2014. The Company received a settlement of $1.0 million, which was reclassified out of accumulated other comprehensive income and recognized in net income ratably over the 12-month period ending May 31, 2015 to match the timing of the underlying hedged item. The second cash flow hedge, with a notional amount of 560.4 million INR, or $8.1 million, settled in June 2015. The Company received a settlement of $ 0.7 million, which will be reclassified out of accumulated other comprehensive income and recognized in net income ratably over a 12-month period ending May 31, 2016 to match the timing of the underlying hedged item.</w:t>
      </w:r>
    </w:p>
    <w:p>
      <w:pPr>
        <w:spacing w:after="0" w:line="207" w:lineRule="exact"/>
        <w:rPr>
          <w:sz w:val="20"/>
          <w:szCs w:val="20"/>
          <w:color w:val="auto"/>
        </w:rPr>
      </w:pPr>
    </w:p>
    <w:p>
      <w:pPr>
        <w:ind w:right="20" w:firstLine="486"/>
        <w:spacing w:after="0" w:line="262" w:lineRule="auto"/>
        <w:rPr>
          <w:sz w:val="20"/>
          <w:szCs w:val="20"/>
          <w:color w:val="auto"/>
        </w:rPr>
      </w:pPr>
      <w:r>
        <w:rPr>
          <w:rFonts w:ascii="Arial" w:cs="Arial" w:eastAsia="Arial" w:hAnsi="Arial"/>
          <w:sz w:val="18"/>
          <w:szCs w:val="18"/>
          <w:color w:val="auto"/>
        </w:rPr>
        <w:t>The details related to the remaining non-deliverable foreign currency contracts at June 30, 2015 are as follows (in millions, except foreign exchange rate):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9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Hedged Notional</w:t>
            </w:r>
          </w:p>
        </w:tc>
        <w:tc>
          <w:tcPr>
            <w:tcW w:w="2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Contractual INR/USD</w:t>
            </w:r>
          </w:p>
        </w:tc>
        <w:tc>
          <w:tcPr>
            <w:tcW w:w="220" w:type="dxa"/>
            <w:vAlign w:val="bottom"/>
          </w:tcPr>
          <w:p>
            <w:pPr>
              <w:spacing w:after="0"/>
              <w:rPr>
                <w:sz w:val="16"/>
                <w:szCs w:val="16"/>
                <w:color w:val="auto"/>
              </w:rPr>
            </w:pPr>
          </w:p>
        </w:tc>
        <w:tc>
          <w:tcPr>
            <w:tcW w:w="1720" w:type="dxa"/>
            <w:vAlign w:val="bottom"/>
          </w:tcPr>
          <w:p>
            <w:pPr>
              <w:jc w:val="right"/>
              <w:ind w:right="239"/>
              <w:spacing w:after="0"/>
              <w:rPr>
                <w:sz w:val="20"/>
                <w:szCs w:val="20"/>
                <w:color w:val="auto"/>
              </w:rPr>
            </w:pPr>
            <w:r>
              <w:rPr>
                <w:rFonts w:ascii="Arial" w:cs="Arial" w:eastAsia="Arial" w:hAnsi="Arial"/>
                <w:sz w:val="16"/>
                <w:szCs w:val="16"/>
                <w:b w:val="1"/>
                <w:bCs w:val="1"/>
                <w:color w:val="auto"/>
              </w:rPr>
              <w:t>Hedged Notional</w:t>
            </w:r>
          </w:p>
        </w:tc>
      </w:tr>
      <w:tr>
        <w:trPr>
          <w:trHeight w:val="228"/>
        </w:trPr>
        <w:tc>
          <w:tcPr>
            <w:tcW w:w="3900" w:type="dxa"/>
            <w:vAlign w:val="bottom"/>
          </w:tcPr>
          <w:p>
            <w:pPr>
              <w:spacing w:after="0"/>
              <w:rPr>
                <w:sz w:val="19"/>
                <w:szCs w:val="19"/>
                <w:color w:val="auto"/>
              </w:rPr>
            </w:pPr>
          </w:p>
        </w:tc>
        <w:tc>
          <w:tcPr>
            <w:tcW w:w="1500" w:type="dxa"/>
            <w:vAlign w:val="bottom"/>
            <w:gridSpan w:val="2"/>
          </w:tcPr>
          <w:p>
            <w:pPr>
              <w:ind w:left="80"/>
              <w:spacing w:after="0"/>
              <w:rPr>
                <w:sz w:val="20"/>
                <w:szCs w:val="20"/>
                <w:color w:val="auto"/>
              </w:rPr>
            </w:pPr>
            <w:r>
              <w:rPr>
                <w:rFonts w:ascii="Arial" w:cs="Arial" w:eastAsia="Arial" w:hAnsi="Arial"/>
                <w:sz w:val="16"/>
                <w:szCs w:val="16"/>
                <w:b w:val="1"/>
                <w:bCs w:val="1"/>
                <w:color w:val="auto"/>
              </w:rPr>
              <w:t>Settlement Date</w:t>
            </w:r>
          </w:p>
        </w:tc>
        <w:tc>
          <w:tcPr>
            <w:tcW w:w="2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Amount (INR)</w:t>
            </w:r>
          </w:p>
        </w:tc>
        <w:tc>
          <w:tcPr>
            <w:tcW w:w="20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Foreign Exchange Rate</w:t>
            </w:r>
          </w:p>
        </w:tc>
        <w:tc>
          <w:tcPr>
            <w:tcW w:w="220" w:type="dxa"/>
            <w:vAlign w:val="bottom"/>
          </w:tcPr>
          <w:p>
            <w:pPr>
              <w:spacing w:after="0"/>
              <w:rPr>
                <w:sz w:val="19"/>
                <w:szCs w:val="19"/>
                <w:color w:val="auto"/>
              </w:rPr>
            </w:pPr>
          </w:p>
        </w:tc>
        <w:tc>
          <w:tcPr>
            <w:tcW w:w="1720" w:type="dxa"/>
            <w:vAlign w:val="bottom"/>
          </w:tcPr>
          <w:p>
            <w:pPr>
              <w:jc w:val="right"/>
              <w:ind w:right="339"/>
              <w:spacing w:after="0"/>
              <w:rPr>
                <w:sz w:val="20"/>
                <w:szCs w:val="20"/>
                <w:color w:val="auto"/>
              </w:rPr>
            </w:pPr>
            <w:r>
              <w:rPr>
                <w:rFonts w:ascii="Arial" w:cs="Arial" w:eastAsia="Arial" w:hAnsi="Arial"/>
                <w:sz w:val="16"/>
                <w:szCs w:val="16"/>
                <w:b w:val="1"/>
                <w:bCs w:val="1"/>
                <w:color w:val="auto"/>
              </w:rPr>
              <w:t>Amount (USD)</w:t>
            </w:r>
          </w:p>
        </w:tc>
      </w:tr>
      <w:tr>
        <w:trPr>
          <w:trHeight w:val="247"/>
        </w:trPr>
        <w:tc>
          <w:tcPr>
            <w:tcW w:w="3900" w:type="dxa"/>
            <w:vAlign w:val="bottom"/>
          </w:tcPr>
          <w:p>
            <w:pPr>
              <w:ind w:left="40"/>
              <w:spacing w:after="0"/>
              <w:rPr>
                <w:sz w:val="20"/>
                <w:szCs w:val="20"/>
                <w:color w:val="auto"/>
              </w:rPr>
            </w:pPr>
            <w:r>
              <w:rPr>
                <w:rFonts w:ascii="Arial" w:cs="Arial" w:eastAsia="Arial" w:hAnsi="Arial"/>
                <w:sz w:val="16"/>
                <w:szCs w:val="16"/>
                <w:color w:val="auto"/>
              </w:rPr>
              <w:t>Cash flow hedge #3</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6/2/2016</w:t>
            </w:r>
          </w:p>
        </w:tc>
        <w:tc>
          <w:tcPr>
            <w:tcW w:w="120" w:type="dxa"/>
            <w:vAlign w:val="bottom"/>
          </w:tcPr>
          <w:p>
            <w:pPr>
              <w:spacing w:after="0"/>
              <w:rPr>
                <w:sz w:val="21"/>
                <w:szCs w:val="21"/>
                <w:color w:val="auto"/>
              </w:rPr>
            </w:pPr>
          </w:p>
        </w:tc>
        <w:tc>
          <w:tcPr>
            <w:tcW w:w="1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560.4</w:t>
            </w:r>
          </w:p>
        </w:tc>
        <w:tc>
          <w:tcPr>
            <w:tcW w:w="100" w:type="dxa"/>
            <w:vAlign w:val="bottom"/>
          </w:tcPr>
          <w:p>
            <w:pPr>
              <w:spacing w:after="0"/>
              <w:rPr>
                <w:sz w:val="21"/>
                <w:szCs w:val="21"/>
                <w:color w:val="auto"/>
              </w:rPr>
            </w:pPr>
          </w:p>
        </w:tc>
        <w:tc>
          <w:tcPr>
            <w:tcW w:w="1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72.21</w:t>
            </w: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7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7.8</w:t>
            </w:r>
          </w:p>
        </w:tc>
      </w:tr>
      <w:tr>
        <w:trPr>
          <w:trHeight w:val="273"/>
        </w:trPr>
        <w:tc>
          <w:tcPr>
            <w:tcW w:w="3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flow hedge #4</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6/2/2017</w:t>
            </w:r>
          </w:p>
        </w:tc>
        <w:tc>
          <w:tcPr>
            <w:tcW w:w="120" w:type="dxa"/>
            <w:vAlign w:val="bottom"/>
            <w:shd w:val="clear" w:color="auto" w:fill="CCEEFF"/>
          </w:tcPr>
          <w:p>
            <w:pPr>
              <w:spacing w:after="0"/>
              <w:rPr>
                <w:sz w:val="23"/>
                <w:szCs w:val="23"/>
                <w:color w:val="auto"/>
              </w:rPr>
            </w:pPr>
          </w:p>
        </w:tc>
        <w:tc>
          <w:tcPr>
            <w:tcW w:w="1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560.4</w:t>
            </w:r>
          </w:p>
        </w:tc>
        <w:tc>
          <w:tcPr>
            <w:tcW w:w="100" w:type="dxa"/>
            <w:vAlign w:val="bottom"/>
            <w:shd w:val="clear" w:color="auto" w:fill="CCEEFF"/>
          </w:tcPr>
          <w:p>
            <w:pPr>
              <w:spacing w:after="0"/>
              <w:rPr>
                <w:sz w:val="23"/>
                <w:szCs w:val="23"/>
                <w:color w:val="auto"/>
              </w:rPr>
            </w:pPr>
          </w:p>
        </w:tc>
        <w:tc>
          <w:tcPr>
            <w:tcW w:w="1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74.20</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7.5</w:t>
            </w:r>
          </w:p>
        </w:tc>
      </w:tr>
      <w:tr>
        <w:trPr>
          <w:trHeight w:val="240"/>
        </w:trPr>
        <w:tc>
          <w:tcPr>
            <w:tcW w:w="3900" w:type="dxa"/>
            <w:vAlign w:val="bottom"/>
          </w:tcPr>
          <w:p>
            <w:pPr>
              <w:ind w:left="40"/>
              <w:spacing w:after="0"/>
              <w:rPr>
                <w:sz w:val="20"/>
                <w:szCs w:val="20"/>
                <w:color w:val="auto"/>
              </w:rPr>
            </w:pPr>
            <w:r>
              <w:rPr>
                <w:rFonts w:ascii="Arial" w:cs="Arial" w:eastAsia="Arial" w:hAnsi="Arial"/>
                <w:sz w:val="16"/>
                <w:szCs w:val="16"/>
                <w:color w:val="auto"/>
              </w:rPr>
              <w:t>Total hedged amount</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15.3</w:t>
            </w:r>
          </w:p>
        </w:tc>
      </w:tr>
      <w:tr>
        <w:trPr>
          <w:trHeight w:val="20"/>
        </w:trPr>
        <w:tc>
          <w:tcPr>
            <w:tcW w:w="39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380" w:firstLine="486"/>
        <w:spacing w:after="0" w:line="262" w:lineRule="auto"/>
        <w:rPr>
          <w:sz w:val="20"/>
          <w:szCs w:val="20"/>
          <w:color w:val="auto"/>
        </w:rPr>
      </w:pPr>
      <w:r>
        <w:rPr>
          <w:rFonts w:ascii="Arial" w:cs="Arial" w:eastAsia="Arial" w:hAnsi="Arial"/>
          <w:sz w:val="18"/>
          <w:szCs w:val="18"/>
          <w:color w:val="auto"/>
        </w:rPr>
        <w:t>The fair value of the derivative instruments, included in other assets in the unaudited condensed consolidated statements of financial condition, were as follows (in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00" w:type="dxa"/>
            <w:vAlign w:val="bottom"/>
          </w:tcPr>
          <w:p>
            <w:pPr>
              <w:spacing w:after="0"/>
              <w:rPr>
                <w:sz w:val="16"/>
                <w:szCs w:val="16"/>
                <w:color w:val="auto"/>
              </w:rPr>
            </w:pPr>
          </w:p>
        </w:tc>
        <w:tc>
          <w:tcPr>
            <w:tcW w:w="1240" w:type="dxa"/>
            <w:vAlign w:val="bottom"/>
          </w:tcPr>
          <w:p>
            <w:pPr>
              <w:jc w:val="center"/>
              <w:ind w:left="339"/>
              <w:spacing w:after="0"/>
              <w:rPr>
                <w:sz w:val="20"/>
                <w:szCs w:val="20"/>
                <w:color w:val="auto"/>
              </w:rPr>
            </w:pPr>
            <w:r>
              <w:rPr>
                <w:rFonts w:ascii="Arial" w:cs="Arial" w:eastAsia="Arial" w:hAnsi="Arial"/>
                <w:sz w:val="16"/>
                <w:szCs w:val="16"/>
                <w:b w:val="1"/>
                <w:bCs w:val="1"/>
                <w:color w:val="auto"/>
              </w:rPr>
              <w:t>June 30,</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jc w:val="center"/>
              <w:ind w:right="159"/>
              <w:spacing w:after="0"/>
              <w:rPr>
                <w:sz w:val="20"/>
                <w:szCs w:val="20"/>
                <w:color w:val="auto"/>
              </w:rPr>
            </w:pPr>
            <w:r>
              <w:rPr>
                <w:rFonts w:ascii="Arial" w:cs="Arial" w:eastAsia="Arial" w:hAnsi="Arial"/>
                <w:sz w:val="16"/>
                <w:szCs w:val="16"/>
                <w:b w:val="1"/>
                <w:bCs w:val="1"/>
                <w:color w:val="auto"/>
              </w:rPr>
              <w:t>December 31,</w:t>
            </w:r>
          </w:p>
        </w:tc>
      </w:tr>
      <w:tr>
        <w:trPr>
          <w:trHeight w:val="228"/>
        </w:trPr>
        <w:tc>
          <w:tcPr>
            <w:tcW w:w="79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2015</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2014</w:t>
            </w:r>
          </w:p>
        </w:tc>
      </w:tr>
      <w:tr>
        <w:trPr>
          <w:trHeight w:val="257"/>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flow hedges</w:t>
            </w:r>
          </w:p>
        </w:tc>
        <w:tc>
          <w:tcPr>
            <w:tcW w:w="1240" w:type="dxa"/>
            <w:vAlign w:val="bottom"/>
            <w:shd w:val="clear" w:color="auto" w:fill="CCEEFF"/>
          </w:tcPr>
          <w:p>
            <w:pPr>
              <w:jc w:val="right"/>
              <w:ind w:right="1039"/>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914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1,179</w:t>
            </w:r>
          </w:p>
        </w:tc>
      </w:tr>
    </w:tbl>
    <w:p>
      <w:pPr>
        <w:spacing w:after="0" w:line="301" w:lineRule="exact"/>
        <w:rPr>
          <w:sz w:val="20"/>
          <w:szCs w:val="20"/>
          <w:color w:val="auto"/>
        </w:rPr>
      </w:pPr>
    </w:p>
    <w:p>
      <w:pPr>
        <w:ind w:left="360" w:hanging="352"/>
        <w:spacing w:after="0"/>
        <w:tabs>
          <w:tab w:leader="none" w:pos="3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w:t>
      </w:r>
    </w:p>
    <w:p>
      <w:pPr>
        <w:spacing w:after="0" w:line="229" w:lineRule="exact"/>
        <w:rPr>
          <w:sz w:val="20"/>
          <w:szCs w:val="20"/>
          <w:color w:val="auto"/>
        </w:rPr>
      </w:pPr>
    </w:p>
    <w:p>
      <w:pPr>
        <w:ind w:right="40" w:firstLine="486"/>
        <w:spacing w:after="0" w:line="282" w:lineRule="auto"/>
        <w:rPr>
          <w:sz w:val="20"/>
          <w:szCs w:val="20"/>
          <w:color w:val="auto"/>
        </w:rPr>
      </w:pPr>
      <w:r>
        <w:rPr>
          <w:rFonts w:ascii="Arial" w:cs="Arial" w:eastAsia="Arial" w:hAnsi="Arial"/>
          <w:sz w:val="18"/>
          <w:szCs w:val="18"/>
          <w:color w:val="auto"/>
        </w:rPr>
        <w:t xml:space="preserve">Goodwill and intangible assets were a result of various acquisitions. See Note 8.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in the Company's 2014 Annual Report on Form 10-K for a discussion of the components of goodwill and additional information regarding intangible assets.</w:t>
      </w:r>
    </w:p>
    <w:p>
      <w:pPr>
        <w:sectPr>
          <w:pgSz w:w="11900" w:h="16838" w:orient="portrait"/>
          <w:cols w:equalWidth="0" w:num="1">
            <w:col w:w="11420"/>
          </w:cols>
          <w:pgMar w:left="240" w:top="441" w:right="239" w:bottom="1440" w:gutter="0" w:footer="0" w:header="0"/>
        </w:sect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20"/>
          </w:cols>
          <w:pgMar w:left="240" w:top="441" w:right="239" w:bottom="1440" w:gutter="0" w:footer="0" w:header="0"/>
          <w:type w:val="continuous"/>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60" w:hanging="352"/>
        <w:spacing w:after="0"/>
        <w:tabs>
          <w:tab w:leader="none" w:pos="3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5" w:lineRule="exact"/>
        <w:rPr>
          <w:sz w:val="20"/>
          <w:szCs w:val="20"/>
          <w:color w:val="auto"/>
        </w:rPr>
      </w:pPr>
    </w:p>
    <w:p>
      <w:pPr>
        <w:ind w:right="260" w:firstLine="486"/>
        <w:spacing w:after="0" w:line="262" w:lineRule="auto"/>
        <w:rPr>
          <w:sz w:val="20"/>
          <w:szCs w:val="20"/>
          <w:color w:val="auto"/>
        </w:rPr>
      </w:pPr>
      <w:r>
        <w:rPr>
          <w:rFonts w:ascii="Arial" w:cs="Arial" w:eastAsia="Arial" w:hAnsi="Arial"/>
          <w:sz w:val="18"/>
          <w:szCs w:val="18"/>
          <w:b w:val="1"/>
          <w:bCs w:val="1"/>
          <w:i w:val="1"/>
          <w:iCs w:val="1"/>
          <w:color w:val="auto"/>
        </w:rPr>
        <w:t xml:space="preserve">Senior Secured Credit Facilities </w:t>
      </w:r>
      <w:r>
        <w:rPr>
          <w:rFonts w:ascii="Arial" w:cs="Arial" w:eastAsia="Arial" w:hAnsi="Arial"/>
          <w:sz w:val="18"/>
          <w:szCs w:val="18"/>
          <w:color w:val="auto"/>
        </w:rPr>
        <w:t>— In October 2014, the Company entered into the Second Amendment, Extension and Incremental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Assumption Agreement (“Credit Agreement”) with its wholly owned subsidiary, LPL Holdings, Inc., and the other parties thereto. The Credit Agreement includes a term loan A (“Term Loan A”), a term loan B (“Term Loan B”), and a revolving credit facility (“Revolving Credit Facility”), which has a borrowing capacity of $400.0 million.</w:t>
      </w:r>
    </w:p>
    <w:p>
      <w:pPr>
        <w:spacing w:after="0" w:line="9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Company’s outstanding borrowings were as follows (dollars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ind w:left="580"/>
              <w:spacing w:after="0"/>
              <w:rPr>
                <w:sz w:val="20"/>
                <w:szCs w:val="20"/>
                <w:color w:val="auto"/>
              </w:rPr>
            </w:pPr>
            <w:r>
              <w:rPr>
                <w:rFonts w:ascii="Arial" w:cs="Arial" w:eastAsia="Arial" w:hAnsi="Arial"/>
                <w:sz w:val="16"/>
                <w:szCs w:val="16"/>
                <w:b w:val="1"/>
                <w:bCs w:val="1"/>
                <w:color w:val="auto"/>
              </w:rPr>
              <w:t>June 30, 2015</w:t>
            </w:r>
          </w:p>
        </w:tc>
        <w:tc>
          <w:tcPr>
            <w:tcW w:w="7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3"/>
          </w:tcPr>
          <w:p>
            <w:pPr>
              <w:jc w:val="right"/>
              <w:ind w:right="479"/>
              <w:spacing w:after="0"/>
              <w:rPr>
                <w:sz w:val="20"/>
                <w:szCs w:val="20"/>
                <w:color w:val="auto"/>
              </w:rPr>
            </w:pPr>
            <w:r>
              <w:rPr>
                <w:rFonts w:ascii="Arial" w:cs="Arial" w:eastAsia="Arial" w:hAnsi="Arial"/>
                <w:sz w:val="16"/>
                <w:szCs w:val="16"/>
                <w:b w:val="1"/>
                <w:bCs w:val="1"/>
                <w:color w:val="auto"/>
              </w:rPr>
              <w:t>December 31, 2014</w:t>
            </w:r>
          </w:p>
        </w:tc>
      </w:tr>
      <w:tr>
        <w:trPr>
          <w:trHeight w:val="198"/>
        </w:trPr>
        <w:tc>
          <w:tcPr>
            <w:tcW w:w="4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Interest</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Interest</w:t>
            </w:r>
          </w:p>
        </w:tc>
      </w:tr>
      <w:tr>
        <w:trPr>
          <w:trHeight w:val="228"/>
        </w:trPr>
        <w:tc>
          <w:tcPr>
            <w:tcW w:w="46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Senior Secured Credit Facilities</w:t>
            </w: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Maturity</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Balance</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Rate</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Balance</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Rate</w:t>
            </w:r>
          </w:p>
        </w:tc>
      </w:tr>
      <w:tr>
        <w:trPr>
          <w:trHeight w:val="257"/>
        </w:trPr>
        <w:tc>
          <w:tcPr>
            <w:tcW w:w="47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Revolving Credit Facility</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9/30/2019</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175,000</w:t>
            </w: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110,000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4.75%</w:t>
            </w:r>
          </w:p>
        </w:tc>
      </w:tr>
      <w:tr>
        <w:trPr>
          <w:trHeight w:val="260"/>
        </w:trPr>
        <w:tc>
          <w:tcPr>
            <w:tcW w:w="4780" w:type="dxa"/>
            <w:vAlign w:val="bottom"/>
            <w:gridSpan w:val="2"/>
          </w:tcPr>
          <w:p>
            <w:pPr>
              <w:ind w:left="80"/>
              <w:spacing w:after="0"/>
              <w:rPr>
                <w:sz w:val="20"/>
                <w:szCs w:val="20"/>
                <w:color w:val="auto"/>
              </w:rPr>
            </w:pPr>
            <w:r>
              <w:rPr>
                <w:rFonts w:ascii="Arial" w:cs="Arial" w:eastAsia="Arial" w:hAnsi="Arial"/>
                <w:sz w:val="16"/>
                <w:szCs w:val="16"/>
                <w:color w:val="auto"/>
              </w:rPr>
              <w:t>Senior secured term loans:</w:t>
            </w: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80"/>
        </w:trPr>
        <w:tc>
          <w:tcPr>
            <w:tcW w:w="478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Term Loan A</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9/30/2019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459,375</w:t>
            </w: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459,375</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2.67%</w:t>
            </w:r>
          </w:p>
        </w:tc>
      </w:tr>
      <w:tr>
        <w:trPr>
          <w:trHeight w:val="264"/>
        </w:trPr>
        <w:tc>
          <w:tcPr>
            <w:tcW w:w="4780" w:type="dxa"/>
            <w:vAlign w:val="bottom"/>
            <w:tcBorders>
              <w:bottom w:val="single" w:sz="8" w:color="CCEEFF"/>
            </w:tcBorders>
            <w:gridSpan w:val="2"/>
          </w:tcPr>
          <w:p>
            <w:pPr>
              <w:ind w:left="1000"/>
              <w:spacing w:after="0"/>
              <w:rPr>
                <w:sz w:val="20"/>
                <w:szCs w:val="20"/>
                <w:color w:val="auto"/>
              </w:rPr>
            </w:pPr>
            <w:r>
              <w:rPr>
                <w:rFonts w:ascii="Arial" w:cs="Arial" w:eastAsia="Arial" w:hAnsi="Arial"/>
                <w:sz w:val="16"/>
                <w:szCs w:val="16"/>
                <w:color w:val="auto"/>
              </w:rPr>
              <w:t>Term Loan B</w:t>
            </w:r>
          </w:p>
        </w:tc>
        <w:tc>
          <w:tcPr>
            <w:tcW w:w="118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rPr>
              <w:t>3/29/2019</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1,059,463</w:t>
            </w:r>
          </w:p>
        </w:tc>
        <w:tc>
          <w:tcPr>
            <w:tcW w:w="100" w:type="dxa"/>
            <w:vAlign w:val="bottom"/>
            <w:tcBorders>
              <w:bottom w:val="single" w:sz="8" w:color="CCEEFF"/>
            </w:tcBorders>
          </w:tcPr>
          <w:p>
            <w:pPr>
              <w:spacing w:after="0"/>
              <w:rPr>
                <w:sz w:val="22"/>
                <w:szCs w:val="22"/>
                <w:color w:val="auto"/>
              </w:rPr>
            </w:pPr>
          </w:p>
        </w:tc>
        <w:tc>
          <w:tcPr>
            <w:tcW w:w="620" w:type="dxa"/>
            <w:vAlign w:val="bottom"/>
            <w:tcBorders>
              <w:bottom w:val="single" w:sz="8" w:color="CCEEFF"/>
            </w:tcBorders>
          </w:tcPr>
          <w:p>
            <w:pPr>
              <w:spacing w:after="0"/>
              <w:rPr>
                <w:sz w:val="22"/>
                <w:szCs w:val="22"/>
                <w:color w:val="auto"/>
              </w:rPr>
            </w:pPr>
          </w:p>
        </w:tc>
        <w:tc>
          <w:tcPr>
            <w:tcW w:w="7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3.25%</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1,064,883</w:t>
            </w:r>
          </w:p>
        </w:tc>
        <w:tc>
          <w:tcPr>
            <w:tcW w:w="14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3.25%</w:t>
            </w:r>
          </w:p>
        </w:tc>
      </w:tr>
      <w:tr>
        <w:trPr>
          <w:trHeight w:val="257"/>
        </w:trPr>
        <w:tc>
          <w:tcPr>
            <w:tcW w:w="478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rPr>
              <w:t>Total borrowings</w:t>
            </w:r>
          </w:p>
        </w:tc>
        <w:tc>
          <w:tcPr>
            <w:tcW w:w="1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1,693,838</w:t>
            </w: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1,634,258</w:t>
            </w: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264"/>
        </w:trPr>
        <w:tc>
          <w:tcPr>
            <w:tcW w:w="478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Less current portion</w:t>
            </w:r>
          </w:p>
        </w:tc>
        <w:tc>
          <w:tcPr>
            <w:tcW w:w="11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185,839</w:t>
            </w:r>
          </w:p>
        </w:tc>
        <w:tc>
          <w:tcPr>
            <w:tcW w:w="100" w:type="dxa"/>
            <w:vAlign w:val="bottom"/>
            <w:tcBorders>
              <w:bottom w:val="single" w:sz="8" w:color="CCEEFF"/>
            </w:tcBorders>
          </w:tcPr>
          <w:p>
            <w:pPr>
              <w:spacing w:after="0"/>
              <w:rPr>
                <w:sz w:val="22"/>
                <w:szCs w:val="22"/>
                <w:color w:val="auto"/>
              </w:rPr>
            </w:pPr>
          </w:p>
        </w:tc>
        <w:tc>
          <w:tcPr>
            <w:tcW w:w="620" w:type="dxa"/>
            <w:vAlign w:val="bottom"/>
            <w:tcBorders>
              <w:bottom w:val="single" w:sz="8" w:color="CCEEFF"/>
            </w:tcBorders>
          </w:tcPr>
          <w:p>
            <w:pPr>
              <w:spacing w:after="0"/>
              <w:rPr>
                <w:sz w:val="22"/>
                <w:szCs w:val="22"/>
                <w:color w:val="auto"/>
              </w:rPr>
            </w:pPr>
          </w:p>
        </w:tc>
        <w:tc>
          <w:tcPr>
            <w:tcW w:w="7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120,839</w:t>
            </w:r>
          </w:p>
        </w:tc>
        <w:tc>
          <w:tcPr>
            <w:tcW w:w="100" w:type="dxa"/>
            <w:vAlign w:val="bottom"/>
            <w:tcBorders>
              <w:bottom w:val="single" w:sz="8" w:color="CCEEFF"/>
            </w:tcBorders>
          </w:tcPr>
          <w:p>
            <w:pPr>
              <w:spacing w:after="0"/>
              <w:rPr>
                <w:sz w:val="22"/>
                <w:szCs w:val="22"/>
                <w:color w:val="auto"/>
              </w:rPr>
            </w:pPr>
          </w:p>
        </w:tc>
        <w:tc>
          <w:tcPr>
            <w:tcW w:w="1320" w:type="dxa"/>
            <w:vAlign w:val="bottom"/>
            <w:tcBorders>
              <w:bottom w:val="single" w:sz="8" w:color="CCEEFF"/>
            </w:tcBorders>
          </w:tcPr>
          <w:p>
            <w:pPr>
              <w:spacing w:after="0"/>
              <w:rPr>
                <w:sz w:val="22"/>
                <w:szCs w:val="22"/>
                <w:color w:val="auto"/>
              </w:rPr>
            </w:pPr>
          </w:p>
        </w:tc>
      </w:tr>
      <w:tr>
        <w:trPr>
          <w:trHeight w:val="240"/>
        </w:trPr>
        <w:tc>
          <w:tcPr>
            <w:tcW w:w="47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Long-term borrowings — net of current portion</w:t>
            </w: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1,507,999</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1,513,419</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0"/>
        </w:trPr>
        <w:tc>
          <w:tcPr>
            <w:tcW w:w="4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 w:firstLine="486"/>
        <w:spacing w:after="0" w:line="262" w:lineRule="auto"/>
        <w:rPr>
          <w:sz w:val="20"/>
          <w:szCs w:val="20"/>
          <w:color w:val="auto"/>
        </w:rPr>
      </w:pPr>
      <w:r>
        <w:rPr>
          <w:rFonts w:ascii="Arial" w:cs="Arial" w:eastAsia="Arial" w:hAnsi="Arial"/>
          <w:sz w:val="18"/>
          <w:szCs w:val="18"/>
          <w:color w:val="auto"/>
        </w:rPr>
        <w:t>As of June 30, 2015, the Company also had $18.0 million of irrevocable letters of credit, with an applicable interest rate margin of 2.50%, which were supported by the Revolving Credit Facility.</w:t>
      </w:r>
    </w:p>
    <w:p>
      <w:pPr>
        <w:spacing w:after="0" w:line="250" w:lineRule="exact"/>
        <w:rPr>
          <w:sz w:val="20"/>
          <w:szCs w:val="20"/>
          <w:color w:val="auto"/>
        </w:rPr>
      </w:pPr>
    </w:p>
    <w:p>
      <w:pPr>
        <w:ind w:right="100" w:firstLine="486"/>
        <w:spacing w:after="0" w:line="262" w:lineRule="auto"/>
        <w:rPr>
          <w:sz w:val="20"/>
          <w:szCs w:val="20"/>
          <w:color w:val="auto"/>
        </w:rPr>
      </w:pPr>
      <w:r>
        <w:rPr>
          <w:rFonts w:ascii="Arial" w:cs="Arial" w:eastAsia="Arial" w:hAnsi="Arial"/>
          <w:sz w:val="18"/>
          <w:szCs w:val="18"/>
          <w:color w:val="auto"/>
        </w:rPr>
        <w:t>The Credit Agreement subjects the Company to certain financial and non-financial covenants. As of June 30, 2015, the Company was in compliance with such covenants.</w:t>
      </w:r>
    </w:p>
    <w:p>
      <w:pPr>
        <w:spacing w:after="0" w:line="174" w:lineRule="exact"/>
        <w:rPr>
          <w:sz w:val="20"/>
          <w:szCs w:val="20"/>
          <w:color w:val="auto"/>
        </w:rPr>
      </w:pPr>
    </w:p>
    <w:p>
      <w:pPr>
        <w:ind w:right="140" w:firstLine="486"/>
        <w:spacing w:after="0" w:line="262" w:lineRule="auto"/>
        <w:rPr>
          <w:sz w:val="20"/>
          <w:szCs w:val="20"/>
          <w:color w:val="auto"/>
        </w:rPr>
      </w:pPr>
      <w:r>
        <w:rPr>
          <w:rFonts w:ascii="Arial" w:cs="Arial" w:eastAsia="Arial" w:hAnsi="Arial"/>
          <w:sz w:val="18"/>
          <w:szCs w:val="18"/>
          <w:b w:val="1"/>
          <w:bCs w:val="1"/>
          <w:i w:val="1"/>
          <w:iCs w:val="1"/>
          <w:color w:val="auto"/>
        </w:rPr>
        <w:t xml:space="preserve">Bank Loans Payable </w:t>
      </w:r>
      <w:r>
        <w:rPr>
          <w:rFonts w:ascii="Arial" w:cs="Arial" w:eastAsia="Arial" w:hAnsi="Arial"/>
          <w:sz w:val="18"/>
          <w:szCs w:val="18"/>
          <w:color w:val="auto"/>
        </w:rPr>
        <w:t>— The Company maintains three uncommitted lines of credit. Two of the lines have unspecified limits, which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dependent on the Company’s ability to provide sufficient collateral. The third line has a $ 200 million limit, and allows for both collateralized and uncollateralized borrowings. The lines have not been utilized in 2015 and were not utilized in 2014; therefore, there were no balances outstanding at June 30, 2015 or December 31, 2014.</w:t>
      </w:r>
    </w:p>
    <w:p>
      <w:pPr>
        <w:spacing w:after="0" w:line="231" w:lineRule="exact"/>
        <w:rPr>
          <w:sz w:val="20"/>
          <w:szCs w:val="20"/>
          <w:color w:val="auto"/>
        </w:rPr>
      </w:pPr>
    </w:p>
    <w:p>
      <w:pPr>
        <w:ind w:left="360" w:hanging="352"/>
        <w:spacing w:after="0"/>
        <w:tabs>
          <w:tab w:leader="none" w:pos="3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47"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The Company leases office space and equipment under various operating leases. These leases are generally subject to scheduled base rent and maintenance cost increases, which are recognized on a straight-line basis over the period of the leases. Total rental expense for all operating leases was approximately $6.6 million and $8.2 million for the three months ended June 30, 2015 and 2014, respectively, and $13.2 million and $17.0 million for the six months ended June 30, 2015 and 2014, respectively.</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 and Development Contracts</w:t>
      </w:r>
    </w:p>
    <w:p>
      <w:pPr>
        <w:spacing w:after="0" w:line="247" w:lineRule="exact"/>
        <w:rPr>
          <w:sz w:val="20"/>
          <w:szCs w:val="20"/>
          <w:color w:val="auto"/>
        </w:rPr>
      </w:pPr>
    </w:p>
    <w:p>
      <w:pPr>
        <w:ind w:firstLine="486"/>
        <w:spacing w:after="0" w:line="262" w:lineRule="auto"/>
        <w:rPr>
          <w:sz w:val="20"/>
          <w:szCs w:val="20"/>
          <w:color w:val="auto"/>
        </w:rPr>
      </w:pPr>
      <w:r>
        <w:rPr>
          <w:rFonts w:ascii="Arial" w:cs="Arial" w:eastAsia="Arial" w:hAnsi="Arial"/>
          <w:sz w:val="18"/>
          <w:szCs w:val="18"/>
          <w:color w:val="auto"/>
        </w:rPr>
        <w:t>The Company is party to certain long-term contracts for systems and services that enable back office trade processing and clearing for its product and service offerings.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247" w:lineRule="exact"/>
        <w:rPr>
          <w:sz w:val="20"/>
          <w:szCs w:val="20"/>
          <w:color w:val="auto"/>
        </w:rPr>
      </w:pPr>
    </w:p>
    <w:p>
      <w:pPr>
        <w:ind w:right="20" w:firstLine="486"/>
        <w:spacing w:after="0" w:line="256" w:lineRule="auto"/>
        <w:rPr>
          <w:sz w:val="20"/>
          <w:szCs w:val="20"/>
          <w:color w:val="auto"/>
        </w:rPr>
      </w:pPr>
      <w:r>
        <w:rPr>
          <w:rFonts w:ascii="Arial" w:cs="Arial" w:eastAsia="Arial" w:hAnsi="Arial"/>
          <w:sz w:val="18"/>
          <w:szCs w:val="18"/>
          <w:color w:val="auto"/>
        </w:rPr>
        <w:t>The Company occasionally enters into certain types of contracts that contingently require it to indemnify certain parties against third-party claims. The terms of these obligations vary and, because a maximum obligation is not explicitly stated, the Company has determined that it is not possible to make an estimate of the amount that it could be obligated to pay under such contracts.</w:t>
      </w:r>
    </w:p>
    <w:p>
      <w:pPr>
        <w:spacing w:after="0" w:line="310"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The Company’s subsidiary, LPL Financial, provides guarantees to securities clearing houses and exchanges under their standard membership agreements, which require a member to guarantee the performance of other members. Under these agreements, if a member becomes unable to satisfy its obligations to the clearing houses and exchanges, all other members would be required to meet any shortfall. The Company’s liability under these</w:t>
      </w:r>
    </w:p>
    <w:p>
      <w:pPr>
        <w:sectPr>
          <w:pgSz w:w="11900" w:h="16838" w:orient="portrait"/>
          <w:cols w:equalWidth="0" w:num="1">
            <w:col w:w="11420"/>
          </w:cols>
          <w:pgMar w:left="240" w:top="441" w:right="239" w:bottom="1440" w:gutter="0" w:footer="0" w:header="0"/>
        </w:sect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420"/>
          </w:cols>
          <w:pgMar w:left="240" w:top="441" w:right="239" w:bottom="1440" w:gutter="0" w:footer="0" w:header="0"/>
          <w:type w:val="continuous"/>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arrangements is not quantifiable and may exceed the cash and securities it has posted as collateral. However, the potential requirement for the Company to make payments under these agreements is remote. Accordingly, no liability has been recognized for these transactions.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Commitments</w:t>
      </w:r>
    </w:p>
    <w:p>
      <w:pPr>
        <w:spacing w:after="0" w:line="247" w:lineRule="exact"/>
        <w:rPr>
          <w:sz w:val="20"/>
          <w:szCs w:val="20"/>
          <w:color w:val="auto"/>
        </w:rPr>
      </w:pPr>
    </w:p>
    <w:p>
      <w:pPr>
        <w:ind w:right="200" w:firstLine="486"/>
        <w:spacing w:after="0" w:line="254" w:lineRule="auto"/>
        <w:rPr>
          <w:sz w:val="20"/>
          <w:szCs w:val="20"/>
          <w:color w:val="auto"/>
        </w:rPr>
      </w:pPr>
      <w:r>
        <w:rPr>
          <w:rFonts w:ascii="Arial" w:cs="Arial" w:eastAsia="Arial" w:hAnsi="Arial"/>
          <w:sz w:val="18"/>
          <w:szCs w:val="18"/>
          <w:color w:val="auto"/>
        </w:rPr>
        <w:t>From time to time, LPL Financial makes loans to its advisors, primarily to newly recruited advisors to assist in the transition process, which may be forgivable. Due to timing differences, LPL Financial may make commitments to issue such loans prior to actually funding them. These unfunded commitments are generally contingent upon certain events occurring, including but not limited to the advisor joining LPL Financial. LPL Financial had no such significant unfunded commitments at June 30, 2015.</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&amp; Regulatory Matters</w:t>
      </w:r>
    </w:p>
    <w:p>
      <w:pPr>
        <w:spacing w:after="0" w:line="247" w:lineRule="exact"/>
        <w:rPr>
          <w:sz w:val="20"/>
          <w:szCs w:val="20"/>
          <w:color w:val="auto"/>
        </w:rPr>
      </w:pPr>
    </w:p>
    <w:p>
      <w:pPr>
        <w:ind w:right="20" w:firstLine="486"/>
        <w:spacing w:after="0" w:line="251" w:lineRule="auto"/>
        <w:rPr>
          <w:sz w:val="20"/>
          <w:szCs w:val="20"/>
          <w:color w:val="auto"/>
        </w:rPr>
      </w:pPr>
      <w:r>
        <w:rPr>
          <w:rFonts w:ascii="Arial" w:cs="Arial" w:eastAsia="Arial" w:hAnsi="Arial"/>
          <w:sz w:val="18"/>
          <w:szCs w:val="18"/>
          <w:color w:val="auto"/>
        </w:rPr>
        <w:t>Assessing the probability of a loss occurring and the amount of any loss related to a legal proceeding or regulatory matter is inherently difficult. The Company exercises significant and complex judgments to make certain estimates presented in its consolidated financial statements, and there are particular uncertainties and complexities involved when assessing the potential outcomes of legal proceedings and regulatory matters. The Company's assessment process considers a variety of factors and assumptions, which may include the procedural status of the matter and any recent developments; prior experience and the experience of others in similar matters; the size and nature of potential exposures; available defenses; the progress of fact discovery; the opinions of counsel and experts; potential opportunities for settlement and the status of any settlement discussions; as well as the potential for insurance coverage and indemnification, if available. The Company monitors these factors and assumptions for new developments and re-assesses the likelihood that a loss will occur and the estimated range or amount of loss, if those amounts can be reasonably determined. The Company has established an accrual for those legal proceedings and regulatory matters for which a loss is both probable and the amount can be reasonably estimated. The Company’s accruals at June 30, 2015, include estimated costs for regulatory matters generally relating to the adequacy of the Company’s compliance and supervisory systems and procedures and other controls, for which the Company believes losses are both probable and reasonably estimable. When it is not probable but at least reasonably possible that a loss has been incurred, a disclosure of fact is made when the underlying loss or range of losses can also be reasonably estimated. The Company estimates that, as of June 30, 2015, exposure to those losses could range from $0 to $8 million in excess of the accrued liability, if any, related to those matters. Due to the inherent unpredictability of such matters, the Company may have exposure to losses that are not yet predictable or cannot yet be reasonably estimated in addition to those amounts that have been accrued or disclosed.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Third-Party Insurance</w:t>
      </w:r>
    </w:p>
    <w:p>
      <w:pPr>
        <w:spacing w:after="0" w:line="135"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The Company maintains third-party insurance coverage for certain legal proceedings, including those involving client claims. With respect to client claims, the estimated losses on many of the pending matters are less than the applicable deductibles of the insurance policies. The Company is also subject to extensive regulation and supervision by U.S. federal and state agencies and various self-regulatory organizations. The Company and its advisors periodically engage with such agencies and organizations, in the context of examinations or otherwise, to respond to inquiries, informational requests, and investigations. From time to time, such engagements result in regulatory complaints or other matters, the resolution of which can include fines and other remediation.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Self-Insurance Liabilities</w:t>
      </w:r>
    </w:p>
    <w:p>
      <w:pPr>
        <w:spacing w:after="0" w:line="243" w:lineRule="exact"/>
        <w:rPr>
          <w:sz w:val="20"/>
          <w:szCs w:val="20"/>
          <w:color w:val="auto"/>
        </w:rPr>
      </w:pPr>
    </w:p>
    <w:p>
      <w:pPr>
        <w:ind w:right="80" w:firstLine="486"/>
        <w:spacing w:after="0" w:line="252" w:lineRule="auto"/>
        <w:rPr>
          <w:sz w:val="20"/>
          <w:szCs w:val="20"/>
          <w:color w:val="auto"/>
        </w:rPr>
      </w:pPr>
      <w:r>
        <w:rPr>
          <w:rFonts w:ascii="Arial" w:cs="Arial" w:eastAsia="Arial" w:hAnsi="Arial"/>
          <w:sz w:val="18"/>
          <w:szCs w:val="18"/>
          <w:color w:val="auto"/>
        </w:rPr>
        <w:t>The Company has self-insurance for certain potential liabilities, including various errors and omissions liabilities, through a wholly-owned captive insurance subsidiary. Liabilities associated with the risks that are retained by the Company are not discounted and are estimated by considering, in part, historical claims experience, severity factors, and other actuarial assumptions. The estimated accruals for these potential liabilities could be significantly affected if future occurrences and claims differ from such assumptions and historical trends. As of June 30, 2015, these self-insurance liabilities are included in accounts payable and accrued liabilities in the unaudited condensed consolidated balance sheet. Self-insurance related charges are included in other expenses in the unaudited condensed consolidated statements of income for the three and six months ended June 30, 2015.</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247" w:lineRule="exact"/>
        <w:rPr>
          <w:sz w:val="20"/>
          <w:szCs w:val="20"/>
          <w:color w:val="auto"/>
        </w:rPr>
      </w:pPr>
    </w:p>
    <w:p>
      <w:pPr>
        <w:ind w:right="80" w:firstLine="486"/>
        <w:spacing w:after="0" w:line="256" w:lineRule="auto"/>
        <w:rPr>
          <w:sz w:val="20"/>
          <w:szCs w:val="20"/>
          <w:color w:val="auto"/>
        </w:rPr>
      </w:pPr>
      <w:r>
        <w:rPr>
          <w:rFonts w:ascii="Arial" w:cs="Arial" w:eastAsia="Arial" w:hAnsi="Arial"/>
          <w:sz w:val="18"/>
          <w:szCs w:val="18"/>
          <w:color w:val="auto"/>
        </w:rPr>
        <w:t>As of June 30, 2015, the Company had received collateral primarily in connection with client margin loans with a market value of approximately $354.5 million, which it can re-pledge, loan, or sell. Of these securities, approximately $31.4 million were client-owned securities pledged to the Options Clearing Corporation as collateral</w:t>
      </w:r>
    </w:p>
    <w:p>
      <w:pPr>
        <w:sectPr>
          <w:pgSz w:w="11900" w:h="16838" w:orient="portrait"/>
          <w:cols w:equalWidth="0" w:num="1">
            <w:col w:w="11420"/>
          </w:cols>
          <w:pgMar w:left="240" w:top="441" w:right="239" w:bottom="1440" w:gutter="0" w:footer="0" w:header="0"/>
        </w:sect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420"/>
          </w:cols>
          <w:pgMar w:left="240" w:top="441" w:right="239" w:bottom="1440" w:gutter="0" w:footer="0" w:header="0"/>
          <w:type w:val="continuous"/>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98"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to secure client obligations related to options positions. As of June 30, 2015 there were no restrictions that materially limited the Company's ability to re-pledge, loan, or sell the remaining $323.1 million of client collateral.</w:t>
      </w:r>
    </w:p>
    <w:p>
      <w:pPr>
        <w:spacing w:after="0" w:line="250" w:lineRule="exact"/>
        <w:rPr>
          <w:sz w:val="20"/>
          <w:szCs w:val="20"/>
          <w:color w:val="auto"/>
        </w:rPr>
      </w:pPr>
    </w:p>
    <w:p>
      <w:pPr>
        <w:ind w:right="540" w:firstLine="486"/>
        <w:spacing w:after="0" w:line="262" w:lineRule="auto"/>
        <w:rPr>
          <w:sz w:val="20"/>
          <w:szCs w:val="20"/>
          <w:color w:val="auto"/>
        </w:rPr>
      </w:pPr>
      <w:r>
        <w:rPr>
          <w:rFonts w:ascii="Arial" w:cs="Arial" w:eastAsia="Arial" w:hAnsi="Arial"/>
          <w:sz w:val="18"/>
          <w:szCs w:val="18"/>
          <w:color w:val="auto"/>
        </w:rPr>
        <w:t>Trading securities on the unaudited condensed consolidated statements of financial condition includes $4.3 million and $4.0 million pledged to clearing organizations at June 30, 2015 and December 31, 2014, respectively.</w:t>
      </w:r>
    </w:p>
    <w:p>
      <w:pPr>
        <w:spacing w:after="0" w:line="196"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The Company is involved in a build-to-suit lease arrangement in Fort Mill, South Carolina, under which it serves as the construction agent on behalf of the landlord. Under such arrangement, the Company has obligations to fund cost over-runs in its capacity as the construction agent, and accordingly has determined that under lease accounting standards it bears substantially all of the risks and rewards of ownership as measured under GAAP. The Company is therefore required to report the landlord's costs of construction on its balance sheet as a fixed asset during the construction period as if the Company owned such asset. As of June 30, 2015, the Company has recorded $ 26.3 million in fixed assets in connection with this arrangement and an equal and off-setting leasehold financing obligation on the unaudited condensed consolidated statement of financial condition.</w:t>
      </w:r>
    </w:p>
    <w:p>
      <w:pPr>
        <w:spacing w:after="0" w:line="293"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39" w:lineRule="exact"/>
        <w:rPr>
          <w:sz w:val="20"/>
          <w:szCs w:val="20"/>
          <w:color w:val="auto"/>
        </w:rPr>
      </w:pPr>
    </w:p>
    <w:p>
      <w:pPr>
        <w:jc w:val="both"/>
        <w:ind w:right="260" w:firstLine="486"/>
        <w:spacing w:after="0" w:line="256" w:lineRule="auto"/>
        <w:rPr>
          <w:sz w:val="20"/>
          <w:szCs w:val="20"/>
          <w:color w:val="auto"/>
        </w:rPr>
      </w:pPr>
      <w:r>
        <w:rPr>
          <w:rFonts w:ascii="Arial" w:cs="Arial" w:eastAsia="Arial" w:hAnsi="Arial"/>
          <w:sz w:val="18"/>
          <w:szCs w:val="18"/>
          <w:color w:val="auto"/>
        </w:rPr>
        <w:t>The payment, timing, and amount of any dividends are subject to approval by the Board of Directors as well as certain limits under the Company's credit facilities. Cash dividends per share of common stock and total cash dividends paid on a quarterly basis were as follows for the periods indicated (in millions, except per share data):</w:t>
      </w:r>
    </w:p>
    <w:p>
      <w:pPr>
        <w:spacing w:after="0" w:line="158" w:lineRule="exact"/>
        <w:rPr>
          <w:sz w:val="20"/>
          <w:szCs w:val="20"/>
          <w:color w:val="auto"/>
        </w:rPr>
      </w:pPr>
    </w:p>
    <w:tbl>
      <w:tblPr>
        <w:tblLayout w:type="fixed"/>
        <w:tblInd w:w="320" w:type="dxa"/>
        <w:tblCellMar>
          <w:top w:w="0" w:type="dxa"/>
          <w:left w:w="0" w:type="dxa"/>
          <w:bottom w:w="0" w:type="dxa"/>
          <w:right w:w="0" w:type="dxa"/>
        </w:tblCellMar>
      </w:tblPr>
      <w:tr>
        <w:trPr>
          <w:trHeight w:val="228"/>
        </w:trPr>
        <w:tc>
          <w:tcPr>
            <w:tcW w:w="5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2015</w:t>
            </w:r>
          </w:p>
        </w:tc>
        <w:tc>
          <w:tcPr>
            <w:tcW w:w="11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2014</w:t>
            </w:r>
          </w:p>
        </w:tc>
        <w:tc>
          <w:tcPr>
            <w:tcW w:w="1120" w:type="dxa"/>
            <w:vAlign w:val="bottom"/>
            <w:tcBorders>
              <w:bottom w:val="single" w:sz="8" w:color="auto"/>
            </w:tcBorders>
          </w:tcPr>
          <w:p>
            <w:pPr>
              <w:spacing w:after="0"/>
              <w:rPr>
                <w:sz w:val="19"/>
                <w:szCs w:val="19"/>
                <w:color w:val="auto"/>
              </w:rPr>
            </w:pPr>
          </w:p>
        </w:tc>
      </w:tr>
      <w:tr>
        <w:trPr>
          <w:trHeight w:val="198"/>
        </w:trPr>
        <w:tc>
          <w:tcPr>
            <w:tcW w:w="5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Dividend per</w:t>
            </w:r>
          </w:p>
        </w:tc>
        <w:tc>
          <w:tcPr>
            <w:tcW w:w="180" w:type="dxa"/>
            <w:vAlign w:val="bottom"/>
          </w:tcPr>
          <w:p>
            <w:pPr>
              <w:spacing w:after="0"/>
              <w:rPr>
                <w:sz w:val="17"/>
                <w:szCs w:val="17"/>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Total Cash</w:t>
            </w:r>
          </w:p>
        </w:tc>
        <w:tc>
          <w:tcPr>
            <w:tcW w:w="120" w:type="dxa"/>
            <w:vAlign w:val="bottom"/>
          </w:tcPr>
          <w:p>
            <w:pPr>
              <w:spacing w:after="0"/>
              <w:rPr>
                <w:sz w:val="17"/>
                <w:szCs w:val="17"/>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Dividend per</w:t>
            </w:r>
          </w:p>
        </w:tc>
        <w:tc>
          <w:tcPr>
            <w:tcW w:w="180" w:type="dxa"/>
            <w:vAlign w:val="bottom"/>
          </w:tcPr>
          <w:p>
            <w:pPr>
              <w:spacing w:after="0"/>
              <w:rPr>
                <w:sz w:val="17"/>
                <w:szCs w:val="17"/>
                <w:color w:val="auto"/>
              </w:rPr>
            </w:pPr>
          </w:p>
        </w:tc>
        <w:tc>
          <w:tcPr>
            <w:tcW w:w="1120" w:type="dxa"/>
            <w:vAlign w:val="bottom"/>
          </w:tcPr>
          <w:p>
            <w:pPr>
              <w:jc w:val="right"/>
              <w:ind w:right="179"/>
              <w:spacing w:after="0"/>
              <w:rPr>
                <w:sz w:val="20"/>
                <w:szCs w:val="20"/>
                <w:color w:val="auto"/>
              </w:rPr>
            </w:pPr>
            <w:r>
              <w:rPr>
                <w:rFonts w:ascii="Arial" w:cs="Arial" w:eastAsia="Arial" w:hAnsi="Arial"/>
                <w:sz w:val="16"/>
                <w:szCs w:val="16"/>
                <w:b w:val="1"/>
                <w:bCs w:val="1"/>
                <w:color w:val="auto"/>
              </w:rPr>
              <w:t>Total Cash</w:t>
            </w:r>
          </w:p>
        </w:tc>
      </w:tr>
      <w:tr>
        <w:trPr>
          <w:trHeight w:val="228"/>
        </w:trPr>
        <w:tc>
          <w:tcPr>
            <w:tcW w:w="5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Share</w:t>
            </w:r>
          </w:p>
        </w:tc>
        <w:tc>
          <w:tcPr>
            <w:tcW w:w="180" w:type="dxa"/>
            <w:vAlign w:val="bottom"/>
          </w:tcPr>
          <w:p>
            <w:pPr>
              <w:spacing w:after="0"/>
              <w:rPr>
                <w:sz w:val="19"/>
                <w:szCs w:val="19"/>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Dividend</w:t>
            </w:r>
          </w:p>
        </w:tc>
        <w:tc>
          <w:tcPr>
            <w:tcW w:w="120" w:type="dxa"/>
            <w:vAlign w:val="bottom"/>
          </w:tcPr>
          <w:p>
            <w:pPr>
              <w:spacing w:after="0"/>
              <w:rPr>
                <w:sz w:val="19"/>
                <w:szCs w:val="19"/>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Share</w:t>
            </w:r>
          </w:p>
        </w:tc>
        <w:tc>
          <w:tcPr>
            <w:tcW w:w="180" w:type="dxa"/>
            <w:vAlign w:val="bottom"/>
          </w:tcPr>
          <w:p>
            <w:pPr>
              <w:spacing w:after="0"/>
              <w:rPr>
                <w:sz w:val="19"/>
                <w:szCs w:val="19"/>
                <w:color w:val="auto"/>
              </w:rPr>
            </w:pPr>
          </w:p>
        </w:tc>
        <w:tc>
          <w:tcPr>
            <w:tcW w:w="1120" w:type="dxa"/>
            <w:vAlign w:val="bottom"/>
          </w:tcPr>
          <w:p>
            <w:pPr>
              <w:jc w:val="right"/>
              <w:ind w:right="239"/>
              <w:spacing w:after="0"/>
              <w:rPr>
                <w:sz w:val="20"/>
                <w:szCs w:val="20"/>
                <w:color w:val="auto"/>
              </w:rPr>
            </w:pPr>
            <w:r>
              <w:rPr>
                <w:rFonts w:ascii="Arial" w:cs="Arial" w:eastAsia="Arial" w:hAnsi="Arial"/>
                <w:sz w:val="16"/>
                <w:szCs w:val="16"/>
                <w:b w:val="1"/>
                <w:bCs w:val="1"/>
                <w:color w:val="auto"/>
              </w:rPr>
              <w:t>Dividend</w:t>
            </w:r>
          </w:p>
        </w:tc>
      </w:tr>
      <w:tr>
        <w:trPr>
          <w:trHeight w:val="257"/>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First quarter</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0.25</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24.2</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0.24</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24.1</w:t>
            </w:r>
          </w:p>
        </w:tc>
      </w:tr>
      <w:tr>
        <w:trPr>
          <w:trHeight w:val="251"/>
        </w:trPr>
        <w:tc>
          <w:tcPr>
            <w:tcW w:w="5240" w:type="dxa"/>
            <w:vAlign w:val="bottom"/>
          </w:tcPr>
          <w:p>
            <w:pPr>
              <w:ind w:left="20"/>
              <w:spacing w:after="0"/>
              <w:rPr>
                <w:sz w:val="20"/>
                <w:szCs w:val="20"/>
                <w:color w:val="auto"/>
              </w:rPr>
            </w:pPr>
            <w:r>
              <w:rPr>
                <w:rFonts w:ascii="Arial" w:cs="Arial" w:eastAsia="Arial" w:hAnsi="Arial"/>
                <w:sz w:val="16"/>
                <w:szCs w:val="16"/>
                <w:color w:val="auto"/>
              </w:rPr>
              <w:t>Second quarter</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0.25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24.1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0.24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24.0</w:t>
            </w:r>
          </w:p>
        </w:tc>
      </w:tr>
    </w:tbl>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247"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The Board of Directors has approved several share repurchase programs pursuant to which the Company may repurchase its issued and outstanding shares of common stock from time to time. Repurchased shares are included in treasury stock on the unaudited condensed consolidated statements of financial condition. Purchases may be effected in open market or privately negotiated transactions, including transactions with affiliates, with the timing of purchases and the amount of stock purchased generally determined at the discretion of the Company's management within the constraints of the Credit Agreement and general liquidity needs.</w:t>
      </w:r>
    </w:p>
    <w:p>
      <w:pPr>
        <w:spacing w:after="0" w:line="152" w:lineRule="exact"/>
        <w:rPr>
          <w:sz w:val="20"/>
          <w:szCs w:val="20"/>
          <w:color w:val="auto"/>
        </w:rPr>
      </w:pPr>
    </w:p>
    <w:p>
      <w:pPr>
        <w:ind w:right="540" w:firstLine="486"/>
        <w:spacing w:after="0" w:line="262" w:lineRule="auto"/>
        <w:rPr>
          <w:sz w:val="20"/>
          <w:szCs w:val="20"/>
          <w:color w:val="auto"/>
        </w:rPr>
      </w:pPr>
      <w:r>
        <w:rPr>
          <w:rFonts w:ascii="Arial" w:cs="Arial" w:eastAsia="Arial" w:hAnsi="Arial"/>
          <w:sz w:val="18"/>
          <w:szCs w:val="18"/>
          <w:color w:val="auto"/>
        </w:rPr>
        <w:t>For the three months ended June 30, 2015 and 2014, the Company had the following activity under its approved share repurchase programs (in millions, except share and per share data):</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6"/>
          </w:tcPr>
          <w:p>
            <w:pPr>
              <w:jc w:val="right"/>
              <w:ind w:right="82"/>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Weighted-</w:t>
            </w: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Authorized</w:t>
            </w:r>
          </w:p>
        </w:tc>
        <w:tc>
          <w:tcPr>
            <w:tcW w:w="26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Amount</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5"/>
          </w:tcPr>
          <w:p>
            <w:pPr>
              <w:ind w:left="40"/>
              <w:spacing w:after="0"/>
              <w:rPr>
                <w:sz w:val="20"/>
                <w:szCs w:val="20"/>
                <w:color w:val="auto"/>
              </w:rPr>
            </w:pPr>
            <w:r>
              <w:rPr>
                <w:rFonts w:ascii="Arial" w:cs="Arial" w:eastAsia="Arial" w:hAnsi="Arial"/>
                <w:sz w:val="14"/>
                <w:szCs w:val="14"/>
                <w:b w:val="1"/>
                <w:bCs w:val="1"/>
                <w:color w:val="auto"/>
              </w:rPr>
              <w:t>Average Price</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tcPr>
          <w:p>
            <w:pPr>
              <w:ind w:left="40"/>
              <w:spacing w:after="0"/>
              <w:rPr>
                <w:sz w:val="20"/>
                <w:szCs w:val="20"/>
                <w:color w:val="auto"/>
              </w:rPr>
            </w:pPr>
            <w:r>
              <w:rPr>
                <w:rFonts w:ascii="Arial" w:cs="Arial" w:eastAsia="Arial" w:hAnsi="Arial"/>
                <w:sz w:val="14"/>
                <w:szCs w:val="14"/>
                <w:b w:val="1"/>
                <w:bCs w:val="1"/>
                <w:color w:val="auto"/>
              </w:rPr>
              <w:t>Average Price</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Repurchase</w:t>
            </w:r>
          </w:p>
        </w:tc>
        <w:tc>
          <w:tcPr>
            <w:tcW w:w="1460" w:type="dxa"/>
            <w:vAlign w:val="bottom"/>
            <w:gridSpan w:val="3"/>
          </w:tcPr>
          <w:p>
            <w:pPr>
              <w:ind w:left="40"/>
              <w:spacing w:after="0"/>
              <w:rPr>
                <w:sz w:val="20"/>
                <w:szCs w:val="20"/>
                <w:color w:val="auto"/>
              </w:rPr>
            </w:pPr>
            <w:r>
              <w:rPr>
                <w:rFonts w:ascii="Arial" w:cs="Arial" w:eastAsia="Arial" w:hAnsi="Arial"/>
                <w:sz w:val="14"/>
                <w:szCs w:val="14"/>
                <w:b w:val="1"/>
                <w:bCs w:val="1"/>
                <w:color w:val="auto"/>
              </w:rPr>
              <w:t>Remaining at June</w:t>
            </w:r>
          </w:p>
        </w:tc>
        <w:tc>
          <w:tcPr>
            <w:tcW w:w="1140" w:type="dxa"/>
            <w:vAlign w:val="bottom"/>
          </w:tcPr>
          <w:p>
            <w:pPr>
              <w:jc w:val="right"/>
              <w:ind w:right="242"/>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9"/>
              </w:rPr>
              <w:t>Paid Per</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1140" w:type="dxa"/>
            <w:vAlign w:val="bottom"/>
          </w:tcPr>
          <w:p>
            <w:pPr>
              <w:jc w:val="right"/>
              <w:ind w:right="242"/>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Paid Per</w:t>
            </w:r>
          </w:p>
        </w:tc>
        <w:tc>
          <w:tcPr>
            <w:tcW w:w="140" w:type="dxa"/>
            <w:vAlign w:val="bottom"/>
          </w:tcPr>
          <w:p>
            <w:pPr>
              <w:spacing w:after="0"/>
              <w:rPr>
                <w:sz w:val="14"/>
                <w:szCs w:val="14"/>
                <w:color w:val="auto"/>
              </w:rPr>
            </w:pPr>
          </w:p>
        </w:tc>
        <w:tc>
          <w:tcPr>
            <w:tcW w:w="660" w:type="dxa"/>
            <w:vAlign w:val="bottom"/>
          </w:tcPr>
          <w:p>
            <w:pPr>
              <w:jc w:val="right"/>
              <w:ind w:right="16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8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Approval Date</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30, 2015</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Purchased</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Share</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w w:val="99"/>
              </w:rPr>
              <w:t>Cost(1)</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Purchased</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rPr>
              <w:t>Share</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w w:val="99"/>
              </w:rPr>
              <w:t>Cost(1)</w:t>
            </w:r>
          </w:p>
        </w:tc>
        <w:tc>
          <w:tcPr>
            <w:tcW w:w="0" w:type="dxa"/>
            <w:vAlign w:val="bottom"/>
          </w:tcPr>
          <w:p>
            <w:pPr>
              <w:spacing w:after="0"/>
              <w:rPr>
                <w:sz w:val="1"/>
                <w:szCs w:val="1"/>
                <w:color w:val="auto"/>
              </w:rPr>
            </w:pPr>
          </w:p>
        </w:tc>
      </w:tr>
      <w:tr>
        <w:trPr>
          <w:trHeight w:val="256"/>
        </w:trPr>
        <w:tc>
          <w:tcPr>
            <w:tcW w:w="2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February 10, 2014</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150.0</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535,210</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46.73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260"/>
        </w:trPr>
        <w:tc>
          <w:tcPr>
            <w:tcW w:w="2200" w:type="dxa"/>
            <w:vAlign w:val="bottom"/>
            <w:gridSpan w:val="2"/>
          </w:tcPr>
          <w:p>
            <w:pPr>
              <w:ind w:left="40"/>
              <w:spacing w:after="0"/>
              <w:rPr>
                <w:sz w:val="20"/>
                <w:szCs w:val="20"/>
                <w:color w:val="auto"/>
              </w:rPr>
            </w:pPr>
            <w:r>
              <w:rPr>
                <w:rFonts w:ascii="Arial" w:cs="Arial" w:eastAsia="Arial" w:hAnsi="Arial"/>
                <w:sz w:val="16"/>
                <w:szCs w:val="16"/>
                <w:color w:val="auto"/>
              </w:rPr>
              <w:t>October 1, 2014</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63"/>
              <w:spacing w:after="0"/>
              <w:rPr>
                <w:sz w:val="20"/>
                <w:szCs w:val="20"/>
                <w:color w:val="auto"/>
              </w:rPr>
            </w:pPr>
            <w:r>
              <w:rPr>
                <w:rFonts w:ascii="Arial" w:cs="Arial" w:eastAsia="Arial" w:hAnsi="Arial"/>
                <w:sz w:val="16"/>
                <w:szCs w:val="16"/>
                <w:color w:val="auto"/>
              </w:rPr>
              <w:t>150.0</w:t>
            </w:r>
          </w:p>
        </w:tc>
        <w:tc>
          <w:tcPr>
            <w:tcW w:w="120" w:type="dxa"/>
            <w:vAlign w:val="bottom"/>
          </w:tcPr>
          <w:p>
            <w:pPr>
              <w:spacing w:after="0"/>
              <w:rPr>
                <w:sz w:val="22"/>
                <w:szCs w:val="22"/>
                <w:color w:val="auto"/>
              </w:rPr>
            </w:pPr>
          </w:p>
        </w:tc>
        <w:tc>
          <w:tcPr>
            <w:tcW w:w="260" w:type="dxa"/>
            <w:vAlign w:val="bottom"/>
          </w:tcPr>
          <w:p>
            <w:pPr>
              <w:ind w:left="2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1,513,490</w:t>
            </w:r>
          </w:p>
        </w:tc>
        <w:tc>
          <w:tcPr>
            <w:tcW w:w="240" w:type="dxa"/>
            <w:vAlign w:val="bottom"/>
            <w:gridSpan w:val="2"/>
          </w:tcPr>
          <w:p>
            <w:pPr>
              <w:ind w:left="140"/>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41.60</w:t>
            </w:r>
          </w:p>
        </w:tc>
        <w:tc>
          <w:tcPr>
            <w:tcW w:w="3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22"/>
              <w:spacing w:after="0"/>
              <w:rPr>
                <w:sz w:val="20"/>
                <w:szCs w:val="20"/>
                <w:color w:val="auto"/>
              </w:rPr>
            </w:pPr>
            <w:r>
              <w:rPr>
                <w:rFonts w:ascii="Arial" w:cs="Arial" w:eastAsia="Arial" w:hAnsi="Arial"/>
                <w:sz w:val="16"/>
                <w:szCs w:val="16"/>
                <w:color w:val="auto"/>
              </w:rPr>
              <w:t>63.0</w:t>
            </w:r>
          </w:p>
        </w:tc>
        <w:tc>
          <w:tcPr>
            <w:tcW w:w="100" w:type="dxa"/>
            <w:vAlign w:val="bottom"/>
          </w:tcPr>
          <w:p>
            <w:pPr>
              <w:spacing w:after="0"/>
              <w:rPr>
                <w:sz w:val="22"/>
                <w:szCs w:val="22"/>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26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3"/>
        </w:trPr>
        <w:tc>
          <w:tcPr>
            <w:tcW w:w="2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April 28, 2015</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200.0</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177.2</w:t>
            </w:r>
          </w:p>
        </w:tc>
        <w:tc>
          <w:tcPr>
            <w:tcW w:w="100" w:type="dxa"/>
            <w:vAlign w:val="bottom"/>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537,922</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42.48</w:t>
            </w:r>
          </w:p>
        </w:tc>
        <w:tc>
          <w:tcPr>
            <w:tcW w:w="180" w:type="dxa"/>
            <w:vAlign w:val="bottom"/>
            <w:gridSpan w:val="2"/>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22.8</w:t>
            </w:r>
          </w:p>
        </w:tc>
        <w:tc>
          <w:tcPr>
            <w:tcW w:w="100" w:type="dxa"/>
            <w:vAlign w:val="bottom"/>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ind w:left="2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2"/>
              <w:spacing w:after="0"/>
              <w:rPr>
                <w:sz w:val="20"/>
                <w:szCs w:val="20"/>
                <w:color w:val="auto"/>
              </w:rPr>
            </w:pPr>
            <w:r>
              <w:rPr>
                <w:rFonts w:ascii="Arial" w:cs="Arial" w:eastAsia="Arial" w:hAnsi="Arial"/>
                <w:sz w:val="16"/>
                <w:szCs w:val="16"/>
                <w:color w:val="auto"/>
              </w:rPr>
              <w:t>177.2</w:t>
            </w:r>
          </w:p>
        </w:tc>
        <w:tc>
          <w:tcPr>
            <w:tcW w:w="100" w:type="dxa"/>
            <w:vAlign w:val="bottom"/>
          </w:tcPr>
          <w:p>
            <w:pPr>
              <w:spacing w:after="0"/>
              <w:rPr>
                <w:sz w:val="20"/>
                <w:szCs w:val="20"/>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2,051,412</w:t>
            </w:r>
          </w:p>
        </w:tc>
        <w:tc>
          <w:tcPr>
            <w:tcW w:w="240" w:type="dxa"/>
            <w:vAlign w:val="bottom"/>
            <w:gridSpan w:val="2"/>
          </w:tcPr>
          <w:p>
            <w:pPr>
              <w:ind w:left="140"/>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41.83</w:t>
            </w:r>
          </w:p>
        </w:tc>
        <w:tc>
          <w:tcPr>
            <w:tcW w:w="3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22"/>
              <w:spacing w:after="0"/>
              <w:rPr>
                <w:sz w:val="20"/>
                <w:szCs w:val="20"/>
                <w:color w:val="auto"/>
              </w:rPr>
            </w:pPr>
            <w:r>
              <w:rPr>
                <w:rFonts w:ascii="Arial" w:cs="Arial" w:eastAsia="Arial" w:hAnsi="Arial"/>
                <w:sz w:val="16"/>
                <w:szCs w:val="16"/>
                <w:color w:val="auto"/>
              </w:rPr>
              <w:t>85.8</w:t>
            </w:r>
          </w:p>
        </w:tc>
        <w:tc>
          <w:tcPr>
            <w:tcW w:w="100" w:type="dxa"/>
            <w:vAlign w:val="bottom"/>
          </w:tcPr>
          <w:p>
            <w:pPr>
              <w:spacing w:after="0"/>
              <w:rPr>
                <w:sz w:val="20"/>
                <w:szCs w:val="20"/>
                <w:color w:val="auto"/>
              </w:rPr>
            </w:pP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535,210</w:t>
            </w:r>
          </w:p>
        </w:tc>
        <w:tc>
          <w:tcPr>
            <w:tcW w:w="26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3"/>
              <w:spacing w:after="0"/>
              <w:rPr>
                <w:sz w:val="20"/>
                <w:szCs w:val="20"/>
                <w:color w:val="auto"/>
              </w:rPr>
            </w:pPr>
            <w:r>
              <w:rPr>
                <w:rFonts w:ascii="Arial" w:cs="Arial" w:eastAsia="Arial" w:hAnsi="Arial"/>
                <w:sz w:val="16"/>
                <w:szCs w:val="16"/>
                <w:color w:val="auto"/>
              </w:rPr>
              <w:t>46.73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22"/>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20"/>
        </w:trPr>
        <w:tc>
          <w:tcPr>
            <w:tcW w:w="2080" w:type="dxa"/>
            <w:vAlign w:val="bottom"/>
            <w:vMerge w:val="restart"/>
          </w:tcPr>
          <w:p>
            <w:pPr>
              <w:spacing w:after="0"/>
              <w:rPr>
                <w:sz w:val="20"/>
                <w:szCs w:val="20"/>
                <w:color w:val="auto"/>
              </w:rPr>
            </w:pPr>
            <w:r>
              <w:rPr>
                <w:rFonts w:ascii="Arial" w:cs="Arial" w:eastAsia="Arial" w:hAnsi="Arial"/>
                <w:sz w:val="7"/>
                <w:szCs w:val="7"/>
                <w:color w:val="auto"/>
              </w:rPr>
              <w:t>_________________________</w:t>
            </w: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2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5620" w:right="4620" w:hanging="5612"/>
        <w:spacing w:after="0" w:line="735" w:lineRule="auto"/>
        <w:tabs>
          <w:tab w:leader="none" w:pos="338" w:val="left"/>
        </w:tabs>
        <w:numPr>
          <w:ilvl w:val="0"/>
          <w:numId w:val="13"/>
        </w:numPr>
        <w:rPr>
          <w:rFonts w:ascii="Arial" w:cs="Arial" w:eastAsia="Arial" w:hAnsi="Arial"/>
          <w:sz w:val="17"/>
          <w:szCs w:val="17"/>
          <w:color w:val="auto"/>
        </w:rPr>
      </w:pPr>
      <w:r>
        <w:rPr>
          <w:rFonts w:ascii="Arial" w:cs="Arial" w:eastAsia="Arial" w:hAnsi="Arial"/>
          <w:sz w:val="17"/>
          <w:szCs w:val="17"/>
          <w:color w:val="auto"/>
        </w:rPr>
        <w:t xml:space="preserve">Included in the total cost of shares purchased is a commission fee of $0.02 per share. </w:t>
      </w:r>
      <w:r>
        <w:rPr>
          <w:rFonts w:ascii="Arial" w:cs="Arial" w:eastAsia="Arial" w:hAnsi="Arial"/>
          <w:sz w:val="18"/>
          <w:szCs w:val="18"/>
          <w:color w:val="auto"/>
        </w:rPr>
        <w:t>15</w:t>
      </w:r>
    </w:p>
    <w:p>
      <w:pPr>
        <w:sectPr>
          <w:pgSz w:w="11900" w:h="16838" w:orient="portrait"/>
          <w:cols w:equalWidth="0" w:num="1">
            <w:col w:w="11420"/>
          </w:cols>
          <w:pgMar w:left="240" w:top="441"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90" w:lineRule="exact"/>
        <w:rPr>
          <w:sz w:val="20"/>
          <w:szCs w:val="20"/>
          <w:color w:val="auto"/>
        </w:rPr>
      </w:pPr>
    </w:p>
    <w:p>
      <w:pPr>
        <w:ind w:right="740" w:firstLine="486"/>
        <w:spacing w:after="0" w:line="262" w:lineRule="auto"/>
        <w:rPr>
          <w:sz w:val="20"/>
          <w:szCs w:val="20"/>
          <w:color w:val="auto"/>
        </w:rPr>
      </w:pPr>
      <w:r>
        <w:rPr>
          <w:rFonts w:ascii="Arial" w:cs="Arial" w:eastAsia="Arial" w:hAnsi="Arial"/>
          <w:sz w:val="18"/>
          <w:szCs w:val="18"/>
          <w:color w:val="auto"/>
        </w:rPr>
        <w:t>For the six months ended June 30, 2015 and 2014, the Company had the following activity under its approved share repurchase programs (in millions, except share and per share data):</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4"/>
          </w:tcPr>
          <w:p>
            <w:pPr>
              <w:jc w:val="right"/>
              <w:ind w:right="2"/>
              <w:spacing w:after="0"/>
              <w:rPr>
                <w:sz w:val="20"/>
                <w:szCs w:val="20"/>
                <w:color w:val="auto"/>
              </w:rPr>
            </w:pPr>
            <w:r>
              <w:rPr>
                <w:rFonts w:ascii="Arial" w:cs="Arial" w:eastAsia="Arial" w:hAnsi="Arial"/>
                <w:sz w:val="14"/>
                <w:szCs w:val="14"/>
                <w:b w:val="1"/>
                <w:bCs w:val="1"/>
                <w:color w:val="auto"/>
              </w:rPr>
              <w:t>Six Months Ended June 30,</w:t>
            </w: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1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Weighted</w:t>
            </w: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Weighted</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Authorized</w:t>
            </w: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tcPr>
          <w:p>
            <w:pPr>
              <w:ind w:left="40"/>
              <w:spacing w:after="0"/>
              <w:rPr>
                <w:sz w:val="20"/>
                <w:szCs w:val="20"/>
                <w:color w:val="auto"/>
              </w:rPr>
            </w:pPr>
            <w:r>
              <w:rPr>
                <w:rFonts w:ascii="Arial" w:cs="Arial" w:eastAsia="Arial" w:hAnsi="Arial"/>
                <w:sz w:val="14"/>
                <w:szCs w:val="14"/>
                <w:b w:val="1"/>
                <w:bCs w:val="1"/>
                <w:color w:val="auto"/>
              </w:rPr>
              <w:t>Average Price</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Average Price</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Repurchase</w:t>
            </w:r>
          </w:p>
        </w:tc>
        <w:tc>
          <w:tcPr>
            <w:tcW w:w="148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 Remaining</w:t>
            </w:r>
          </w:p>
        </w:tc>
        <w:tc>
          <w:tcPr>
            <w:tcW w:w="1140" w:type="dxa"/>
            <w:vAlign w:val="bottom"/>
          </w:tcPr>
          <w:p>
            <w:pPr>
              <w:jc w:val="right"/>
              <w:ind w:right="242"/>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Paid Per</w:t>
            </w:r>
          </w:p>
        </w:tc>
        <w:tc>
          <w:tcPr>
            <w:tcW w:w="140" w:type="dxa"/>
            <w:vAlign w:val="bottom"/>
          </w:tcPr>
          <w:p>
            <w:pPr>
              <w:spacing w:after="0"/>
              <w:rPr>
                <w:sz w:val="14"/>
                <w:szCs w:val="14"/>
                <w:color w:val="auto"/>
              </w:rPr>
            </w:pPr>
          </w:p>
        </w:tc>
        <w:tc>
          <w:tcPr>
            <w:tcW w:w="76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1140" w:type="dxa"/>
            <w:vAlign w:val="bottom"/>
          </w:tcPr>
          <w:p>
            <w:pPr>
              <w:jc w:val="right"/>
              <w:ind w:right="242"/>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Paid Per</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72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Approval Date</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rPr>
              <w:t>at June 30, 2015</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Purchased</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rPr>
              <w:t>Share</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Cost(1)</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Purchased</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rPr>
              <w:t>Share</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w w:val="98"/>
              </w:rPr>
              <w:t>Total Cost(1)</w:t>
            </w:r>
          </w:p>
        </w:tc>
        <w:tc>
          <w:tcPr>
            <w:tcW w:w="0" w:type="dxa"/>
            <w:vAlign w:val="bottom"/>
          </w:tcPr>
          <w:p>
            <w:pPr>
              <w:spacing w:after="0"/>
              <w:rPr>
                <w:sz w:val="1"/>
                <w:szCs w:val="1"/>
                <w:color w:val="auto"/>
              </w:rPr>
            </w:pPr>
          </w:p>
        </w:tc>
      </w:tr>
      <w:tr>
        <w:trPr>
          <w:trHeight w:val="256"/>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May 28, 2013</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200.0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1,306,288</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52.00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67.9</w:t>
            </w:r>
          </w:p>
        </w:tc>
        <w:tc>
          <w:tcPr>
            <w:tcW w:w="0" w:type="dxa"/>
            <w:vAlign w:val="bottom"/>
          </w:tcPr>
          <w:p>
            <w:pPr>
              <w:spacing w:after="0"/>
              <w:rPr>
                <w:sz w:val="1"/>
                <w:szCs w:val="1"/>
                <w:color w:val="auto"/>
              </w:rPr>
            </w:pPr>
          </w:p>
        </w:tc>
      </w:tr>
      <w:tr>
        <w:trPr>
          <w:trHeight w:val="260"/>
        </w:trPr>
        <w:tc>
          <w:tcPr>
            <w:tcW w:w="1840" w:type="dxa"/>
            <w:vAlign w:val="bottom"/>
            <w:gridSpan w:val="2"/>
          </w:tcPr>
          <w:p>
            <w:pPr>
              <w:ind w:left="40"/>
              <w:spacing w:after="0"/>
              <w:rPr>
                <w:sz w:val="20"/>
                <w:szCs w:val="20"/>
                <w:color w:val="auto"/>
              </w:rPr>
            </w:pPr>
            <w:r>
              <w:rPr>
                <w:rFonts w:ascii="Arial" w:cs="Arial" w:eastAsia="Arial" w:hAnsi="Arial"/>
                <w:sz w:val="16"/>
                <w:szCs w:val="16"/>
                <w:color w:val="auto"/>
              </w:rPr>
              <w:t>February 10, 2014</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3"/>
              <w:spacing w:after="0"/>
              <w:rPr>
                <w:sz w:val="20"/>
                <w:szCs w:val="20"/>
                <w:color w:val="auto"/>
              </w:rPr>
            </w:pPr>
            <w:r>
              <w:rPr>
                <w:rFonts w:ascii="Arial" w:cs="Arial" w:eastAsia="Arial" w:hAnsi="Arial"/>
                <w:sz w:val="16"/>
                <w:szCs w:val="16"/>
                <w:color w:val="auto"/>
              </w:rPr>
              <w:t>150.0</w:t>
            </w:r>
          </w:p>
        </w:tc>
        <w:tc>
          <w:tcPr>
            <w:tcW w:w="12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26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1,151,998</w:t>
            </w:r>
          </w:p>
        </w:tc>
        <w:tc>
          <w:tcPr>
            <w:tcW w:w="26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3"/>
              <w:spacing w:after="0"/>
              <w:rPr>
                <w:sz w:val="20"/>
                <w:szCs w:val="20"/>
                <w:color w:val="auto"/>
              </w:rPr>
            </w:pPr>
            <w:r>
              <w:rPr>
                <w:rFonts w:ascii="Arial" w:cs="Arial" w:eastAsia="Arial" w:hAnsi="Arial"/>
                <w:sz w:val="16"/>
                <w:szCs w:val="16"/>
                <w:color w:val="auto"/>
              </w:rPr>
              <w:t>49.55</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57.1</w:t>
            </w:r>
          </w:p>
        </w:tc>
        <w:tc>
          <w:tcPr>
            <w:tcW w:w="0" w:type="dxa"/>
            <w:vAlign w:val="bottom"/>
          </w:tcPr>
          <w:p>
            <w:pPr>
              <w:spacing w:after="0"/>
              <w:rPr>
                <w:sz w:val="1"/>
                <w:szCs w:val="1"/>
                <w:color w:val="auto"/>
              </w:rPr>
            </w:pPr>
          </w:p>
        </w:tc>
      </w:tr>
      <w:tr>
        <w:trPr>
          <w:trHeight w:val="280"/>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October 1, 2014</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150.0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2,193,262</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42.39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93.0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18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April 28, 2015</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tcPr>
          <w:p>
            <w:pPr>
              <w:jc w:val="right"/>
              <w:ind w:right="43"/>
              <w:spacing w:after="0"/>
              <w:rPr>
                <w:sz w:val="20"/>
                <w:szCs w:val="20"/>
                <w:color w:val="auto"/>
              </w:rPr>
            </w:pPr>
            <w:r>
              <w:rPr>
                <w:rFonts w:ascii="Arial" w:cs="Arial" w:eastAsia="Arial" w:hAnsi="Arial"/>
                <w:sz w:val="16"/>
                <w:szCs w:val="16"/>
                <w:color w:val="auto"/>
              </w:rPr>
              <w:t>200.0</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177.2</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537,922</w:t>
            </w:r>
          </w:p>
        </w:tc>
        <w:tc>
          <w:tcPr>
            <w:tcW w:w="26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tcPr>
          <w:p>
            <w:pPr>
              <w:jc w:val="right"/>
              <w:ind w:right="43"/>
              <w:spacing w:after="0"/>
              <w:rPr>
                <w:sz w:val="20"/>
                <w:szCs w:val="20"/>
                <w:color w:val="auto"/>
              </w:rPr>
            </w:pPr>
            <w:r>
              <w:rPr>
                <w:rFonts w:ascii="Arial" w:cs="Arial" w:eastAsia="Arial" w:hAnsi="Arial"/>
                <w:sz w:val="16"/>
                <w:szCs w:val="16"/>
                <w:color w:val="auto"/>
              </w:rPr>
              <w:t>42.48</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22.8</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1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177.2</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2,731,184</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42.41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115.8</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2,458,286</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50.85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125.0</w:t>
            </w: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rPr>
                <w:sz w:val="20"/>
                <w:szCs w:val="20"/>
                <w:color w:val="auto"/>
              </w:rPr>
            </w:pPr>
            <w:r>
              <w:rPr>
                <w:rFonts w:ascii="Arial" w:cs="Arial" w:eastAsia="Arial" w:hAnsi="Arial"/>
                <w:sz w:val="7"/>
                <w:szCs w:val="7"/>
                <w:color w:val="auto"/>
              </w:rPr>
              <w:t>_________________________</w:t>
            </w: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
        </w:trPr>
        <w:tc>
          <w:tcPr>
            <w:tcW w:w="17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7"/>
          <w:szCs w:val="17"/>
          <w:color w:val="auto"/>
        </w:rPr>
        <w:t>(1)  Included in the total cost of shares purchased is a commission fee of $0.02 per share.</w:t>
      </w:r>
    </w:p>
    <w:p>
      <w:pPr>
        <w:spacing w:after="0" w:line="1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xml:space="preserve">See Note 14. </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for details regarding the repurchase of shares from related parties in 2014.</w:t>
      </w:r>
    </w:p>
    <w:p>
      <w:pPr>
        <w:spacing w:after="0" w:line="329"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301" w:lineRule="exact"/>
        <w:rPr>
          <w:sz w:val="20"/>
          <w:szCs w:val="20"/>
          <w:color w:val="auto"/>
        </w:rPr>
      </w:pPr>
    </w:p>
    <w:p>
      <w:pPr>
        <w:ind w:right="140" w:firstLine="486"/>
        <w:spacing w:after="0" w:line="254" w:lineRule="auto"/>
        <w:rPr>
          <w:sz w:val="20"/>
          <w:szCs w:val="20"/>
          <w:color w:val="auto"/>
        </w:rPr>
      </w:pPr>
      <w:r>
        <w:rPr>
          <w:rFonts w:ascii="Arial" w:cs="Arial" w:eastAsia="Arial" w:hAnsi="Arial"/>
          <w:sz w:val="18"/>
          <w:szCs w:val="18"/>
          <w:color w:val="auto"/>
        </w:rPr>
        <w:t>Certain employees, advisors, institutions, officers, and directors of the Company participate in various long-term incentive plans, which provide for granting stock options, warrants, restricted stock awards, and restricted stock units. Stock options and warrants generally vest in equal increments over a three- to five-year period and expire on the tenth anniversary following the date of grant. Restricted stock awards and restricted stock units generally vest over a two- to four-year period.</w:t>
      </w:r>
    </w:p>
    <w:p>
      <w:pPr>
        <w:spacing w:after="0" w:line="258" w:lineRule="exact"/>
        <w:rPr>
          <w:sz w:val="20"/>
          <w:szCs w:val="20"/>
          <w:color w:val="auto"/>
        </w:rPr>
      </w:pPr>
    </w:p>
    <w:p>
      <w:pPr>
        <w:ind w:right="80" w:firstLine="486"/>
        <w:spacing w:after="0" w:line="252" w:lineRule="auto"/>
        <w:rPr>
          <w:sz w:val="20"/>
          <w:szCs w:val="20"/>
          <w:color w:val="auto"/>
        </w:rPr>
      </w:pPr>
      <w:r>
        <w:rPr>
          <w:rFonts w:ascii="Arial" w:cs="Arial" w:eastAsia="Arial" w:hAnsi="Arial"/>
          <w:sz w:val="18"/>
          <w:szCs w:val="18"/>
          <w:color w:val="auto"/>
        </w:rPr>
        <w:t>In November 2010, the Company adopted a 2010 Omnibus Equity Incentive Plan (as amended and restated in May 2015, the “2010 Plan”), which provides for the granting of stock options, warrants, restricted stock awards, restricted stock units, and other equity-based compensation. The 2010 Plan serves as the successor to the 2005 Stock Option Plan for Incentive Stock Options, the 2005 Stock Option Plan for Non-qualified Stock Options, the 2008 Advisor and Institution Incentive Plan, the 2008 Stock Option Plan, and the Director Restricted Stock Plan (collectively, the “Predecessor Plans”). Upon adoption of the 2010 Plan, awards were no longer made under the Predecessor Plans; however, awards previously granted under the Predecessor Plans remain outstanding until exercised or forfeited.</w:t>
      </w:r>
    </w:p>
    <w:p>
      <w:pPr>
        <w:spacing w:after="0" w:line="209" w:lineRule="exact"/>
        <w:rPr>
          <w:sz w:val="20"/>
          <w:szCs w:val="20"/>
          <w:color w:val="auto"/>
        </w:rPr>
      </w:pPr>
    </w:p>
    <w:p>
      <w:pPr>
        <w:ind w:right="220" w:firstLine="486"/>
        <w:spacing w:after="0" w:line="256" w:lineRule="auto"/>
        <w:rPr>
          <w:sz w:val="20"/>
          <w:szCs w:val="20"/>
          <w:color w:val="auto"/>
        </w:rPr>
      </w:pPr>
      <w:r>
        <w:rPr>
          <w:rFonts w:ascii="Arial" w:cs="Arial" w:eastAsia="Arial" w:hAnsi="Arial"/>
          <w:sz w:val="18"/>
          <w:szCs w:val="18"/>
          <w:color w:val="auto"/>
        </w:rPr>
        <w:t>There are 20,055,945 shares authorized for grant under the 2010 Plan. As of June 30, 2015, there were 5,462,060 shares reserved for issuance upon exercise or conversion of outstanding awards granted under the 2010 Plan and 12,918,506 shares remaining available for future issuance.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 and Warrants</w:t>
      </w:r>
    </w:p>
    <w:p>
      <w:pPr>
        <w:spacing w:after="0" w:line="247" w:lineRule="exact"/>
        <w:rPr>
          <w:sz w:val="20"/>
          <w:szCs w:val="20"/>
          <w:color w:val="auto"/>
        </w:rPr>
      </w:pPr>
    </w:p>
    <w:p>
      <w:pPr>
        <w:ind w:right="780" w:firstLine="486"/>
        <w:spacing w:after="0" w:line="262" w:lineRule="auto"/>
        <w:rPr>
          <w:sz w:val="20"/>
          <w:szCs w:val="20"/>
          <w:color w:val="auto"/>
        </w:rPr>
      </w:pPr>
      <w:r>
        <w:rPr>
          <w:rFonts w:ascii="Arial" w:cs="Arial" w:eastAsia="Arial" w:hAnsi="Arial"/>
          <w:sz w:val="18"/>
          <w:szCs w:val="18"/>
          <w:color w:val="auto"/>
        </w:rPr>
        <w:t>The following table presents the weighted-average assumptions used in the Black-Scholes valuation model by the Company in calculating the fair value of its employee and officer stock options that have been granted during the six months ended June 30, 2015:</w:t>
      </w:r>
    </w:p>
    <w:p>
      <w:pPr>
        <w:spacing w:after="0" w:line="116"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life (in years)</w:t>
            </w:r>
          </w:p>
        </w:tc>
        <w:tc>
          <w:tcPr>
            <w:tcW w:w="43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5.30</w:t>
            </w:r>
          </w:p>
        </w:tc>
      </w:tr>
      <w:tr>
        <w:trPr>
          <w:trHeight w:val="260"/>
        </w:trPr>
        <w:tc>
          <w:tcPr>
            <w:tcW w:w="6240" w:type="dxa"/>
            <w:vAlign w:val="bottom"/>
          </w:tcPr>
          <w:p>
            <w:pPr>
              <w:ind w:left="20"/>
              <w:spacing w:after="0"/>
              <w:rPr>
                <w:sz w:val="20"/>
                <w:szCs w:val="20"/>
                <w:color w:val="auto"/>
              </w:rPr>
            </w:pPr>
            <w:r>
              <w:rPr>
                <w:rFonts w:ascii="Arial" w:cs="Arial" w:eastAsia="Arial" w:hAnsi="Arial"/>
                <w:sz w:val="16"/>
                <w:szCs w:val="16"/>
                <w:color w:val="auto"/>
              </w:rPr>
              <w:t>Expected stock price volatility</w:t>
            </w:r>
          </w:p>
        </w:tc>
        <w:tc>
          <w:tcPr>
            <w:tcW w:w="43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25.78%</w:t>
            </w:r>
          </w:p>
        </w:tc>
      </w:tr>
      <w:tr>
        <w:trPr>
          <w:trHeight w:val="280"/>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dividend yield</w:t>
            </w:r>
          </w:p>
        </w:tc>
        <w:tc>
          <w:tcPr>
            <w:tcW w:w="436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w:t>
            </w:r>
          </w:p>
        </w:tc>
      </w:tr>
      <w:tr>
        <w:trPr>
          <w:trHeight w:val="260"/>
        </w:trPr>
        <w:tc>
          <w:tcPr>
            <w:tcW w:w="6240" w:type="dxa"/>
            <w:vAlign w:val="bottom"/>
          </w:tcPr>
          <w:p>
            <w:pPr>
              <w:ind w:left="20"/>
              <w:spacing w:after="0"/>
              <w:rPr>
                <w:sz w:val="20"/>
                <w:szCs w:val="20"/>
                <w:color w:val="auto"/>
              </w:rPr>
            </w:pPr>
            <w:r>
              <w:rPr>
                <w:rFonts w:ascii="Arial" w:cs="Arial" w:eastAsia="Arial" w:hAnsi="Arial"/>
                <w:sz w:val="16"/>
                <w:szCs w:val="16"/>
                <w:color w:val="auto"/>
              </w:rPr>
              <w:t>Risk-free interest rate</w:t>
            </w:r>
          </w:p>
        </w:tc>
        <w:tc>
          <w:tcPr>
            <w:tcW w:w="43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1.58%</w:t>
            </w:r>
          </w:p>
        </w:tc>
      </w:tr>
      <w:tr>
        <w:trPr>
          <w:trHeight w:val="280"/>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Fair value of options</w:t>
            </w:r>
          </w:p>
        </w:tc>
        <w:tc>
          <w:tcPr>
            <w:tcW w:w="4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8.83</w:t>
            </w: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41"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240" w:firstLine="486"/>
        <w:spacing w:after="0" w:line="256" w:lineRule="auto"/>
        <w:rPr>
          <w:sz w:val="20"/>
          <w:szCs w:val="20"/>
          <w:color w:val="auto"/>
        </w:rPr>
      </w:pPr>
      <w:r>
        <w:rPr>
          <w:rFonts w:ascii="Arial" w:cs="Arial" w:eastAsia="Arial" w:hAnsi="Arial"/>
          <w:sz w:val="18"/>
          <w:szCs w:val="18"/>
          <w:color w:val="auto"/>
        </w:rPr>
        <w:t>The fair value of each stock option or warrant awarded to advisors and financial institutions is estimated on the date of the grant and revalued at each reporting period using the Black-Scholes valuation model with the following weighted-average assumptions used during the six months ended June 30, 2015:</w:t>
      </w:r>
    </w:p>
    <w:p>
      <w:pPr>
        <w:spacing w:after="0" w:line="122"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life (in years)</w:t>
            </w:r>
          </w:p>
        </w:tc>
        <w:tc>
          <w:tcPr>
            <w:tcW w:w="43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6.39</w:t>
            </w:r>
          </w:p>
        </w:tc>
      </w:tr>
      <w:tr>
        <w:trPr>
          <w:trHeight w:val="260"/>
        </w:trPr>
        <w:tc>
          <w:tcPr>
            <w:tcW w:w="6240" w:type="dxa"/>
            <w:vAlign w:val="bottom"/>
          </w:tcPr>
          <w:p>
            <w:pPr>
              <w:ind w:left="20"/>
              <w:spacing w:after="0"/>
              <w:rPr>
                <w:sz w:val="20"/>
                <w:szCs w:val="20"/>
                <w:color w:val="auto"/>
              </w:rPr>
            </w:pPr>
            <w:r>
              <w:rPr>
                <w:rFonts w:ascii="Arial" w:cs="Arial" w:eastAsia="Arial" w:hAnsi="Arial"/>
                <w:sz w:val="16"/>
                <w:szCs w:val="16"/>
                <w:color w:val="auto"/>
              </w:rPr>
              <w:t>Expected stock price volatility</w:t>
            </w:r>
          </w:p>
        </w:tc>
        <w:tc>
          <w:tcPr>
            <w:tcW w:w="43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25.57%</w:t>
            </w:r>
          </w:p>
        </w:tc>
      </w:tr>
      <w:tr>
        <w:trPr>
          <w:trHeight w:val="280"/>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dividend yield</w:t>
            </w:r>
          </w:p>
        </w:tc>
        <w:tc>
          <w:tcPr>
            <w:tcW w:w="436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w:t>
            </w:r>
          </w:p>
        </w:tc>
      </w:tr>
      <w:tr>
        <w:trPr>
          <w:trHeight w:val="260"/>
        </w:trPr>
        <w:tc>
          <w:tcPr>
            <w:tcW w:w="6240" w:type="dxa"/>
            <w:vAlign w:val="bottom"/>
          </w:tcPr>
          <w:p>
            <w:pPr>
              <w:ind w:left="20"/>
              <w:spacing w:after="0"/>
              <w:rPr>
                <w:sz w:val="20"/>
                <w:szCs w:val="20"/>
                <w:color w:val="auto"/>
              </w:rPr>
            </w:pPr>
            <w:r>
              <w:rPr>
                <w:rFonts w:ascii="Arial" w:cs="Arial" w:eastAsia="Arial" w:hAnsi="Arial"/>
                <w:sz w:val="16"/>
                <w:szCs w:val="16"/>
                <w:color w:val="auto"/>
              </w:rPr>
              <w:t>Risk-free interest rate</w:t>
            </w:r>
          </w:p>
        </w:tc>
        <w:tc>
          <w:tcPr>
            <w:tcW w:w="43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2.05%</w:t>
            </w:r>
          </w:p>
        </w:tc>
      </w:tr>
      <w:tr>
        <w:trPr>
          <w:trHeight w:val="280"/>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Fair value of options</w:t>
            </w:r>
          </w:p>
        </w:tc>
        <w:tc>
          <w:tcPr>
            <w:tcW w:w="4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16.41</w:t>
            </w:r>
          </w:p>
        </w:tc>
      </w:tr>
    </w:tbl>
    <w:p>
      <w:pPr>
        <w:spacing w:after="0" w:line="16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Company’s stock option and warrant activity for the six months ended June 30, 2015:</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Weighted-</w:t>
            </w: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89"/>
        </w:trPr>
        <w:tc>
          <w:tcPr>
            <w:tcW w:w="50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8"/>
              </w:rPr>
              <w:t>Average</w:t>
            </w: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89"/>
        </w:trPr>
        <w:tc>
          <w:tcPr>
            <w:tcW w:w="50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Remaining</w:t>
            </w:r>
          </w:p>
        </w:tc>
        <w:tc>
          <w:tcPr>
            <w:tcW w:w="180" w:type="dxa"/>
            <w:vAlign w:val="bottom"/>
          </w:tcPr>
          <w:p>
            <w:pPr>
              <w:spacing w:after="0"/>
              <w:rPr>
                <w:sz w:val="16"/>
                <w:szCs w:val="16"/>
                <w:color w:val="auto"/>
              </w:rPr>
            </w:pPr>
          </w:p>
        </w:tc>
        <w:tc>
          <w:tcPr>
            <w:tcW w:w="1420" w:type="dxa"/>
            <w:vAlign w:val="bottom"/>
          </w:tcPr>
          <w:p>
            <w:pPr>
              <w:jc w:val="center"/>
              <w:ind w:right="99"/>
              <w:spacing w:after="0"/>
              <w:rPr>
                <w:sz w:val="20"/>
                <w:szCs w:val="20"/>
                <w:color w:val="auto"/>
              </w:rPr>
            </w:pPr>
            <w:r>
              <w:rPr>
                <w:rFonts w:ascii="Arial" w:cs="Arial" w:eastAsia="Arial" w:hAnsi="Arial"/>
                <w:sz w:val="16"/>
                <w:szCs w:val="16"/>
                <w:b w:val="1"/>
                <w:bCs w:val="1"/>
                <w:color w:val="auto"/>
              </w:rPr>
              <w:t>Aggregate</w:t>
            </w:r>
          </w:p>
        </w:tc>
      </w:tr>
      <w:tr>
        <w:trPr>
          <w:trHeight w:val="189"/>
        </w:trPr>
        <w:tc>
          <w:tcPr>
            <w:tcW w:w="50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Weighted-</w:t>
            </w: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Contractual</w:t>
            </w:r>
          </w:p>
        </w:tc>
        <w:tc>
          <w:tcPr>
            <w:tcW w:w="180" w:type="dxa"/>
            <w:vAlign w:val="bottom"/>
          </w:tcPr>
          <w:p>
            <w:pPr>
              <w:spacing w:after="0"/>
              <w:rPr>
                <w:sz w:val="16"/>
                <w:szCs w:val="16"/>
                <w:color w:val="auto"/>
              </w:rPr>
            </w:pPr>
          </w:p>
        </w:tc>
        <w:tc>
          <w:tcPr>
            <w:tcW w:w="1420" w:type="dxa"/>
            <w:vAlign w:val="bottom"/>
          </w:tcPr>
          <w:p>
            <w:pPr>
              <w:jc w:val="center"/>
              <w:ind w:right="99"/>
              <w:spacing w:after="0"/>
              <w:rPr>
                <w:sz w:val="20"/>
                <w:szCs w:val="20"/>
                <w:color w:val="auto"/>
              </w:rPr>
            </w:pPr>
            <w:r>
              <w:rPr>
                <w:rFonts w:ascii="Arial" w:cs="Arial" w:eastAsia="Arial" w:hAnsi="Arial"/>
                <w:sz w:val="16"/>
                <w:szCs w:val="16"/>
                <w:b w:val="1"/>
                <w:bCs w:val="1"/>
                <w:color w:val="auto"/>
              </w:rPr>
              <w:t>Intrinsic</w:t>
            </w:r>
          </w:p>
        </w:tc>
      </w:tr>
      <w:tr>
        <w:trPr>
          <w:trHeight w:val="189"/>
        </w:trPr>
        <w:tc>
          <w:tcPr>
            <w:tcW w:w="5040" w:type="dxa"/>
            <w:vAlign w:val="bottom"/>
          </w:tcPr>
          <w:p>
            <w:pPr>
              <w:spacing w:after="0"/>
              <w:rPr>
                <w:sz w:val="16"/>
                <w:szCs w:val="16"/>
                <w:color w:val="auto"/>
              </w:rPr>
            </w:pPr>
          </w:p>
        </w:tc>
        <w:tc>
          <w:tcPr>
            <w:tcW w:w="1480" w:type="dxa"/>
            <w:vAlign w:val="bottom"/>
          </w:tcPr>
          <w:p>
            <w:pPr>
              <w:jc w:val="right"/>
              <w:ind w:right="259"/>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Average</w:t>
            </w: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Term</w:t>
            </w:r>
          </w:p>
        </w:tc>
        <w:tc>
          <w:tcPr>
            <w:tcW w:w="180" w:type="dxa"/>
            <w:vAlign w:val="bottom"/>
          </w:tcPr>
          <w:p>
            <w:pPr>
              <w:spacing w:after="0"/>
              <w:rPr>
                <w:sz w:val="16"/>
                <w:szCs w:val="16"/>
                <w:color w:val="auto"/>
              </w:rPr>
            </w:pPr>
          </w:p>
        </w:tc>
        <w:tc>
          <w:tcPr>
            <w:tcW w:w="1420" w:type="dxa"/>
            <w:vAlign w:val="bottom"/>
          </w:tcPr>
          <w:p>
            <w:pPr>
              <w:jc w:val="center"/>
              <w:ind w:right="119"/>
              <w:spacing w:after="0"/>
              <w:rPr>
                <w:sz w:val="20"/>
                <w:szCs w:val="20"/>
                <w:color w:val="auto"/>
              </w:rPr>
            </w:pPr>
            <w:r>
              <w:rPr>
                <w:rFonts w:ascii="Arial" w:cs="Arial" w:eastAsia="Arial" w:hAnsi="Arial"/>
                <w:sz w:val="16"/>
                <w:szCs w:val="16"/>
                <w:b w:val="1"/>
                <w:bCs w:val="1"/>
                <w:color w:val="auto"/>
                <w:w w:val="98"/>
              </w:rPr>
              <w:t>Value</w:t>
            </w:r>
          </w:p>
        </w:tc>
      </w:tr>
      <w:tr>
        <w:trPr>
          <w:trHeight w:val="228"/>
        </w:trPr>
        <w:tc>
          <w:tcPr>
            <w:tcW w:w="504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Shares</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Exercise Price</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(Years)</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(In thousands)</w:t>
            </w:r>
          </w:p>
        </w:tc>
      </w:tr>
      <w:tr>
        <w:trPr>
          <w:trHeight w:val="270"/>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Outstanding — December 31, 2014</w:t>
            </w:r>
          </w:p>
        </w:tc>
        <w:tc>
          <w:tcPr>
            <w:tcW w:w="14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6,287,410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31.59</w:t>
            </w: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r>
      <w:tr>
        <w:trPr>
          <w:trHeight w:val="260"/>
        </w:trPr>
        <w:tc>
          <w:tcPr>
            <w:tcW w:w="5040" w:type="dxa"/>
            <w:vAlign w:val="bottom"/>
          </w:tcPr>
          <w:p>
            <w:pPr>
              <w:ind w:left="180"/>
              <w:spacing w:after="0"/>
              <w:rPr>
                <w:sz w:val="20"/>
                <w:szCs w:val="20"/>
                <w:color w:val="auto"/>
              </w:rPr>
            </w:pPr>
            <w:r>
              <w:rPr>
                <w:rFonts w:ascii="Arial" w:cs="Arial" w:eastAsia="Arial" w:hAnsi="Arial"/>
                <w:sz w:val="16"/>
                <w:szCs w:val="16"/>
                <w:color w:val="auto"/>
              </w:rPr>
              <w:t>Granted</w:t>
            </w: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1,117,634</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45.58</w:t>
            </w:r>
          </w:p>
        </w:tc>
        <w:tc>
          <w:tcPr>
            <w:tcW w:w="1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80"/>
        </w:trPr>
        <w:tc>
          <w:tcPr>
            <w:tcW w:w="5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Exercised</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(663,522)</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28.11</w:t>
            </w:r>
          </w:p>
        </w:tc>
        <w:tc>
          <w:tcPr>
            <w:tcW w:w="1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4"/>
        </w:trPr>
        <w:tc>
          <w:tcPr>
            <w:tcW w:w="50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Forfeited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(375,524)</w:t>
            </w:r>
          </w:p>
        </w:tc>
        <w:tc>
          <w:tcPr>
            <w:tcW w:w="28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38.79</w:t>
            </w:r>
          </w:p>
        </w:tc>
        <w:tc>
          <w:tcPr>
            <w:tcW w:w="100" w:type="dxa"/>
            <w:vAlign w:val="bottom"/>
            <w:tcBorders>
              <w:bottom w:val="single" w:sz="8" w:color="CCEEFF"/>
            </w:tcBorders>
          </w:tcPr>
          <w:p>
            <w:pPr>
              <w:spacing w:after="0"/>
              <w:rPr>
                <w:sz w:val="22"/>
                <w:szCs w:val="22"/>
                <w:color w:val="auto"/>
              </w:rPr>
            </w:pPr>
          </w:p>
        </w:tc>
        <w:tc>
          <w:tcPr>
            <w:tcW w:w="13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420" w:type="dxa"/>
            <w:vAlign w:val="bottom"/>
            <w:tcBorders>
              <w:bottom w:val="single" w:sz="8" w:color="CCEEFF"/>
            </w:tcBorders>
          </w:tcPr>
          <w:p>
            <w:pPr>
              <w:spacing w:after="0"/>
              <w:rPr>
                <w:sz w:val="22"/>
                <w:szCs w:val="22"/>
                <w:color w:val="auto"/>
              </w:rPr>
            </w:pPr>
          </w:p>
        </w:tc>
      </w:tr>
      <w:tr>
        <w:trPr>
          <w:trHeight w:val="24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 June 30, 2015</w:t>
            </w:r>
          </w:p>
        </w:tc>
        <w:tc>
          <w:tcPr>
            <w:tcW w:w="14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6,365,998</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33.99</w:t>
            </w: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79,594</w:t>
            </w:r>
          </w:p>
        </w:tc>
      </w:tr>
      <w:tr>
        <w:trPr>
          <w:trHeight w:val="20"/>
        </w:trPr>
        <w:tc>
          <w:tcPr>
            <w:tcW w:w="50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24"/>
        </w:trPr>
        <w:tc>
          <w:tcPr>
            <w:tcW w:w="5040" w:type="dxa"/>
            <w:vAlign w:val="bottom"/>
          </w:tcPr>
          <w:p>
            <w:pPr>
              <w:ind w:left="40"/>
              <w:spacing w:after="0"/>
              <w:rPr>
                <w:sz w:val="20"/>
                <w:szCs w:val="20"/>
                <w:color w:val="auto"/>
              </w:rPr>
            </w:pPr>
            <w:r>
              <w:rPr>
                <w:rFonts w:ascii="Arial" w:cs="Arial" w:eastAsia="Arial" w:hAnsi="Arial"/>
                <w:sz w:val="16"/>
                <w:szCs w:val="16"/>
                <w:color w:val="auto"/>
              </w:rPr>
              <w:t>Exercisable — June 30, 2015</w:t>
            </w:r>
          </w:p>
        </w:tc>
        <w:tc>
          <w:tcPr>
            <w:tcW w:w="14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3,605,127</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29.33</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5.23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61,850</w:t>
            </w:r>
          </w:p>
        </w:tc>
      </w:tr>
      <w:tr>
        <w:trPr>
          <w:trHeight w:val="20"/>
        </w:trPr>
        <w:tc>
          <w:tcPr>
            <w:tcW w:w="50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information about outstanding stock options and warrants at June 30, 2015:</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239"/>
              <w:spacing w:after="0"/>
              <w:rPr>
                <w:sz w:val="20"/>
                <w:szCs w:val="20"/>
                <w:color w:val="auto"/>
              </w:rPr>
            </w:pPr>
            <w:r>
              <w:rPr>
                <w:rFonts w:ascii="Arial" w:cs="Arial" w:eastAsia="Arial" w:hAnsi="Arial"/>
                <w:sz w:val="16"/>
                <w:szCs w:val="16"/>
                <w:b w:val="1"/>
                <w:bCs w:val="1"/>
                <w:color w:val="auto"/>
              </w:rPr>
              <w:t>Outstanding</w:t>
            </w:r>
          </w:p>
        </w:tc>
        <w:tc>
          <w:tcPr>
            <w:tcW w:w="13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20" w:type="dxa"/>
            <w:vAlign w:val="bottom"/>
            <w:tcBorders>
              <w:bottom w:val="single" w:sz="8" w:color="auto"/>
            </w:tcBorders>
            <w:gridSpan w:val="4"/>
          </w:tcPr>
          <w:p>
            <w:pPr>
              <w:jc w:val="right"/>
              <w:ind w:right="859"/>
              <w:spacing w:after="0"/>
              <w:rPr>
                <w:sz w:val="20"/>
                <w:szCs w:val="20"/>
                <w:color w:val="auto"/>
              </w:rPr>
            </w:pPr>
            <w:r>
              <w:rPr>
                <w:rFonts w:ascii="Arial" w:cs="Arial" w:eastAsia="Arial" w:hAnsi="Arial"/>
                <w:sz w:val="16"/>
                <w:szCs w:val="16"/>
                <w:b w:val="1"/>
                <w:bCs w:val="1"/>
                <w:color w:val="auto"/>
              </w:rPr>
              <w:t>Exercisable</w:t>
            </w:r>
          </w:p>
        </w:tc>
      </w:tr>
      <w:tr>
        <w:trPr>
          <w:trHeight w:val="198"/>
        </w:trPr>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Weighted-</w:t>
            </w: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89"/>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jc w:val="center"/>
              <w:ind w:right="219"/>
              <w:spacing w:after="0"/>
              <w:rPr>
                <w:sz w:val="20"/>
                <w:szCs w:val="20"/>
                <w:color w:val="auto"/>
              </w:rPr>
            </w:pPr>
            <w:r>
              <w:rPr>
                <w:rFonts w:ascii="Arial" w:cs="Arial" w:eastAsia="Arial" w:hAnsi="Arial"/>
                <w:sz w:val="16"/>
                <w:szCs w:val="16"/>
                <w:b w:val="1"/>
                <w:bCs w:val="1"/>
                <w:color w:val="auto"/>
              </w:rPr>
              <w:t>Weighted-</w:t>
            </w:r>
          </w:p>
        </w:tc>
        <w:tc>
          <w:tcPr>
            <w:tcW w:w="14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8"/>
              </w:rPr>
              <w:t>Average</w:t>
            </w: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center"/>
              <w:ind w:right="139"/>
              <w:spacing w:after="0"/>
              <w:rPr>
                <w:sz w:val="20"/>
                <w:szCs w:val="20"/>
                <w:color w:val="auto"/>
              </w:rPr>
            </w:pPr>
            <w:r>
              <w:rPr>
                <w:rFonts w:ascii="Arial" w:cs="Arial" w:eastAsia="Arial" w:hAnsi="Arial"/>
                <w:sz w:val="16"/>
                <w:szCs w:val="16"/>
                <w:b w:val="1"/>
                <w:bCs w:val="1"/>
                <w:color w:val="auto"/>
              </w:rPr>
              <w:t>Weighted-</w:t>
            </w:r>
          </w:p>
        </w:tc>
      </w:tr>
      <w:tr>
        <w:trPr>
          <w:trHeight w:val="189"/>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9"/>
              </w:rPr>
              <w:t>Total</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jc w:val="center"/>
              <w:ind w:right="239"/>
              <w:spacing w:after="0"/>
              <w:rPr>
                <w:sz w:val="20"/>
                <w:szCs w:val="20"/>
                <w:color w:val="auto"/>
              </w:rPr>
            </w:pPr>
            <w:r>
              <w:rPr>
                <w:rFonts w:ascii="Arial" w:cs="Arial" w:eastAsia="Arial" w:hAnsi="Arial"/>
                <w:sz w:val="16"/>
                <w:szCs w:val="16"/>
                <w:b w:val="1"/>
                <w:bCs w:val="1"/>
                <w:color w:val="auto"/>
              </w:rPr>
              <w:t>Average</w:t>
            </w:r>
          </w:p>
        </w:tc>
        <w:tc>
          <w:tcPr>
            <w:tcW w:w="14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Remaining</w:t>
            </w: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center"/>
              <w:ind w:right="119"/>
              <w:spacing w:after="0"/>
              <w:rPr>
                <w:sz w:val="20"/>
                <w:szCs w:val="20"/>
                <w:color w:val="auto"/>
              </w:rPr>
            </w:pPr>
            <w:r>
              <w:rPr>
                <w:rFonts w:ascii="Arial" w:cs="Arial" w:eastAsia="Arial" w:hAnsi="Arial"/>
                <w:sz w:val="16"/>
                <w:szCs w:val="16"/>
                <w:b w:val="1"/>
                <w:bCs w:val="1"/>
                <w:color w:val="auto"/>
              </w:rPr>
              <w:t>Average</w:t>
            </w:r>
          </w:p>
        </w:tc>
      </w:tr>
      <w:tr>
        <w:trPr>
          <w:trHeight w:val="189"/>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9"/>
              </w:rPr>
              <w:t>Number of</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jc w:val="center"/>
              <w:ind w:right="239"/>
              <w:spacing w:after="0"/>
              <w:rPr>
                <w:sz w:val="20"/>
                <w:szCs w:val="20"/>
                <w:color w:val="auto"/>
              </w:rPr>
            </w:pPr>
            <w:r>
              <w:rPr>
                <w:rFonts w:ascii="Arial" w:cs="Arial" w:eastAsia="Arial" w:hAnsi="Arial"/>
                <w:sz w:val="16"/>
                <w:szCs w:val="16"/>
                <w:b w:val="1"/>
                <w:bCs w:val="1"/>
                <w:color w:val="auto"/>
              </w:rPr>
              <w:t>Exercise</w:t>
            </w:r>
          </w:p>
        </w:tc>
        <w:tc>
          <w:tcPr>
            <w:tcW w:w="14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Life</w:t>
            </w:r>
          </w:p>
        </w:tc>
        <w:tc>
          <w:tcPr>
            <w:tcW w:w="1340" w:type="dxa"/>
            <w:vAlign w:val="bottom"/>
          </w:tcPr>
          <w:p>
            <w:pPr>
              <w:jc w:val="right"/>
              <w:ind w:right="179"/>
              <w:spacing w:after="0"/>
              <w:rPr>
                <w:sz w:val="20"/>
                <w:szCs w:val="20"/>
                <w:color w:val="auto"/>
              </w:rPr>
            </w:pPr>
            <w:r>
              <w:rPr>
                <w:rFonts w:ascii="Arial" w:cs="Arial" w:eastAsia="Arial" w:hAnsi="Arial"/>
                <w:sz w:val="16"/>
                <w:szCs w:val="16"/>
                <w:b w:val="1"/>
                <w:bCs w:val="1"/>
                <w:color w:val="auto"/>
              </w:rPr>
              <w:t>Number of</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center"/>
              <w:ind w:right="119"/>
              <w:spacing w:after="0"/>
              <w:rPr>
                <w:sz w:val="20"/>
                <w:szCs w:val="20"/>
                <w:color w:val="auto"/>
              </w:rPr>
            </w:pPr>
            <w:r>
              <w:rPr>
                <w:rFonts w:ascii="Arial" w:cs="Arial" w:eastAsia="Arial" w:hAnsi="Arial"/>
                <w:sz w:val="16"/>
                <w:szCs w:val="16"/>
                <w:b w:val="1"/>
                <w:bCs w:val="1"/>
                <w:color w:val="auto"/>
              </w:rPr>
              <w:t>Exercise</w:t>
            </w:r>
          </w:p>
        </w:tc>
      </w:tr>
      <w:tr>
        <w:trPr>
          <w:trHeight w:val="228"/>
        </w:trPr>
        <w:tc>
          <w:tcPr>
            <w:tcW w:w="4000" w:type="dxa"/>
            <w:vAlign w:val="bottom"/>
            <w:tcBorders>
              <w:bottom w:val="single" w:sz="8" w:color="auto"/>
            </w:tcBorders>
          </w:tcPr>
          <w:p>
            <w:pPr>
              <w:jc w:val="right"/>
              <w:ind w:right="1939"/>
              <w:spacing w:after="0"/>
              <w:rPr>
                <w:sz w:val="20"/>
                <w:szCs w:val="20"/>
                <w:color w:val="auto"/>
              </w:rPr>
            </w:pPr>
            <w:r>
              <w:rPr>
                <w:rFonts w:ascii="Arial" w:cs="Arial" w:eastAsia="Arial" w:hAnsi="Arial"/>
                <w:sz w:val="16"/>
                <w:szCs w:val="16"/>
                <w:b w:val="1"/>
                <w:bCs w:val="1"/>
                <w:color w:val="auto"/>
              </w:rPr>
              <w:t>Range of Exercise Prices</w:t>
            </w: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Shares</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239"/>
              <w:spacing w:after="0"/>
              <w:rPr>
                <w:sz w:val="20"/>
                <w:szCs w:val="20"/>
                <w:color w:val="auto"/>
              </w:rPr>
            </w:pPr>
            <w:r>
              <w:rPr>
                <w:rFonts w:ascii="Arial" w:cs="Arial" w:eastAsia="Arial" w:hAnsi="Arial"/>
                <w:sz w:val="16"/>
                <w:szCs w:val="16"/>
                <w:b w:val="1"/>
                <w:bCs w:val="1"/>
                <w:color w:val="auto"/>
              </w:rPr>
              <w:t>Price</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(Years)</w:t>
            </w:r>
          </w:p>
        </w:tc>
        <w:tc>
          <w:tcPr>
            <w:tcW w:w="12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Shares</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Price</w:t>
            </w:r>
          </w:p>
        </w:tc>
      </w:tr>
      <w:tr>
        <w:trPr>
          <w:trHeight w:val="270"/>
        </w:trPr>
        <w:tc>
          <w:tcPr>
            <w:tcW w:w="4000" w:type="dxa"/>
            <w:vAlign w:val="bottom"/>
            <w:shd w:val="clear" w:color="auto" w:fill="CCEEFF"/>
          </w:tcPr>
          <w:p>
            <w:pPr>
              <w:jc w:val="right"/>
              <w:ind w:right="2619"/>
              <w:spacing w:after="0"/>
              <w:rPr>
                <w:sz w:val="20"/>
                <w:szCs w:val="20"/>
                <w:color w:val="auto"/>
              </w:rPr>
            </w:pPr>
            <w:r>
              <w:rPr>
                <w:rFonts w:ascii="Arial" w:cs="Arial" w:eastAsia="Arial" w:hAnsi="Arial"/>
                <w:sz w:val="16"/>
                <w:szCs w:val="16"/>
                <w:color w:val="auto"/>
              </w:rPr>
              <w:t>$18.04 - $23.02</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1,150,974</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21.39</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1,150,974</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21.39</w:t>
            </w:r>
          </w:p>
        </w:tc>
      </w:tr>
      <w:tr>
        <w:trPr>
          <w:trHeight w:val="260"/>
        </w:trPr>
        <w:tc>
          <w:tcPr>
            <w:tcW w:w="4000" w:type="dxa"/>
            <w:vAlign w:val="bottom"/>
          </w:tcPr>
          <w:p>
            <w:pPr>
              <w:jc w:val="right"/>
              <w:ind w:right="2619"/>
              <w:spacing w:after="0"/>
              <w:rPr>
                <w:sz w:val="20"/>
                <w:szCs w:val="20"/>
                <w:color w:val="auto"/>
              </w:rPr>
            </w:pPr>
            <w:r>
              <w:rPr>
                <w:rFonts w:ascii="Arial" w:cs="Arial" w:eastAsia="Arial" w:hAnsi="Arial"/>
                <w:sz w:val="16"/>
                <w:szCs w:val="16"/>
                <w:color w:val="auto"/>
              </w:rPr>
              <w:t>$23.41 - $30.00</w:t>
            </w:r>
          </w:p>
        </w:tc>
        <w:tc>
          <w:tcPr>
            <w:tcW w:w="120" w:type="dxa"/>
            <w:vAlign w:val="bottom"/>
          </w:tcPr>
          <w:p>
            <w:pPr>
              <w:spacing w:after="0"/>
              <w:rPr>
                <w:sz w:val="22"/>
                <w:szCs w:val="22"/>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1,350,028</w:t>
            </w:r>
          </w:p>
        </w:tc>
        <w:tc>
          <w:tcPr>
            <w:tcW w:w="3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79"/>
              <w:spacing w:after="0"/>
              <w:rPr>
                <w:sz w:val="20"/>
                <w:szCs w:val="20"/>
                <w:color w:val="auto"/>
              </w:rPr>
            </w:pPr>
            <w:r>
              <w:rPr>
                <w:rFonts w:ascii="Arial" w:cs="Arial" w:eastAsia="Arial" w:hAnsi="Arial"/>
                <w:sz w:val="16"/>
                <w:szCs w:val="16"/>
                <w:color w:val="auto"/>
              </w:rPr>
              <w:t>28.24</w:t>
            </w:r>
          </w:p>
        </w:tc>
        <w:tc>
          <w:tcPr>
            <w:tcW w:w="1320" w:type="dxa"/>
            <w:vAlign w:val="bottom"/>
          </w:tcPr>
          <w:p>
            <w:pPr>
              <w:jc w:val="right"/>
              <w:spacing w:after="0"/>
              <w:rPr>
                <w:sz w:val="20"/>
                <w:szCs w:val="20"/>
                <w:color w:val="auto"/>
              </w:rPr>
            </w:pPr>
            <w:r>
              <w:rPr>
                <w:rFonts w:ascii="Arial" w:cs="Arial" w:eastAsia="Arial" w:hAnsi="Arial"/>
                <w:sz w:val="16"/>
                <w:szCs w:val="16"/>
                <w:color w:val="auto"/>
              </w:rPr>
              <w:t>5.41</w:t>
            </w:r>
          </w:p>
        </w:tc>
        <w:tc>
          <w:tcPr>
            <w:tcW w:w="12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878,749</w:t>
            </w:r>
          </w:p>
        </w:tc>
        <w:tc>
          <w:tcPr>
            <w:tcW w:w="3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27.96</w:t>
            </w:r>
          </w:p>
        </w:tc>
      </w:tr>
      <w:tr>
        <w:trPr>
          <w:trHeight w:val="280"/>
        </w:trPr>
        <w:tc>
          <w:tcPr>
            <w:tcW w:w="4000" w:type="dxa"/>
            <w:vAlign w:val="bottom"/>
            <w:shd w:val="clear" w:color="auto" w:fill="CCEEFF"/>
          </w:tcPr>
          <w:p>
            <w:pPr>
              <w:jc w:val="right"/>
              <w:ind w:right="2619"/>
              <w:spacing w:after="0"/>
              <w:rPr>
                <w:sz w:val="20"/>
                <w:szCs w:val="20"/>
                <w:color w:val="auto"/>
              </w:rPr>
            </w:pPr>
            <w:r>
              <w:rPr>
                <w:rFonts w:ascii="Arial" w:cs="Arial" w:eastAsia="Arial" w:hAnsi="Arial"/>
                <w:sz w:val="16"/>
                <w:szCs w:val="16"/>
                <w:color w:val="auto"/>
              </w:rPr>
              <w:t>$31.60 - $32.33</w:t>
            </w: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1,199,189</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31.88</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7.17</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631,094</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31.91</w:t>
            </w:r>
          </w:p>
        </w:tc>
      </w:tr>
      <w:tr>
        <w:trPr>
          <w:trHeight w:val="260"/>
        </w:trPr>
        <w:tc>
          <w:tcPr>
            <w:tcW w:w="4000" w:type="dxa"/>
            <w:vAlign w:val="bottom"/>
          </w:tcPr>
          <w:p>
            <w:pPr>
              <w:jc w:val="right"/>
              <w:ind w:right="2619"/>
              <w:spacing w:after="0"/>
              <w:rPr>
                <w:sz w:val="20"/>
                <w:szCs w:val="20"/>
                <w:color w:val="auto"/>
              </w:rPr>
            </w:pPr>
            <w:r>
              <w:rPr>
                <w:rFonts w:ascii="Arial" w:cs="Arial" w:eastAsia="Arial" w:hAnsi="Arial"/>
                <w:sz w:val="16"/>
                <w:szCs w:val="16"/>
                <w:color w:val="auto"/>
              </w:rPr>
              <w:t>$34.01 - $39.60</w:t>
            </w:r>
          </w:p>
        </w:tc>
        <w:tc>
          <w:tcPr>
            <w:tcW w:w="120" w:type="dxa"/>
            <w:vAlign w:val="bottom"/>
          </w:tcPr>
          <w:p>
            <w:pPr>
              <w:spacing w:after="0"/>
              <w:rPr>
                <w:sz w:val="22"/>
                <w:szCs w:val="22"/>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1,012,285</w:t>
            </w:r>
          </w:p>
        </w:tc>
        <w:tc>
          <w:tcPr>
            <w:tcW w:w="3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79"/>
              <w:spacing w:after="0"/>
              <w:rPr>
                <w:sz w:val="20"/>
                <w:szCs w:val="20"/>
                <w:color w:val="auto"/>
              </w:rPr>
            </w:pPr>
            <w:r>
              <w:rPr>
                <w:rFonts w:ascii="Arial" w:cs="Arial" w:eastAsia="Arial" w:hAnsi="Arial"/>
                <w:sz w:val="16"/>
                <w:szCs w:val="16"/>
                <w:color w:val="auto"/>
              </w:rPr>
              <w:t>34.59</w:t>
            </w:r>
          </w:p>
        </w:tc>
        <w:tc>
          <w:tcPr>
            <w:tcW w:w="1320" w:type="dxa"/>
            <w:vAlign w:val="bottom"/>
          </w:tcPr>
          <w:p>
            <w:pPr>
              <w:jc w:val="right"/>
              <w:spacing w:after="0"/>
              <w:rPr>
                <w:sz w:val="20"/>
                <w:szCs w:val="20"/>
                <w:color w:val="auto"/>
              </w:rPr>
            </w:pPr>
            <w:r>
              <w:rPr>
                <w:rFonts w:ascii="Arial" w:cs="Arial" w:eastAsia="Arial" w:hAnsi="Arial"/>
                <w:sz w:val="16"/>
                <w:szCs w:val="16"/>
                <w:color w:val="auto"/>
              </w:rPr>
              <w:t>5.68</w:t>
            </w:r>
          </w:p>
        </w:tc>
        <w:tc>
          <w:tcPr>
            <w:tcW w:w="12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753,158</w:t>
            </w:r>
          </w:p>
        </w:tc>
        <w:tc>
          <w:tcPr>
            <w:tcW w:w="3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34.48</w:t>
            </w:r>
          </w:p>
        </w:tc>
      </w:tr>
      <w:tr>
        <w:trPr>
          <w:trHeight w:val="273"/>
        </w:trPr>
        <w:tc>
          <w:tcPr>
            <w:tcW w:w="4000" w:type="dxa"/>
            <w:vAlign w:val="bottom"/>
            <w:shd w:val="clear" w:color="auto" w:fill="CCEEFF"/>
          </w:tcPr>
          <w:p>
            <w:pPr>
              <w:jc w:val="right"/>
              <w:ind w:right="2619"/>
              <w:spacing w:after="0"/>
              <w:rPr>
                <w:sz w:val="20"/>
                <w:szCs w:val="20"/>
                <w:color w:val="auto"/>
              </w:rPr>
            </w:pPr>
            <w:r>
              <w:rPr>
                <w:rFonts w:ascii="Arial" w:cs="Arial" w:eastAsia="Arial" w:hAnsi="Arial"/>
                <w:sz w:val="16"/>
                <w:szCs w:val="16"/>
                <w:color w:val="auto"/>
              </w:rPr>
              <w:t>$45.55 - $54.81</w:t>
            </w:r>
          </w:p>
        </w:tc>
        <w:tc>
          <w:tcPr>
            <w:tcW w:w="120" w:type="dxa"/>
            <w:vAlign w:val="bottom"/>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1,653,522</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48.61</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9.34</w:t>
            </w:r>
          </w:p>
        </w:tc>
        <w:tc>
          <w:tcPr>
            <w:tcW w:w="120" w:type="dxa"/>
            <w:vAlign w:val="bottom"/>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191,152</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54.70</w:t>
            </w:r>
          </w:p>
        </w:tc>
      </w:tr>
      <w:tr>
        <w:trPr>
          <w:trHeight w:val="240"/>
        </w:trPr>
        <w:tc>
          <w:tcPr>
            <w:tcW w:w="4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6,365,998</w:t>
            </w:r>
          </w:p>
        </w:tc>
        <w:tc>
          <w:tcPr>
            <w:tcW w:w="3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79"/>
              <w:spacing w:after="0"/>
              <w:rPr>
                <w:sz w:val="20"/>
                <w:szCs w:val="20"/>
                <w:color w:val="auto"/>
              </w:rPr>
            </w:pPr>
            <w:r>
              <w:rPr>
                <w:rFonts w:ascii="Arial" w:cs="Arial" w:eastAsia="Arial" w:hAnsi="Arial"/>
                <w:sz w:val="16"/>
                <w:szCs w:val="16"/>
                <w:color w:val="auto"/>
              </w:rPr>
              <w:t>33.99</w:t>
            </w:r>
          </w:p>
        </w:tc>
        <w:tc>
          <w:tcPr>
            <w:tcW w:w="1320" w:type="dxa"/>
            <w:vAlign w:val="bottom"/>
          </w:tcPr>
          <w:p>
            <w:pPr>
              <w:jc w:val="right"/>
              <w:spacing w:after="0"/>
              <w:rPr>
                <w:sz w:val="20"/>
                <w:szCs w:val="20"/>
                <w:color w:val="auto"/>
              </w:rPr>
            </w:pPr>
            <w:r>
              <w:rPr>
                <w:rFonts w:ascii="Arial" w:cs="Arial" w:eastAsia="Arial" w:hAnsi="Arial"/>
                <w:sz w:val="16"/>
                <w:szCs w:val="16"/>
                <w:color w:val="auto"/>
              </w:rPr>
              <w:t>6.54</w:t>
            </w:r>
          </w:p>
        </w:tc>
        <w:tc>
          <w:tcPr>
            <w:tcW w:w="120" w:type="dxa"/>
            <w:vAlign w:val="bottom"/>
          </w:tcPr>
          <w:p>
            <w:pPr>
              <w:spacing w:after="0"/>
              <w:rPr>
                <w:sz w:val="20"/>
                <w:szCs w:val="20"/>
                <w:color w:val="auto"/>
              </w:rPr>
            </w:pP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3,605,127</w:t>
            </w:r>
          </w:p>
        </w:tc>
        <w:tc>
          <w:tcPr>
            <w:tcW w:w="3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29.33</w:t>
            </w: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269"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The Company recognizes share-based compensation for stock options awarded to employees, officers, and directors based on the grant date fair value over the requisite service period of the award, which generally equals the vesting period. The Company recognized share-based compensation related to the vesting of these awards of $4.3 million and $3.8 million during the three months ended June 30, 2015 and 2014, respectively, and $ 8.3 million and $7.6 million during the six months ended June 30, 2015 and 2014, respectively, which is included in compensation and benefits expense on the unaudited condensed consolidated statements of income. As of June 30, 2015, total unrecognized compensation cost related to non-vested stock options granted to employees, officers, and directors was $18.2 million, which is expected to be recognized over a weighted-average period of 1.98 years.</w:t>
      </w:r>
    </w:p>
    <w:p>
      <w:pPr>
        <w:spacing w:after="0" w:line="207" w:lineRule="exact"/>
        <w:rPr>
          <w:sz w:val="20"/>
          <w:szCs w:val="20"/>
          <w:color w:val="auto"/>
        </w:rPr>
      </w:pPr>
    </w:p>
    <w:p>
      <w:pPr>
        <w:jc w:val="both"/>
        <w:ind w:right="120" w:firstLine="486"/>
        <w:spacing w:after="0" w:line="254" w:lineRule="auto"/>
        <w:rPr>
          <w:sz w:val="20"/>
          <w:szCs w:val="20"/>
          <w:color w:val="auto"/>
        </w:rPr>
      </w:pPr>
      <w:r>
        <w:rPr>
          <w:rFonts w:ascii="Arial" w:cs="Arial" w:eastAsia="Arial" w:hAnsi="Arial"/>
          <w:sz w:val="18"/>
          <w:szCs w:val="18"/>
          <w:color w:val="auto"/>
        </w:rPr>
        <w:t>The Company recognizes share-based compensation for stock options and warrants awarded to its advisors and to financial institutions based on the fair value of the awards at each reporting period. The Company recognized share-based compensation of $1.1 million and $1.6 million during the three months ended June 30, 2015 and 2014, respectively, and $1.8 million and $4.8 million for during the six months ended June 30, 2015 and 2014,</w:t>
      </w:r>
    </w:p>
    <w:p>
      <w:pPr>
        <w:sectPr>
          <w:pgSz w:w="11900" w:h="16838" w:orient="portrait"/>
          <w:cols w:equalWidth="0" w:num="1">
            <w:col w:w="11420"/>
          </w:cols>
          <w:pgMar w:left="240" w:top="441" w:right="239" w:bottom="1440" w:gutter="0" w:footer="0" w:header="0"/>
        </w:sect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420"/>
          </w:cols>
          <w:pgMar w:left="240" w:top="441" w:right="239" w:bottom="1440" w:gutter="0" w:footer="0" w:header="0"/>
          <w:type w:val="continuous"/>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98"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respectively, related to the vesting of stock options and warrants awarded to its advisors and financial institutions, which is classified within commission and advisory expense on the unaudited condensed consolidated statements of income. As of June 30, 2015, total unrecognized compensation cost related to non-vested stock options and warrants granted to advisors and financial institutions was $6.2 million, which is expected to be recognized over a weighted-average period of 1.93 years.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30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summarizes the Company’s activity in its restricted stock awards and restricted stock units for the six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30, 2015:</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240" w:type="dxa"/>
            <w:vAlign w:val="bottom"/>
          </w:tcPr>
          <w:p>
            <w:pPr>
              <w:spacing w:after="0"/>
              <w:rPr>
                <w:sz w:val="19"/>
                <w:szCs w:val="19"/>
                <w:color w:val="auto"/>
              </w:rPr>
            </w:pPr>
          </w:p>
        </w:tc>
        <w:tc>
          <w:tcPr>
            <w:tcW w:w="3540" w:type="dxa"/>
            <w:vAlign w:val="bottom"/>
            <w:tcBorders>
              <w:bottom w:val="single" w:sz="8" w:color="auto"/>
            </w:tcBorders>
            <w:gridSpan w:val="4"/>
          </w:tcPr>
          <w:p>
            <w:pPr>
              <w:jc w:val="right"/>
              <w:ind w:right="719"/>
              <w:spacing w:after="0"/>
              <w:rPr>
                <w:sz w:val="20"/>
                <w:szCs w:val="20"/>
                <w:color w:val="auto"/>
              </w:rPr>
            </w:pPr>
            <w:r>
              <w:rPr>
                <w:rFonts w:ascii="Arial" w:cs="Arial" w:eastAsia="Arial" w:hAnsi="Arial"/>
                <w:sz w:val="16"/>
                <w:szCs w:val="16"/>
                <w:b w:val="1"/>
                <w:bCs w:val="1"/>
                <w:color w:val="auto"/>
              </w:rPr>
              <w:t>Restricted Stock Awards</w:t>
            </w:r>
          </w:p>
        </w:tc>
        <w:tc>
          <w:tcPr>
            <w:tcW w:w="100" w:type="dxa"/>
            <w:vAlign w:val="bottom"/>
          </w:tcPr>
          <w:p>
            <w:pPr>
              <w:spacing w:after="0"/>
              <w:rPr>
                <w:sz w:val="19"/>
                <w:szCs w:val="19"/>
                <w:color w:val="auto"/>
              </w:rPr>
            </w:pPr>
          </w:p>
        </w:tc>
        <w:tc>
          <w:tcPr>
            <w:tcW w:w="3520" w:type="dxa"/>
            <w:vAlign w:val="bottom"/>
            <w:tcBorders>
              <w:bottom w:val="single" w:sz="8" w:color="auto"/>
            </w:tcBorders>
            <w:gridSpan w:val="4"/>
          </w:tcPr>
          <w:p>
            <w:pPr>
              <w:jc w:val="right"/>
              <w:ind w:right="799"/>
              <w:spacing w:after="0"/>
              <w:rPr>
                <w:sz w:val="20"/>
                <w:szCs w:val="20"/>
                <w:color w:val="auto"/>
              </w:rPr>
            </w:pPr>
            <w:r>
              <w:rPr>
                <w:rFonts w:ascii="Arial" w:cs="Arial" w:eastAsia="Arial" w:hAnsi="Arial"/>
                <w:sz w:val="16"/>
                <w:szCs w:val="16"/>
                <w:b w:val="1"/>
                <w:bCs w:val="1"/>
                <w:color w:val="auto"/>
              </w:rPr>
              <w:t>Restricted Stock Units</w:t>
            </w:r>
          </w:p>
        </w:tc>
      </w:tr>
      <w:tr>
        <w:trPr>
          <w:trHeight w:val="198"/>
        </w:trPr>
        <w:tc>
          <w:tcPr>
            <w:tcW w:w="42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Weighted-Average</w:t>
            </w: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jc w:val="center"/>
              <w:ind w:right="59"/>
              <w:spacing w:after="0"/>
              <w:rPr>
                <w:sz w:val="20"/>
                <w:szCs w:val="20"/>
                <w:color w:val="auto"/>
              </w:rPr>
            </w:pPr>
            <w:r>
              <w:rPr>
                <w:rFonts w:ascii="Arial" w:cs="Arial" w:eastAsia="Arial" w:hAnsi="Arial"/>
                <w:sz w:val="16"/>
                <w:szCs w:val="16"/>
                <w:b w:val="1"/>
                <w:bCs w:val="1"/>
                <w:color w:val="auto"/>
                <w:w w:val="99"/>
              </w:rPr>
              <w:t>Weighted-Average</w:t>
            </w:r>
          </w:p>
        </w:tc>
      </w:tr>
      <w:tr>
        <w:trPr>
          <w:trHeight w:val="189"/>
        </w:trPr>
        <w:tc>
          <w:tcPr>
            <w:tcW w:w="4240" w:type="dxa"/>
            <w:vAlign w:val="bottom"/>
          </w:tcPr>
          <w:p>
            <w:pPr>
              <w:spacing w:after="0"/>
              <w:rPr>
                <w:sz w:val="16"/>
                <w:szCs w:val="16"/>
                <w:color w:val="auto"/>
              </w:rPr>
            </w:pPr>
          </w:p>
        </w:tc>
        <w:tc>
          <w:tcPr>
            <w:tcW w:w="1720" w:type="dxa"/>
            <w:vAlign w:val="bottom"/>
          </w:tcPr>
          <w:p>
            <w:pPr>
              <w:jc w:val="right"/>
              <w:ind w:right="379"/>
              <w:spacing w:after="0"/>
              <w:rPr>
                <w:sz w:val="20"/>
                <w:szCs w:val="20"/>
                <w:color w:val="auto"/>
              </w:rPr>
            </w:pPr>
            <w:r>
              <w:rPr>
                <w:rFonts w:ascii="Arial" w:cs="Arial" w:eastAsia="Arial" w:hAnsi="Arial"/>
                <w:sz w:val="16"/>
                <w:szCs w:val="16"/>
                <w:b w:val="1"/>
                <w:bCs w:val="1"/>
                <w:color w:val="auto"/>
              </w:rPr>
              <w:t>Number of</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Grant-Date</w:t>
            </w:r>
          </w:p>
        </w:tc>
        <w:tc>
          <w:tcPr>
            <w:tcW w:w="1700" w:type="dxa"/>
            <w:vAlign w:val="bottom"/>
          </w:tcPr>
          <w:p>
            <w:pPr>
              <w:jc w:val="right"/>
              <w:ind w:right="359"/>
              <w:spacing w:after="0"/>
              <w:rPr>
                <w:sz w:val="20"/>
                <w:szCs w:val="20"/>
                <w:color w:val="auto"/>
              </w:rPr>
            </w:pPr>
            <w:r>
              <w:rPr>
                <w:rFonts w:ascii="Arial" w:cs="Arial" w:eastAsia="Arial" w:hAnsi="Arial"/>
                <w:sz w:val="16"/>
                <w:szCs w:val="16"/>
                <w:b w:val="1"/>
                <w:bCs w:val="1"/>
                <w:color w:val="auto"/>
              </w:rPr>
              <w:t>Number of</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jc w:val="center"/>
              <w:ind w:right="59"/>
              <w:spacing w:after="0"/>
              <w:rPr>
                <w:sz w:val="20"/>
                <w:szCs w:val="20"/>
                <w:color w:val="auto"/>
              </w:rPr>
            </w:pPr>
            <w:r>
              <w:rPr>
                <w:rFonts w:ascii="Arial" w:cs="Arial" w:eastAsia="Arial" w:hAnsi="Arial"/>
                <w:sz w:val="16"/>
                <w:szCs w:val="16"/>
                <w:b w:val="1"/>
                <w:bCs w:val="1"/>
                <w:color w:val="auto"/>
              </w:rPr>
              <w:t>Grant-Date</w:t>
            </w:r>
          </w:p>
        </w:tc>
      </w:tr>
      <w:tr>
        <w:trPr>
          <w:trHeight w:val="228"/>
        </w:trPr>
        <w:tc>
          <w:tcPr>
            <w:tcW w:w="424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Shares</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9"/>
              </w:rPr>
              <w:t>Fair Value</w:t>
            </w:r>
          </w:p>
        </w:tc>
        <w:tc>
          <w:tcPr>
            <w:tcW w:w="10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Shares</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9"/>
              </w:rPr>
              <w:t>Fair Value</w:t>
            </w:r>
          </w:p>
        </w:tc>
      </w:tr>
      <w:tr>
        <w:trPr>
          <w:trHeight w:val="257"/>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Nonvested at December 31, 2014</w:t>
            </w:r>
          </w:p>
        </w:tc>
        <w:tc>
          <w:tcPr>
            <w:tcW w:w="1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33,634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42.78</w:t>
            </w:r>
          </w:p>
        </w:tc>
        <w:tc>
          <w:tcPr>
            <w:tcW w:w="100" w:type="dxa"/>
            <w:vAlign w:val="bottom"/>
            <w:shd w:val="clear" w:color="auto" w:fill="CCEEFF"/>
          </w:tcPr>
          <w:p>
            <w:pPr>
              <w:spacing w:after="0"/>
              <w:rPr>
                <w:sz w:val="22"/>
                <w:szCs w:val="22"/>
                <w:color w:val="auto"/>
              </w:rPr>
            </w:pPr>
          </w:p>
        </w:tc>
        <w:tc>
          <w:tcPr>
            <w:tcW w:w="1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546,725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43.34</w:t>
            </w:r>
          </w:p>
        </w:tc>
      </w:tr>
      <w:tr>
        <w:trPr>
          <w:trHeight w:val="260"/>
        </w:trPr>
        <w:tc>
          <w:tcPr>
            <w:tcW w:w="4240" w:type="dxa"/>
            <w:vAlign w:val="bottom"/>
          </w:tcPr>
          <w:p>
            <w:pPr>
              <w:ind w:left="120"/>
              <w:spacing w:after="0"/>
              <w:rPr>
                <w:sz w:val="20"/>
                <w:szCs w:val="20"/>
                <w:color w:val="auto"/>
              </w:rPr>
            </w:pPr>
            <w:r>
              <w:rPr>
                <w:rFonts w:ascii="Arial" w:cs="Arial" w:eastAsia="Arial" w:hAnsi="Arial"/>
                <w:sz w:val="16"/>
                <w:szCs w:val="16"/>
                <w:color w:val="auto"/>
              </w:rPr>
              <w:t>Granted</w:t>
            </w: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31,847</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41.42</w:t>
            </w:r>
          </w:p>
        </w:tc>
        <w:tc>
          <w:tcPr>
            <w:tcW w:w="100" w:type="dxa"/>
            <w:vAlign w:val="bottom"/>
          </w:tcPr>
          <w:p>
            <w:pPr>
              <w:spacing w:after="0"/>
              <w:rPr>
                <w:sz w:val="22"/>
                <w:szCs w:val="22"/>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325,032</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42.06</w:t>
            </w:r>
          </w:p>
        </w:tc>
      </w:tr>
      <w:tr>
        <w:trPr>
          <w:trHeight w:val="280"/>
        </w:trPr>
        <w:tc>
          <w:tcPr>
            <w:tcW w:w="42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Vested</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(18,832)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37.66</w:t>
            </w:r>
          </w:p>
        </w:tc>
        <w:tc>
          <w:tcPr>
            <w:tcW w:w="100" w:type="dxa"/>
            <w:vAlign w:val="bottom"/>
            <w:shd w:val="clear" w:color="auto" w:fill="CCEEFF"/>
          </w:tcPr>
          <w:p>
            <w:pPr>
              <w:spacing w:after="0"/>
              <w:rPr>
                <w:sz w:val="24"/>
                <w:szCs w:val="2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(116,307)</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39.47</w:t>
            </w:r>
          </w:p>
        </w:tc>
      </w:tr>
      <w:tr>
        <w:trPr>
          <w:trHeight w:val="264"/>
        </w:trPr>
        <w:tc>
          <w:tcPr>
            <w:tcW w:w="424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Forfeited</w:t>
            </w:r>
          </w:p>
        </w:tc>
        <w:tc>
          <w:tcPr>
            <w:tcW w:w="1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(54,306)</w:t>
            </w:r>
          </w:p>
        </w:tc>
        <w:tc>
          <w:tcPr>
            <w:tcW w:w="24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tcPr>
          <w:p>
            <w:pPr>
              <w:jc w:val="right"/>
              <w:ind w:right="39"/>
              <w:spacing w:after="0"/>
              <w:rPr>
                <w:sz w:val="20"/>
                <w:szCs w:val="20"/>
                <w:color w:val="auto"/>
              </w:rPr>
            </w:pPr>
            <w:r>
              <w:rPr>
                <w:rFonts w:ascii="Arial" w:cs="Arial" w:eastAsia="Arial" w:hAnsi="Arial"/>
                <w:sz w:val="16"/>
                <w:szCs w:val="16"/>
                <w:color w:val="auto"/>
              </w:rPr>
              <w:t>45.45</w:t>
            </w:r>
          </w:p>
        </w:tc>
      </w:tr>
      <w:tr>
        <w:trPr>
          <w:trHeight w:val="24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Nonvested at June 30, 2015</w:t>
            </w:r>
          </w:p>
        </w:tc>
        <w:tc>
          <w:tcPr>
            <w:tcW w:w="17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46,649</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43.92</w:t>
            </w: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701,144</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43.23</w:t>
            </w:r>
          </w:p>
        </w:tc>
      </w:tr>
      <w:tr>
        <w:trPr>
          <w:trHeight w:val="20"/>
        </w:trPr>
        <w:tc>
          <w:tcPr>
            <w:tcW w:w="424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The Company recognizes share-based compensation for restricted stock awards and restricted stock units granted to its employees, officers, and directors based on the grant date fair value over the requisite service period of the award, which generally equals the vesting period. The Company recognized $2.4 million and $1.5 million of share-based compensation related to the vesting of these restricted stock awards and restricted stock units during the three months ended June 30, 2015 and 2014, respectively, and $4.4 million and $2.7 million during the six months ended June 30, 2015 and 2014, respectively, which is included in compensation and benefits expense on the unaudited condensed consolidated statements of income. As of June 30, 2015, total unrecognized compensation cost for restricted stock awards and restricted stock units granted to employees, officers, and directors was $14.2 million, which is expected to be recognized over a weighted-average remaining period of 2.12 years.</w:t>
      </w:r>
    </w:p>
    <w:p>
      <w:pPr>
        <w:spacing w:after="0" w:line="206"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In the second quarter of 2014, the Company began granting restricted stock units to its advisors and to financial institutions. The Company recognizes share-based compensation for restricted stock units granted to its advisors and to financial institutions based on the fair value of the awards at each reporting period. The Company recognized share-based compensation of $0.7 million and $0.2 million related to the vesting of these restricted stock units during the three months ended June 30, 2015 and 2014, respectively, and $1.1 million and $0.2 million during the six months ended June 30, 2015 and 2014, respectively, which is classified within commission and advisory expense on the unaudited condensed consolidated statements of income. As of June 30, 2015, total unrecognized compensation cost for restricted stock units granted to advisors and financial institutions was $8.1 million, which is expected to be recognized over a weighted-average remaining period of 2.49 years.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41" w:right="25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76"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47"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Basic earnings per share is computed by dividing net income available to common stockholders by the weighted-average number of shares of common stock outstanding during the period. The computation of diluted earnings per share is similar to the computation of basic earnings per share, except that the denominator is increased to include the number of additional shares of common stock that would have been outstanding if dilutive potential shares of common stock had been issued. The calculation of basic and diluted earnings per share is as follows (in thousands, except per share data):</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0" w:type="dxa"/>
            <w:vAlign w:val="bottom"/>
            <w:gridSpan w:val="5"/>
          </w:tcPr>
          <w:p>
            <w:pPr>
              <w:ind w:left="40"/>
              <w:spacing w:after="0"/>
              <w:rPr>
                <w:sz w:val="20"/>
                <w:szCs w:val="20"/>
                <w:color w:val="auto"/>
              </w:rPr>
            </w:pPr>
            <w:r>
              <w:rPr>
                <w:rFonts w:ascii="Arial" w:cs="Arial" w:eastAsia="Arial" w:hAnsi="Arial"/>
                <w:sz w:val="16"/>
                <w:szCs w:val="16"/>
                <w:b w:val="1"/>
                <w:bCs w:val="1"/>
                <w:color w:val="auto"/>
              </w:rPr>
              <w:t>Three Months Ended June 30,</w:t>
            </w:r>
          </w:p>
        </w:tc>
        <w:tc>
          <w:tcPr>
            <w:tcW w:w="200" w:type="dxa"/>
            <w:vAlign w:val="bottom"/>
          </w:tcPr>
          <w:p>
            <w:pPr>
              <w:spacing w:after="0"/>
              <w:rPr>
                <w:sz w:val="19"/>
                <w:szCs w:val="19"/>
                <w:color w:val="auto"/>
              </w:rPr>
            </w:pPr>
          </w:p>
        </w:tc>
        <w:tc>
          <w:tcPr>
            <w:tcW w:w="2420" w:type="dxa"/>
            <w:vAlign w:val="bottom"/>
            <w:gridSpan w:val="4"/>
          </w:tcPr>
          <w:p>
            <w:pPr>
              <w:jc w:val="right"/>
              <w:ind w:right="159"/>
              <w:spacing w:after="0"/>
              <w:rPr>
                <w:sz w:val="20"/>
                <w:szCs w:val="20"/>
                <w:color w:val="auto"/>
              </w:rPr>
            </w:pPr>
            <w:r>
              <w:rPr>
                <w:rFonts w:ascii="Arial" w:cs="Arial" w:eastAsia="Arial" w:hAnsi="Arial"/>
                <w:sz w:val="16"/>
                <w:szCs w:val="16"/>
                <w:b w:val="1"/>
                <w:bCs w:val="1"/>
                <w:color w:val="auto"/>
              </w:rPr>
              <w:t>Six Months Ended June 30,</w:t>
            </w:r>
          </w:p>
        </w:tc>
      </w:tr>
      <w:tr>
        <w:trPr>
          <w:trHeight w:val="264"/>
        </w:trPr>
        <w:tc>
          <w:tcPr>
            <w:tcW w:w="606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2014</w:t>
            </w:r>
          </w:p>
        </w:tc>
      </w:tr>
      <w:tr>
        <w:trPr>
          <w:trHeight w:val="24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50,242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43,091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100,920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96,226</w:t>
            </w:r>
          </w:p>
        </w:tc>
      </w:tr>
      <w:tr>
        <w:trPr>
          <w:trHeight w:val="20"/>
        </w:trPr>
        <w:tc>
          <w:tcPr>
            <w:tcW w:w="6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308"/>
        </w:trPr>
        <w:tc>
          <w:tcPr>
            <w:tcW w:w="6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0"/>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Basic weighted-average number of shares outstanding</w:t>
            </w: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95,724</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100,244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96,136</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100,756</w:t>
            </w:r>
          </w:p>
        </w:tc>
      </w:tr>
      <w:tr>
        <w:trPr>
          <w:trHeight w:val="264"/>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Dilutive common share equivalents</w:t>
            </w: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1,515</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1,785</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1,579</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1,916</w:t>
            </w:r>
          </w:p>
        </w:tc>
      </w:tr>
      <w:tr>
        <w:trPr>
          <w:trHeight w:val="24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weighted-average number of shares outstanding</w:t>
            </w:r>
          </w:p>
        </w:tc>
        <w:tc>
          <w:tcPr>
            <w:tcW w:w="1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97,239</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102,029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97,715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102,672</w:t>
            </w:r>
          </w:p>
        </w:tc>
      </w:tr>
      <w:tr>
        <w:trPr>
          <w:trHeight w:val="20"/>
        </w:trPr>
        <w:tc>
          <w:tcPr>
            <w:tcW w:w="6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308"/>
        </w:trPr>
        <w:tc>
          <w:tcPr>
            <w:tcW w:w="6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earnings per share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0.52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0.43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0.96</w:t>
            </w:r>
          </w:p>
        </w:tc>
      </w:tr>
      <w:tr>
        <w:trPr>
          <w:trHeight w:val="20"/>
        </w:trPr>
        <w:tc>
          <w:tcPr>
            <w:tcW w:w="6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24"/>
        </w:trPr>
        <w:tc>
          <w:tcPr>
            <w:tcW w:w="6060" w:type="dxa"/>
            <w:vAlign w:val="bottom"/>
          </w:tcPr>
          <w:p>
            <w:pPr>
              <w:ind w:left="40"/>
              <w:spacing w:after="0"/>
              <w:rPr>
                <w:sz w:val="20"/>
                <w:szCs w:val="20"/>
                <w:color w:val="auto"/>
              </w:rPr>
            </w:pPr>
            <w:r>
              <w:rPr>
                <w:rFonts w:ascii="Arial" w:cs="Arial" w:eastAsia="Arial" w:hAnsi="Arial"/>
                <w:sz w:val="16"/>
                <w:szCs w:val="16"/>
                <w:color w:val="auto"/>
              </w:rPr>
              <w:t>Diluted earnings per share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0.52</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0.42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0.94</w:t>
            </w:r>
          </w:p>
        </w:tc>
      </w:tr>
      <w:tr>
        <w:trPr>
          <w:trHeight w:val="20"/>
        </w:trPr>
        <w:tc>
          <w:tcPr>
            <w:tcW w:w="6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The computation of diluted earnings per share excludes stock options, warrants, and restricted stock units that are anti-dilutive. For the three months ended June 30, 2015 and 2014, stock options, warrants, and restricted stock units representing common share equivalents of 2,499,426 shares and 1,510,813 shares, respectively, were anti-dilutive. For the six months ended June 30, 2015 and 2014, stock options, warrants, and restricted stock units representing common share equivalents of 2,342,576 shares and 1,282,968 shares, respectively, were anti-dilutive.</w:t>
      </w:r>
    </w:p>
    <w:p>
      <w:pPr>
        <w:spacing w:after="0" w:line="211"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0" w:lineRule="exact"/>
        <w:rPr>
          <w:sz w:val="20"/>
          <w:szCs w:val="20"/>
          <w:color w:val="auto"/>
        </w:rPr>
      </w:pPr>
    </w:p>
    <w:p>
      <w:pPr>
        <w:ind w:right="340" w:firstLine="405"/>
        <w:spacing w:after="0" w:line="254" w:lineRule="auto"/>
        <w:rPr>
          <w:sz w:val="20"/>
          <w:szCs w:val="20"/>
          <w:color w:val="auto"/>
        </w:rPr>
      </w:pPr>
      <w:r>
        <w:rPr>
          <w:rFonts w:ascii="Arial" w:cs="Arial" w:eastAsia="Arial" w:hAnsi="Arial"/>
          <w:sz w:val="18"/>
          <w:szCs w:val="18"/>
          <w:color w:val="auto"/>
        </w:rPr>
        <w:t>The Company’s effective income tax rate differs from the federal corporate tax rate of 35.0%, primarily as a result of state taxes, settlement contingencies, and expenses that are not deductible for tax purposes. These items resulted in effective tax rates of 40.3% and 39.4% for the three months ended June 30, 2015 and 2014. The change between periods is due to the release of accruals for uncertain tax positions in 2014 due to completion of state tax audits.</w:t>
      </w:r>
    </w:p>
    <w:p>
      <w:pPr>
        <w:spacing w:after="0" w:line="204" w:lineRule="exact"/>
        <w:rPr>
          <w:sz w:val="20"/>
          <w:szCs w:val="20"/>
          <w:color w:val="auto"/>
        </w:rPr>
      </w:pPr>
    </w:p>
    <w:p>
      <w:pPr>
        <w:ind w:right="120" w:firstLine="405"/>
        <w:spacing w:after="0" w:line="256" w:lineRule="auto"/>
        <w:rPr>
          <w:sz w:val="20"/>
          <w:szCs w:val="20"/>
          <w:color w:val="auto"/>
        </w:rPr>
      </w:pPr>
      <w:r>
        <w:rPr>
          <w:rFonts w:ascii="Arial" w:cs="Arial" w:eastAsia="Arial" w:hAnsi="Arial"/>
          <w:sz w:val="18"/>
          <w:szCs w:val="18"/>
          <w:color w:val="auto"/>
        </w:rPr>
        <w:t>The effective tax rates for the six months ended June 30, 2015 and 2014 were 40.2% and 39.4%, respectively. The change between periods is due to the release of accruals for uncertain tax positions in 2014 due to completion of state tax audits and a decrease in the number of incentive stock options exercised in 2015 compared to the same period in 2014.</w:t>
      </w:r>
    </w:p>
    <w:p>
      <w:pPr>
        <w:spacing w:after="0" w:line="202" w:lineRule="exact"/>
        <w:rPr>
          <w:sz w:val="20"/>
          <w:szCs w:val="20"/>
          <w:color w:val="auto"/>
        </w:rPr>
      </w:pPr>
    </w:p>
    <w:p>
      <w:pPr>
        <w:ind w:right="620" w:firstLine="405"/>
        <w:spacing w:after="0" w:line="262"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 purposes.</w:t>
      </w:r>
    </w:p>
    <w:p>
      <w:pPr>
        <w:spacing w:after="0" w:line="174"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47"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The Company has related party transactions with TPG Capital, one of the Company's significant stockholders, certain portfolio companies of TPG Capital, and the LPL Financial Foundation. During the six months ended June 30, 2015 and 2014, the Company recognized revenue for services provided to these related parties of $0.6 million and $0.4 million, respectively. During the six months ended June 30, 2015 and 2014, the Company incurred expenses for services provided by TPG Capital and certain of its portfolio companies of $2.3 million and $0.5 million, respectively. As of June 30, 2015 and 2014, receivables from related parties were $0.2 million and $0.1 million, respectively, and payables to related parties were $0.3 million and less than $0.1 million, respectively.</w:t>
      </w:r>
    </w:p>
    <w:p>
      <w:pPr>
        <w:spacing w:after="0" w:line="209" w:lineRule="exact"/>
        <w:rPr>
          <w:sz w:val="20"/>
          <w:szCs w:val="20"/>
          <w:color w:val="auto"/>
        </w:rPr>
      </w:pPr>
    </w:p>
    <w:p>
      <w:pPr>
        <w:ind w:right="320" w:firstLine="486"/>
        <w:spacing w:after="0" w:line="256" w:lineRule="auto"/>
        <w:rPr>
          <w:sz w:val="20"/>
          <w:szCs w:val="20"/>
          <w:color w:val="auto"/>
        </w:rPr>
      </w:pPr>
      <w:r>
        <w:rPr>
          <w:rFonts w:ascii="Arial" w:cs="Arial" w:eastAsia="Arial" w:hAnsi="Arial"/>
          <w:sz w:val="18"/>
          <w:szCs w:val="18"/>
          <w:color w:val="auto"/>
        </w:rPr>
        <w:t>In February 2014, the Company entered into a share repurchase agreement with an investment fund associated with TPG Capital, pursuant to which the Company repurchased 1.9 million shares of its common stock at a price of $52.00 per share, for total consideration of $100.0 million.</w:t>
      </w:r>
    </w:p>
    <w:p>
      <w:pPr>
        <w:sectPr>
          <w:pgSz w:w="11900" w:h="16838" w:orient="portrait"/>
          <w:cols w:equalWidth="0" w:num="1">
            <w:col w:w="11420"/>
          </w:cols>
          <w:pgMar w:left="240" w:top="441" w:right="239" w:bottom="1440" w:gutter="0" w:footer="0" w:header="0"/>
        </w:sect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420"/>
          </w:cols>
          <w:pgMar w:left="240" w:top="441" w:right="239" w:bottom="1440" w:gutter="0" w:footer="0" w:header="0"/>
          <w:type w:val="continuous"/>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Net Capital and Regulatory Requirements</w:t>
      </w:r>
    </w:p>
    <w:p>
      <w:pPr>
        <w:spacing w:after="0" w:line="247" w:lineRule="exact"/>
        <w:rPr>
          <w:sz w:val="20"/>
          <w:szCs w:val="20"/>
          <w:color w:val="auto"/>
        </w:rPr>
      </w:pPr>
    </w:p>
    <w:p>
      <w:pPr>
        <w:ind w:right="100" w:firstLine="486"/>
        <w:spacing w:after="0" w:line="252" w:lineRule="auto"/>
        <w:rPr>
          <w:sz w:val="20"/>
          <w:szCs w:val="20"/>
          <w:color w:val="auto"/>
        </w:rPr>
      </w:pPr>
      <w:r>
        <w:rPr>
          <w:rFonts w:ascii="Arial" w:cs="Arial" w:eastAsia="Arial" w:hAnsi="Arial"/>
          <w:sz w:val="18"/>
          <w:szCs w:val="18"/>
          <w:color w:val="auto"/>
        </w:rPr>
        <w:t>The Company operates in a highly regulated industry. Applicable laws and regulations restrict permissible activities and investments and require compliance with various financial and customer-related regulations. The consequences of noncompliance can include substantial monetary and non-monetary sanctions. In addition, the Company is also subject to comprehensive examinations and supervision by various governmental and self-regulatory agencies. These regulatory agencies generally have broad discretion to prescribe greater limitations on the operations of a regulated entity for the protection of investors or public interest. Furthermore, where the agencies determine that such operations are unsafe or unsound, fail to comply with applicable law, or are otherwise inconsistent with the laws and regulations or with the supervisory policies, greater restrictions may be imposed.</w:t>
      </w:r>
    </w:p>
    <w:p>
      <w:pPr>
        <w:spacing w:after="0" w:line="207"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The Company’s registered broker-dealer, LPL Financial, is subject to the SEC’s Uniform Net Capital Rule (Rule 15c3-1 under the Exchange Act), which requires the maintenance of minimum net capital, as defined. Net capital and the related net capital requirement may fluctuate on a daily basis. LPL Financial is a clearing broker-dealer and had net capital of $136.0 million with a minimum net capital requirement of $6.4 million as of June 30, 2015.</w:t>
      </w:r>
    </w:p>
    <w:p>
      <w:pPr>
        <w:spacing w:after="0" w:line="204" w:lineRule="exact"/>
        <w:rPr>
          <w:sz w:val="20"/>
          <w:szCs w:val="20"/>
          <w:color w:val="auto"/>
        </w:rPr>
      </w:pPr>
    </w:p>
    <w:p>
      <w:pPr>
        <w:ind w:right="360" w:firstLine="486"/>
        <w:spacing w:after="0" w:line="278" w:lineRule="auto"/>
        <w:rPr>
          <w:sz w:val="20"/>
          <w:szCs w:val="20"/>
          <w:color w:val="auto"/>
        </w:rPr>
      </w:pPr>
      <w:r>
        <w:rPr>
          <w:rFonts w:ascii="Arial" w:cs="Arial" w:eastAsia="Arial" w:hAnsi="Arial"/>
          <w:sz w:val="17"/>
          <w:szCs w:val="17"/>
          <w:color w:val="auto"/>
        </w:rPr>
        <w:t>The Company's subsidiary, The Private Trust Company N.A. (“PTC”), operates in a highly regulated industry and is subject to various regulatory capital requirements. Failure to meet minimum capital requirements can initiate certain mandatory and possible additional discretionary actions by regulators that, if undertaken, could have substantial monetary and non-monetary impacts to PTC's operations.</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June 30, 2015 and December 31, 2014, LPL Financial and PTC met all capital adequacy requirements to which they were subject.</w:t>
      </w:r>
    </w:p>
    <w:p>
      <w:pPr>
        <w:spacing w:after="0" w:line="257"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 with Off-Balance-Sheet Credit Risk and Concentrations of Credit Risk</w:t>
      </w:r>
    </w:p>
    <w:p>
      <w:pPr>
        <w:spacing w:after="0" w:line="247"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auto"/>
        </w:rPr>
        <w:t>LPL Financial’s client securities activities are transacted on either a cash or margin basis. In margin transactions, LPL Financial extends credit to the advisor's client, subject to various regulatory and internal margin requirements, collateralized by cash or securities in the client’s account. As clients write options contracts or sell securities short, LPL Financial may incur losses if the clients do not fulfill their obligations and the collateral in the clients’ accounts is not sufficient to fully cover losses that clients may incur from these strategies. To control this risk, LPL Financial monitors margin levels daily and clients are required to deposit additional collateral, or reduce positions, when necessary.</w:t>
      </w:r>
    </w:p>
    <w:p>
      <w:pPr>
        <w:spacing w:after="0" w:line="206"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LPL Financial is obligated to settle transactions with brokers and other financial institutions even if its advisors' clients fail to meet their obligation to LPL Financial. Clients are required to complete their transactions on the settlement date, generally three business days after the trade date. If clients do not fulfill their contractual obligations, LPL Financial may incur losses. In addition, the Company occasionally enters into certain types of contracts to fulfill its sale of when, as, and if issued securities. When, as, and if issued securities have been authorized but are contingent upon the actual issuance of the security. LPL Financial has established procedures to reduce this risk by generally requiring that clients deposit cash or securities into their account prior to placing an order.</w:t>
      </w:r>
    </w:p>
    <w:p>
      <w:pPr>
        <w:spacing w:after="0" w:line="209"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LPL Financial may at times hold equity securities that are recorded on the unaudited condensed consolidated statements of financial condition at market value. While long inventory positions represent LPL Financial’s ownership of securities, short inventory positions represent obligations of LPL Financial to deliver specified securities at a contracted price, which may differ from market prices prevailing at the time of completion of the transaction. Accordingly, both long and short inventory positions may result in losses or gains to LPL Financial as market values of securities fluctuate. To mitigate the risk of losses, long and short positions are marked-to-market daily and are continuously monitored by LPL Financial.</w:t>
      </w:r>
    </w:p>
    <w:p>
      <w:pPr>
        <w:spacing w:after="0" w:line="241"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47" w:lineRule="exact"/>
        <w:rPr>
          <w:sz w:val="20"/>
          <w:szCs w:val="20"/>
          <w:color w:val="auto"/>
        </w:rPr>
      </w:pPr>
    </w:p>
    <w:p>
      <w:pPr>
        <w:ind w:right="20" w:firstLine="486"/>
        <w:spacing w:after="0" w:line="262" w:lineRule="auto"/>
        <w:rPr>
          <w:sz w:val="20"/>
          <w:szCs w:val="20"/>
          <w:color w:val="auto"/>
        </w:rPr>
      </w:pPr>
      <w:r>
        <w:rPr>
          <w:rFonts w:ascii="Arial" w:cs="Arial" w:eastAsia="Arial" w:hAnsi="Arial"/>
          <w:sz w:val="18"/>
          <w:szCs w:val="18"/>
          <w:color w:val="auto"/>
        </w:rPr>
        <w:t>On July 31, 2015, the Board of Directors declared a cash dividend of $0.25 per share on the Company's outstanding common stock to be paid on August 28, 2015 to stockholders of record on August 17, 2015.</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41"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47" w:lineRule="exact"/>
        <w:rPr>
          <w:sz w:val="20"/>
          <w:szCs w:val="20"/>
          <w:color w:val="auto"/>
        </w:rPr>
      </w:pPr>
    </w:p>
    <w:p>
      <w:pPr>
        <w:ind w:right="300" w:firstLine="486"/>
        <w:spacing w:after="0" w:line="252" w:lineRule="auto"/>
        <w:rPr>
          <w:sz w:val="20"/>
          <w:szCs w:val="20"/>
          <w:color w:val="auto"/>
        </w:rPr>
      </w:pPr>
      <w:r>
        <w:rPr>
          <w:rFonts w:ascii="Arial" w:cs="Arial" w:eastAsia="Arial" w:hAnsi="Arial"/>
          <w:sz w:val="18"/>
          <w:szCs w:val="18"/>
          <w:color w:val="auto"/>
        </w:rPr>
        <w:t>We are the nation's largest independent broker-dealer, a top custodian for registered investment advisors (“RIAs”), and a leading independent consultant to retirement plans. We provide an integrated platform of brokerage and investment advisory services to more than 14,100 independent financial advisors, including financial advisors at more than 700 financial institutions (our “advisors”) across the country, enabling them to provide their retail investors (“clients”) with objective financial advice through a lower conflict model. We also support approximately 4,300 financial advisors who are affiliated and licensed with insurance companies that use our customized clearing, advisory platforms, and technology solutions.</w:t>
      </w:r>
    </w:p>
    <w:p>
      <w:pPr>
        <w:spacing w:after="0" w:line="209" w:lineRule="exact"/>
        <w:rPr>
          <w:sz w:val="20"/>
          <w:szCs w:val="20"/>
          <w:color w:val="auto"/>
        </w:rPr>
      </w:pPr>
    </w:p>
    <w:p>
      <w:pPr>
        <w:ind w:right="300" w:firstLine="486"/>
        <w:spacing w:after="0" w:line="262" w:lineRule="auto"/>
        <w:rPr>
          <w:sz w:val="20"/>
          <w:szCs w:val="20"/>
          <w:color w:val="auto"/>
        </w:rPr>
      </w:pPr>
      <w:r>
        <w:rPr>
          <w:rFonts w:ascii="Arial" w:cs="Arial" w:eastAsia="Arial" w:hAnsi="Arial"/>
          <w:sz w:val="18"/>
          <w:szCs w:val="18"/>
          <w:color w:val="auto"/>
        </w:rPr>
        <w:t>Through our advisors, we are one of the largest distributors of financial products and services in the United States, and we believe we have the fifth-largest overall advisor base in the United States.</w:t>
      </w:r>
    </w:p>
    <w:p>
      <w:pPr>
        <w:spacing w:after="0" w:line="196"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We believe that objective financial guidance is a fundamental need for everyone. We enable our advisors to focus on what they do best— create the personal, long-term relationships that are the foundation for turning life’s aspirations into financial realities. We do that through a singular focus on providing our advisors with the front-, middle-, and back-office support they need to serve the large and growing market for independent investment advice. We believe that LPL Financial is the only company that offers advisors the unique combination of an integrated technology platform, comprehensive self-clearing services, and open architecture access to leading financial products, all delivered in an environment unencumbered by conflicts from product manufacturing, underwriting, or market-making.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Growth Trends</w:t>
      </w:r>
    </w:p>
    <w:p>
      <w:pPr>
        <w:spacing w:after="0" w:line="247" w:lineRule="exact"/>
        <w:rPr>
          <w:sz w:val="20"/>
          <w:szCs w:val="20"/>
          <w:color w:val="auto"/>
        </w:rPr>
      </w:pPr>
    </w:p>
    <w:p>
      <w:pPr>
        <w:ind w:right="100" w:firstLine="486"/>
        <w:spacing w:after="0" w:line="253" w:lineRule="auto"/>
        <w:rPr>
          <w:sz w:val="20"/>
          <w:szCs w:val="20"/>
          <w:color w:val="auto"/>
        </w:rPr>
      </w:pPr>
      <w:r>
        <w:rPr>
          <w:rFonts w:ascii="Arial" w:cs="Arial" w:eastAsia="Arial" w:hAnsi="Arial"/>
          <w:sz w:val="18"/>
          <w:szCs w:val="18"/>
          <w:color w:val="auto"/>
        </w:rPr>
        <w:t>Net new advisory assets, which exclude the impact of market movement, were $4.3 billion and $9.5 billion for the three and six months ended June 30, 2015, compared to $4.2 billion and $8.7 billion in the same period in 2014, primarily driven by advisor productivity growth and solid recruiting of independent RIAs that conduct their advisory business through separate entities (“Hybrid RIAs”) operating pursuant to the Investment Advisers Act of 1940 or through their respective states' investment advisory licensing rules, rather than through LPL Financial. LPL Financial's Hybrid RIA platform provides an integrated offering of technology, clearing, compliance, and custody services to Hybrid RIAs.</w:t>
      </w:r>
    </w:p>
    <w:p>
      <w:pPr>
        <w:spacing w:after="0" w:line="206" w:lineRule="exact"/>
        <w:rPr>
          <w:sz w:val="20"/>
          <w:szCs w:val="20"/>
          <w:color w:val="auto"/>
        </w:rPr>
      </w:pPr>
    </w:p>
    <w:p>
      <w:pPr>
        <w:ind w:right="320" w:firstLine="486"/>
        <w:spacing w:after="0" w:line="262" w:lineRule="auto"/>
        <w:rPr>
          <w:sz w:val="20"/>
          <w:szCs w:val="20"/>
          <w:color w:val="auto"/>
        </w:rPr>
      </w:pPr>
      <w:r>
        <w:rPr>
          <w:rFonts w:ascii="Arial" w:cs="Arial" w:eastAsia="Arial" w:hAnsi="Arial"/>
          <w:sz w:val="18"/>
          <w:szCs w:val="18"/>
          <w:color w:val="auto"/>
        </w:rPr>
        <w:t>Assets managed or serviced by advisors associated with Hybrid RIAs, grew 36.4% to $111.6 billion as of June 30, 2015, representing 359 Hybrid RIAs, compared to $81.8 billion and 282 Hybrid RIAs as of June 30, 2014.</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Growth</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Key contributors to second quarter gross profit growth included:</w:t>
      </w:r>
    </w:p>
    <w:p>
      <w:pPr>
        <w:spacing w:after="0" w:line="225" w:lineRule="exact"/>
        <w:rPr>
          <w:sz w:val="20"/>
          <w:szCs w:val="20"/>
          <w:color w:val="auto"/>
        </w:rPr>
      </w:pPr>
    </w:p>
    <w:p>
      <w:pPr>
        <w:ind w:left="500" w:hanging="168"/>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$20.3 billion increase in total advisory and brokerage assets since June 30, 2014</w:t>
      </w:r>
    </w:p>
    <w:p>
      <w:pPr>
        <w:spacing w:after="0" w:line="225" w:lineRule="exact"/>
        <w:rPr>
          <w:rFonts w:ascii="Arial" w:cs="Arial" w:eastAsia="Arial" w:hAnsi="Arial"/>
          <w:sz w:val="18"/>
          <w:szCs w:val="18"/>
          <w:color w:val="auto"/>
        </w:rPr>
      </w:pPr>
    </w:p>
    <w:p>
      <w:pPr>
        <w:ind w:left="500" w:hanging="168"/>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$18.4 billion in net new advisory assets since June 30, 2014</w:t>
      </w:r>
    </w:p>
    <w:p>
      <w:pPr>
        <w:spacing w:after="0" w:line="225" w:lineRule="exact"/>
        <w:rPr>
          <w:rFonts w:ascii="Arial" w:cs="Arial" w:eastAsia="Arial" w:hAnsi="Arial"/>
          <w:sz w:val="18"/>
          <w:szCs w:val="18"/>
          <w:color w:val="auto"/>
        </w:rPr>
      </w:pPr>
    </w:p>
    <w:p>
      <w:pPr>
        <w:ind w:left="500" w:hanging="168"/>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290 net new advisors added since June 30, 2014</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Sweep Program Performance</w:t>
      </w:r>
    </w:p>
    <w:p>
      <w:pPr>
        <w:spacing w:after="0" w:line="247" w:lineRule="exact"/>
        <w:rPr>
          <w:sz w:val="20"/>
          <w:szCs w:val="20"/>
          <w:color w:val="auto"/>
        </w:rPr>
      </w:pPr>
    </w:p>
    <w:p>
      <w:pPr>
        <w:ind w:right="280" w:firstLine="486"/>
        <w:spacing w:after="0" w:line="254" w:lineRule="auto"/>
        <w:rPr>
          <w:sz w:val="20"/>
          <w:szCs w:val="20"/>
          <w:color w:val="auto"/>
        </w:rPr>
      </w:pPr>
      <w:r>
        <w:rPr>
          <w:rFonts w:ascii="Arial" w:cs="Arial" w:eastAsia="Arial" w:hAnsi="Arial"/>
          <w:sz w:val="18"/>
          <w:szCs w:val="18"/>
          <w:color w:val="auto"/>
        </w:rPr>
        <w:t>Revenue generated from our cash sweep programs declined 8.9% to $22.6 million in the second quarter of 2015 compared to $24.8 million in the same period in 2014. This decline was primarily driven by a step-down of 13 basis points in our insured cash account (“ICA”) program fee, offset by 4 basis points of improvement in average effective federal funds rate and an increase in cash sweep balances of $1.5 billion.</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Progress on a number of regulatory matters</w:t>
      </w:r>
    </w:p>
    <w:p>
      <w:pPr>
        <w:spacing w:after="0" w:line="247" w:lineRule="exact"/>
        <w:rPr>
          <w:sz w:val="20"/>
          <w:szCs w:val="20"/>
          <w:color w:val="auto"/>
        </w:rPr>
      </w:pPr>
    </w:p>
    <w:p>
      <w:pPr>
        <w:ind w:right="500" w:firstLine="486"/>
        <w:spacing w:after="0" w:line="262" w:lineRule="auto"/>
        <w:rPr>
          <w:sz w:val="20"/>
          <w:szCs w:val="20"/>
          <w:color w:val="auto"/>
        </w:rPr>
      </w:pPr>
      <w:r>
        <w:rPr>
          <w:rFonts w:ascii="Arial" w:cs="Arial" w:eastAsia="Arial" w:hAnsi="Arial"/>
          <w:sz w:val="18"/>
          <w:szCs w:val="18"/>
          <w:color w:val="auto"/>
        </w:rPr>
        <w:t>In the second quarter of 2015, we recognized $6.7 million in charges for regulatory-related matters, including in connection with the continued resolution of regulatory matters.</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360"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Capital Management Activity</w:t>
      </w:r>
    </w:p>
    <w:p>
      <w:pPr>
        <w:spacing w:after="0" w:line="247" w:lineRule="exact"/>
        <w:rPr>
          <w:sz w:val="20"/>
          <w:szCs w:val="20"/>
          <w:color w:val="auto"/>
        </w:rPr>
      </w:pPr>
    </w:p>
    <w:p>
      <w:pPr>
        <w:jc w:val="both"/>
        <w:ind w:right="120" w:firstLine="486"/>
        <w:spacing w:after="0" w:line="256" w:lineRule="auto"/>
        <w:rPr>
          <w:sz w:val="20"/>
          <w:szCs w:val="20"/>
          <w:color w:val="auto"/>
        </w:rPr>
      </w:pPr>
      <w:r>
        <w:rPr>
          <w:rFonts w:ascii="Arial" w:cs="Arial" w:eastAsia="Arial" w:hAnsi="Arial"/>
          <w:sz w:val="18"/>
          <w:szCs w:val="18"/>
          <w:color w:val="auto"/>
        </w:rPr>
        <w:t>We spent $85.8 million in the second quarter of 2015 to buy back 2.1 million shares of our common stock, at an average price per share of $41.83. Since our initial public offering in 2010 and through June 30, 2015, we spent $898.3 million to repurchase 23.9 million shares, at an average price per share of $37.62.</w:t>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Board of Directors (the "Board") declared a quarterly cash dividend of $0.25 per share of our common stock, to be paid on</w:t>
      </w:r>
    </w:p>
    <w:p>
      <w:pPr>
        <w:spacing w:after="0" w:line="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August 28, 2015, to all shareholders of record as of August 17, 2015. The declarations of any future quarterly dividends, as well as the timing of record and payment dates, remain subject to approval by the Board.</w:t>
      </w:r>
    </w:p>
    <w:p>
      <w:pPr>
        <w:spacing w:after="0" w:line="19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 the end of the second quarter, we had $177.2 million of capacity remaining in our Board-approved share repurchase plan.</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Sources of Revenue</w:t>
      </w:r>
    </w:p>
    <w:p>
      <w:pPr>
        <w:spacing w:after="0" w:line="247"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Our revenues are derived primarily from fees and commissions from products and advisory services offered by our advisors to their clients, a substantial portion of which we pay out to our advisors, as well as fees we receive from our advisors for the use of our technology, custody, clearing, trust, and reporting platforms. We also generate asset-based revenues through our platform of over 25,000 financial products from a broad range of product manufacturers. Under our self-clearing platform, we custody the majority of client assets invested in these financial products, for which we provide statements, transaction processing, and ongoing account management. In return for these services, mutual funds, insurance companies, banks, and other financial product manufacturers pay us fees based on asset levels or number of accounts managed. We also earn interest from margin loans made to our advisors’ clients.</w:t>
      </w:r>
    </w:p>
    <w:p>
      <w:pPr>
        <w:spacing w:after="0" w:line="207" w:lineRule="exact"/>
        <w:rPr>
          <w:sz w:val="20"/>
          <w:szCs w:val="20"/>
          <w:color w:val="auto"/>
        </w:rPr>
      </w:pPr>
    </w:p>
    <w:p>
      <w:pPr>
        <w:ind w:right="280" w:firstLine="486"/>
        <w:spacing w:after="0" w:line="252" w:lineRule="auto"/>
        <w:rPr>
          <w:sz w:val="20"/>
          <w:szCs w:val="20"/>
          <w:color w:val="auto"/>
        </w:rPr>
      </w:pPr>
      <w:r>
        <w:rPr>
          <w:rFonts w:ascii="Arial" w:cs="Arial" w:eastAsia="Arial" w:hAnsi="Arial"/>
          <w:sz w:val="18"/>
          <w:szCs w:val="18"/>
          <w:color w:val="auto"/>
        </w:rPr>
        <w:t>We track recurring revenue, a characterization of net revenue and a statistical measure, which we define to include our revenues from asset-based fees, advisory fees, trailing commissions, cash sweep programs, and certain other fees that are based upon accounts and advisors. Because certain recurring revenues are associated with asset balances, they will fluctuate depending on the market values and current interest rates. These asset balances, specifically related to advisory and asset-based revenues, have a correlation of approximately 60% to the fluctuations of the overall market, as measured by the S&amp;P 500 index. Accordingly, our recurring revenue can be negatively impacted by adverse external market conditions. However, recurring revenue is meaningful to us despite these fluctuations because it is not dependent upon transaction volumes or other activity-based revenues, which are more difficult to predict, particularly in declining or volatile markets.</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22" w:right="239" w:bottom="1440" w:gutter="0" w:footer="0" w:header="0"/>
        </w:sectPr>
      </w:pPr>
    </w:p>
    <w:bookmarkStart w:id="27" w:name="page28"/>
    <w:bookmarkEnd w:id="27"/>
    <w:p>
      <w:pPr>
        <w:ind w:right="660" w:firstLine="486"/>
        <w:spacing w:after="0" w:line="262" w:lineRule="auto"/>
        <w:rPr>
          <w:sz w:val="20"/>
          <w:szCs w:val="20"/>
          <w:color w:val="auto"/>
        </w:rPr>
      </w:pPr>
      <w:r>
        <w:rPr>
          <w:rFonts w:ascii="Arial" w:cs="Arial" w:eastAsia="Arial" w:hAnsi="Arial"/>
          <w:sz w:val="18"/>
          <w:szCs w:val="18"/>
          <w:color w:val="auto"/>
        </w:rPr>
        <w:t>The table below summarizes the sources of our revenue, the primary drivers of each revenue source, and the percentage of each revenue source that represents recurring revenue:</w:t>
      </w:r>
    </w:p>
    <w:p>
      <w:pPr>
        <w:sectPr>
          <w:pgSz w:w="11900" w:h="16838" w:orient="portrait"/>
          <w:cols w:equalWidth="0" w:num="1">
            <w:col w:w="11440"/>
          </w:cols>
          <w:pgMar w:left="240" w:top="436"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left="320"/>
        <w:spacing w:after="0"/>
        <w:rPr>
          <w:sz w:val="20"/>
          <w:szCs w:val="20"/>
          <w:color w:val="auto"/>
        </w:rPr>
      </w:pPr>
      <w:r>
        <w:rPr>
          <w:rFonts w:ascii="Arial" w:cs="Arial" w:eastAsia="Arial" w:hAnsi="Arial"/>
          <w:sz w:val="14"/>
          <w:szCs w:val="14"/>
          <w:color w:val="auto"/>
        </w:rPr>
        <w:t>Advisor-driven revenue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1534795" cy="17665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1766570"/>
                    </a:xfrm>
                    <a:prstGeom prst="rect">
                      <a:avLst/>
                    </a:prstGeom>
                    <a:noFill/>
                  </pic:spPr>
                </pic:pic>
              </a:graphicData>
            </a:graphic>
          </wp:anchor>
        </w:drawing>
      </w:r>
    </w:p>
    <w:p>
      <w:pPr>
        <w:jc w:val="center"/>
        <w:ind w:left="320"/>
        <w:spacing w:after="0"/>
        <w:rPr>
          <w:sz w:val="20"/>
          <w:szCs w:val="20"/>
          <w:color w:val="auto"/>
        </w:rPr>
      </w:pPr>
      <w:r>
        <w:rPr>
          <w:rFonts w:ascii="Arial" w:cs="Arial" w:eastAsia="Arial" w:hAnsi="Arial"/>
          <w:sz w:val="14"/>
          <w:szCs w:val="14"/>
          <w:color w:val="auto"/>
        </w:rPr>
        <w:t>~85%-90% payout ratio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780" w:right="240" w:hanging="211"/>
        <w:spacing w:after="0" w:line="258" w:lineRule="auto"/>
        <w:rPr>
          <w:sz w:val="20"/>
          <w:szCs w:val="20"/>
          <w:color w:val="auto"/>
        </w:rPr>
      </w:pPr>
      <w:r>
        <w:rPr>
          <w:rFonts w:ascii="Arial" w:cs="Arial" w:eastAsia="Arial" w:hAnsi="Arial"/>
          <w:sz w:val="14"/>
          <w:szCs w:val="14"/>
          <w:color w:val="auto"/>
        </w:rPr>
        <w:t>Attachment revenue retained by us</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274"/>
        </w:trPr>
        <w:tc>
          <w:tcPr>
            <w:tcW w:w="2980" w:type="dxa"/>
            <w:vAlign w:val="bottom"/>
            <w:tcBorders>
              <w:left w:val="single" w:sz="8" w:color="A5A5A5"/>
              <w:right w:val="single" w:sz="8" w:color="A5A5A5"/>
            </w:tcBorders>
            <w:shd w:val="clear" w:color="auto" w:fill="000000"/>
          </w:tcPr>
          <w:p>
            <w:pPr>
              <w:spacing w:after="0"/>
              <w:rPr>
                <w:sz w:val="23"/>
                <w:szCs w:val="23"/>
                <w:color w:val="auto"/>
              </w:rPr>
            </w:pPr>
          </w:p>
        </w:tc>
        <w:tc>
          <w:tcPr>
            <w:tcW w:w="2960" w:type="dxa"/>
            <w:vAlign w:val="bottom"/>
            <w:tcBorders>
              <w:right w:val="single" w:sz="8" w:color="A5A5A5"/>
            </w:tcBorders>
            <w:shd w:val="clear" w:color="auto" w:fill="000000"/>
          </w:tcPr>
          <w:p>
            <w:pPr>
              <w:spacing w:after="0"/>
              <w:rPr>
                <w:sz w:val="23"/>
                <w:szCs w:val="23"/>
                <w:color w:val="auto"/>
              </w:rPr>
            </w:pPr>
          </w:p>
        </w:tc>
        <w:tc>
          <w:tcPr>
            <w:tcW w:w="3080" w:type="dxa"/>
            <w:vAlign w:val="bottom"/>
            <w:tcBorders>
              <w:right w:val="single" w:sz="8" w:color="A5A5A5"/>
            </w:tcBorders>
            <w:gridSpan w:val="3"/>
            <w:shd w:val="clear" w:color="auto" w:fill="000000"/>
          </w:tcPr>
          <w:p>
            <w:pPr>
              <w:jc w:val="center"/>
              <w:spacing w:after="0"/>
              <w:rPr>
                <w:sz w:val="20"/>
                <w:szCs w:val="20"/>
                <w:color w:val="auto"/>
              </w:rPr>
            </w:pPr>
            <w:r>
              <w:rPr>
                <w:rFonts w:ascii="Arial" w:cs="Arial" w:eastAsia="Arial" w:hAnsi="Arial"/>
                <w:sz w:val="14"/>
                <w:szCs w:val="14"/>
                <w:color w:val="FFFFFF"/>
              </w:rPr>
              <w:t>Six Months Ended June 30, 2015</w:t>
            </w:r>
          </w:p>
        </w:tc>
        <w:tc>
          <w:tcPr>
            <w:tcW w:w="0" w:type="dxa"/>
            <w:vAlign w:val="bottom"/>
          </w:tcPr>
          <w:p>
            <w:pPr>
              <w:spacing w:after="0"/>
              <w:rPr>
                <w:sz w:val="1"/>
                <w:szCs w:val="1"/>
                <w:color w:val="auto"/>
              </w:rPr>
            </w:pPr>
          </w:p>
        </w:tc>
      </w:tr>
      <w:tr>
        <w:trPr>
          <w:trHeight w:val="204"/>
        </w:trPr>
        <w:tc>
          <w:tcPr>
            <w:tcW w:w="2980" w:type="dxa"/>
            <w:vAlign w:val="bottom"/>
            <w:tcBorders>
              <w:left w:val="single" w:sz="8" w:color="A5A5A5"/>
              <w:right w:val="single" w:sz="8" w:color="A5A5A5"/>
            </w:tcBorders>
            <w:shd w:val="clear" w:color="auto" w:fill="000000"/>
          </w:tcPr>
          <w:p>
            <w:pPr>
              <w:spacing w:after="0"/>
              <w:rPr>
                <w:sz w:val="17"/>
                <w:szCs w:val="17"/>
                <w:color w:val="auto"/>
              </w:rPr>
            </w:pPr>
          </w:p>
        </w:tc>
        <w:tc>
          <w:tcPr>
            <w:tcW w:w="2960" w:type="dxa"/>
            <w:vAlign w:val="bottom"/>
            <w:tcBorders>
              <w:right w:val="single" w:sz="8" w:color="A5A5A5"/>
            </w:tcBorders>
            <w:shd w:val="clear" w:color="auto" w:fill="000000"/>
          </w:tcPr>
          <w:p>
            <w:pPr>
              <w:spacing w:after="0"/>
              <w:rPr>
                <w:sz w:val="17"/>
                <w:szCs w:val="17"/>
                <w:color w:val="auto"/>
              </w:rPr>
            </w:pPr>
          </w:p>
        </w:tc>
        <w:tc>
          <w:tcPr>
            <w:tcW w:w="1020" w:type="dxa"/>
            <w:vAlign w:val="bottom"/>
            <w:tcBorders>
              <w:right w:val="single" w:sz="8" w:color="A5A5A5"/>
            </w:tcBorders>
            <w:shd w:val="clear" w:color="auto" w:fill="000000"/>
          </w:tcPr>
          <w:p>
            <w:pPr>
              <w:jc w:val="center"/>
              <w:spacing w:after="0"/>
              <w:rPr>
                <w:sz w:val="20"/>
                <w:szCs w:val="20"/>
                <w:color w:val="auto"/>
              </w:rPr>
            </w:pPr>
            <w:r>
              <w:rPr>
                <w:rFonts w:ascii="Arial" w:cs="Arial" w:eastAsia="Arial" w:hAnsi="Arial"/>
                <w:sz w:val="14"/>
                <w:szCs w:val="14"/>
                <w:color w:val="FFFFFF"/>
              </w:rPr>
              <w:t>Total</w:t>
            </w:r>
          </w:p>
        </w:tc>
        <w:tc>
          <w:tcPr>
            <w:tcW w:w="1040" w:type="dxa"/>
            <w:vAlign w:val="bottom"/>
            <w:tcBorders>
              <w:right w:val="single" w:sz="8" w:color="A5A5A5"/>
            </w:tcBorders>
            <w:shd w:val="clear" w:color="auto" w:fill="000000"/>
          </w:tcPr>
          <w:p>
            <w:pPr>
              <w:jc w:val="center"/>
              <w:spacing w:after="0"/>
              <w:rPr>
                <w:sz w:val="20"/>
                <w:szCs w:val="20"/>
                <w:color w:val="auto"/>
              </w:rPr>
            </w:pPr>
            <w:r>
              <w:rPr>
                <w:rFonts w:ascii="Arial" w:cs="Arial" w:eastAsia="Arial" w:hAnsi="Arial"/>
                <w:sz w:val="14"/>
                <w:szCs w:val="14"/>
                <w:color w:val="FFFFFF"/>
              </w:rPr>
              <w:t>% of Total Net</w:t>
            </w:r>
          </w:p>
        </w:tc>
        <w:tc>
          <w:tcPr>
            <w:tcW w:w="1020" w:type="dxa"/>
            <w:vAlign w:val="bottom"/>
            <w:tcBorders>
              <w:right w:val="single" w:sz="8" w:color="A5A5A5"/>
            </w:tcBorders>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980" w:type="dxa"/>
            <w:vAlign w:val="bottom"/>
            <w:tcBorders>
              <w:left w:val="single" w:sz="8" w:color="A5A5A5"/>
              <w:right w:val="single" w:sz="8" w:color="A5A5A5"/>
            </w:tcBorders>
            <w:shd w:val="clear" w:color="auto" w:fill="000000"/>
          </w:tcPr>
          <w:p>
            <w:pPr>
              <w:ind w:left="840"/>
              <w:spacing w:after="0"/>
              <w:rPr>
                <w:sz w:val="20"/>
                <w:szCs w:val="20"/>
                <w:color w:val="auto"/>
              </w:rPr>
            </w:pPr>
            <w:r>
              <w:rPr>
                <w:rFonts w:ascii="Arial" w:cs="Arial" w:eastAsia="Arial" w:hAnsi="Arial"/>
                <w:sz w:val="14"/>
                <w:szCs w:val="14"/>
                <w:color w:val="FFFFFF"/>
              </w:rPr>
              <w:t>Sources of Revenue</w:t>
            </w:r>
          </w:p>
        </w:tc>
        <w:tc>
          <w:tcPr>
            <w:tcW w:w="2960" w:type="dxa"/>
            <w:vAlign w:val="bottom"/>
            <w:tcBorders>
              <w:right w:val="single" w:sz="8" w:color="A5A5A5"/>
            </w:tcBorders>
            <w:shd w:val="clear" w:color="auto" w:fill="000000"/>
          </w:tcPr>
          <w:p>
            <w:pPr>
              <w:ind w:left="980"/>
              <w:spacing w:after="0"/>
              <w:rPr>
                <w:sz w:val="20"/>
                <w:szCs w:val="20"/>
                <w:color w:val="auto"/>
              </w:rPr>
            </w:pPr>
            <w:r>
              <w:rPr>
                <w:rFonts w:ascii="Arial" w:cs="Arial" w:eastAsia="Arial" w:hAnsi="Arial"/>
                <w:sz w:val="14"/>
                <w:szCs w:val="14"/>
                <w:color w:val="FFFFFF"/>
              </w:rPr>
              <w:t>Primary Drivers</w:t>
            </w:r>
          </w:p>
        </w:tc>
        <w:tc>
          <w:tcPr>
            <w:tcW w:w="1020" w:type="dxa"/>
            <w:vAlign w:val="bottom"/>
            <w:tcBorders>
              <w:right w:val="single" w:sz="8" w:color="A5A5A5"/>
            </w:tcBorders>
            <w:shd w:val="clear" w:color="auto" w:fill="000000"/>
          </w:tcPr>
          <w:p>
            <w:pPr>
              <w:jc w:val="center"/>
              <w:spacing w:after="0"/>
              <w:rPr>
                <w:sz w:val="20"/>
                <w:szCs w:val="20"/>
                <w:color w:val="auto"/>
              </w:rPr>
            </w:pPr>
            <w:r>
              <w:rPr>
                <w:rFonts w:ascii="Arial" w:cs="Arial" w:eastAsia="Arial" w:hAnsi="Arial"/>
                <w:sz w:val="14"/>
                <w:szCs w:val="14"/>
                <w:color w:val="FFFFFF"/>
                <w:w w:val="99"/>
              </w:rPr>
              <w:t>(millions)</w:t>
            </w:r>
          </w:p>
        </w:tc>
        <w:tc>
          <w:tcPr>
            <w:tcW w:w="1040" w:type="dxa"/>
            <w:vAlign w:val="bottom"/>
            <w:tcBorders>
              <w:right w:val="single" w:sz="8" w:color="A5A5A5"/>
            </w:tcBorders>
            <w:shd w:val="clear" w:color="auto" w:fill="000000"/>
          </w:tcPr>
          <w:p>
            <w:pPr>
              <w:jc w:val="center"/>
              <w:spacing w:after="0"/>
              <w:rPr>
                <w:sz w:val="20"/>
                <w:szCs w:val="20"/>
                <w:color w:val="auto"/>
              </w:rPr>
            </w:pPr>
            <w:r>
              <w:rPr>
                <w:rFonts w:ascii="Arial" w:cs="Arial" w:eastAsia="Arial" w:hAnsi="Arial"/>
                <w:sz w:val="14"/>
                <w:szCs w:val="14"/>
                <w:color w:val="FFFFFF"/>
              </w:rPr>
              <w:t>Revenue</w:t>
            </w:r>
          </w:p>
        </w:tc>
        <w:tc>
          <w:tcPr>
            <w:tcW w:w="1020" w:type="dxa"/>
            <w:vAlign w:val="bottom"/>
            <w:tcBorders>
              <w:right w:val="single" w:sz="8" w:color="A5A5A5"/>
            </w:tcBorders>
            <w:shd w:val="clear" w:color="auto" w:fill="000000"/>
          </w:tcPr>
          <w:p>
            <w:pPr>
              <w:jc w:val="center"/>
              <w:spacing w:after="0"/>
              <w:rPr>
                <w:sz w:val="20"/>
                <w:szCs w:val="20"/>
                <w:color w:val="auto"/>
              </w:rPr>
            </w:pPr>
            <w:r>
              <w:rPr>
                <w:rFonts w:ascii="Arial" w:cs="Arial" w:eastAsia="Arial" w:hAnsi="Arial"/>
                <w:sz w:val="14"/>
                <w:szCs w:val="14"/>
                <w:color w:val="FFFFFF"/>
              </w:rPr>
              <w:t>% Recurring</w:t>
            </w:r>
          </w:p>
        </w:tc>
        <w:tc>
          <w:tcPr>
            <w:tcW w:w="0" w:type="dxa"/>
            <w:vAlign w:val="bottom"/>
          </w:tcPr>
          <w:p>
            <w:pPr>
              <w:spacing w:after="0"/>
              <w:rPr>
                <w:sz w:val="1"/>
                <w:szCs w:val="1"/>
                <w:color w:val="auto"/>
              </w:rPr>
            </w:pPr>
          </w:p>
        </w:tc>
      </w:tr>
      <w:tr>
        <w:trPr>
          <w:trHeight w:val="194"/>
        </w:trPr>
        <w:tc>
          <w:tcPr>
            <w:tcW w:w="2980" w:type="dxa"/>
            <w:vAlign w:val="bottom"/>
            <w:tcBorders>
              <w:left w:val="single" w:sz="8" w:color="A5A5A5"/>
              <w:right w:val="single" w:sz="8" w:color="A5A5A5"/>
            </w:tcBorders>
          </w:tcPr>
          <w:p>
            <w:pPr>
              <w:ind w:left="40"/>
              <w:spacing w:after="0"/>
              <w:rPr>
                <w:sz w:val="20"/>
                <w:szCs w:val="20"/>
                <w:color w:val="auto"/>
              </w:rPr>
            </w:pPr>
            <w:r>
              <w:rPr>
                <w:rFonts w:ascii="Arial" w:cs="Arial" w:eastAsia="Arial" w:hAnsi="Arial"/>
                <w:sz w:val="14"/>
                <w:szCs w:val="14"/>
                <w:b w:val="1"/>
                <w:bCs w:val="1"/>
                <w:color w:val="auto"/>
              </w:rPr>
              <w:t>Commission</w:t>
            </w:r>
          </w:p>
        </w:tc>
        <w:tc>
          <w:tcPr>
            <w:tcW w:w="2960" w:type="dxa"/>
            <w:vAlign w:val="bottom"/>
            <w:tcBorders>
              <w:right w:val="single" w:sz="8" w:color="A5A5A5"/>
            </w:tcBorders>
          </w:tcPr>
          <w:p>
            <w:pPr>
              <w:ind w:left="20"/>
              <w:spacing w:after="0"/>
              <w:rPr>
                <w:sz w:val="20"/>
                <w:szCs w:val="20"/>
                <w:color w:val="auto"/>
              </w:rPr>
            </w:pPr>
            <w:r>
              <w:rPr>
                <w:rFonts w:ascii="Arial" w:cs="Arial" w:eastAsia="Arial" w:hAnsi="Arial"/>
                <w:sz w:val="14"/>
                <w:szCs w:val="14"/>
                <w:color w:val="auto"/>
              </w:rPr>
              <w:t>- Transactions</w:t>
            </w:r>
          </w:p>
        </w:tc>
        <w:tc>
          <w:tcPr>
            <w:tcW w:w="102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auto"/>
              </w:rPr>
              <w:t>$1,033</w:t>
            </w:r>
          </w:p>
        </w:tc>
        <w:tc>
          <w:tcPr>
            <w:tcW w:w="104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auto"/>
              </w:rPr>
              <w:t>47%</w:t>
            </w:r>
          </w:p>
        </w:tc>
        <w:tc>
          <w:tcPr>
            <w:tcW w:w="102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91"/>
        </w:trPr>
        <w:tc>
          <w:tcPr>
            <w:tcW w:w="2980" w:type="dxa"/>
            <w:vAlign w:val="bottom"/>
            <w:tcBorders>
              <w:left w:val="single" w:sz="8" w:color="A5A5A5"/>
              <w:right w:val="single" w:sz="8" w:color="A5A5A5"/>
            </w:tcBorders>
          </w:tcPr>
          <w:p>
            <w:pPr>
              <w:spacing w:after="0"/>
              <w:rPr>
                <w:sz w:val="7"/>
                <w:szCs w:val="7"/>
                <w:color w:val="auto"/>
              </w:rPr>
            </w:pPr>
          </w:p>
        </w:tc>
        <w:tc>
          <w:tcPr>
            <w:tcW w:w="2960" w:type="dxa"/>
            <w:vAlign w:val="bottom"/>
            <w:tcBorders>
              <w:right w:val="single" w:sz="8" w:color="A5A5A5"/>
            </w:tcBorders>
            <w:vMerge w:val="restart"/>
          </w:tcPr>
          <w:p>
            <w:pPr>
              <w:ind w:left="20"/>
              <w:spacing w:after="0"/>
              <w:rPr>
                <w:sz w:val="20"/>
                <w:szCs w:val="20"/>
                <w:color w:val="auto"/>
              </w:rPr>
            </w:pPr>
            <w:r>
              <w:rPr>
                <w:rFonts w:ascii="Arial" w:cs="Arial" w:eastAsia="Arial" w:hAnsi="Arial"/>
                <w:sz w:val="14"/>
                <w:szCs w:val="14"/>
                <w:color w:val="auto"/>
              </w:rPr>
              <w:t>- Brokerage asset levels</w:t>
            </w:r>
          </w:p>
        </w:tc>
        <w:tc>
          <w:tcPr>
            <w:tcW w:w="1020" w:type="dxa"/>
            <w:vAlign w:val="bottom"/>
            <w:tcBorders>
              <w:right w:val="single" w:sz="8" w:color="A5A5A5"/>
            </w:tcBorders>
            <w:vMerge w:val="continue"/>
          </w:tcPr>
          <w:p>
            <w:pPr>
              <w:spacing w:after="0"/>
              <w:rPr>
                <w:sz w:val="7"/>
                <w:szCs w:val="7"/>
                <w:color w:val="auto"/>
              </w:rPr>
            </w:pPr>
          </w:p>
        </w:tc>
        <w:tc>
          <w:tcPr>
            <w:tcW w:w="1040" w:type="dxa"/>
            <w:vAlign w:val="bottom"/>
            <w:tcBorders>
              <w:right w:val="single" w:sz="8" w:color="A5A5A5"/>
            </w:tcBorders>
            <w:vMerge w:val="continue"/>
          </w:tcPr>
          <w:p>
            <w:pPr>
              <w:spacing w:after="0"/>
              <w:rPr>
                <w:sz w:val="7"/>
                <w:szCs w:val="7"/>
                <w:color w:val="auto"/>
              </w:rPr>
            </w:pPr>
          </w:p>
        </w:tc>
        <w:tc>
          <w:tcPr>
            <w:tcW w:w="1020" w:type="dxa"/>
            <w:vAlign w:val="bottom"/>
            <w:tcBorders>
              <w:right w:val="single" w:sz="8" w:color="A5A5A5"/>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980" w:type="dxa"/>
            <w:vAlign w:val="bottom"/>
            <w:tcBorders>
              <w:left w:val="single" w:sz="8" w:color="A5A5A5"/>
              <w:bottom w:val="single" w:sz="8" w:color="A5A5A5"/>
              <w:right w:val="single" w:sz="8" w:color="A5A5A5"/>
            </w:tcBorders>
          </w:tcPr>
          <w:p>
            <w:pPr>
              <w:spacing w:after="0"/>
              <w:rPr>
                <w:sz w:val="7"/>
                <w:szCs w:val="7"/>
                <w:color w:val="auto"/>
              </w:rPr>
            </w:pPr>
          </w:p>
        </w:tc>
        <w:tc>
          <w:tcPr>
            <w:tcW w:w="2960" w:type="dxa"/>
            <w:vAlign w:val="bottom"/>
            <w:tcBorders>
              <w:bottom w:val="single" w:sz="8" w:color="A5A5A5"/>
              <w:right w:val="single" w:sz="8" w:color="A5A5A5"/>
            </w:tcBorders>
            <w:vMerge w:val="continue"/>
          </w:tcPr>
          <w:p>
            <w:pPr>
              <w:spacing w:after="0"/>
              <w:rPr>
                <w:sz w:val="7"/>
                <w:szCs w:val="7"/>
                <w:color w:val="auto"/>
              </w:rPr>
            </w:pPr>
          </w:p>
        </w:tc>
        <w:tc>
          <w:tcPr>
            <w:tcW w:w="1020" w:type="dxa"/>
            <w:vAlign w:val="bottom"/>
            <w:tcBorders>
              <w:bottom w:val="single" w:sz="8" w:color="A5A5A5"/>
              <w:right w:val="single" w:sz="8" w:color="A5A5A5"/>
            </w:tcBorders>
          </w:tcPr>
          <w:p>
            <w:pPr>
              <w:spacing w:after="0"/>
              <w:rPr>
                <w:sz w:val="7"/>
                <w:szCs w:val="7"/>
                <w:color w:val="auto"/>
              </w:rPr>
            </w:pPr>
          </w:p>
        </w:tc>
        <w:tc>
          <w:tcPr>
            <w:tcW w:w="1040" w:type="dxa"/>
            <w:vAlign w:val="bottom"/>
            <w:tcBorders>
              <w:bottom w:val="single" w:sz="8" w:color="A5A5A5"/>
              <w:right w:val="single" w:sz="8" w:color="A5A5A5"/>
            </w:tcBorders>
          </w:tcPr>
          <w:p>
            <w:pPr>
              <w:spacing w:after="0"/>
              <w:rPr>
                <w:sz w:val="7"/>
                <w:szCs w:val="7"/>
                <w:color w:val="auto"/>
              </w:rPr>
            </w:pPr>
          </w:p>
        </w:tc>
        <w:tc>
          <w:tcPr>
            <w:tcW w:w="1020" w:type="dxa"/>
            <w:vAlign w:val="bottom"/>
            <w:tcBorders>
              <w:bottom w:val="single" w:sz="8" w:color="A5A5A5"/>
              <w:right w:val="single" w:sz="8" w:color="A5A5A5"/>
            </w:tcBorders>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980" w:type="dxa"/>
            <w:vAlign w:val="bottom"/>
            <w:tcBorders>
              <w:left w:val="single" w:sz="8" w:color="A5A5A5"/>
              <w:bottom w:val="single" w:sz="8" w:color="A5A5A5"/>
              <w:right w:val="single" w:sz="8" w:color="A5A5A5"/>
            </w:tcBorders>
          </w:tcPr>
          <w:p>
            <w:pPr>
              <w:ind w:left="40"/>
              <w:spacing w:after="0"/>
              <w:rPr>
                <w:sz w:val="20"/>
                <w:szCs w:val="20"/>
                <w:color w:val="auto"/>
              </w:rPr>
            </w:pPr>
            <w:r>
              <w:rPr>
                <w:rFonts w:ascii="Arial" w:cs="Arial" w:eastAsia="Arial" w:hAnsi="Arial"/>
                <w:sz w:val="14"/>
                <w:szCs w:val="14"/>
                <w:b w:val="1"/>
                <w:bCs w:val="1"/>
                <w:color w:val="auto"/>
              </w:rPr>
              <w:t>Advisory</w:t>
            </w:r>
          </w:p>
        </w:tc>
        <w:tc>
          <w:tcPr>
            <w:tcW w:w="2960" w:type="dxa"/>
            <w:vAlign w:val="bottom"/>
            <w:tcBorders>
              <w:bottom w:val="single" w:sz="8" w:color="A5A5A5"/>
              <w:right w:val="single" w:sz="8" w:color="A5A5A5"/>
            </w:tcBorders>
          </w:tcPr>
          <w:p>
            <w:pPr>
              <w:ind w:left="20"/>
              <w:spacing w:after="0"/>
              <w:rPr>
                <w:sz w:val="20"/>
                <w:szCs w:val="20"/>
                <w:color w:val="auto"/>
              </w:rPr>
            </w:pPr>
            <w:r>
              <w:rPr>
                <w:rFonts w:ascii="Arial" w:cs="Arial" w:eastAsia="Arial" w:hAnsi="Arial"/>
                <w:sz w:val="14"/>
                <w:szCs w:val="14"/>
                <w:color w:val="auto"/>
              </w:rPr>
              <w:t>- Advisory asset levels</w:t>
            </w:r>
          </w:p>
        </w:tc>
        <w:tc>
          <w:tcPr>
            <w:tcW w:w="1020" w:type="dxa"/>
            <w:vAlign w:val="bottom"/>
            <w:tcBorders>
              <w:bottom w:val="single" w:sz="8" w:color="A5A5A5"/>
              <w:right w:val="single" w:sz="8" w:color="A5A5A5"/>
            </w:tcBorders>
          </w:tcPr>
          <w:p>
            <w:pPr>
              <w:jc w:val="center"/>
              <w:spacing w:after="0"/>
              <w:rPr>
                <w:sz w:val="20"/>
                <w:szCs w:val="20"/>
                <w:color w:val="auto"/>
              </w:rPr>
            </w:pPr>
            <w:r>
              <w:rPr>
                <w:rFonts w:ascii="Arial" w:cs="Arial" w:eastAsia="Arial" w:hAnsi="Arial"/>
                <w:sz w:val="14"/>
                <w:szCs w:val="14"/>
                <w:color w:val="auto"/>
              </w:rPr>
              <w:t>$687</w:t>
            </w:r>
          </w:p>
        </w:tc>
        <w:tc>
          <w:tcPr>
            <w:tcW w:w="1040" w:type="dxa"/>
            <w:vAlign w:val="bottom"/>
            <w:tcBorders>
              <w:bottom w:val="single" w:sz="8" w:color="A5A5A5"/>
              <w:right w:val="single" w:sz="8" w:color="A5A5A5"/>
            </w:tcBorders>
          </w:tcPr>
          <w:p>
            <w:pPr>
              <w:jc w:val="center"/>
              <w:spacing w:after="0"/>
              <w:rPr>
                <w:sz w:val="20"/>
                <w:szCs w:val="20"/>
                <w:color w:val="auto"/>
              </w:rPr>
            </w:pPr>
            <w:r>
              <w:rPr>
                <w:rFonts w:ascii="Arial" w:cs="Arial" w:eastAsia="Arial" w:hAnsi="Arial"/>
                <w:sz w:val="14"/>
                <w:szCs w:val="14"/>
                <w:color w:val="auto"/>
              </w:rPr>
              <w:t>31%</w:t>
            </w:r>
          </w:p>
        </w:tc>
        <w:tc>
          <w:tcPr>
            <w:tcW w:w="1020" w:type="dxa"/>
            <w:vAlign w:val="bottom"/>
            <w:tcBorders>
              <w:bottom w:val="single" w:sz="8" w:color="A5A5A5"/>
              <w:right w:val="single" w:sz="8" w:color="A5A5A5"/>
            </w:tcBorders>
          </w:tcPr>
          <w:p>
            <w:pPr>
              <w:jc w:val="center"/>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193"/>
        </w:trPr>
        <w:tc>
          <w:tcPr>
            <w:tcW w:w="2980" w:type="dxa"/>
            <w:vAlign w:val="bottom"/>
            <w:tcBorders>
              <w:left w:val="single" w:sz="8" w:color="A5A5A5"/>
              <w:right w:val="single" w:sz="8" w:color="A5A5A5"/>
            </w:tcBorders>
          </w:tcPr>
          <w:p>
            <w:pPr>
              <w:ind w:left="40"/>
              <w:spacing w:after="0"/>
              <w:rPr>
                <w:sz w:val="20"/>
                <w:szCs w:val="20"/>
                <w:color w:val="auto"/>
              </w:rPr>
            </w:pPr>
            <w:r>
              <w:rPr>
                <w:rFonts w:ascii="Arial" w:cs="Arial" w:eastAsia="Arial" w:hAnsi="Arial"/>
                <w:sz w:val="14"/>
                <w:szCs w:val="14"/>
                <w:b w:val="1"/>
                <w:bCs w:val="1"/>
                <w:color w:val="auto"/>
              </w:rPr>
              <w:t>Asset-Based</w:t>
            </w:r>
          </w:p>
        </w:tc>
        <w:tc>
          <w:tcPr>
            <w:tcW w:w="2960" w:type="dxa"/>
            <w:vAlign w:val="bottom"/>
            <w:tcBorders>
              <w:right w:val="single" w:sz="8" w:color="A5A5A5"/>
            </w:tcBorders>
          </w:tcPr>
          <w:p>
            <w:pPr>
              <w:ind w:left="20"/>
              <w:spacing w:after="0"/>
              <w:rPr>
                <w:sz w:val="20"/>
                <w:szCs w:val="20"/>
                <w:color w:val="auto"/>
              </w:rPr>
            </w:pPr>
            <w:r>
              <w:rPr>
                <w:rFonts w:ascii="Arial" w:cs="Arial" w:eastAsia="Arial" w:hAnsi="Arial"/>
                <w:sz w:val="14"/>
                <w:szCs w:val="14"/>
                <w:color w:val="auto"/>
              </w:rPr>
              <w:t>- Cash balances</w:t>
            </w:r>
          </w:p>
        </w:tc>
        <w:tc>
          <w:tcPr>
            <w:tcW w:w="1020" w:type="dxa"/>
            <w:vAlign w:val="bottom"/>
            <w:tcBorders>
              <w:right w:val="single" w:sz="8" w:color="A5A5A5"/>
            </w:tcBorders>
          </w:tcPr>
          <w:p>
            <w:pPr>
              <w:spacing w:after="0"/>
              <w:rPr>
                <w:sz w:val="16"/>
                <w:szCs w:val="16"/>
                <w:color w:val="auto"/>
              </w:rPr>
            </w:pPr>
          </w:p>
        </w:tc>
        <w:tc>
          <w:tcPr>
            <w:tcW w:w="1040" w:type="dxa"/>
            <w:vAlign w:val="bottom"/>
            <w:tcBorders>
              <w:right w:val="single" w:sz="8" w:color="A5A5A5"/>
            </w:tcBorders>
          </w:tcPr>
          <w:p>
            <w:pPr>
              <w:spacing w:after="0"/>
              <w:rPr>
                <w:sz w:val="16"/>
                <w:szCs w:val="16"/>
                <w:color w:val="auto"/>
              </w:rPr>
            </w:pPr>
          </w:p>
        </w:tc>
        <w:tc>
          <w:tcPr>
            <w:tcW w:w="1020" w:type="dxa"/>
            <w:vAlign w:val="bottom"/>
            <w:tcBorders>
              <w:right w:val="single" w:sz="8" w:color="A5A5A5"/>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980" w:type="dxa"/>
            <w:vAlign w:val="bottom"/>
            <w:tcBorders>
              <w:left w:val="single" w:sz="8" w:color="A5A5A5"/>
              <w:right w:val="single" w:sz="8" w:color="A5A5A5"/>
            </w:tcBorders>
          </w:tcPr>
          <w:p>
            <w:pPr>
              <w:ind w:left="40"/>
              <w:spacing w:after="0"/>
              <w:rPr>
                <w:sz w:val="20"/>
                <w:szCs w:val="20"/>
                <w:color w:val="auto"/>
              </w:rPr>
            </w:pPr>
            <w:r>
              <w:rPr>
                <w:rFonts w:ascii="Arial" w:cs="Arial" w:eastAsia="Arial" w:hAnsi="Arial"/>
                <w:sz w:val="14"/>
                <w:szCs w:val="14"/>
                <w:color w:val="auto"/>
              </w:rPr>
              <w:t>- Cash Sweep Fees</w:t>
            </w:r>
          </w:p>
        </w:tc>
        <w:tc>
          <w:tcPr>
            <w:tcW w:w="2960" w:type="dxa"/>
            <w:vAlign w:val="bottom"/>
            <w:tcBorders>
              <w:right w:val="single" w:sz="8" w:color="A5A5A5"/>
            </w:tcBorders>
          </w:tcPr>
          <w:p>
            <w:pPr>
              <w:ind w:left="20"/>
              <w:spacing w:after="0"/>
              <w:rPr>
                <w:sz w:val="20"/>
                <w:szCs w:val="20"/>
                <w:color w:val="auto"/>
              </w:rPr>
            </w:pPr>
            <w:r>
              <w:rPr>
                <w:rFonts w:ascii="Arial" w:cs="Arial" w:eastAsia="Arial" w:hAnsi="Arial"/>
                <w:sz w:val="14"/>
                <w:szCs w:val="14"/>
                <w:color w:val="auto"/>
              </w:rPr>
              <w:t>- Interest rates</w:t>
            </w:r>
          </w:p>
        </w:tc>
        <w:tc>
          <w:tcPr>
            <w:tcW w:w="1020" w:type="dxa"/>
            <w:vAlign w:val="bottom"/>
            <w:tcBorders>
              <w:right w:val="single" w:sz="8" w:color="A5A5A5"/>
            </w:tcBorders>
          </w:tcPr>
          <w:p>
            <w:pPr>
              <w:spacing w:after="0"/>
              <w:rPr>
                <w:sz w:val="14"/>
                <w:szCs w:val="14"/>
                <w:color w:val="auto"/>
              </w:rPr>
            </w:pPr>
          </w:p>
        </w:tc>
        <w:tc>
          <w:tcPr>
            <w:tcW w:w="1040" w:type="dxa"/>
            <w:vAlign w:val="bottom"/>
            <w:tcBorders>
              <w:right w:val="single" w:sz="8" w:color="A5A5A5"/>
            </w:tcBorders>
          </w:tcPr>
          <w:p>
            <w:pPr>
              <w:spacing w:after="0"/>
              <w:rPr>
                <w:sz w:val="14"/>
                <w:szCs w:val="14"/>
                <w:color w:val="auto"/>
              </w:rPr>
            </w:pPr>
          </w:p>
        </w:tc>
        <w:tc>
          <w:tcPr>
            <w:tcW w:w="1020" w:type="dxa"/>
            <w:vAlign w:val="bottom"/>
            <w:tcBorders>
              <w:right w:val="single" w:sz="8" w:color="A5A5A5"/>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80" w:type="dxa"/>
            <w:vAlign w:val="bottom"/>
            <w:tcBorders>
              <w:left w:val="single" w:sz="8" w:color="A5A5A5"/>
              <w:right w:val="single" w:sz="8" w:color="A5A5A5"/>
            </w:tcBorders>
          </w:tcPr>
          <w:p>
            <w:pPr>
              <w:ind w:left="40"/>
              <w:spacing w:after="0"/>
              <w:rPr>
                <w:sz w:val="20"/>
                <w:szCs w:val="20"/>
                <w:color w:val="auto"/>
              </w:rPr>
            </w:pPr>
            <w:r>
              <w:rPr>
                <w:rFonts w:ascii="Arial" w:cs="Arial" w:eastAsia="Arial" w:hAnsi="Arial"/>
                <w:sz w:val="14"/>
                <w:szCs w:val="14"/>
                <w:color w:val="auto"/>
              </w:rPr>
              <w:t>- Sponsorship Fees</w:t>
            </w:r>
          </w:p>
        </w:tc>
        <w:tc>
          <w:tcPr>
            <w:tcW w:w="2960" w:type="dxa"/>
            <w:vAlign w:val="bottom"/>
            <w:tcBorders>
              <w:right w:val="single" w:sz="8" w:color="A5A5A5"/>
            </w:tcBorders>
          </w:tcPr>
          <w:p>
            <w:pPr>
              <w:ind w:left="20"/>
              <w:spacing w:after="0"/>
              <w:rPr>
                <w:sz w:val="20"/>
                <w:szCs w:val="20"/>
                <w:color w:val="auto"/>
              </w:rPr>
            </w:pPr>
            <w:r>
              <w:rPr>
                <w:rFonts w:ascii="Arial" w:cs="Arial" w:eastAsia="Arial" w:hAnsi="Arial"/>
                <w:sz w:val="14"/>
                <w:szCs w:val="14"/>
                <w:color w:val="auto"/>
              </w:rPr>
              <w:t>- Client asset levels</w:t>
            </w:r>
          </w:p>
        </w:tc>
        <w:tc>
          <w:tcPr>
            <w:tcW w:w="102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auto"/>
              </w:rPr>
              <w:t>$246</w:t>
            </w:r>
          </w:p>
        </w:tc>
        <w:tc>
          <w:tcPr>
            <w:tcW w:w="104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auto"/>
              </w:rPr>
              <w:t>11%</w:t>
            </w:r>
          </w:p>
        </w:tc>
        <w:tc>
          <w:tcPr>
            <w:tcW w:w="102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172"/>
        </w:trPr>
        <w:tc>
          <w:tcPr>
            <w:tcW w:w="2980" w:type="dxa"/>
            <w:vAlign w:val="bottom"/>
            <w:tcBorders>
              <w:left w:val="single" w:sz="8" w:color="A5A5A5"/>
              <w:right w:val="single" w:sz="8" w:color="A5A5A5"/>
            </w:tcBorders>
          </w:tcPr>
          <w:p>
            <w:pPr>
              <w:ind w:left="40"/>
              <w:spacing w:after="0"/>
              <w:rPr>
                <w:sz w:val="20"/>
                <w:szCs w:val="20"/>
                <w:color w:val="auto"/>
              </w:rPr>
            </w:pPr>
            <w:r>
              <w:rPr>
                <w:rFonts w:ascii="Arial" w:cs="Arial" w:eastAsia="Arial" w:hAnsi="Arial"/>
                <w:sz w:val="14"/>
                <w:szCs w:val="14"/>
                <w:color w:val="auto"/>
              </w:rPr>
              <w:t>- Record Keeping</w:t>
            </w:r>
          </w:p>
        </w:tc>
        <w:tc>
          <w:tcPr>
            <w:tcW w:w="2960" w:type="dxa"/>
            <w:vAlign w:val="bottom"/>
            <w:tcBorders>
              <w:right w:val="single" w:sz="8" w:color="A5A5A5"/>
            </w:tcBorders>
          </w:tcPr>
          <w:p>
            <w:pPr>
              <w:ind w:left="20"/>
              <w:spacing w:after="0"/>
              <w:rPr>
                <w:sz w:val="20"/>
                <w:szCs w:val="20"/>
                <w:color w:val="auto"/>
              </w:rPr>
            </w:pPr>
            <w:r>
              <w:rPr>
                <w:rFonts w:ascii="Arial" w:cs="Arial" w:eastAsia="Arial" w:hAnsi="Arial"/>
                <w:sz w:val="14"/>
                <w:szCs w:val="14"/>
                <w:color w:val="auto"/>
              </w:rPr>
              <w:t>- Number of accounts</w:t>
            </w:r>
          </w:p>
        </w:tc>
        <w:tc>
          <w:tcPr>
            <w:tcW w:w="1020" w:type="dxa"/>
            <w:vAlign w:val="bottom"/>
            <w:tcBorders>
              <w:right w:val="single" w:sz="8" w:color="A5A5A5"/>
            </w:tcBorders>
          </w:tcPr>
          <w:p>
            <w:pPr>
              <w:spacing w:after="0"/>
              <w:rPr>
                <w:sz w:val="14"/>
                <w:szCs w:val="14"/>
                <w:color w:val="auto"/>
              </w:rPr>
            </w:pPr>
          </w:p>
        </w:tc>
        <w:tc>
          <w:tcPr>
            <w:tcW w:w="1040" w:type="dxa"/>
            <w:vAlign w:val="bottom"/>
            <w:tcBorders>
              <w:right w:val="single" w:sz="8" w:color="A5A5A5"/>
            </w:tcBorders>
          </w:tcPr>
          <w:p>
            <w:pPr>
              <w:spacing w:after="0"/>
              <w:rPr>
                <w:sz w:val="14"/>
                <w:szCs w:val="14"/>
                <w:color w:val="auto"/>
              </w:rPr>
            </w:pPr>
          </w:p>
        </w:tc>
        <w:tc>
          <w:tcPr>
            <w:tcW w:w="1020" w:type="dxa"/>
            <w:vAlign w:val="bottom"/>
            <w:tcBorders>
              <w:right w:val="single" w:sz="8" w:color="A5A5A5"/>
            </w:tcBorders>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980" w:type="dxa"/>
            <w:vAlign w:val="bottom"/>
            <w:tcBorders>
              <w:left w:val="single" w:sz="8" w:color="A5A5A5"/>
              <w:bottom w:val="single" w:sz="8" w:color="A5A5A5"/>
              <w:right w:val="single" w:sz="8" w:color="A5A5A5"/>
            </w:tcBorders>
          </w:tcPr>
          <w:p>
            <w:pPr>
              <w:spacing w:after="0"/>
              <w:rPr>
                <w:sz w:val="15"/>
                <w:szCs w:val="15"/>
                <w:color w:val="auto"/>
              </w:rPr>
            </w:pPr>
          </w:p>
        </w:tc>
        <w:tc>
          <w:tcPr>
            <w:tcW w:w="2960" w:type="dxa"/>
            <w:vAlign w:val="bottom"/>
            <w:tcBorders>
              <w:bottom w:val="single" w:sz="8" w:color="A5A5A5"/>
              <w:right w:val="single" w:sz="8" w:color="A5A5A5"/>
            </w:tcBorders>
          </w:tcPr>
          <w:p>
            <w:pPr>
              <w:spacing w:after="0"/>
              <w:rPr>
                <w:sz w:val="15"/>
                <w:szCs w:val="15"/>
                <w:color w:val="auto"/>
              </w:rPr>
            </w:pPr>
          </w:p>
        </w:tc>
        <w:tc>
          <w:tcPr>
            <w:tcW w:w="1020" w:type="dxa"/>
            <w:vAlign w:val="bottom"/>
            <w:tcBorders>
              <w:bottom w:val="single" w:sz="8" w:color="A5A5A5"/>
              <w:right w:val="single" w:sz="8" w:color="A5A5A5"/>
            </w:tcBorders>
          </w:tcPr>
          <w:p>
            <w:pPr>
              <w:spacing w:after="0"/>
              <w:rPr>
                <w:sz w:val="15"/>
                <w:szCs w:val="15"/>
                <w:color w:val="auto"/>
              </w:rPr>
            </w:pPr>
          </w:p>
        </w:tc>
        <w:tc>
          <w:tcPr>
            <w:tcW w:w="1040" w:type="dxa"/>
            <w:vAlign w:val="bottom"/>
            <w:tcBorders>
              <w:bottom w:val="single" w:sz="8" w:color="A5A5A5"/>
              <w:right w:val="single" w:sz="8" w:color="A5A5A5"/>
            </w:tcBorders>
          </w:tcPr>
          <w:p>
            <w:pPr>
              <w:spacing w:after="0"/>
              <w:rPr>
                <w:sz w:val="15"/>
                <w:szCs w:val="15"/>
                <w:color w:val="auto"/>
              </w:rPr>
            </w:pPr>
          </w:p>
        </w:tc>
        <w:tc>
          <w:tcPr>
            <w:tcW w:w="1020" w:type="dxa"/>
            <w:vAlign w:val="bottom"/>
            <w:tcBorders>
              <w:bottom w:val="single" w:sz="8" w:color="A5A5A5"/>
              <w:right w:val="single" w:sz="8" w:color="A5A5A5"/>
            </w:tcBorders>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980" w:type="dxa"/>
            <w:vAlign w:val="bottom"/>
            <w:tcBorders>
              <w:left w:val="single" w:sz="8" w:color="A5A5A5"/>
              <w:right w:val="single" w:sz="8" w:color="A5A5A5"/>
            </w:tcBorders>
          </w:tcPr>
          <w:p>
            <w:pPr>
              <w:ind w:left="40"/>
              <w:spacing w:after="0"/>
              <w:rPr>
                <w:sz w:val="20"/>
                <w:szCs w:val="20"/>
                <w:color w:val="auto"/>
              </w:rPr>
            </w:pPr>
            <w:r>
              <w:rPr>
                <w:rFonts w:ascii="Arial" w:cs="Arial" w:eastAsia="Arial" w:hAnsi="Arial"/>
                <w:sz w:val="14"/>
                <w:szCs w:val="14"/>
                <w:b w:val="1"/>
                <w:bCs w:val="1"/>
                <w:color w:val="auto"/>
              </w:rPr>
              <w:t>Transaction and Fee</w:t>
            </w:r>
          </w:p>
        </w:tc>
        <w:tc>
          <w:tcPr>
            <w:tcW w:w="2960" w:type="dxa"/>
            <w:vAlign w:val="bottom"/>
            <w:tcBorders>
              <w:right w:val="single" w:sz="8" w:color="A5A5A5"/>
            </w:tcBorders>
          </w:tcPr>
          <w:p>
            <w:pPr>
              <w:ind w:left="20"/>
              <w:spacing w:after="0"/>
              <w:rPr>
                <w:sz w:val="20"/>
                <w:szCs w:val="20"/>
                <w:color w:val="auto"/>
              </w:rPr>
            </w:pPr>
            <w:r>
              <w:rPr>
                <w:rFonts w:ascii="Arial" w:cs="Arial" w:eastAsia="Arial" w:hAnsi="Arial"/>
                <w:sz w:val="14"/>
                <w:szCs w:val="14"/>
                <w:color w:val="auto"/>
              </w:rPr>
              <w:t>- Client activity</w:t>
            </w:r>
          </w:p>
        </w:tc>
        <w:tc>
          <w:tcPr>
            <w:tcW w:w="1020" w:type="dxa"/>
            <w:vAlign w:val="bottom"/>
            <w:tcBorders>
              <w:right w:val="single" w:sz="8" w:color="A5A5A5"/>
            </w:tcBorders>
          </w:tcPr>
          <w:p>
            <w:pPr>
              <w:spacing w:after="0"/>
              <w:rPr>
                <w:sz w:val="16"/>
                <w:szCs w:val="16"/>
                <w:color w:val="auto"/>
              </w:rPr>
            </w:pPr>
          </w:p>
        </w:tc>
        <w:tc>
          <w:tcPr>
            <w:tcW w:w="1040" w:type="dxa"/>
            <w:vAlign w:val="bottom"/>
            <w:tcBorders>
              <w:right w:val="single" w:sz="8" w:color="A5A5A5"/>
            </w:tcBorders>
          </w:tcPr>
          <w:p>
            <w:pPr>
              <w:spacing w:after="0"/>
              <w:rPr>
                <w:sz w:val="16"/>
                <w:szCs w:val="16"/>
                <w:color w:val="auto"/>
              </w:rPr>
            </w:pPr>
          </w:p>
        </w:tc>
        <w:tc>
          <w:tcPr>
            <w:tcW w:w="1020" w:type="dxa"/>
            <w:vAlign w:val="bottom"/>
            <w:tcBorders>
              <w:right w:val="single" w:sz="8" w:color="A5A5A5"/>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980" w:type="dxa"/>
            <w:vAlign w:val="bottom"/>
            <w:tcBorders>
              <w:left w:val="single" w:sz="8" w:color="A5A5A5"/>
              <w:right w:val="single" w:sz="8" w:color="A5A5A5"/>
            </w:tcBorders>
          </w:tcPr>
          <w:p>
            <w:pPr>
              <w:ind w:left="40"/>
              <w:spacing w:after="0"/>
              <w:rPr>
                <w:sz w:val="20"/>
                <w:szCs w:val="20"/>
                <w:color w:val="auto"/>
              </w:rPr>
            </w:pPr>
            <w:r>
              <w:rPr>
                <w:rFonts w:ascii="Arial" w:cs="Arial" w:eastAsia="Arial" w:hAnsi="Arial"/>
                <w:sz w:val="14"/>
                <w:szCs w:val="14"/>
                <w:color w:val="auto"/>
              </w:rPr>
              <w:t>- Transactions</w:t>
            </w:r>
          </w:p>
        </w:tc>
        <w:tc>
          <w:tcPr>
            <w:tcW w:w="2960" w:type="dxa"/>
            <w:vAlign w:val="bottom"/>
            <w:tcBorders>
              <w:right w:val="single" w:sz="8" w:color="A5A5A5"/>
            </w:tcBorders>
          </w:tcPr>
          <w:p>
            <w:pPr>
              <w:ind w:left="20"/>
              <w:spacing w:after="0"/>
              <w:rPr>
                <w:sz w:val="20"/>
                <w:szCs w:val="20"/>
                <w:color w:val="auto"/>
              </w:rPr>
            </w:pPr>
            <w:r>
              <w:rPr>
                <w:rFonts w:ascii="Arial" w:cs="Arial" w:eastAsia="Arial" w:hAnsi="Arial"/>
                <w:sz w:val="14"/>
                <w:szCs w:val="14"/>
                <w:color w:val="auto"/>
              </w:rPr>
              <w:t>- Number of clients</w:t>
            </w:r>
          </w:p>
        </w:tc>
        <w:tc>
          <w:tcPr>
            <w:tcW w:w="1020" w:type="dxa"/>
            <w:vAlign w:val="bottom"/>
            <w:tcBorders>
              <w:right w:val="single" w:sz="8" w:color="A5A5A5"/>
            </w:tcBorders>
          </w:tcPr>
          <w:p>
            <w:pPr>
              <w:spacing w:after="0"/>
              <w:rPr>
                <w:sz w:val="14"/>
                <w:szCs w:val="14"/>
                <w:color w:val="auto"/>
              </w:rPr>
            </w:pPr>
          </w:p>
        </w:tc>
        <w:tc>
          <w:tcPr>
            <w:tcW w:w="1040" w:type="dxa"/>
            <w:vAlign w:val="bottom"/>
            <w:tcBorders>
              <w:right w:val="single" w:sz="8" w:color="A5A5A5"/>
            </w:tcBorders>
          </w:tcPr>
          <w:p>
            <w:pPr>
              <w:spacing w:after="0"/>
              <w:rPr>
                <w:sz w:val="14"/>
                <w:szCs w:val="14"/>
                <w:color w:val="auto"/>
              </w:rPr>
            </w:pPr>
          </w:p>
        </w:tc>
        <w:tc>
          <w:tcPr>
            <w:tcW w:w="1020" w:type="dxa"/>
            <w:vAlign w:val="bottom"/>
            <w:tcBorders>
              <w:right w:val="single" w:sz="8" w:color="A5A5A5"/>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80" w:type="dxa"/>
            <w:vAlign w:val="bottom"/>
            <w:tcBorders>
              <w:left w:val="single" w:sz="8" w:color="A5A5A5"/>
              <w:right w:val="single" w:sz="8" w:color="A5A5A5"/>
            </w:tcBorders>
          </w:tcPr>
          <w:p>
            <w:pPr>
              <w:ind w:left="40"/>
              <w:spacing w:after="0"/>
              <w:rPr>
                <w:sz w:val="20"/>
                <w:szCs w:val="20"/>
                <w:color w:val="auto"/>
              </w:rPr>
            </w:pPr>
            <w:r>
              <w:rPr>
                <w:rFonts w:ascii="Arial" w:cs="Arial" w:eastAsia="Arial" w:hAnsi="Arial"/>
                <w:sz w:val="14"/>
                <w:szCs w:val="14"/>
                <w:color w:val="auto"/>
              </w:rPr>
              <w:t>- Client (Investor) Accounts</w:t>
            </w:r>
          </w:p>
        </w:tc>
        <w:tc>
          <w:tcPr>
            <w:tcW w:w="2960" w:type="dxa"/>
            <w:vAlign w:val="bottom"/>
            <w:tcBorders>
              <w:right w:val="single" w:sz="8" w:color="A5A5A5"/>
            </w:tcBorders>
          </w:tcPr>
          <w:p>
            <w:pPr>
              <w:ind w:left="20"/>
              <w:spacing w:after="0"/>
              <w:rPr>
                <w:sz w:val="20"/>
                <w:szCs w:val="20"/>
                <w:color w:val="auto"/>
              </w:rPr>
            </w:pPr>
            <w:r>
              <w:rPr>
                <w:rFonts w:ascii="Arial" w:cs="Arial" w:eastAsia="Arial" w:hAnsi="Arial"/>
                <w:sz w:val="14"/>
                <w:szCs w:val="14"/>
                <w:color w:val="auto"/>
              </w:rPr>
              <w:t>- Number of advisors</w:t>
            </w:r>
          </w:p>
        </w:tc>
        <w:tc>
          <w:tcPr>
            <w:tcW w:w="102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auto"/>
              </w:rPr>
              <w:t>$199</w:t>
            </w:r>
          </w:p>
        </w:tc>
        <w:tc>
          <w:tcPr>
            <w:tcW w:w="104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auto"/>
              </w:rPr>
              <w:t>9%</w:t>
            </w:r>
          </w:p>
        </w:tc>
        <w:tc>
          <w:tcPr>
            <w:tcW w:w="102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62"/>
        </w:trPr>
        <w:tc>
          <w:tcPr>
            <w:tcW w:w="2980" w:type="dxa"/>
            <w:vAlign w:val="bottom"/>
            <w:tcBorders>
              <w:left w:val="single" w:sz="8" w:color="A5A5A5"/>
              <w:right w:val="single" w:sz="8" w:color="A5A5A5"/>
            </w:tcBorders>
          </w:tcPr>
          <w:p>
            <w:pPr>
              <w:ind w:left="40"/>
              <w:spacing w:after="0"/>
              <w:rPr>
                <w:sz w:val="20"/>
                <w:szCs w:val="20"/>
                <w:color w:val="auto"/>
              </w:rPr>
            </w:pPr>
            <w:r>
              <w:rPr>
                <w:rFonts w:ascii="Arial" w:cs="Arial" w:eastAsia="Arial" w:hAnsi="Arial"/>
                <w:sz w:val="14"/>
                <w:szCs w:val="14"/>
                <w:color w:val="auto"/>
              </w:rPr>
              <w:t>- Advisor Seat and Technology</w:t>
            </w:r>
          </w:p>
        </w:tc>
        <w:tc>
          <w:tcPr>
            <w:tcW w:w="2960" w:type="dxa"/>
            <w:vAlign w:val="bottom"/>
            <w:tcBorders>
              <w:right w:val="single" w:sz="8" w:color="A5A5A5"/>
            </w:tcBorders>
          </w:tcPr>
          <w:p>
            <w:pPr>
              <w:ind w:left="20"/>
              <w:spacing w:after="0"/>
              <w:rPr>
                <w:sz w:val="20"/>
                <w:szCs w:val="20"/>
                <w:color w:val="auto"/>
              </w:rPr>
            </w:pPr>
            <w:r>
              <w:rPr>
                <w:rFonts w:ascii="Arial" w:cs="Arial" w:eastAsia="Arial" w:hAnsi="Arial"/>
                <w:sz w:val="14"/>
                <w:szCs w:val="14"/>
                <w:color w:val="auto"/>
              </w:rPr>
              <w:t>- Number of accounts</w:t>
            </w:r>
          </w:p>
        </w:tc>
        <w:tc>
          <w:tcPr>
            <w:tcW w:w="1020" w:type="dxa"/>
            <w:vAlign w:val="bottom"/>
            <w:tcBorders>
              <w:right w:val="single" w:sz="8" w:color="A5A5A5"/>
            </w:tcBorders>
          </w:tcPr>
          <w:p>
            <w:pPr>
              <w:spacing w:after="0"/>
              <w:rPr>
                <w:sz w:val="14"/>
                <w:szCs w:val="14"/>
                <w:color w:val="auto"/>
              </w:rPr>
            </w:pPr>
          </w:p>
        </w:tc>
        <w:tc>
          <w:tcPr>
            <w:tcW w:w="1040" w:type="dxa"/>
            <w:vAlign w:val="bottom"/>
            <w:tcBorders>
              <w:right w:val="single" w:sz="8" w:color="A5A5A5"/>
            </w:tcBorders>
          </w:tcPr>
          <w:p>
            <w:pPr>
              <w:spacing w:after="0"/>
              <w:rPr>
                <w:sz w:val="14"/>
                <w:szCs w:val="14"/>
                <w:color w:val="auto"/>
              </w:rPr>
            </w:pPr>
          </w:p>
        </w:tc>
        <w:tc>
          <w:tcPr>
            <w:tcW w:w="1020" w:type="dxa"/>
            <w:vAlign w:val="bottom"/>
            <w:tcBorders>
              <w:right w:val="single" w:sz="8" w:color="A5A5A5"/>
            </w:tcBorders>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980" w:type="dxa"/>
            <w:vAlign w:val="bottom"/>
            <w:tcBorders>
              <w:left w:val="single" w:sz="8" w:color="A5A5A5"/>
              <w:bottom w:val="single" w:sz="8" w:color="A5A5A5"/>
              <w:right w:val="single" w:sz="8" w:color="A5A5A5"/>
            </w:tcBorders>
          </w:tcPr>
          <w:p>
            <w:pPr>
              <w:spacing w:after="0"/>
              <w:rPr>
                <w:sz w:val="15"/>
                <w:szCs w:val="15"/>
                <w:color w:val="auto"/>
              </w:rPr>
            </w:pPr>
          </w:p>
        </w:tc>
        <w:tc>
          <w:tcPr>
            <w:tcW w:w="2960" w:type="dxa"/>
            <w:vAlign w:val="bottom"/>
            <w:tcBorders>
              <w:bottom w:val="single" w:sz="8" w:color="A5A5A5"/>
              <w:right w:val="single" w:sz="8" w:color="A5A5A5"/>
            </w:tcBorders>
          </w:tcPr>
          <w:p>
            <w:pPr>
              <w:ind w:left="20"/>
              <w:spacing w:after="0"/>
              <w:rPr>
                <w:sz w:val="20"/>
                <w:szCs w:val="20"/>
                <w:color w:val="auto"/>
              </w:rPr>
            </w:pPr>
            <w:r>
              <w:rPr>
                <w:rFonts w:ascii="Arial" w:cs="Arial" w:eastAsia="Arial" w:hAnsi="Arial"/>
                <w:sz w:val="14"/>
                <w:szCs w:val="14"/>
                <w:color w:val="auto"/>
              </w:rPr>
              <w:t>- Number of premium technology subscribers</w:t>
            </w:r>
          </w:p>
        </w:tc>
        <w:tc>
          <w:tcPr>
            <w:tcW w:w="1020" w:type="dxa"/>
            <w:vAlign w:val="bottom"/>
            <w:tcBorders>
              <w:bottom w:val="single" w:sz="8" w:color="A5A5A5"/>
              <w:right w:val="single" w:sz="8" w:color="A5A5A5"/>
            </w:tcBorders>
          </w:tcPr>
          <w:p>
            <w:pPr>
              <w:spacing w:after="0"/>
              <w:rPr>
                <w:sz w:val="15"/>
                <w:szCs w:val="15"/>
                <w:color w:val="auto"/>
              </w:rPr>
            </w:pPr>
          </w:p>
        </w:tc>
        <w:tc>
          <w:tcPr>
            <w:tcW w:w="1040" w:type="dxa"/>
            <w:vAlign w:val="bottom"/>
            <w:tcBorders>
              <w:bottom w:val="single" w:sz="8" w:color="A5A5A5"/>
              <w:right w:val="single" w:sz="8" w:color="A5A5A5"/>
            </w:tcBorders>
          </w:tcPr>
          <w:p>
            <w:pPr>
              <w:spacing w:after="0"/>
              <w:rPr>
                <w:sz w:val="15"/>
                <w:szCs w:val="15"/>
                <w:color w:val="auto"/>
              </w:rPr>
            </w:pPr>
          </w:p>
        </w:tc>
        <w:tc>
          <w:tcPr>
            <w:tcW w:w="1020" w:type="dxa"/>
            <w:vAlign w:val="bottom"/>
            <w:tcBorders>
              <w:bottom w:val="single" w:sz="8" w:color="A5A5A5"/>
              <w:right w:val="single" w:sz="8" w:color="A5A5A5"/>
            </w:tcBorders>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980" w:type="dxa"/>
            <w:vAlign w:val="bottom"/>
            <w:tcBorders>
              <w:left w:val="single" w:sz="8" w:color="A5A5A5"/>
              <w:right w:val="single" w:sz="8" w:color="A5A5A5"/>
            </w:tcBorders>
          </w:tcPr>
          <w:p>
            <w:pPr>
              <w:ind w:left="40"/>
              <w:spacing w:after="0"/>
              <w:rPr>
                <w:sz w:val="20"/>
                <w:szCs w:val="20"/>
                <w:color w:val="auto"/>
              </w:rPr>
            </w:pPr>
            <w:r>
              <w:rPr>
                <w:rFonts w:ascii="Arial" w:cs="Arial" w:eastAsia="Arial" w:hAnsi="Arial"/>
                <w:sz w:val="14"/>
                <w:szCs w:val="14"/>
                <w:b w:val="1"/>
                <w:bCs w:val="1"/>
                <w:color w:val="auto"/>
              </w:rPr>
              <w:t>Other</w:t>
            </w:r>
          </w:p>
        </w:tc>
        <w:tc>
          <w:tcPr>
            <w:tcW w:w="2960" w:type="dxa"/>
            <w:vAlign w:val="bottom"/>
            <w:tcBorders>
              <w:right w:val="single" w:sz="8" w:color="A5A5A5"/>
            </w:tcBorders>
          </w:tcPr>
          <w:p>
            <w:pPr>
              <w:ind w:left="20"/>
              <w:spacing w:after="0"/>
              <w:rPr>
                <w:sz w:val="20"/>
                <w:szCs w:val="20"/>
                <w:color w:val="auto"/>
              </w:rPr>
            </w:pPr>
            <w:r>
              <w:rPr>
                <w:rFonts w:ascii="Arial" w:cs="Arial" w:eastAsia="Arial" w:hAnsi="Arial"/>
                <w:sz w:val="14"/>
                <w:szCs w:val="14"/>
                <w:color w:val="auto"/>
              </w:rPr>
              <w:t>- Margin account balances</w:t>
            </w:r>
          </w:p>
        </w:tc>
        <w:tc>
          <w:tcPr>
            <w:tcW w:w="102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auto"/>
              </w:rPr>
              <w:t>$35</w:t>
            </w:r>
          </w:p>
        </w:tc>
        <w:tc>
          <w:tcPr>
            <w:tcW w:w="104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auto"/>
              </w:rPr>
              <w:t>2%</w:t>
            </w:r>
          </w:p>
        </w:tc>
        <w:tc>
          <w:tcPr>
            <w:tcW w:w="102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91"/>
        </w:trPr>
        <w:tc>
          <w:tcPr>
            <w:tcW w:w="2980" w:type="dxa"/>
            <w:vAlign w:val="bottom"/>
            <w:tcBorders>
              <w:left w:val="single" w:sz="8" w:color="A5A5A5"/>
              <w:right w:val="single" w:sz="8" w:color="A5A5A5"/>
            </w:tcBorders>
          </w:tcPr>
          <w:p>
            <w:pPr>
              <w:spacing w:after="0"/>
              <w:rPr>
                <w:sz w:val="7"/>
                <w:szCs w:val="7"/>
                <w:color w:val="auto"/>
              </w:rPr>
            </w:pPr>
          </w:p>
        </w:tc>
        <w:tc>
          <w:tcPr>
            <w:tcW w:w="2960" w:type="dxa"/>
            <w:vAlign w:val="bottom"/>
            <w:tcBorders>
              <w:right w:val="single" w:sz="8" w:color="A5A5A5"/>
            </w:tcBorders>
            <w:vMerge w:val="restart"/>
          </w:tcPr>
          <w:p>
            <w:pPr>
              <w:ind w:left="20"/>
              <w:spacing w:after="0"/>
              <w:rPr>
                <w:sz w:val="20"/>
                <w:szCs w:val="20"/>
                <w:color w:val="auto"/>
              </w:rPr>
            </w:pPr>
            <w:r>
              <w:rPr>
                <w:rFonts w:ascii="Arial" w:cs="Arial" w:eastAsia="Arial" w:hAnsi="Arial"/>
                <w:sz w:val="14"/>
                <w:szCs w:val="14"/>
                <w:color w:val="auto"/>
              </w:rPr>
              <w:t>- Alternative investment transactions</w:t>
            </w:r>
          </w:p>
        </w:tc>
        <w:tc>
          <w:tcPr>
            <w:tcW w:w="1020" w:type="dxa"/>
            <w:vAlign w:val="bottom"/>
            <w:tcBorders>
              <w:right w:val="single" w:sz="8" w:color="A5A5A5"/>
            </w:tcBorders>
            <w:vMerge w:val="continue"/>
          </w:tcPr>
          <w:p>
            <w:pPr>
              <w:spacing w:after="0"/>
              <w:rPr>
                <w:sz w:val="7"/>
                <w:szCs w:val="7"/>
                <w:color w:val="auto"/>
              </w:rPr>
            </w:pPr>
          </w:p>
        </w:tc>
        <w:tc>
          <w:tcPr>
            <w:tcW w:w="1040" w:type="dxa"/>
            <w:vAlign w:val="bottom"/>
            <w:tcBorders>
              <w:right w:val="single" w:sz="8" w:color="A5A5A5"/>
            </w:tcBorders>
            <w:vMerge w:val="continue"/>
          </w:tcPr>
          <w:p>
            <w:pPr>
              <w:spacing w:after="0"/>
              <w:rPr>
                <w:sz w:val="7"/>
                <w:szCs w:val="7"/>
                <w:color w:val="auto"/>
              </w:rPr>
            </w:pPr>
          </w:p>
        </w:tc>
        <w:tc>
          <w:tcPr>
            <w:tcW w:w="1020" w:type="dxa"/>
            <w:vAlign w:val="bottom"/>
            <w:tcBorders>
              <w:right w:val="single" w:sz="8" w:color="A5A5A5"/>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980" w:type="dxa"/>
            <w:vAlign w:val="bottom"/>
            <w:tcBorders>
              <w:left w:val="single" w:sz="8" w:color="A5A5A5"/>
              <w:bottom w:val="single" w:sz="8" w:color="A5A5A5"/>
              <w:right w:val="single" w:sz="8" w:color="A5A5A5"/>
            </w:tcBorders>
          </w:tcPr>
          <w:p>
            <w:pPr>
              <w:spacing w:after="0"/>
              <w:rPr>
                <w:sz w:val="7"/>
                <w:szCs w:val="7"/>
                <w:color w:val="auto"/>
              </w:rPr>
            </w:pPr>
          </w:p>
        </w:tc>
        <w:tc>
          <w:tcPr>
            <w:tcW w:w="2960" w:type="dxa"/>
            <w:vAlign w:val="bottom"/>
            <w:tcBorders>
              <w:bottom w:val="single" w:sz="8" w:color="A5A5A5"/>
              <w:right w:val="single" w:sz="8" w:color="A5A5A5"/>
            </w:tcBorders>
            <w:vMerge w:val="continue"/>
          </w:tcPr>
          <w:p>
            <w:pPr>
              <w:spacing w:after="0"/>
              <w:rPr>
                <w:sz w:val="7"/>
                <w:szCs w:val="7"/>
                <w:color w:val="auto"/>
              </w:rPr>
            </w:pPr>
          </w:p>
        </w:tc>
        <w:tc>
          <w:tcPr>
            <w:tcW w:w="1020" w:type="dxa"/>
            <w:vAlign w:val="bottom"/>
            <w:tcBorders>
              <w:bottom w:val="single" w:sz="8" w:color="A5A5A5"/>
              <w:right w:val="single" w:sz="8" w:color="A5A5A5"/>
            </w:tcBorders>
          </w:tcPr>
          <w:p>
            <w:pPr>
              <w:spacing w:after="0"/>
              <w:rPr>
                <w:sz w:val="7"/>
                <w:szCs w:val="7"/>
                <w:color w:val="auto"/>
              </w:rPr>
            </w:pPr>
          </w:p>
        </w:tc>
        <w:tc>
          <w:tcPr>
            <w:tcW w:w="1040" w:type="dxa"/>
            <w:vAlign w:val="bottom"/>
            <w:tcBorders>
              <w:bottom w:val="single" w:sz="8" w:color="A5A5A5"/>
              <w:right w:val="single" w:sz="8" w:color="A5A5A5"/>
            </w:tcBorders>
          </w:tcPr>
          <w:p>
            <w:pPr>
              <w:spacing w:after="0"/>
              <w:rPr>
                <w:sz w:val="7"/>
                <w:szCs w:val="7"/>
                <w:color w:val="auto"/>
              </w:rPr>
            </w:pPr>
          </w:p>
        </w:tc>
        <w:tc>
          <w:tcPr>
            <w:tcW w:w="1020" w:type="dxa"/>
            <w:vAlign w:val="bottom"/>
            <w:tcBorders>
              <w:bottom w:val="single" w:sz="8" w:color="A5A5A5"/>
              <w:right w:val="single" w:sz="8" w:color="A5A5A5"/>
            </w:tcBorders>
          </w:tcPr>
          <w:p>
            <w:pPr>
              <w:spacing w:after="0"/>
              <w:rPr>
                <w:sz w:val="7"/>
                <w:szCs w:val="7"/>
                <w:color w:val="auto"/>
              </w:rPr>
            </w:pPr>
          </w:p>
        </w:tc>
        <w:tc>
          <w:tcPr>
            <w:tcW w:w="0" w:type="dxa"/>
            <w:vAlign w:val="bottom"/>
          </w:tcPr>
          <w:p>
            <w:pPr>
              <w:spacing w:after="0"/>
              <w:rPr>
                <w:sz w:val="1"/>
                <w:szCs w:val="1"/>
                <w:color w:val="auto"/>
              </w:rPr>
            </w:pPr>
          </w:p>
        </w:tc>
      </w:tr>
      <w:tr>
        <w:trPr>
          <w:trHeight w:val="231"/>
        </w:trPr>
        <w:tc>
          <w:tcPr>
            <w:tcW w:w="2980" w:type="dxa"/>
            <w:vAlign w:val="bottom"/>
            <w:tcBorders>
              <w:left w:val="single" w:sz="8" w:color="A5A5A5"/>
            </w:tcBorders>
          </w:tcPr>
          <w:p>
            <w:pPr>
              <w:ind w:left="40"/>
              <w:spacing w:after="0"/>
              <w:rPr>
                <w:sz w:val="20"/>
                <w:szCs w:val="20"/>
                <w:color w:val="auto"/>
              </w:rPr>
            </w:pPr>
            <w:r>
              <w:rPr>
                <w:rFonts w:ascii="Arial" w:cs="Arial" w:eastAsia="Arial" w:hAnsi="Arial"/>
                <w:sz w:val="14"/>
                <w:szCs w:val="14"/>
                <w:b w:val="1"/>
                <w:bCs w:val="1"/>
                <w:color w:val="auto"/>
              </w:rPr>
              <w:t>Total Net Revenue</w:t>
            </w:r>
          </w:p>
        </w:tc>
        <w:tc>
          <w:tcPr>
            <w:tcW w:w="2960" w:type="dxa"/>
            <w:vAlign w:val="bottom"/>
            <w:tcBorders>
              <w:right w:val="single" w:sz="8" w:color="A5A5A5"/>
            </w:tcBorders>
          </w:tcPr>
          <w:p>
            <w:pPr>
              <w:spacing w:after="0"/>
              <w:rPr>
                <w:sz w:val="20"/>
                <w:szCs w:val="20"/>
                <w:color w:val="auto"/>
              </w:rPr>
            </w:pPr>
          </w:p>
        </w:tc>
        <w:tc>
          <w:tcPr>
            <w:tcW w:w="102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auto"/>
              </w:rPr>
              <w:t>$2,200</w:t>
            </w:r>
          </w:p>
        </w:tc>
        <w:tc>
          <w:tcPr>
            <w:tcW w:w="104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auto"/>
              </w:rPr>
              <w:t>100%</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980" w:type="dxa"/>
            <w:vAlign w:val="bottom"/>
            <w:tcBorders>
              <w:left w:val="single" w:sz="8" w:color="A5A5A5"/>
              <w:bottom w:val="single" w:sz="8" w:color="A5A5A5"/>
            </w:tcBorders>
          </w:tcPr>
          <w:p>
            <w:pPr>
              <w:spacing w:after="0"/>
              <w:rPr>
                <w:sz w:val="3"/>
                <w:szCs w:val="3"/>
                <w:color w:val="auto"/>
              </w:rPr>
            </w:pPr>
          </w:p>
        </w:tc>
        <w:tc>
          <w:tcPr>
            <w:tcW w:w="2960" w:type="dxa"/>
            <w:vAlign w:val="bottom"/>
            <w:tcBorders>
              <w:bottom w:val="single" w:sz="8" w:color="A5A5A5"/>
              <w:right w:val="single" w:sz="8" w:color="A5A5A5"/>
            </w:tcBorders>
          </w:tcPr>
          <w:p>
            <w:pPr>
              <w:spacing w:after="0"/>
              <w:rPr>
                <w:sz w:val="3"/>
                <w:szCs w:val="3"/>
                <w:color w:val="auto"/>
              </w:rPr>
            </w:pPr>
          </w:p>
        </w:tc>
        <w:tc>
          <w:tcPr>
            <w:tcW w:w="1020" w:type="dxa"/>
            <w:vAlign w:val="bottom"/>
            <w:tcBorders>
              <w:bottom w:val="single" w:sz="8" w:color="A5A5A5"/>
              <w:right w:val="single" w:sz="8" w:color="A5A5A5"/>
            </w:tcBorders>
          </w:tcPr>
          <w:p>
            <w:pPr>
              <w:spacing w:after="0"/>
              <w:rPr>
                <w:sz w:val="3"/>
                <w:szCs w:val="3"/>
                <w:color w:val="auto"/>
              </w:rPr>
            </w:pPr>
          </w:p>
        </w:tc>
        <w:tc>
          <w:tcPr>
            <w:tcW w:w="1040" w:type="dxa"/>
            <w:vAlign w:val="bottom"/>
            <w:tcBorders>
              <w:bottom w:val="single" w:sz="8" w:color="A5A5A5"/>
              <w:right w:val="single" w:sz="8" w:color="A5A5A5"/>
            </w:tcBorders>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2980" w:type="dxa"/>
            <w:vAlign w:val="bottom"/>
            <w:tcBorders>
              <w:left w:val="single" w:sz="8" w:color="A5A5A5"/>
            </w:tcBorders>
          </w:tcPr>
          <w:p>
            <w:pPr>
              <w:ind w:left="40"/>
              <w:spacing w:after="0"/>
              <w:rPr>
                <w:sz w:val="20"/>
                <w:szCs w:val="20"/>
                <w:color w:val="auto"/>
              </w:rPr>
            </w:pPr>
            <w:r>
              <w:rPr>
                <w:rFonts w:ascii="Arial" w:cs="Arial" w:eastAsia="Arial" w:hAnsi="Arial"/>
                <w:sz w:val="14"/>
                <w:szCs w:val="14"/>
                <w:b w:val="1"/>
                <w:bCs w:val="1"/>
                <w:color w:val="auto"/>
              </w:rPr>
              <w:t>Total Recurring Revenue</w:t>
            </w:r>
          </w:p>
        </w:tc>
        <w:tc>
          <w:tcPr>
            <w:tcW w:w="2960" w:type="dxa"/>
            <w:vAlign w:val="bottom"/>
            <w:tcBorders>
              <w:right w:val="single" w:sz="8" w:color="A5A5A5"/>
            </w:tcBorders>
          </w:tcPr>
          <w:p>
            <w:pPr>
              <w:spacing w:after="0"/>
              <w:rPr>
                <w:sz w:val="19"/>
                <w:szCs w:val="19"/>
                <w:color w:val="auto"/>
              </w:rPr>
            </w:pPr>
          </w:p>
        </w:tc>
        <w:tc>
          <w:tcPr>
            <w:tcW w:w="102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auto"/>
              </w:rPr>
              <w:t>$1,549</w:t>
            </w:r>
          </w:p>
        </w:tc>
        <w:tc>
          <w:tcPr>
            <w:tcW w:w="104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auto"/>
              </w:rPr>
              <w:t>70%</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980" w:type="dxa"/>
            <w:vAlign w:val="bottom"/>
            <w:tcBorders>
              <w:left w:val="single" w:sz="8" w:color="A5A5A5"/>
              <w:bottom w:val="single" w:sz="8" w:color="A5A5A5"/>
            </w:tcBorders>
          </w:tcPr>
          <w:p>
            <w:pPr>
              <w:spacing w:after="0"/>
              <w:rPr>
                <w:sz w:val="3"/>
                <w:szCs w:val="3"/>
                <w:color w:val="auto"/>
              </w:rPr>
            </w:pPr>
          </w:p>
        </w:tc>
        <w:tc>
          <w:tcPr>
            <w:tcW w:w="2960" w:type="dxa"/>
            <w:vAlign w:val="bottom"/>
            <w:tcBorders>
              <w:bottom w:val="single" w:sz="8" w:color="A5A5A5"/>
              <w:right w:val="single" w:sz="8" w:color="A5A5A5"/>
            </w:tcBorders>
          </w:tcPr>
          <w:p>
            <w:pPr>
              <w:spacing w:after="0"/>
              <w:rPr>
                <w:sz w:val="3"/>
                <w:szCs w:val="3"/>
                <w:color w:val="auto"/>
              </w:rPr>
            </w:pPr>
          </w:p>
        </w:tc>
        <w:tc>
          <w:tcPr>
            <w:tcW w:w="1020" w:type="dxa"/>
            <w:vAlign w:val="bottom"/>
            <w:tcBorders>
              <w:bottom w:val="single" w:sz="8" w:color="A5A5A5"/>
              <w:right w:val="single" w:sz="8" w:color="A5A5A5"/>
            </w:tcBorders>
          </w:tcPr>
          <w:p>
            <w:pPr>
              <w:spacing w:after="0"/>
              <w:rPr>
                <w:sz w:val="3"/>
                <w:szCs w:val="3"/>
                <w:color w:val="auto"/>
              </w:rPr>
            </w:pPr>
          </w:p>
        </w:tc>
        <w:tc>
          <w:tcPr>
            <w:tcW w:w="1040" w:type="dxa"/>
            <w:vAlign w:val="bottom"/>
            <w:tcBorders>
              <w:bottom w:val="single" w:sz="8" w:color="A5A5A5"/>
              <w:right w:val="single" w:sz="8" w:color="A5A5A5"/>
            </w:tcBorders>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5063490</wp:posOffset>
            </wp:positionH>
            <wp:positionV relativeFrom="paragraph">
              <wp:posOffset>-368300</wp:posOffset>
            </wp:positionV>
            <wp:extent cx="660400" cy="188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0400"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00" w:space="320"/>
            <w:col w:w="9020"/>
          </w:cols>
          <w:pgMar w:left="240" w:top="436" w:right="219" w:bottom="1440" w:gutter="0" w:footer="0" w:header="0"/>
          <w:type w:val="continuous"/>
        </w:sectPr>
      </w:pPr>
    </w:p>
    <w:p>
      <w:pPr>
        <w:spacing w:after="0" w:line="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440"/>
          </w:cols>
          <w:pgMar w:left="240" w:top="436" w:right="21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How We Evaluate Our Business</w:t>
      </w:r>
    </w:p>
    <w:p>
      <w:pPr>
        <w:spacing w:after="0" w:line="139" w:lineRule="exact"/>
        <w:rPr>
          <w:sz w:val="20"/>
          <w:szCs w:val="20"/>
          <w:color w:val="auto"/>
        </w:rPr>
      </w:pPr>
    </w:p>
    <w:p>
      <w:pPr>
        <w:ind w:right="20" w:firstLine="486"/>
        <w:spacing w:after="0" w:line="262" w:lineRule="auto"/>
        <w:rPr>
          <w:sz w:val="20"/>
          <w:szCs w:val="20"/>
          <w:color w:val="auto"/>
        </w:rPr>
      </w:pPr>
      <w:r>
        <w:rPr>
          <w:rFonts w:ascii="Arial" w:cs="Arial" w:eastAsia="Arial" w:hAnsi="Arial"/>
          <w:sz w:val="18"/>
          <w:szCs w:val="18"/>
          <w:color w:val="auto"/>
        </w:rPr>
        <w:t>We focus on several business and key financial metrics in evaluating the success of our business relationships and our resulting financial position and operating performance. Our business and key financial metrics are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0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June 30,</w:t>
            </w: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64"/>
        </w:trPr>
        <w:tc>
          <w:tcPr>
            <w:tcW w:w="70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2"/>
                <w:szCs w:val="22"/>
                <w:color w:val="auto"/>
              </w:rPr>
            </w:pPr>
          </w:p>
        </w:tc>
        <w:tc>
          <w:tcPr>
            <w:tcW w:w="1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 Change</w:t>
            </w:r>
          </w:p>
        </w:tc>
      </w:tr>
      <w:tr>
        <w:trPr>
          <w:trHeight w:val="260"/>
        </w:trPr>
        <w:tc>
          <w:tcPr>
            <w:tcW w:w="7060" w:type="dxa"/>
            <w:vAlign w:val="bottom"/>
          </w:tcPr>
          <w:p>
            <w:pPr>
              <w:ind w:left="80"/>
              <w:spacing w:after="0"/>
              <w:rPr>
                <w:sz w:val="20"/>
                <w:szCs w:val="20"/>
                <w:color w:val="auto"/>
              </w:rPr>
            </w:pPr>
            <w:r>
              <w:rPr>
                <w:rFonts w:ascii="Arial" w:cs="Arial" w:eastAsia="Arial" w:hAnsi="Arial"/>
                <w:sz w:val="16"/>
                <w:szCs w:val="16"/>
                <w:b w:val="1"/>
                <w:bCs w:val="1"/>
                <w:color w:val="auto"/>
              </w:rPr>
              <w:t>Business Metrics</w:t>
            </w: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80"/>
        </w:trPr>
        <w:tc>
          <w:tcPr>
            <w:tcW w:w="7060" w:type="dxa"/>
            <w:vAlign w:val="bottom"/>
            <w:shd w:val="clear" w:color="auto" w:fill="CCEEFF"/>
          </w:tcPr>
          <w:p>
            <w:pPr>
              <w:ind w:left="80"/>
              <w:spacing w:after="0"/>
              <w:rPr>
                <w:sz w:val="20"/>
                <w:szCs w:val="20"/>
                <w:color w:val="auto"/>
              </w:rPr>
            </w:pPr>
            <w:r>
              <w:rPr>
                <w:rFonts w:ascii="Arial" w:cs="Arial" w:eastAsia="Arial" w:hAnsi="Arial"/>
                <w:sz w:val="16"/>
                <w:szCs w:val="16"/>
                <w:color w:val="auto"/>
              </w:rPr>
              <w:t>Advisors(1)</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14,130</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13,840</w:t>
            </w:r>
          </w:p>
        </w:tc>
        <w:tc>
          <w:tcPr>
            <w:tcW w:w="10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60"/>
        </w:trPr>
        <w:tc>
          <w:tcPr>
            <w:tcW w:w="7060" w:type="dxa"/>
            <w:vAlign w:val="bottom"/>
          </w:tcPr>
          <w:p>
            <w:pPr>
              <w:ind w:left="80"/>
              <w:spacing w:after="0"/>
              <w:rPr>
                <w:sz w:val="20"/>
                <w:szCs w:val="20"/>
                <w:color w:val="auto"/>
              </w:rPr>
            </w:pPr>
            <w:r>
              <w:rPr>
                <w:rFonts w:ascii="Arial" w:cs="Arial" w:eastAsia="Arial" w:hAnsi="Arial"/>
                <w:sz w:val="16"/>
                <w:szCs w:val="16"/>
                <w:color w:val="auto"/>
              </w:rPr>
              <w:t>Advisory and brokerage assets (in billions)(2)</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485.7</w:t>
            </w:r>
          </w:p>
        </w:tc>
        <w:tc>
          <w:tcPr>
            <w:tcW w:w="100" w:type="dxa"/>
            <w:vAlign w:val="bottom"/>
          </w:tcPr>
          <w:p>
            <w:pPr>
              <w:spacing w:after="0"/>
              <w:rPr>
                <w:sz w:val="22"/>
                <w:szCs w:val="22"/>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465.4</w:t>
            </w:r>
          </w:p>
        </w:tc>
        <w:tc>
          <w:tcPr>
            <w:tcW w:w="10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280"/>
        </w:trPr>
        <w:tc>
          <w:tcPr>
            <w:tcW w:w="7060" w:type="dxa"/>
            <w:vAlign w:val="bottom"/>
            <w:shd w:val="clear" w:color="auto" w:fill="CCEEFF"/>
          </w:tcPr>
          <w:p>
            <w:pPr>
              <w:ind w:left="80"/>
              <w:spacing w:after="0"/>
              <w:rPr>
                <w:sz w:val="20"/>
                <w:szCs w:val="20"/>
                <w:color w:val="auto"/>
              </w:rPr>
            </w:pPr>
            <w:r>
              <w:rPr>
                <w:rFonts w:ascii="Arial" w:cs="Arial" w:eastAsia="Arial" w:hAnsi="Arial"/>
                <w:sz w:val="16"/>
                <w:szCs w:val="16"/>
                <w:color w:val="auto"/>
              </w:rPr>
              <w:t>Advisory assets under custody (in billions)(2)(3)</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186.8</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167.3</w:t>
            </w:r>
          </w:p>
        </w:tc>
        <w:tc>
          <w:tcPr>
            <w:tcW w:w="10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r>
      <w:tr>
        <w:trPr>
          <w:trHeight w:val="260"/>
        </w:trPr>
        <w:tc>
          <w:tcPr>
            <w:tcW w:w="7060" w:type="dxa"/>
            <w:vAlign w:val="bottom"/>
          </w:tcPr>
          <w:p>
            <w:pPr>
              <w:ind w:left="80"/>
              <w:spacing w:after="0"/>
              <w:rPr>
                <w:sz w:val="20"/>
                <w:szCs w:val="20"/>
                <w:color w:val="auto"/>
              </w:rPr>
            </w:pPr>
            <w:r>
              <w:rPr>
                <w:rFonts w:ascii="Arial" w:cs="Arial" w:eastAsia="Arial" w:hAnsi="Arial"/>
                <w:sz w:val="16"/>
                <w:szCs w:val="16"/>
                <w:color w:val="auto"/>
              </w:rPr>
              <w:t>Net new advisory assets (in billions)(4)</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22"/>
                <w:szCs w:val="22"/>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9.2%</w:t>
            </w:r>
          </w:p>
        </w:tc>
      </w:tr>
      <w:tr>
        <w:trPr>
          <w:trHeight w:val="280"/>
        </w:trPr>
        <w:tc>
          <w:tcPr>
            <w:tcW w:w="7060" w:type="dxa"/>
            <w:vAlign w:val="bottom"/>
            <w:shd w:val="clear" w:color="auto" w:fill="CCEEFF"/>
          </w:tcPr>
          <w:p>
            <w:pPr>
              <w:ind w:left="80"/>
              <w:spacing w:after="0"/>
              <w:rPr>
                <w:sz w:val="20"/>
                <w:szCs w:val="20"/>
                <w:color w:val="auto"/>
              </w:rPr>
            </w:pPr>
            <w:r>
              <w:rPr>
                <w:rFonts w:ascii="Arial" w:cs="Arial" w:eastAsia="Arial" w:hAnsi="Arial"/>
                <w:sz w:val="16"/>
                <w:szCs w:val="16"/>
                <w:color w:val="auto"/>
              </w:rPr>
              <w:t>Insured cash account balances (in billions)(2)</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17.5</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16.1</w:t>
            </w:r>
          </w:p>
        </w:tc>
        <w:tc>
          <w:tcPr>
            <w:tcW w:w="10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r>
      <w:tr>
        <w:trPr>
          <w:trHeight w:val="251"/>
        </w:trPr>
        <w:tc>
          <w:tcPr>
            <w:tcW w:w="7060" w:type="dxa"/>
            <w:vAlign w:val="bottom"/>
          </w:tcPr>
          <w:p>
            <w:pPr>
              <w:ind w:left="80"/>
              <w:spacing w:after="0"/>
              <w:rPr>
                <w:sz w:val="20"/>
                <w:szCs w:val="20"/>
                <w:color w:val="auto"/>
              </w:rPr>
            </w:pPr>
            <w:r>
              <w:rPr>
                <w:rFonts w:ascii="Arial" w:cs="Arial" w:eastAsia="Arial" w:hAnsi="Arial"/>
                <w:sz w:val="16"/>
                <w:szCs w:val="16"/>
                <w:color w:val="auto"/>
              </w:rPr>
              <w:t>Money market account balances (in billions)(2)</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21"/>
                <w:szCs w:val="21"/>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1.5%</w:t>
            </w:r>
          </w:p>
        </w:tc>
      </w:tr>
    </w:tbl>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4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 June 30,</w:t>
            </w:r>
          </w:p>
        </w:tc>
        <w:tc>
          <w:tcPr>
            <w:tcW w:w="280" w:type="dxa"/>
            <w:vAlign w:val="bottom"/>
          </w:tcPr>
          <w:p>
            <w:pPr>
              <w:spacing w:after="0"/>
              <w:rPr>
                <w:sz w:val="19"/>
                <w:szCs w:val="19"/>
                <w:color w:val="auto"/>
              </w:rPr>
            </w:pPr>
          </w:p>
        </w:tc>
        <w:tc>
          <w:tcPr>
            <w:tcW w:w="2660" w:type="dxa"/>
            <w:vAlign w:val="bottom"/>
            <w:gridSpan w:val="4"/>
          </w:tcPr>
          <w:p>
            <w:pPr>
              <w:jc w:val="right"/>
              <w:ind w:right="319"/>
              <w:spacing w:after="0"/>
              <w:rPr>
                <w:sz w:val="20"/>
                <w:szCs w:val="20"/>
                <w:color w:val="auto"/>
              </w:rPr>
            </w:pPr>
            <w:r>
              <w:rPr>
                <w:rFonts w:ascii="Arial" w:cs="Arial" w:eastAsia="Arial" w:hAnsi="Arial"/>
                <w:sz w:val="16"/>
                <w:szCs w:val="16"/>
                <w:b w:val="1"/>
                <w:bCs w:val="1"/>
                <w:color w:val="auto"/>
              </w:rPr>
              <w:t>Six Months Ended June 30,</w:t>
            </w:r>
          </w:p>
        </w:tc>
      </w:tr>
      <w:tr>
        <w:trPr>
          <w:trHeight w:val="264"/>
        </w:trPr>
        <w:tc>
          <w:tcPr>
            <w:tcW w:w="542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top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top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2014</w:t>
            </w:r>
          </w:p>
        </w:tc>
      </w:tr>
      <w:tr>
        <w:trPr>
          <w:trHeight w:val="260"/>
        </w:trPr>
        <w:tc>
          <w:tcPr>
            <w:tcW w:w="5420" w:type="dxa"/>
            <w:vAlign w:val="bottom"/>
          </w:tcPr>
          <w:p>
            <w:pPr>
              <w:ind w:left="80"/>
              <w:spacing w:after="0"/>
              <w:rPr>
                <w:sz w:val="20"/>
                <w:szCs w:val="20"/>
                <w:color w:val="auto"/>
              </w:rPr>
            </w:pPr>
            <w:r>
              <w:rPr>
                <w:rFonts w:ascii="Arial" w:cs="Arial" w:eastAsia="Arial" w:hAnsi="Arial"/>
                <w:sz w:val="16"/>
                <w:szCs w:val="16"/>
                <w:b w:val="1"/>
                <w:bCs w:val="1"/>
                <w:color w:val="auto"/>
              </w:rPr>
              <w:t>Financial Metrics</w:t>
            </w:r>
          </w:p>
        </w:tc>
        <w:tc>
          <w:tcPr>
            <w:tcW w:w="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80"/>
        </w:trPr>
        <w:tc>
          <w:tcPr>
            <w:tcW w:w="54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Revenue growth from prior period</w:t>
            </w:r>
          </w:p>
        </w:tc>
        <w:tc>
          <w:tcPr>
            <w:tcW w:w="22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r>
      <w:tr>
        <w:trPr>
          <w:trHeight w:val="260"/>
        </w:trPr>
        <w:tc>
          <w:tcPr>
            <w:tcW w:w="5420" w:type="dxa"/>
            <w:vAlign w:val="bottom"/>
          </w:tcPr>
          <w:p>
            <w:pPr>
              <w:ind w:left="200"/>
              <w:spacing w:after="0"/>
              <w:rPr>
                <w:sz w:val="20"/>
                <w:szCs w:val="20"/>
                <w:color w:val="auto"/>
              </w:rPr>
            </w:pPr>
            <w:r>
              <w:rPr>
                <w:rFonts w:ascii="Arial" w:cs="Arial" w:eastAsia="Arial" w:hAnsi="Arial"/>
                <w:sz w:val="16"/>
                <w:szCs w:val="16"/>
                <w:color w:val="auto"/>
              </w:rPr>
              <w:t>Recurring revenue as a % of net revenue</w:t>
            </w:r>
          </w:p>
        </w:tc>
        <w:tc>
          <w:tcPr>
            <w:tcW w:w="2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71.7 %</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67.6%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70.4%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67.1%</w:t>
            </w:r>
          </w:p>
        </w:tc>
      </w:tr>
      <w:tr>
        <w:trPr>
          <w:trHeight w:val="280"/>
        </w:trPr>
        <w:tc>
          <w:tcPr>
            <w:tcW w:w="54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income (in millions)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50.2</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43.1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100.9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96.2</w:t>
            </w:r>
          </w:p>
        </w:tc>
      </w:tr>
      <w:tr>
        <w:trPr>
          <w:trHeight w:val="260"/>
        </w:trPr>
        <w:tc>
          <w:tcPr>
            <w:tcW w:w="5420" w:type="dxa"/>
            <w:vAlign w:val="bottom"/>
          </w:tcPr>
          <w:p>
            <w:pPr>
              <w:ind w:left="200"/>
              <w:spacing w:after="0"/>
              <w:rPr>
                <w:sz w:val="20"/>
                <w:szCs w:val="20"/>
                <w:color w:val="auto"/>
              </w:rPr>
            </w:pPr>
            <w:r>
              <w:rPr>
                <w:rFonts w:ascii="Arial" w:cs="Arial" w:eastAsia="Arial" w:hAnsi="Arial"/>
                <w:sz w:val="16"/>
                <w:szCs w:val="16"/>
                <w:color w:val="auto"/>
              </w:rPr>
              <w:t>Earnings per share (diluted)</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39"/>
              <w:spacing w:after="0"/>
              <w:rPr>
                <w:sz w:val="20"/>
                <w:szCs w:val="20"/>
                <w:color w:val="auto"/>
              </w:rPr>
            </w:pPr>
            <w:r>
              <w:rPr>
                <w:rFonts w:ascii="Arial" w:cs="Arial" w:eastAsia="Arial" w:hAnsi="Arial"/>
                <w:sz w:val="16"/>
                <w:szCs w:val="16"/>
                <w:color w:val="auto"/>
              </w:rPr>
              <w:t>0.52</w:t>
            </w:r>
          </w:p>
        </w:tc>
        <w:tc>
          <w:tcPr>
            <w:tcW w:w="120" w:type="dxa"/>
            <w:vAlign w:val="bottom"/>
          </w:tcPr>
          <w:p>
            <w:pPr>
              <w:spacing w:after="0"/>
              <w:rPr>
                <w:sz w:val="22"/>
                <w:szCs w:val="22"/>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0.42</w:t>
            </w:r>
          </w:p>
        </w:tc>
        <w:tc>
          <w:tcPr>
            <w:tcW w:w="10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22"/>
                <w:szCs w:val="22"/>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0.94</w:t>
            </w:r>
          </w:p>
        </w:tc>
      </w:tr>
      <w:tr>
        <w:trPr>
          <w:trHeight w:val="280"/>
        </w:trPr>
        <w:tc>
          <w:tcPr>
            <w:tcW w:w="5420" w:type="dxa"/>
            <w:vAlign w:val="bottom"/>
            <w:shd w:val="clear" w:color="auto" w:fill="CCEEFF"/>
          </w:tcPr>
          <w:p>
            <w:pPr>
              <w:ind w:left="80"/>
              <w:spacing w:after="0"/>
              <w:rPr>
                <w:sz w:val="20"/>
                <w:szCs w:val="20"/>
                <w:color w:val="auto"/>
              </w:rPr>
            </w:pPr>
            <w:r>
              <w:rPr>
                <w:rFonts w:ascii="Arial" w:cs="Arial" w:eastAsia="Arial" w:hAnsi="Arial"/>
                <w:sz w:val="16"/>
                <w:szCs w:val="16"/>
                <w:color w:val="auto"/>
              </w:rPr>
              <w:t>Non-GAAP Measures:</w:t>
            </w:r>
          </w:p>
        </w:tc>
        <w:tc>
          <w:tcPr>
            <w:tcW w:w="2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60"/>
        </w:trPr>
        <w:tc>
          <w:tcPr>
            <w:tcW w:w="5420" w:type="dxa"/>
            <w:vAlign w:val="bottom"/>
          </w:tcPr>
          <w:p>
            <w:pPr>
              <w:ind w:left="200"/>
              <w:spacing w:after="0"/>
              <w:rPr>
                <w:sz w:val="20"/>
                <w:szCs w:val="20"/>
                <w:color w:val="auto"/>
              </w:rPr>
            </w:pPr>
            <w:r>
              <w:rPr>
                <w:rFonts w:ascii="Arial" w:cs="Arial" w:eastAsia="Arial" w:hAnsi="Arial"/>
                <w:sz w:val="16"/>
                <w:szCs w:val="16"/>
                <w:color w:val="auto"/>
              </w:rPr>
              <w:t>Gross profit (in millions)(5)</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39"/>
              <w:spacing w:after="0"/>
              <w:rPr>
                <w:sz w:val="20"/>
                <w:szCs w:val="20"/>
                <w:color w:val="auto"/>
              </w:rPr>
            </w:pPr>
            <w:r>
              <w:rPr>
                <w:rFonts w:ascii="Arial" w:cs="Arial" w:eastAsia="Arial" w:hAnsi="Arial"/>
                <w:sz w:val="16"/>
                <w:szCs w:val="16"/>
                <w:color w:val="auto"/>
              </w:rPr>
              <w:t>340.3</w:t>
            </w:r>
          </w:p>
        </w:tc>
        <w:tc>
          <w:tcPr>
            <w:tcW w:w="120" w:type="dxa"/>
            <w:vAlign w:val="bottom"/>
          </w:tcPr>
          <w:p>
            <w:pPr>
              <w:spacing w:after="0"/>
              <w:rPr>
                <w:sz w:val="22"/>
                <w:szCs w:val="22"/>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328.7</w:t>
            </w:r>
          </w:p>
        </w:tc>
        <w:tc>
          <w:tcPr>
            <w:tcW w:w="10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695.6</w:t>
            </w:r>
          </w:p>
        </w:tc>
        <w:tc>
          <w:tcPr>
            <w:tcW w:w="100" w:type="dxa"/>
            <w:vAlign w:val="bottom"/>
          </w:tcPr>
          <w:p>
            <w:pPr>
              <w:spacing w:after="0"/>
              <w:rPr>
                <w:sz w:val="22"/>
                <w:szCs w:val="22"/>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659.5</w:t>
            </w:r>
          </w:p>
        </w:tc>
      </w:tr>
      <w:tr>
        <w:trPr>
          <w:trHeight w:val="280"/>
        </w:trPr>
        <w:tc>
          <w:tcPr>
            <w:tcW w:w="54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Gross profit growth from prior period</w:t>
            </w:r>
          </w:p>
        </w:tc>
        <w:tc>
          <w:tcPr>
            <w:tcW w:w="22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3.5 %</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r>
      <w:tr>
        <w:trPr>
          <w:trHeight w:val="260"/>
        </w:trPr>
        <w:tc>
          <w:tcPr>
            <w:tcW w:w="5420" w:type="dxa"/>
            <w:vAlign w:val="bottom"/>
          </w:tcPr>
          <w:p>
            <w:pPr>
              <w:ind w:left="200"/>
              <w:spacing w:after="0"/>
              <w:rPr>
                <w:sz w:val="20"/>
                <w:szCs w:val="20"/>
                <w:color w:val="auto"/>
              </w:rPr>
            </w:pPr>
            <w:r>
              <w:rPr>
                <w:rFonts w:ascii="Arial" w:cs="Arial" w:eastAsia="Arial" w:hAnsi="Arial"/>
                <w:sz w:val="16"/>
                <w:szCs w:val="16"/>
                <w:color w:val="auto"/>
              </w:rPr>
              <w:t>Gross profit as a % of net revenue</w:t>
            </w:r>
          </w:p>
        </w:tc>
        <w:tc>
          <w:tcPr>
            <w:tcW w:w="2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31.2 %</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30.1%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31.6%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30.2%</w:t>
            </w:r>
          </w:p>
        </w:tc>
      </w:tr>
      <w:tr>
        <w:trPr>
          <w:trHeight w:val="280"/>
        </w:trPr>
        <w:tc>
          <w:tcPr>
            <w:tcW w:w="54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Adjusted EBITDA (in millions)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135.4</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128.2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270.5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269.7</w:t>
            </w:r>
          </w:p>
        </w:tc>
      </w:tr>
      <w:tr>
        <w:trPr>
          <w:trHeight w:val="260"/>
        </w:trPr>
        <w:tc>
          <w:tcPr>
            <w:tcW w:w="5420" w:type="dxa"/>
            <w:vAlign w:val="bottom"/>
          </w:tcPr>
          <w:p>
            <w:pPr>
              <w:ind w:left="200"/>
              <w:spacing w:after="0"/>
              <w:rPr>
                <w:sz w:val="20"/>
                <w:szCs w:val="20"/>
                <w:color w:val="auto"/>
              </w:rPr>
            </w:pPr>
            <w:r>
              <w:rPr>
                <w:rFonts w:ascii="Arial" w:cs="Arial" w:eastAsia="Arial" w:hAnsi="Arial"/>
                <w:sz w:val="16"/>
                <w:szCs w:val="16"/>
                <w:color w:val="auto"/>
              </w:rPr>
              <w:t>Adjusted EBITDA as a % of net revenue</w:t>
            </w:r>
          </w:p>
        </w:tc>
        <w:tc>
          <w:tcPr>
            <w:tcW w:w="2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12.4 %</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12.4%</w:t>
            </w:r>
          </w:p>
        </w:tc>
      </w:tr>
      <w:tr>
        <w:trPr>
          <w:trHeight w:val="280"/>
        </w:trPr>
        <w:tc>
          <w:tcPr>
            <w:tcW w:w="54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Adjusted EBITDA as a % of gross profit</w:t>
            </w:r>
          </w:p>
        </w:tc>
        <w:tc>
          <w:tcPr>
            <w:tcW w:w="22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39.8 %</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w:t>
            </w:r>
          </w:p>
        </w:tc>
      </w:tr>
      <w:tr>
        <w:trPr>
          <w:trHeight w:val="260"/>
        </w:trPr>
        <w:tc>
          <w:tcPr>
            <w:tcW w:w="5420" w:type="dxa"/>
            <w:vAlign w:val="bottom"/>
          </w:tcPr>
          <w:p>
            <w:pPr>
              <w:ind w:left="200"/>
              <w:spacing w:after="0"/>
              <w:rPr>
                <w:sz w:val="20"/>
                <w:szCs w:val="20"/>
                <w:color w:val="auto"/>
              </w:rPr>
            </w:pPr>
            <w:r>
              <w:rPr>
                <w:rFonts w:ascii="Arial" w:cs="Arial" w:eastAsia="Arial" w:hAnsi="Arial"/>
                <w:sz w:val="16"/>
                <w:szCs w:val="16"/>
                <w:color w:val="auto"/>
              </w:rPr>
              <w:t>Adjusted Earnings (in millions)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39"/>
              <w:spacing w:after="0"/>
              <w:rPr>
                <w:sz w:val="20"/>
                <w:szCs w:val="20"/>
                <w:color w:val="auto"/>
              </w:rPr>
            </w:pPr>
            <w:r>
              <w:rPr>
                <w:rFonts w:ascii="Arial" w:cs="Arial" w:eastAsia="Arial" w:hAnsi="Arial"/>
                <w:sz w:val="16"/>
                <w:szCs w:val="16"/>
                <w:color w:val="auto"/>
              </w:rPr>
              <w:t>63.2</w:t>
            </w:r>
          </w:p>
        </w:tc>
        <w:tc>
          <w:tcPr>
            <w:tcW w:w="120" w:type="dxa"/>
            <w:vAlign w:val="bottom"/>
          </w:tcPr>
          <w:p>
            <w:pPr>
              <w:spacing w:after="0"/>
              <w:rPr>
                <w:sz w:val="22"/>
                <w:szCs w:val="22"/>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61.8</w:t>
            </w:r>
          </w:p>
        </w:tc>
        <w:tc>
          <w:tcPr>
            <w:tcW w:w="10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126.4</w:t>
            </w:r>
          </w:p>
        </w:tc>
        <w:tc>
          <w:tcPr>
            <w:tcW w:w="100" w:type="dxa"/>
            <w:vAlign w:val="bottom"/>
          </w:tcPr>
          <w:p>
            <w:pPr>
              <w:spacing w:after="0"/>
              <w:rPr>
                <w:sz w:val="22"/>
                <w:szCs w:val="22"/>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132.8</w:t>
            </w:r>
          </w:p>
        </w:tc>
      </w:tr>
      <w:tr>
        <w:trPr>
          <w:trHeight w:val="280"/>
        </w:trPr>
        <w:tc>
          <w:tcPr>
            <w:tcW w:w="54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Adjusted Earnings per share (diluted)</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0.65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0.61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1.29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1.29</w:t>
            </w:r>
          </w:p>
        </w:tc>
      </w:tr>
    </w:tbl>
    <w:p>
      <w:pPr>
        <w:spacing w:after="0"/>
        <w:rPr>
          <w:sz w:val="20"/>
          <w:szCs w:val="20"/>
          <w:color w:val="auto"/>
        </w:rPr>
      </w:pPr>
      <w:r>
        <w:rPr>
          <w:rFonts w:ascii="Arial" w:cs="Arial" w:eastAsia="Arial" w:hAnsi="Arial"/>
          <w:sz w:val="7"/>
          <w:szCs w:val="7"/>
          <w:color w:val="auto"/>
        </w:rPr>
        <w:t>________________________________</w:t>
      </w:r>
    </w:p>
    <w:p>
      <w:pPr>
        <w:ind w:left="660" w:right="480" w:hanging="328"/>
        <w:spacing w:after="0" w:line="262"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Advisors are defined as those independent financial advisors and financial advisors at financial institutions who are licensed to do business with our broker-dealer subsidiary.</w:t>
      </w:r>
    </w:p>
    <w:p>
      <w:pPr>
        <w:spacing w:after="0" w:line="88" w:lineRule="exact"/>
        <w:rPr>
          <w:rFonts w:ascii="Arial" w:cs="Arial" w:eastAsia="Arial" w:hAnsi="Arial"/>
          <w:sz w:val="18"/>
          <w:szCs w:val="18"/>
          <w:color w:val="auto"/>
        </w:rPr>
      </w:pPr>
    </w:p>
    <w:p>
      <w:pPr>
        <w:ind w:left="660" w:right="20" w:hanging="328"/>
        <w:spacing w:after="0" w:line="253"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Advisory and brokerage assets are comprised of assets that are custodied, networked, and non-networked and reflect market movement in addition to new assets, inclusive of new business development and net of attrition. Insured cash account and money market account balances are also included in advisory and brokerage assets. Set forth below are other client assets at June 30, 2015 and 2014, including retirement plan assets and certain trust and high-net-worth assets, that are custodied with third-party providers and therefore excluded from advisory and brokerage assets (in billions):</w:t>
      </w:r>
    </w:p>
    <w:p>
      <w:pPr>
        <w:spacing w:after="0" w:line="269" w:lineRule="exact"/>
        <w:rPr>
          <w:sz w:val="20"/>
          <w:szCs w:val="20"/>
          <w:color w:val="auto"/>
        </w:rPr>
      </w:pPr>
    </w:p>
    <w:tbl>
      <w:tblPr>
        <w:tblLayout w:type="fixed"/>
        <w:tblInd w:w="1080" w:type="dxa"/>
        <w:tblCellMar>
          <w:top w:w="0" w:type="dxa"/>
          <w:left w:w="0" w:type="dxa"/>
          <w:bottom w:w="0" w:type="dxa"/>
          <w:right w:w="0" w:type="dxa"/>
        </w:tblCellMar>
      </w:tblPr>
      <w:tr>
        <w:trPr>
          <w:trHeight w:val="228"/>
        </w:trPr>
        <w:tc>
          <w:tcPr>
            <w:tcW w:w="7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June 30,</w:t>
            </w:r>
          </w:p>
        </w:tc>
        <w:tc>
          <w:tcPr>
            <w:tcW w:w="920" w:type="dxa"/>
            <w:vAlign w:val="bottom"/>
            <w:tcBorders>
              <w:bottom w:val="single" w:sz="8" w:color="auto"/>
            </w:tcBorders>
          </w:tcPr>
          <w:p>
            <w:pPr>
              <w:spacing w:after="0"/>
              <w:rPr>
                <w:sz w:val="19"/>
                <w:szCs w:val="19"/>
                <w:color w:val="auto"/>
              </w:rPr>
            </w:pPr>
          </w:p>
        </w:tc>
      </w:tr>
      <w:tr>
        <w:trPr>
          <w:trHeight w:val="264"/>
        </w:trPr>
        <w:tc>
          <w:tcPr>
            <w:tcW w:w="72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2014</w:t>
            </w:r>
          </w:p>
        </w:tc>
      </w:tr>
      <w:tr>
        <w:trPr>
          <w:trHeight w:val="257"/>
        </w:trPr>
        <w:tc>
          <w:tcPr>
            <w:tcW w:w="7220" w:type="dxa"/>
            <w:vAlign w:val="bottom"/>
            <w:shd w:val="clear" w:color="auto" w:fill="CCEEFF"/>
          </w:tcPr>
          <w:p>
            <w:pPr>
              <w:ind w:left="80"/>
              <w:spacing w:after="0"/>
              <w:rPr>
                <w:sz w:val="20"/>
                <w:szCs w:val="20"/>
                <w:color w:val="auto"/>
              </w:rPr>
            </w:pPr>
            <w:r>
              <w:rPr>
                <w:rFonts w:ascii="Arial" w:cs="Arial" w:eastAsia="Arial" w:hAnsi="Arial"/>
                <w:sz w:val="16"/>
                <w:szCs w:val="16"/>
                <w:color w:val="auto"/>
              </w:rPr>
              <w:t>Retirement plan assets(a)</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86.4</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73.0</w:t>
            </w:r>
          </w:p>
        </w:tc>
      </w:tr>
      <w:tr>
        <w:trPr>
          <w:trHeight w:val="260"/>
        </w:trPr>
        <w:tc>
          <w:tcPr>
            <w:tcW w:w="7220" w:type="dxa"/>
            <w:vAlign w:val="bottom"/>
          </w:tcPr>
          <w:p>
            <w:pPr>
              <w:ind w:left="80"/>
              <w:spacing w:after="0"/>
              <w:rPr>
                <w:sz w:val="20"/>
                <w:szCs w:val="20"/>
                <w:color w:val="auto"/>
              </w:rPr>
            </w:pPr>
            <w:r>
              <w:rPr>
                <w:rFonts w:ascii="Arial" w:cs="Arial" w:eastAsia="Arial" w:hAnsi="Arial"/>
                <w:sz w:val="16"/>
                <w:szCs w:val="16"/>
                <w:color w:val="auto"/>
              </w:rPr>
              <w:t>Trust assets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2"/>
                <w:szCs w:val="22"/>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3.0</w:t>
            </w:r>
          </w:p>
        </w:tc>
      </w:tr>
      <w:tr>
        <w:trPr>
          <w:trHeight w:val="280"/>
        </w:trPr>
        <w:tc>
          <w:tcPr>
            <w:tcW w:w="7220" w:type="dxa"/>
            <w:vAlign w:val="bottom"/>
            <w:shd w:val="clear" w:color="auto" w:fill="CCEEFF"/>
          </w:tcPr>
          <w:p>
            <w:pPr>
              <w:ind w:left="80"/>
              <w:spacing w:after="0"/>
              <w:rPr>
                <w:sz w:val="20"/>
                <w:szCs w:val="20"/>
                <w:color w:val="auto"/>
              </w:rPr>
            </w:pPr>
            <w:r>
              <w:rPr>
                <w:rFonts w:ascii="Arial" w:cs="Arial" w:eastAsia="Arial" w:hAnsi="Arial"/>
                <w:sz w:val="16"/>
                <w:szCs w:val="16"/>
                <w:color w:val="auto"/>
              </w:rPr>
              <w:t>High-net-worth assets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92.8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79.6</w:t>
            </w:r>
          </w:p>
        </w:tc>
      </w:tr>
    </w:tbl>
    <w:p>
      <w:pPr>
        <w:ind w:left="660"/>
        <w:spacing w:after="0"/>
        <w:rPr>
          <w:sz w:val="20"/>
          <w:szCs w:val="20"/>
          <w:color w:val="auto"/>
        </w:rPr>
      </w:pPr>
      <w:r>
        <w:rPr>
          <w:rFonts w:ascii="Arial" w:cs="Arial" w:eastAsia="Arial" w:hAnsi="Arial"/>
          <w:sz w:val="7"/>
          <w:szCs w:val="7"/>
          <w:color w:val="auto"/>
        </w:rPr>
        <w:t>_____________________________</w:t>
      </w:r>
    </w:p>
    <w:p>
      <w:pPr>
        <w:ind w:left="980" w:right="80" w:hanging="324"/>
        <w:spacing w:after="0" w:line="253"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Retirement plan assets are held in retirement plans that are supported by advisors licensed with LPL Financial. At June 30, 2015 and 2014, our retirement plan assets represent assets that are custodied with 37 third-party providers and 34 third-party providers, respectively, of retirement plan administrative services who provide reporting feeds. We estimate the total assets in retirement plans supported to be between $120.0 billion and $130.0 billion at June 30, 2015 and between $110.0 billion and $120.0 billion at June 30, 2014. If we receive reporting feeds in the future from providers for whom we do not</w:t>
      </w:r>
    </w:p>
    <w:p>
      <w:pPr>
        <w:sectPr>
          <w:pgSz w:w="11900" w:h="16838" w:orient="portrait"/>
          <w:cols w:equalWidth="0" w:num="1">
            <w:col w:w="11420"/>
          </w:cols>
          <w:pgMar w:left="240" w:top="522" w:right="239" w:bottom="1440" w:gutter="0" w:footer="0" w:header="0"/>
        </w:sect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420"/>
          </w:cols>
          <w:pgMar w:left="240" w:top="522" w:right="239" w:bottom="1440" w:gutter="0" w:footer="0" w:header="0"/>
          <w:type w:val="continuous"/>
        </w:sectPr>
      </w:pPr>
    </w:p>
    <w:bookmarkStart w:id="29" w:name="page30"/>
    <w:bookmarkEnd w:id="29"/>
    <w:p>
      <w:pPr>
        <w:ind w:left="980" w:right="20"/>
        <w:spacing w:after="0" w:line="309" w:lineRule="auto"/>
        <w:rPr>
          <w:sz w:val="20"/>
          <w:szCs w:val="20"/>
          <w:color w:val="auto"/>
        </w:rPr>
      </w:pPr>
      <w:r>
        <w:rPr>
          <w:rFonts w:ascii="Arial" w:cs="Arial" w:eastAsia="Arial" w:hAnsi="Arial"/>
          <w:sz w:val="18"/>
          <w:szCs w:val="18"/>
          <w:color w:val="auto"/>
        </w:rPr>
        <w:t>currently receive feeds, we intend to include and identify such additional assets in this metric. Such additional feeds since June 30, 2014, accounted for $0.6 billion of the $13.4 billion increase in retirement plan assets.</w:t>
      </w:r>
    </w:p>
    <w:p>
      <w:pPr>
        <w:spacing w:after="0" w:line="169" w:lineRule="exact"/>
        <w:rPr>
          <w:sz w:val="20"/>
          <w:szCs w:val="20"/>
          <w:color w:val="auto"/>
        </w:rPr>
      </w:pPr>
    </w:p>
    <w:p>
      <w:pPr>
        <w:ind w:left="660" w:right="140" w:hanging="328"/>
        <w:spacing w:after="0" w:line="291"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Advisory assets under custody are comprised of advisory assets under management in our corporate RIA platform and Hybrid RIA assets in advisory accounts custodied by us. See “Results of Operations” for a tabular presentation of advisory assets under custody.</w:t>
      </w:r>
    </w:p>
    <w:p>
      <w:pPr>
        <w:spacing w:after="0" w:line="174" w:lineRule="exact"/>
        <w:rPr>
          <w:rFonts w:ascii="Arial" w:cs="Arial" w:eastAsia="Arial" w:hAnsi="Arial"/>
          <w:sz w:val="17"/>
          <w:szCs w:val="17"/>
          <w:color w:val="auto"/>
        </w:rPr>
      </w:pPr>
    </w:p>
    <w:p>
      <w:pPr>
        <w:ind w:left="660" w:right="520" w:hanging="328"/>
        <w:spacing w:after="0" w:line="262"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net new advisory assets consisting of funds from new accounts and additional funds deposited into existing advisory accounts that are custodied in our fee-based advisory platforms.</w:t>
      </w:r>
    </w:p>
    <w:p>
      <w:pPr>
        <w:spacing w:after="0" w:line="196" w:lineRule="exact"/>
        <w:rPr>
          <w:rFonts w:ascii="Arial" w:cs="Arial" w:eastAsia="Arial" w:hAnsi="Arial"/>
          <w:sz w:val="18"/>
          <w:szCs w:val="18"/>
          <w:color w:val="auto"/>
        </w:rPr>
      </w:pPr>
    </w:p>
    <w:p>
      <w:pPr>
        <w:ind w:left="660" w:hanging="328"/>
        <w:spacing w:after="0" w:line="256"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Gross profit is calculated as net revenues less production expenses. Because our gross profit amounts do not include any depreciation and amortization expense, we consider our gross profit amounts to be non-GAAP measures that may not be comparable to those of others in our industry.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247" w:lineRule="exact"/>
        <w:rPr>
          <w:sz w:val="20"/>
          <w:szCs w:val="20"/>
          <w:color w:val="auto"/>
        </w:rPr>
      </w:pPr>
    </w:p>
    <w:p>
      <w:pPr>
        <w:ind w:right="100" w:firstLine="486"/>
        <w:spacing w:after="0" w:line="253" w:lineRule="auto"/>
        <w:rPr>
          <w:sz w:val="20"/>
          <w:szCs w:val="20"/>
          <w:color w:val="auto"/>
        </w:rPr>
      </w:pPr>
      <w:r>
        <w:rPr>
          <w:rFonts w:ascii="Arial" w:cs="Arial" w:eastAsia="Arial" w:hAnsi="Arial"/>
          <w:sz w:val="18"/>
          <w:szCs w:val="18"/>
          <w:color w:val="auto"/>
        </w:rPr>
        <w:t>Adjusted EBITDA is defined as EBITDA (net income plus interest expense, income tax expense, depreciation, and amortization), further adjusted to exclude certain non-cash charges and other adjustments set forth below. We present Adjusted EBITDA because we consider it an important measure of our performance. Adjusted EBITDA is a useful financial metric in assessing our operating performance from period to period by excluding certain items that we believe are not representative of our core business, such as certain material non-cash items and other adjustments.</w:t>
      </w:r>
    </w:p>
    <w:p>
      <w:pPr>
        <w:spacing w:after="0" w:line="206" w:lineRule="exact"/>
        <w:rPr>
          <w:sz w:val="20"/>
          <w:szCs w:val="20"/>
          <w:color w:val="auto"/>
        </w:rPr>
      </w:pPr>
    </w:p>
    <w:p>
      <w:pPr>
        <w:ind w:right="320" w:firstLine="486"/>
        <w:spacing w:after="0" w:line="262" w:lineRule="auto"/>
        <w:rPr>
          <w:sz w:val="20"/>
          <w:szCs w:val="20"/>
          <w:color w:val="auto"/>
        </w:rPr>
      </w:pPr>
      <w:r>
        <w:rPr>
          <w:rFonts w:ascii="Arial" w:cs="Arial" w:eastAsia="Arial" w:hAnsi="Arial"/>
          <w:sz w:val="18"/>
          <w:szCs w:val="18"/>
          <w:color w:val="auto"/>
        </w:rPr>
        <w:t>We believe that Adjusted EBITDA, viewed in addition to, and not in lieu of, our reported financial results under GAAP, provides useful information to investors regarding our performance and overall results of operations for the following reasons:</w:t>
      </w:r>
    </w:p>
    <w:p>
      <w:pPr>
        <w:spacing w:after="0" w:line="196" w:lineRule="exact"/>
        <w:rPr>
          <w:sz w:val="20"/>
          <w:szCs w:val="20"/>
          <w:color w:val="auto"/>
        </w:rPr>
      </w:pPr>
    </w:p>
    <w:p>
      <w:pPr>
        <w:ind w:left="520" w:right="80" w:hanging="120"/>
        <w:spacing w:after="0" w:line="256" w:lineRule="auto"/>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because non-cash equity grants made to employees, officers, and directors at a certain price and point in time do not necessarily reflect how our business is performing at any particular time, share-based compensation expense is not a key measure of our operating performance; and</w:t>
      </w:r>
    </w:p>
    <w:p>
      <w:pPr>
        <w:spacing w:after="0" w:line="201" w:lineRule="exact"/>
        <w:rPr>
          <w:rFonts w:ascii="Arial" w:cs="Arial" w:eastAsia="Arial" w:hAnsi="Arial"/>
          <w:sz w:val="18"/>
          <w:szCs w:val="18"/>
          <w:color w:val="auto"/>
        </w:rPr>
      </w:pPr>
    </w:p>
    <w:p>
      <w:pPr>
        <w:jc w:val="both"/>
        <w:ind w:left="520" w:right="40" w:hanging="120"/>
        <w:spacing w:after="0" w:line="256" w:lineRule="auto"/>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because costs associated with acquisitions and the resulting integrations, debt refinancing, and restructuring and conversions costs can vary from period to period and transaction to transaction, expenses associated with these activities are not considered a key measure of our operating performance.</w:t>
      </w:r>
    </w:p>
    <w:p>
      <w:pPr>
        <w:spacing w:after="0" w:line="20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use Adjusted EBITDA:</w:t>
      </w:r>
    </w:p>
    <w:p>
      <w:pPr>
        <w:spacing w:after="0" w:line="225" w:lineRule="exact"/>
        <w:rPr>
          <w:sz w:val="20"/>
          <w:szCs w:val="20"/>
          <w:color w:val="auto"/>
        </w:rPr>
      </w:pPr>
    </w:p>
    <w:p>
      <w:pPr>
        <w:ind w:left="520" w:hanging="120"/>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as a measure of operating performance;</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 planning purposes, including the preparation of budgets and forecasts;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allocate resources to enhance the financial performance of our business;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evaluate the effectiveness of our business strategies;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communications with our Board concerning our financial performance; and</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as a factor in determining employee and executive bonuses.</w:t>
      </w:r>
    </w:p>
    <w:p>
      <w:pPr>
        <w:spacing w:after="0" w:line="225" w:lineRule="exact"/>
        <w:rPr>
          <w:sz w:val="20"/>
          <w:szCs w:val="20"/>
          <w:color w:val="auto"/>
        </w:rPr>
      </w:pPr>
    </w:p>
    <w:p>
      <w:pPr>
        <w:ind w:right="260" w:firstLine="486"/>
        <w:spacing w:after="0" w:line="256" w:lineRule="auto"/>
        <w:rPr>
          <w:sz w:val="20"/>
          <w:szCs w:val="20"/>
          <w:color w:val="auto"/>
        </w:rPr>
      </w:pPr>
      <w:r>
        <w:rPr>
          <w:rFonts w:ascii="Arial" w:cs="Arial" w:eastAsia="Arial" w:hAnsi="Arial"/>
          <w:sz w:val="18"/>
          <w:szCs w:val="18"/>
          <w:color w:val="auto"/>
        </w:rPr>
        <w:t>Adjusted EBITDA is a non-GAAP measure and does not purport to be an alternative to net income as a measure of operating performance or to cash flows from operating activities as a measure of liquidity. Adjusted EBITDA is not a measure of net income, operating income, or any other performance measure derived in accordance with GAAP.</w:t>
      </w:r>
    </w:p>
    <w:p>
      <w:pPr>
        <w:spacing w:after="0" w:line="202" w:lineRule="exact"/>
        <w:rPr>
          <w:sz w:val="20"/>
          <w:szCs w:val="20"/>
          <w:color w:val="auto"/>
        </w:rPr>
      </w:pPr>
    </w:p>
    <w:p>
      <w:pPr>
        <w:ind w:right="460" w:firstLine="486"/>
        <w:spacing w:after="0" w:line="262" w:lineRule="auto"/>
        <w:rPr>
          <w:sz w:val="20"/>
          <w:szCs w:val="20"/>
          <w:color w:val="auto"/>
        </w:rPr>
      </w:pPr>
      <w:r>
        <w:rPr>
          <w:rFonts w:ascii="Arial" w:cs="Arial" w:eastAsia="Arial" w:hAnsi="Arial"/>
          <w:sz w:val="18"/>
          <w:szCs w:val="18"/>
          <w:color w:val="auto"/>
        </w:rPr>
        <w:t>Adjusted EBITDA has limitations as an analytical tool and should not be considered in isolation or as a substitute for analysis of our results as reported under GAAP. Some of these limitations are:</w:t>
      </w:r>
    </w:p>
    <w:p>
      <w:pPr>
        <w:spacing w:after="0" w:line="196" w:lineRule="exact"/>
        <w:rPr>
          <w:sz w:val="20"/>
          <w:szCs w:val="20"/>
          <w:color w:val="auto"/>
        </w:rPr>
      </w:pPr>
    </w:p>
    <w:p>
      <w:pPr>
        <w:ind w:left="520" w:hanging="120"/>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Adjusted EBITDA does not reflect all cash expenditures, future requirements for capital expenditures or contractual commitments;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working capital needs;</w:t>
      </w:r>
    </w:p>
    <w:p>
      <w:pPr>
        <w:spacing w:after="0" w:line="225" w:lineRule="exact"/>
        <w:rPr>
          <w:rFonts w:ascii="Arial" w:cs="Arial" w:eastAsia="Arial" w:hAnsi="Arial"/>
          <w:sz w:val="18"/>
          <w:szCs w:val="18"/>
          <w:color w:val="auto"/>
        </w:rPr>
      </w:pPr>
    </w:p>
    <w:p>
      <w:pPr>
        <w:ind w:left="520" w:right="300" w:hanging="120"/>
        <w:spacing w:after="0" w:line="262" w:lineRule="auto"/>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Adjusted EBITDA does not reflect the significant interest expense, or the cash requirements necessary to service interest or principal payments, on our debt; and</w:t>
      </w:r>
    </w:p>
    <w:p>
      <w:pPr>
        <w:spacing w:after="0" w:line="196" w:lineRule="exact"/>
        <w:rPr>
          <w:rFonts w:ascii="Arial" w:cs="Arial" w:eastAsia="Arial" w:hAnsi="Arial"/>
          <w:sz w:val="18"/>
          <w:szCs w:val="18"/>
          <w:color w:val="auto"/>
        </w:rPr>
      </w:pPr>
    </w:p>
    <w:p>
      <w:pPr>
        <w:ind w:left="520" w:right="300" w:hanging="120"/>
        <w:spacing w:after="0" w:line="291" w:lineRule="auto"/>
        <w:tabs>
          <w:tab w:leader="none" w:pos="5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Adjusted EBITDA can differ significantly from company to company depending on long-term strategic decisions regarding capital structure, the tax jurisdictions in which companies operate and capital investments, limiting its usefulness as a comparative measure.</w:t>
      </w:r>
    </w:p>
    <w:p>
      <w:pPr>
        <w:sectPr>
          <w:pgSz w:w="11900" w:h="16838" w:orient="portrait"/>
          <w:cols w:equalWidth="0" w:num="1">
            <w:col w:w="11380"/>
          </w:cols>
          <w:pgMar w:left="240" w:top="409" w:right="279" w:bottom="1440" w:gutter="0" w:footer="0" w:header="0"/>
        </w:sectPr>
      </w:pPr>
    </w:p>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380"/>
          </w:cols>
          <w:pgMar w:left="240" w:top="409" w:right="279" w:bottom="1440" w:gutter="0" w:footer="0" w:header="0"/>
          <w:type w:val="continuous"/>
        </w:sectPr>
      </w:pPr>
    </w:p>
    <w:bookmarkStart w:id="30" w:name="page31"/>
    <w:bookmarkEnd w:id="30"/>
    <w:p>
      <w:pPr>
        <w:ind w:right="40" w:firstLine="486"/>
        <w:spacing w:after="0" w:line="262" w:lineRule="auto"/>
        <w:rPr>
          <w:sz w:val="20"/>
          <w:szCs w:val="20"/>
          <w:color w:val="auto"/>
        </w:rPr>
      </w:pPr>
      <w:r>
        <w:rPr>
          <w:rFonts w:ascii="Arial" w:cs="Arial" w:eastAsia="Arial" w:hAnsi="Arial"/>
          <w:sz w:val="18"/>
          <w:szCs w:val="18"/>
          <w:color w:val="auto"/>
        </w:rPr>
        <w:t>Adjusted EBITDA should not be considered as a measure of discretionary cash available to us to invest in our business. We compensate for these limitations by relying primarily on the GAAP results and using Adjusted EBITDA as supplemental information.</w:t>
      </w:r>
    </w:p>
    <w:p>
      <w:pPr>
        <w:spacing w:after="0" w:line="19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Set forth below is a reconciliation from our net income to Adjusted EBITDA, a non-GAAP measure, for the three and six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30, 2015 and 2014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760" w:type="dxa"/>
            <w:vAlign w:val="bottom"/>
            <w:gridSpan w:val="5"/>
          </w:tcPr>
          <w:p>
            <w:pPr>
              <w:ind w:left="80"/>
              <w:spacing w:after="0"/>
              <w:rPr>
                <w:sz w:val="20"/>
                <w:szCs w:val="20"/>
                <w:color w:val="auto"/>
              </w:rPr>
            </w:pPr>
            <w:r>
              <w:rPr>
                <w:rFonts w:ascii="Arial" w:cs="Arial" w:eastAsia="Arial" w:hAnsi="Arial"/>
                <w:sz w:val="16"/>
                <w:szCs w:val="16"/>
                <w:b w:val="1"/>
                <w:bCs w:val="1"/>
                <w:color w:val="auto"/>
              </w:rPr>
              <w:t>Three Months Ended June 30,</w:t>
            </w:r>
          </w:p>
        </w:tc>
        <w:tc>
          <w:tcPr>
            <w:tcW w:w="260" w:type="dxa"/>
            <w:vAlign w:val="bottom"/>
          </w:tcPr>
          <w:p>
            <w:pPr>
              <w:spacing w:after="0"/>
              <w:rPr>
                <w:sz w:val="19"/>
                <w:szCs w:val="19"/>
                <w:color w:val="auto"/>
              </w:rPr>
            </w:pPr>
          </w:p>
        </w:tc>
        <w:tc>
          <w:tcPr>
            <w:tcW w:w="2580" w:type="dxa"/>
            <w:vAlign w:val="bottom"/>
            <w:gridSpan w:val="4"/>
          </w:tcPr>
          <w:p>
            <w:pPr>
              <w:jc w:val="right"/>
              <w:ind w:right="279"/>
              <w:spacing w:after="0"/>
              <w:rPr>
                <w:sz w:val="20"/>
                <w:szCs w:val="20"/>
                <w:color w:val="auto"/>
              </w:rPr>
            </w:pPr>
            <w:r>
              <w:rPr>
                <w:rFonts w:ascii="Arial" w:cs="Arial" w:eastAsia="Arial" w:hAnsi="Arial"/>
                <w:sz w:val="16"/>
                <w:szCs w:val="16"/>
                <w:b w:val="1"/>
                <w:bCs w:val="1"/>
                <w:color w:val="auto"/>
              </w:rPr>
              <w:t>Six Months Ended June 30,</w:t>
            </w:r>
          </w:p>
        </w:tc>
      </w:tr>
      <w:tr>
        <w:trPr>
          <w:trHeight w:val="264"/>
        </w:trPr>
        <w:tc>
          <w:tcPr>
            <w:tcW w:w="56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2014</w:t>
            </w:r>
          </w:p>
        </w:tc>
      </w:tr>
      <w:tr>
        <w:trPr>
          <w:trHeight w:val="257"/>
        </w:trPr>
        <w:tc>
          <w:tcPr>
            <w:tcW w:w="5620" w:type="dxa"/>
            <w:vAlign w:val="bottom"/>
            <w:shd w:val="clear" w:color="auto" w:fill="CCEEFF"/>
          </w:tcPr>
          <w:p>
            <w:pPr>
              <w:ind w:left="80"/>
              <w:spacing w:after="0"/>
              <w:rPr>
                <w:sz w:val="20"/>
                <w:szCs w:val="20"/>
                <w:color w:val="auto"/>
              </w:rPr>
            </w:pPr>
            <w:r>
              <w:rPr>
                <w:rFonts w:ascii="Arial" w:cs="Arial" w:eastAsia="Arial" w:hAnsi="Arial"/>
                <w:sz w:val="16"/>
                <w:szCs w:val="16"/>
                <w:color w:val="auto"/>
              </w:rPr>
              <w:t>Net income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50,242</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43,091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100,920</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96,226</w:t>
            </w:r>
          </w:p>
        </w:tc>
      </w:tr>
      <w:tr>
        <w:trPr>
          <w:trHeight w:val="260"/>
        </w:trPr>
        <w:tc>
          <w:tcPr>
            <w:tcW w:w="5620" w:type="dxa"/>
            <w:vAlign w:val="bottom"/>
          </w:tcPr>
          <w:p>
            <w:pPr>
              <w:ind w:left="80"/>
              <w:spacing w:after="0"/>
              <w:rPr>
                <w:sz w:val="20"/>
                <w:szCs w:val="20"/>
                <w:color w:val="auto"/>
              </w:rPr>
            </w:pPr>
            <w:r>
              <w:rPr>
                <w:rFonts w:ascii="Arial" w:cs="Arial" w:eastAsia="Arial" w:hAnsi="Arial"/>
                <w:sz w:val="16"/>
                <w:szCs w:val="16"/>
                <w:color w:val="auto"/>
              </w:rPr>
              <w:t>Non-operating interest expense</w:t>
            </w:r>
          </w:p>
        </w:tc>
        <w:tc>
          <w:tcPr>
            <w:tcW w:w="20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13,163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12,914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27,178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25,754</w:t>
            </w:r>
          </w:p>
        </w:tc>
      </w:tr>
      <w:tr>
        <w:trPr>
          <w:trHeight w:val="280"/>
        </w:trPr>
        <w:tc>
          <w:tcPr>
            <w:tcW w:w="5620" w:type="dxa"/>
            <w:vAlign w:val="bottom"/>
            <w:shd w:val="clear" w:color="auto" w:fill="CCEEFF"/>
          </w:tcPr>
          <w:p>
            <w:pPr>
              <w:ind w:left="80"/>
              <w:spacing w:after="0"/>
              <w:rPr>
                <w:sz w:val="20"/>
                <w:szCs w:val="20"/>
                <w:color w:val="auto"/>
              </w:rPr>
            </w:pPr>
            <w:r>
              <w:rPr>
                <w:rFonts w:ascii="Arial" w:cs="Arial" w:eastAsia="Arial" w:hAnsi="Arial"/>
                <w:sz w:val="16"/>
                <w:szCs w:val="16"/>
                <w:color w:val="auto"/>
              </w:rPr>
              <w:t>Provision for income taxes</w:t>
            </w: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33,848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28,070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67,845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62,482</w:t>
            </w:r>
          </w:p>
        </w:tc>
      </w:tr>
      <w:tr>
        <w:trPr>
          <w:trHeight w:val="260"/>
        </w:trPr>
        <w:tc>
          <w:tcPr>
            <w:tcW w:w="5620" w:type="dxa"/>
            <w:vAlign w:val="bottom"/>
          </w:tcPr>
          <w:p>
            <w:pPr>
              <w:ind w:left="80"/>
              <w:spacing w:after="0"/>
              <w:rPr>
                <w:sz w:val="20"/>
                <w:szCs w:val="20"/>
                <w:color w:val="auto"/>
              </w:rPr>
            </w:pPr>
            <w:r>
              <w:rPr>
                <w:rFonts w:ascii="Arial" w:cs="Arial" w:eastAsia="Arial" w:hAnsi="Arial"/>
                <w:sz w:val="16"/>
                <w:szCs w:val="16"/>
                <w:color w:val="auto"/>
              </w:rPr>
              <w:t>Amortization of intangible assets</w:t>
            </w:r>
          </w:p>
        </w:tc>
        <w:tc>
          <w:tcPr>
            <w:tcW w:w="20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9,536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9,696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19,173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19,412</w:t>
            </w:r>
          </w:p>
        </w:tc>
      </w:tr>
      <w:tr>
        <w:trPr>
          <w:trHeight w:val="273"/>
        </w:trPr>
        <w:tc>
          <w:tcPr>
            <w:tcW w:w="5620" w:type="dxa"/>
            <w:vAlign w:val="bottom"/>
            <w:shd w:val="clear" w:color="auto" w:fill="CCEEFF"/>
          </w:tcPr>
          <w:p>
            <w:pPr>
              <w:ind w:left="80"/>
              <w:spacing w:after="0"/>
              <w:rPr>
                <w:sz w:val="20"/>
                <w:szCs w:val="20"/>
                <w:color w:val="auto"/>
              </w:rPr>
            </w:pPr>
            <w:r>
              <w:rPr>
                <w:rFonts w:ascii="Arial" w:cs="Arial" w:eastAsia="Arial" w:hAnsi="Arial"/>
                <w:sz w:val="16"/>
                <w:szCs w:val="16"/>
                <w:color w:val="auto"/>
              </w:rPr>
              <w:t>Depreciation and amortization of fixed assets</w:t>
            </w:r>
          </w:p>
        </w:tc>
        <w:tc>
          <w:tcPr>
            <w:tcW w:w="2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17,196</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14,122</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33,625</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26,687</w:t>
            </w:r>
          </w:p>
        </w:tc>
      </w:tr>
      <w:tr>
        <w:trPr>
          <w:trHeight w:val="250"/>
        </w:trPr>
        <w:tc>
          <w:tcPr>
            <w:tcW w:w="562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EBITDA</w:t>
            </w: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123,985</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107,893</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248,741</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230,561</w:t>
            </w:r>
          </w:p>
        </w:tc>
      </w:tr>
      <w:tr>
        <w:trPr>
          <w:trHeight w:val="270"/>
        </w:trPr>
        <w:tc>
          <w:tcPr>
            <w:tcW w:w="5620" w:type="dxa"/>
            <w:vAlign w:val="bottom"/>
            <w:shd w:val="clear" w:color="auto" w:fill="CCEEFF"/>
          </w:tcPr>
          <w:p>
            <w:pPr>
              <w:ind w:left="80"/>
              <w:spacing w:after="0"/>
              <w:rPr>
                <w:sz w:val="20"/>
                <w:szCs w:val="20"/>
                <w:color w:val="auto"/>
              </w:rPr>
            </w:pPr>
            <w:r>
              <w:rPr>
                <w:rFonts w:ascii="Arial" w:cs="Arial" w:eastAsia="Arial" w:hAnsi="Arial"/>
                <w:sz w:val="16"/>
                <w:szCs w:val="16"/>
                <w:color w:val="auto"/>
              </w:rPr>
              <w:t>EBITDA Adjustments:</w:t>
            </w:r>
          </w:p>
        </w:tc>
        <w:tc>
          <w:tcPr>
            <w:tcW w:w="2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60"/>
        </w:trPr>
        <w:tc>
          <w:tcPr>
            <w:tcW w:w="5620" w:type="dxa"/>
            <w:vAlign w:val="bottom"/>
          </w:tcPr>
          <w:p>
            <w:pPr>
              <w:ind w:left="260"/>
              <w:spacing w:after="0"/>
              <w:rPr>
                <w:sz w:val="20"/>
                <w:szCs w:val="20"/>
                <w:color w:val="auto"/>
              </w:rPr>
            </w:pPr>
            <w:r>
              <w:rPr>
                <w:rFonts w:ascii="Arial" w:cs="Arial" w:eastAsia="Arial" w:hAnsi="Arial"/>
                <w:sz w:val="16"/>
                <w:szCs w:val="16"/>
                <w:color w:val="auto"/>
              </w:rPr>
              <w:t>Employee share-based compensation expense(1)</w:t>
            </w:r>
          </w:p>
        </w:tc>
        <w:tc>
          <w:tcPr>
            <w:tcW w:w="20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6,805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5,426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12,963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10,537</w:t>
            </w:r>
          </w:p>
        </w:tc>
      </w:tr>
      <w:tr>
        <w:trPr>
          <w:trHeight w:val="280"/>
        </w:trPr>
        <w:tc>
          <w:tcPr>
            <w:tcW w:w="56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Acquisition and integration related expenses(2)</w:t>
            </w: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733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1,092</w:t>
            </w:r>
          </w:p>
        </w:tc>
      </w:tr>
      <w:tr>
        <w:trPr>
          <w:trHeight w:val="260"/>
        </w:trPr>
        <w:tc>
          <w:tcPr>
            <w:tcW w:w="5620" w:type="dxa"/>
            <w:vAlign w:val="bottom"/>
          </w:tcPr>
          <w:p>
            <w:pPr>
              <w:ind w:left="260"/>
              <w:spacing w:after="0"/>
              <w:rPr>
                <w:sz w:val="20"/>
                <w:szCs w:val="20"/>
                <w:color w:val="auto"/>
              </w:rPr>
            </w:pPr>
            <w:r>
              <w:rPr>
                <w:rFonts w:ascii="Arial" w:cs="Arial" w:eastAsia="Arial" w:hAnsi="Arial"/>
                <w:sz w:val="16"/>
                <w:szCs w:val="16"/>
                <w:color w:val="auto"/>
              </w:rPr>
              <w:t>Restructuring and conversion costs(3)</w:t>
            </w:r>
          </w:p>
        </w:tc>
        <w:tc>
          <w:tcPr>
            <w:tcW w:w="20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4,519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9,377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8,407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16,648</w:t>
            </w:r>
          </w:p>
        </w:tc>
      </w:tr>
      <w:tr>
        <w:trPr>
          <w:trHeight w:val="273"/>
        </w:trPr>
        <w:tc>
          <w:tcPr>
            <w:tcW w:w="56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Other(4)</w:t>
            </w:r>
          </w:p>
        </w:tc>
        <w:tc>
          <w:tcPr>
            <w:tcW w:w="2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111</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4,770</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317</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10,838</w:t>
            </w:r>
          </w:p>
        </w:tc>
      </w:tr>
      <w:tr>
        <w:trPr>
          <w:trHeight w:val="250"/>
        </w:trPr>
        <w:tc>
          <w:tcPr>
            <w:tcW w:w="562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Total EBITDA Adjustments</w:t>
            </w: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11,416</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20,306</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21,753</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39,115</w:t>
            </w:r>
          </w:p>
        </w:tc>
      </w:tr>
      <w:tr>
        <w:trPr>
          <w:trHeight w:val="240"/>
        </w:trPr>
        <w:tc>
          <w:tcPr>
            <w:tcW w:w="56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Adjusted EBITDA</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135,401</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128,199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270,494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269,676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8890</wp:posOffset>
            </wp:positionV>
            <wp:extent cx="36874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w:t>
      </w:r>
    </w:p>
    <w:p>
      <w:pPr>
        <w:ind w:left="660" w:right="40" w:hanging="328"/>
        <w:spacing w:after="0" w:line="256"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share-based compensation for equity awards granted to employees, officers, and directors. Such awards are measured based on the grant-date fair value and recognized over the requisite service period of the individual awards, which generally equals the vesting period.</w:t>
      </w:r>
    </w:p>
    <w:p>
      <w:pPr>
        <w:spacing w:after="0" w:line="93" w:lineRule="exact"/>
        <w:rPr>
          <w:rFonts w:ascii="Arial" w:cs="Arial" w:eastAsia="Arial" w:hAnsi="Arial"/>
          <w:sz w:val="18"/>
          <w:szCs w:val="18"/>
          <w:color w:val="auto"/>
        </w:rPr>
      </w:pPr>
    </w:p>
    <w:p>
      <w:pPr>
        <w:ind w:left="660" w:right="120" w:hanging="328"/>
        <w:spacing w:after="0" w:line="262"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acquisition and integration costs resulting from various acquisitions, including changes in the estimated fair value of future payments, or contingent consideration, required to be made to former shareholders of certain acquired entities.</w:t>
      </w:r>
    </w:p>
    <w:p>
      <w:pPr>
        <w:spacing w:after="0" w:line="88" w:lineRule="exact"/>
        <w:rPr>
          <w:rFonts w:ascii="Arial" w:cs="Arial" w:eastAsia="Arial" w:hAnsi="Arial"/>
          <w:sz w:val="18"/>
          <w:szCs w:val="18"/>
          <w:color w:val="auto"/>
        </w:rPr>
      </w:pPr>
    </w:p>
    <w:p>
      <w:pPr>
        <w:ind w:left="660" w:right="380" w:hanging="328"/>
        <w:spacing w:after="0" w:line="256"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organizational restructuring charges, conversion, and other related costs primarily resulting from the expansion of our Service Value Commitment initiative. Results for the three and six months ended June 30, 2015 also include charges related to the restructuring of the business of our subsidiary, Fortigent Holdings Company, Inc. (together with its subsidiaries, "Fortigent").</w:t>
      </w:r>
    </w:p>
    <w:p>
      <w:pPr>
        <w:spacing w:after="0" w:line="93" w:lineRule="exact"/>
        <w:rPr>
          <w:rFonts w:ascii="Arial" w:cs="Arial" w:eastAsia="Arial" w:hAnsi="Arial"/>
          <w:sz w:val="18"/>
          <w:szCs w:val="18"/>
          <w:color w:val="auto"/>
        </w:rPr>
      </w:pPr>
    </w:p>
    <w:p>
      <w:pPr>
        <w:ind w:left="660" w:right="180" w:hanging="328"/>
        <w:spacing w:after="0" w:line="254"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Results for the three and six months ended June 30, 2014 include approximately $3.9 million and $9.2 million, respectively, in parallel rent, property tax, fixed asset disposals, and common area maintenance expenses incurred in connection with our relocation to our San Diego office building. Also included in the results for each of the three and six months ended June 30, 2014 are $0.5 million in losses on equity investments.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Earnings and Adjusted Earnings per share</w:t>
      </w:r>
    </w:p>
    <w:p>
      <w:pPr>
        <w:spacing w:after="0" w:line="247" w:lineRule="exact"/>
        <w:rPr>
          <w:sz w:val="20"/>
          <w:szCs w:val="20"/>
          <w:color w:val="auto"/>
        </w:rPr>
      </w:pPr>
    </w:p>
    <w:p>
      <w:pPr>
        <w:ind w:right="340" w:firstLine="486"/>
        <w:spacing w:after="0" w:line="254" w:lineRule="auto"/>
        <w:rPr>
          <w:sz w:val="20"/>
          <w:szCs w:val="20"/>
          <w:color w:val="auto"/>
        </w:rPr>
      </w:pPr>
      <w:r>
        <w:rPr>
          <w:rFonts w:ascii="Arial" w:cs="Arial" w:eastAsia="Arial" w:hAnsi="Arial"/>
          <w:sz w:val="18"/>
          <w:szCs w:val="18"/>
          <w:color w:val="auto"/>
        </w:rPr>
        <w:t>Adjusted Earnings represents net income before: (a) employee share-based compensation expense, (b) amortization of intangible assets, (c) acquisition and integration related expenses, (d) restructuring and conversion costs, (e) debt extinguishment costs, and (f) other. Reconciling items are tax effected using the income tax rates in effect for the applicable period, adjusted for any potentially non-deductible amounts.</w:t>
      </w:r>
    </w:p>
    <w:p>
      <w:pPr>
        <w:spacing w:after="0" w:line="2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Adjusted Earnings per share represents Adjusted Earnings divided by weighted-average outstanding shares on a fully diluted basis.</w:t>
      </w:r>
    </w:p>
    <w:p>
      <w:pPr>
        <w:spacing w:after="0" w:line="225" w:lineRule="exact"/>
        <w:rPr>
          <w:sz w:val="20"/>
          <w:szCs w:val="20"/>
          <w:color w:val="auto"/>
        </w:rPr>
      </w:pPr>
    </w:p>
    <w:p>
      <w:pPr>
        <w:ind w:right="260" w:firstLine="486"/>
        <w:spacing w:after="0" w:line="262" w:lineRule="auto"/>
        <w:rPr>
          <w:sz w:val="20"/>
          <w:szCs w:val="20"/>
          <w:color w:val="auto"/>
        </w:rPr>
      </w:pPr>
      <w:r>
        <w:rPr>
          <w:rFonts w:ascii="Arial" w:cs="Arial" w:eastAsia="Arial" w:hAnsi="Arial"/>
          <w:sz w:val="18"/>
          <w:szCs w:val="18"/>
          <w:color w:val="auto"/>
        </w:rPr>
        <w:t>We prepared Adjusted Earnings and Adjusted Earnings per share to eliminate the effects of items that we do not consider indicative of our core operating performance.</w:t>
      </w:r>
    </w:p>
    <w:p>
      <w:pPr>
        <w:spacing w:after="0" w:line="196" w:lineRule="exact"/>
        <w:rPr>
          <w:sz w:val="20"/>
          <w:szCs w:val="20"/>
          <w:color w:val="auto"/>
        </w:rPr>
      </w:pPr>
    </w:p>
    <w:p>
      <w:pPr>
        <w:jc w:val="both"/>
        <w:ind w:right="560" w:firstLine="486"/>
        <w:spacing w:after="0" w:line="256" w:lineRule="auto"/>
        <w:rPr>
          <w:sz w:val="20"/>
          <w:szCs w:val="20"/>
          <w:color w:val="auto"/>
        </w:rPr>
      </w:pPr>
      <w:r>
        <w:rPr>
          <w:rFonts w:ascii="Arial" w:cs="Arial" w:eastAsia="Arial" w:hAnsi="Arial"/>
          <w:sz w:val="18"/>
          <w:szCs w:val="18"/>
          <w:color w:val="auto"/>
        </w:rPr>
        <w:t>We believe that Adjusted Earnings and Adjusted Earnings per share, viewed in addition to, and not in lieu of, our reported financial results under GAAP, provide useful information to investors regarding our performance and overall results of operations for the following reasons: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90" w:right="239" w:bottom="1440" w:gutter="0" w:footer="0" w:header="0"/>
        </w:sectPr>
      </w:pPr>
    </w:p>
    <w:bookmarkStart w:id="31" w:name="page32"/>
    <w:bookmarkEnd w:id="31"/>
    <w:p>
      <w:pPr>
        <w:ind w:left="520" w:right="120" w:hanging="120"/>
        <w:spacing w:after="0" w:line="256" w:lineRule="auto"/>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because non-cash equity grants made to employees, officers, and directors at a certain price and point in time do not necessarily reflect how our business is performing, the related share-based compensation expense is not a key measure of our current operating performance;</w:t>
      </w:r>
    </w:p>
    <w:p>
      <w:pPr>
        <w:spacing w:after="0" w:line="201" w:lineRule="exact"/>
        <w:rPr>
          <w:rFonts w:ascii="Arial" w:cs="Arial" w:eastAsia="Arial" w:hAnsi="Arial"/>
          <w:sz w:val="18"/>
          <w:szCs w:val="18"/>
          <w:color w:val="auto"/>
        </w:rPr>
      </w:pPr>
    </w:p>
    <w:p>
      <w:pPr>
        <w:ind w:left="520" w:right="220" w:hanging="120"/>
        <w:spacing w:after="0" w:line="256" w:lineRule="auto"/>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because costs associated with acquisitions and related integrations, debt refinancing, and restructuring and conversions can vary from period to period and transaction to transaction, expenses associated with these activities are not considered a key measure of our operating performance; and</w:t>
      </w:r>
    </w:p>
    <w:p>
      <w:pPr>
        <w:spacing w:after="0" w:line="201" w:lineRule="exact"/>
        <w:rPr>
          <w:rFonts w:ascii="Arial" w:cs="Arial" w:eastAsia="Arial" w:hAnsi="Arial"/>
          <w:sz w:val="18"/>
          <w:szCs w:val="18"/>
          <w:color w:val="auto"/>
        </w:rPr>
      </w:pPr>
    </w:p>
    <w:p>
      <w:pPr>
        <w:ind w:left="520" w:right="80" w:hanging="120"/>
        <w:spacing w:after="0" w:line="254" w:lineRule="auto"/>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because amortization expenses can vary substantially from company to company and from period to period depending upon each company’s financing and accounting methods, the fair value and average expected life of acquired intangible assets and the method by which assets were acquired, the amortization of intangible assets obtained in acquisitions is not considered a key measure in comparing our operating performance.</w:t>
      </w:r>
    </w:p>
    <w:p>
      <w:pPr>
        <w:spacing w:after="0" w:line="204"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We use Adjusted Earnings for internal management reporting and evaluation purposes. We also believe Adjusted Earnings and Adjusted Earnings per share are useful to investors in evaluating our operating performance because securities analysts use them as supplemental measures to evaluate the overall performance of companies, and our investor and analyst presentations, which are generally available to investors through our website, include references to Adjusted Earnings and Adjusted Earnings per share.</w:t>
      </w:r>
    </w:p>
    <w:p>
      <w:pPr>
        <w:spacing w:after="0" w:line="204" w:lineRule="exact"/>
        <w:rPr>
          <w:sz w:val="20"/>
          <w:szCs w:val="20"/>
          <w:color w:val="auto"/>
        </w:rPr>
      </w:pPr>
    </w:p>
    <w:p>
      <w:pPr>
        <w:ind w:right="240" w:firstLine="486"/>
        <w:spacing w:after="0" w:line="256" w:lineRule="auto"/>
        <w:rPr>
          <w:sz w:val="20"/>
          <w:szCs w:val="20"/>
          <w:color w:val="auto"/>
        </w:rPr>
      </w:pPr>
      <w:r>
        <w:rPr>
          <w:rFonts w:ascii="Arial" w:cs="Arial" w:eastAsia="Arial" w:hAnsi="Arial"/>
          <w:sz w:val="18"/>
          <w:szCs w:val="18"/>
          <w:color w:val="auto"/>
        </w:rPr>
        <w:t>Adjusted Earnings and Adjusted Earnings per share are not measures of our financial performance under GAAP and should not be considered as an alternative to net income or earnings per share or any other performance measure derived in accordance with GAAP, or as an alternative to cash flows from operating activities as a measure of our profitability or liquidity.</w:t>
      </w:r>
    </w:p>
    <w:p>
      <w:pPr>
        <w:spacing w:after="0" w:line="202" w:lineRule="exact"/>
        <w:rPr>
          <w:sz w:val="20"/>
          <w:szCs w:val="20"/>
          <w:color w:val="auto"/>
        </w:rPr>
      </w:pPr>
    </w:p>
    <w:p>
      <w:pPr>
        <w:ind w:right="120" w:firstLine="486"/>
        <w:spacing w:after="0" w:line="256" w:lineRule="auto"/>
        <w:rPr>
          <w:sz w:val="20"/>
          <w:szCs w:val="20"/>
          <w:color w:val="auto"/>
        </w:rPr>
      </w:pPr>
      <w:r>
        <w:rPr>
          <w:rFonts w:ascii="Arial" w:cs="Arial" w:eastAsia="Arial" w:hAnsi="Arial"/>
          <w:sz w:val="18"/>
          <w:szCs w:val="18"/>
          <w:color w:val="auto"/>
        </w:rPr>
        <w:t>Although Adjusted Earnings and Adjusted Earnings per share are frequently used by securities analysts and others in their evaluation of companies, they have limitations as analytical tools, and you should not consider Adjusted Earnings and Adjusted Earnings per share in isolation, or as substitutes for an analysis of our results as reported under GAAP. In particular you should consider:</w:t>
      </w:r>
    </w:p>
    <w:p>
      <w:pPr>
        <w:spacing w:after="0" w:line="202" w:lineRule="exact"/>
        <w:rPr>
          <w:sz w:val="20"/>
          <w:szCs w:val="20"/>
          <w:color w:val="auto"/>
        </w:rPr>
      </w:pPr>
    </w:p>
    <w:p>
      <w:pPr>
        <w:ind w:left="520" w:right="80" w:hanging="120"/>
        <w:spacing w:after="0" w:line="262" w:lineRule="auto"/>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Adjusted Earnings and Adjusted Earnings per share do not reflect our cash expenditures, or future requirements for capital expenditures or contractual commitments;</w:t>
      </w:r>
    </w:p>
    <w:p>
      <w:pPr>
        <w:spacing w:after="0" w:line="196" w:lineRule="exact"/>
        <w:rPr>
          <w:rFonts w:ascii="Arial" w:cs="Arial" w:eastAsia="Arial" w:hAnsi="Arial"/>
          <w:sz w:val="18"/>
          <w:szCs w:val="18"/>
          <w:color w:val="auto"/>
        </w:rPr>
      </w:pPr>
    </w:p>
    <w:p>
      <w:pPr>
        <w:ind w:left="520" w:hanging="120"/>
        <w:spacing w:after="0"/>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Adjusted Earnings and Adjusted Earnings per share do not reflect changes in, or cash requirements for, our working capital needs; and</w:t>
      </w:r>
    </w:p>
    <w:p>
      <w:pPr>
        <w:spacing w:after="0" w:line="225" w:lineRule="exact"/>
        <w:rPr>
          <w:rFonts w:ascii="Arial" w:cs="Arial" w:eastAsia="Arial" w:hAnsi="Arial"/>
          <w:sz w:val="18"/>
          <w:szCs w:val="18"/>
          <w:color w:val="auto"/>
        </w:rPr>
      </w:pPr>
    </w:p>
    <w:p>
      <w:pPr>
        <w:ind w:left="520" w:right="240" w:hanging="120"/>
        <w:spacing w:after="0" w:line="262" w:lineRule="auto"/>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 companies in our industry may calculate Adjusted Earnings and Adjusted Earnings per share differently than we do, limiting their usefulness as comparative measures.</w:t>
      </w:r>
    </w:p>
    <w:p>
      <w:pPr>
        <w:spacing w:after="0" w:line="196" w:lineRule="exact"/>
        <w:rPr>
          <w:sz w:val="20"/>
          <w:szCs w:val="20"/>
          <w:color w:val="auto"/>
        </w:rPr>
      </w:pPr>
    </w:p>
    <w:p>
      <w:pPr>
        <w:jc w:val="both"/>
        <w:ind w:right="40" w:firstLine="486"/>
        <w:spacing w:after="0" w:line="256" w:lineRule="auto"/>
        <w:rPr>
          <w:sz w:val="20"/>
          <w:szCs w:val="20"/>
          <w:color w:val="auto"/>
        </w:rPr>
      </w:pPr>
      <w:r>
        <w:rPr>
          <w:rFonts w:ascii="Arial" w:cs="Arial" w:eastAsia="Arial" w:hAnsi="Arial"/>
          <w:sz w:val="18"/>
          <w:szCs w:val="18"/>
          <w:color w:val="auto"/>
        </w:rPr>
        <w:t>Management compensates for the inherent limitations associated with using Adjusted Earnings and Adjusted Earnings per share through disclosure of such limitations, presentation of our financial statements in accordance with GAAP, and reconciliation of Adjusted Earnings to the most directly comparable GAAP measure, net income.</w:t>
      </w:r>
    </w:p>
    <w:p>
      <w:pPr>
        <w:spacing w:after="0" w:line="202" w:lineRule="exact"/>
        <w:rPr>
          <w:sz w:val="20"/>
          <w:szCs w:val="20"/>
          <w:color w:val="auto"/>
        </w:rPr>
      </w:pPr>
    </w:p>
    <w:p>
      <w:pPr>
        <w:ind w:right="320" w:firstLine="486"/>
        <w:spacing w:after="0" w:line="262" w:lineRule="auto"/>
        <w:rPr>
          <w:sz w:val="20"/>
          <w:szCs w:val="20"/>
          <w:color w:val="auto"/>
        </w:rPr>
      </w:pPr>
      <w:r>
        <w:rPr>
          <w:rFonts w:ascii="Arial" w:cs="Arial" w:eastAsia="Arial" w:hAnsi="Arial"/>
          <w:sz w:val="18"/>
          <w:szCs w:val="18"/>
          <w:color w:val="auto"/>
        </w:rPr>
        <w:t>The following table sets forth a reconciliation of net income to the non-GAAP measures Adjusted Earnings and Adjusted Earnings per share for the three and six months ended June 30, 2015 and 2014 (in thousands, except per share data):</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760" w:type="dxa"/>
            <w:vAlign w:val="bottom"/>
            <w:gridSpan w:val="5"/>
          </w:tcPr>
          <w:p>
            <w:pPr>
              <w:ind w:left="80"/>
              <w:spacing w:after="0"/>
              <w:rPr>
                <w:sz w:val="20"/>
                <w:szCs w:val="20"/>
                <w:color w:val="auto"/>
              </w:rPr>
            </w:pPr>
            <w:r>
              <w:rPr>
                <w:rFonts w:ascii="Arial" w:cs="Arial" w:eastAsia="Arial" w:hAnsi="Arial"/>
                <w:sz w:val="16"/>
                <w:szCs w:val="16"/>
                <w:b w:val="1"/>
                <w:bCs w:val="1"/>
                <w:color w:val="auto"/>
              </w:rPr>
              <w:t>Three Months Ended June 30,</w:t>
            </w:r>
          </w:p>
        </w:tc>
        <w:tc>
          <w:tcPr>
            <w:tcW w:w="260" w:type="dxa"/>
            <w:vAlign w:val="bottom"/>
          </w:tcPr>
          <w:p>
            <w:pPr>
              <w:spacing w:after="0"/>
              <w:rPr>
                <w:sz w:val="19"/>
                <w:szCs w:val="19"/>
                <w:color w:val="auto"/>
              </w:rPr>
            </w:pPr>
          </w:p>
        </w:tc>
        <w:tc>
          <w:tcPr>
            <w:tcW w:w="2580" w:type="dxa"/>
            <w:vAlign w:val="bottom"/>
            <w:gridSpan w:val="4"/>
          </w:tcPr>
          <w:p>
            <w:pPr>
              <w:jc w:val="right"/>
              <w:ind w:right="279"/>
              <w:spacing w:after="0"/>
              <w:rPr>
                <w:sz w:val="20"/>
                <w:szCs w:val="20"/>
                <w:color w:val="auto"/>
              </w:rPr>
            </w:pPr>
            <w:r>
              <w:rPr>
                <w:rFonts w:ascii="Arial" w:cs="Arial" w:eastAsia="Arial" w:hAnsi="Arial"/>
                <w:sz w:val="16"/>
                <w:szCs w:val="16"/>
                <w:b w:val="1"/>
                <w:bCs w:val="1"/>
                <w:color w:val="auto"/>
              </w:rPr>
              <w:t>Six Months Ended June 30,</w:t>
            </w:r>
          </w:p>
        </w:tc>
      </w:tr>
      <w:tr>
        <w:trPr>
          <w:trHeight w:val="264"/>
        </w:trPr>
        <w:tc>
          <w:tcPr>
            <w:tcW w:w="56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2014</w:t>
            </w:r>
          </w:p>
        </w:tc>
      </w:tr>
      <w:tr>
        <w:trPr>
          <w:trHeight w:val="257"/>
        </w:trPr>
        <w:tc>
          <w:tcPr>
            <w:tcW w:w="5620" w:type="dxa"/>
            <w:vAlign w:val="bottom"/>
            <w:shd w:val="clear" w:color="auto" w:fill="CCEEFF"/>
          </w:tcPr>
          <w:p>
            <w:pPr>
              <w:ind w:left="80"/>
              <w:spacing w:after="0"/>
              <w:rPr>
                <w:sz w:val="20"/>
                <w:szCs w:val="20"/>
                <w:color w:val="auto"/>
              </w:rPr>
            </w:pPr>
            <w:r>
              <w:rPr>
                <w:rFonts w:ascii="Arial" w:cs="Arial" w:eastAsia="Arial" w:hAnsi="Arial"/>
                <w:sz w:val="16"/>
                <w:szCs w:val="16"/>
                <w:color w:val="auto"/>
              </w:rPr>
              <w:t>Net income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50,242</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43,091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100,920</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96,226</w:t>
            </w:r>
          </w:p>
        </w:tc>
      </w:tr>
      <w:tr>
        <w:trPr>
          <w:trHeight w:val="260"/>
        </w:trPr>
        <w:tc>
          <w:tcPr>
            <w:tcW w:w="5620" w:type="dxa"/>
            <w:vAlign w:val="bottom"/>
          </w:tcPr>
          <w:p>
            <w:pPr>
              <w:ind w:left="80"/>
              <w:spacing w:after="0"/>
              <w:rPr>
                <w:sz w:val="20"/>
                <w:szCs w:val="20"/>
                <w:color w:val="auto"/>
              </w:rPr>
            </w:pPr>
            <w:r>
              <w:rPr>
                <w:rFonts w:ascii="Arial" w:cs="Arial" w:eastAsia="Arial" w:hAnsi="Arial"/>
                <w:sz w:val="16"/>
                <w:szCs w:val="16"/>
                <w:color w:val="auto"/>
              </w:rPr>
              <w:t>After-Tax:</w:t>
            </w: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8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EBITDA Adjustments</w:t>
            </w: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60"/>
        </w:trPr>
        <w:tc>
          <w:tcPr>
            <w:tcW w:w="5620" w:type="dxa"/>
            <w:vAlign w:val="bottom"/>
          </w:tcPr>
          <w:p>
            <w:pPr>
              <w:ind w:left="260"/>
              <w:spacing w:after="0"/>
              <w:rPr>
                <w:sz w:val="20"/>
                <w:szCs w:val="20"/>
                <w:color w:val="auto"/>
              </w:rPr>
            </w:pPr>
            <w:r>
              <w:rPr>
                <w:rFonts w:ascii="Arial" w:cs="Arial" w:eastAsia="Arial" w:hAnsi="Arial"/>
                <w:sz w:val="16"/>
                <w:szCs w:val="16"/>
                <w:color w:val="auto"/>
              </w:rPr>
              <w:t>Employee share-based compensation expense(1)</w:t>
            </w:r>
          </w:p>
        </w:tc>
        <w:tc>
          <w:tcPr>
            <w:tcW w:w="20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4,309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3,594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8,328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7,112</w:t>
            </w:r>
          </w:p>
        </w:tc>
      </w:tr>
      <w:tr>
        <w:trPr>
          <w:trHeight w:val="280"/>
        </w:trPr>
        <w:tc>
          <w:tcPr>
            <w:tcW w:w="56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Acquisition and integration related expenses</w:t>
            </w: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450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670</w:t>
            </w:r>
          </w:p>
        </w:tc>
      </w:tr>
      <w:tr>
        <w:trPr>
          <w:trHeight w:val="260"/>
        </w:trPr>
        <w:tc>
          <w:tcPr>
            <w:tcW w:w="5620" w:type="dxa"/>
            <w:vAlign w:val="bottom"/>
          </w:tcPr>
          <w:p>
            <w:pPr>
              <w:ind w:left="260"/>
              <w:spacing w:after="0"/>
              <w:rPr>
                <w:sz w:val="20"/>
                <w:szCs w:val="20"/>
                <w:color w:val="auto"/>
              </w:rPr>
            </w:pPr>
            <w:r>
              <w:rPr>
                <w:rFonts w:ascii="Arial" w:cs="Arial" w:eastAsia="Arial" w:hAnsi="Arial"/>
                <w:sz w:val="16"/>
                <w:szCs w:val="16"/>
                <w:color w:val="auto"/>
              </w:rPr>
              <w:t>Restructuring and conversion costs</w:t>
            </w:r>
          </w:p>
        </w:tc>
        <w:tc>
          <w:tcPr>
            <w:tcW w:w="20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2,775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5,758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5,162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10,222</w:t>
            </w:r>
          </w:p>
        </w:tc>
      </w:tr>
      <w:tr>
        <w:trPr>
          <w:trHeight w:val="273"/>
        </w:trPr>
        <w:tc>
          <w:tcPr>
            <w:tcW w:w="56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68</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2,929</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195</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6,655</w:t>
            </w:r>
          </w:p>
        </w:tc>
      </w:tr>
      <w:tr>
        <w:trPr>
          <w:trHeight w:val="250"/>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EBITDA Adjustments</w:t>
            </w: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7,141</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12,731</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13,726</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24,659</w:t>
            </w:r>
          </w:p>
        </w:tc>
      </w:tr>
      <w:tr>
        <w:trPr>
          <w:trHeight w:val="25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Amortization of intangible assets</w:t>
            </w:r>
          </w:p>
        </w:tc>
        <w:tc>
          <w:tcPr>
            <w:tcW w:w="2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5,855</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5,953</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11,772</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11,919</w:t>
            </w:r>
          </w:p>
        </w:tc>
      </w:tr>
      <w:tr>
        <w:trPr>
          <w:trHeight w:val="280"/>
        </w:trPr>
        <w:tc>
          <w:tcPr>
            <w:tcW w:w="562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Adjusted Earnings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63,238</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61,775</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126,418</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132,804</w:t>
            </w:r>
          </w:p>
        </w:tc>
      </w:tr>
      <w:tr>
        <w:trPr>
          <w:trHeight w:val="224"/>
        </w:trPr>
        <w:tc>
          <w:tcPr>
            <w:tcW w:w="56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Adjusted Earnings per share(2)</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0.65</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0.61</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1.29</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1.29</w:t>
            </w:r>
          </w:p>
        </w:tc>
      </w:tr>
      <w:tr>
        <w:trPr>
          <w:trHeight w:val="20"/>
        </w:trPr>
        <w:tc>
          <w:tcPr>
            <w:tcW w:w="5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1"/>
        </w:trPr>
        <w:tc>
          <w:tcPr>
            <w:tcW w:w="5620" w:type="dxa"/>
            <w:vAlign w:val="bottom"/>
          </w:tcPr>
          <w:p>
            <w:pPr>
              <w:ind w:left="80"/>
              <w:spacing w:after="0"/>
              <w:rPr>
                <w:sz w:val="20"/>
                <w:szCs w:val="20"/>
                <w:color w:val="auto"/>
              </w:rPr>
            </w:pPr>
            <w:r>
              <w:rPr>
                <w:rFonts w:ascii="Arial" w:cs="Arial" w:eastAsia="Arial" w:hAnsi="Arial"/>
                <w:sz w:val="16"/>
                <w:szCs w:val="16"/>
                <w:color w:val="auto"/>
              </w:rPr>
              <w:t>Weighted-average shares outstanding — diluted</w:t>
            </w:r>
          </w:p>
        </w:tc>
        <w:tc>
          <w:tcPr>
            <w:tcW w:w="200" w:type="dxa"/>
            <w:vAlign w:val="bottom"/>
          </w:tcPr>
          <w:p>
            <w:pPr>
              <w:spacing w:after="0"/>
              <w:rPr>
                <w:sz w:val="19"/>
                <w:szCs w:val="19"/>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97,239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102,029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97,715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102,672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3810</wp:posOffset>
            </wp:positionV>
            <wp:extent cx="368744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87445" cy="26035"/>
                    </a:xfrm>
                    <a:prstGeom prst="rect">
                      <a:avLst/>
                    </a:prstGeom>
                    <a:noFill/>
                  </pic:spPr>
                </pic:pic>
              </a:graphicData>
            </a:graphic>
          </wp:anchor>
        </w:drawing>
      </w:r>
    </w:p>
    <w:p>
      <w:pPr>
        <w:spacing w:after="0" w:line="23"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w:t>
      </w:r>
    </w:p>
    <w:p>
      <w:pPr>
        <w:sectPr>
          <w:pgSz w:w="11900" w:h="16838" w:orient="portrait"/>
          <w:cols w:equalWidth="0" w:num="1">
            <w:col w:w="11420"/>
          </w:cols>
          <w:pgMar w:left="240" w:top="490" w:right="239" w:bottom="1440" w:gutter="0" w:footer="0" w:header="0"/>
        </w:sect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420"/>
          </w:cols>
          <w:pgMar w:left="240" w:top="490" w:right="239" w:bottom="1440" w:gutter="0" w:footer="0" w:header="0"/>
          <w:type w:val="continuous"/>
        </w:sectPr>
      </w:pPr>
    </w:p>
    <w:bookmarkStart w:id="32" w:name="page33"/>
    <w:bookmarkEnd w:id="32"/>
    <w:p>
      <w:pPr>
        <w:ind w:left="660" w:right="380" w:hanging="328"/>
        <w:spacing w:after="0" w:line="25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Generally, EBITDA Adjustments and amortization of intangible assets have been tax effected using a federal rate of 35.0% and the applicable effective state rate, which was 3.6%, net of the federal tax benefit, for the periods ended June 30, 2015 and 2014, respectively, except for the impact of incentive stock options granted to employees that qualify for preferential tax treatment and conversely for which we do not receive a tax deduction.</w:t>
      </w:r>
    </w:p>
    <w:p>
      <w:pPr>
        <w:spacing w:after="0" w:line="96" w:lineRule="exact"/>
        <w:rPr>
          <w:rFonts w:ascii="Arial" w:cs="Arial" w:eastAsia="Arial" w:hAnsi="Arial"/>
          <w:sz w:val="18"/>
          <w:szCs w:val="18"/>
          <w:color w:val="auto"/>
        </w:rPr>
      </w:pPr>
    </w:p>
    <w:p>
      <w:pPr>
        <w:ind w:left="660" w:right="300" w:hanging="328"/>
        <w:spacing w:after="0" w:line="256"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Adjusted Earnings, a non-GAAP measure, divided by weighted-average number of shares outstanding on a fully diluted basis. Set forth below is a reconciliation of earnings per share on a fully diluted basis, as calculated in accordance with GAAP, to Adjusted Earnings per share:</w:t>
      </w:r>
    </w:p>
    <w:p>
      <w:pPr>
        <w:spacing w:after="0" w:line="212" w:lineRule="exact"/>
        <w:rPr>
          <w:sz w:val="20"/>
          <w:szCs w:val="20"/>
          <w:color w:val="auto"/>
        </w:rPr>
      </w:pPr>
    </w:p>
    <w:tbl>
      <w:tblPr>
        <w:tblLayout w:type="fixed"/>
        <w:tblInd w:w="660" w:type="dxa"/>
        <w:tblCellMar>
          <w:top w:w="0" w:type="dxa"/>
          <w:left w:w="0" w:type="dxa"/>
          <w:bottom w:w="0" w:type="dxa"/>
          <w:right w:w="0" w:type="dxa"/>
        </w:tblCellMar>
      </w:tblPr>
      <w:tr>
        <w:trPr>
          <w:trHeight w:val="228"/>
        </w:trPr>
        <w:tc>
          <w:tcPr>
            <w:tcW w:w="4420" w:type="dxa"/>
            <w:vAlign w:val="bottom"/>
          </w:tcPr>
          <w:p>
            <w:pPr>
              <w:spacing w:after="0"/>
              <w:rPr>
                <w:sz w:val="19"/>
                <w:szCs w:val="19"/>
                <w:color w:val="auto"/>
              </w:rPr>
            </w:pPr>
          </w:p>
        </w:tc>
        <w:tc>
          <w:tcPr>
            <w:tcW w:w="2840" w:type="dxa"/>
            <w:vAlign w:val="bottom"/>
            <w:gridSpan w:val="6"/>
          </w:tcPr>
          <w:p>
            <w:pPr>
              <w:ind w:left="240"/>
              <w:spacing w:after="0"/>
              <w:rPr>
                <w:sz w:val="20"/>
                <w:szCs w:val="20"/>
                <w:color w:val="auto"/>
              </w:rPr>
            </w:pPr>
            <w:r>
              <w:rPr>
                <w:rFonts w:ascii="Arial" w:cs="Arial" w:eastAsia="Arial" w:hAnsi="Arial"/>
                <w:sz w:val="16"/>
                <w:szCs w:val="16"/>
                <w:b w:val="1"/>
                <w:bCs w:val="1"/>
                <w:color w:val="auto"/>
              </w:rPr>
              <w:t>Three Months Ended June 30,</w:t>
            </w:r>
          </w:p>
        </w:tc>
        <w:tc>
          <w:tcPr>
            <w:tcW w:w="220" w:type="dxa"/>
            <w:vAlign w:val="bottom"/>
          </w:tcPr>
          <w:p>
            <w:pPr>
              <w:spacing w:after="0"/>
              <w:rPr>
                <w:sz w:val="19"/>
                <w:szCs w:val="19"/>
                <w:color w:val="auto"/>
              </w:rPr>
            </w:pPr>
          </w:p>
        </w:tc>
        <w:tc>
          <w:tcPr>
            <w:tcW w:w="2520" w:type="dxa"/>
            <w:vAlign w:val="bottom"/>
            <w:gridSpan w:val="4"/>
          </w:tcPr>
          <w:p>
            <w:pPr>
              <w:jc w:val="right"/>
              <w:ind w:right="239"/>
              <w:spacing w:after="0"/>
              <w:rPr>
                <w:sz w:val="20"/>
                <w:szCs w:val="20"/>
                <w:color w:val="auto"/>
              </w:rPr>
            </w:pPr>
            <w:r>
              <w:rPr>
                <w:rFonts w:ascii="Arial" w:cs="Arial" w:eastAsia="Arial" w:hAnsi="Arial"/>
                <w:sz w:val="16"/>
                <w:szCs w:val="16"/>
                <w:b w:val="1"/>
                <w:bCs w:val="1"/>
                <w:color w:val="auto"/>
              </w:rPr>
              <w:t>Six Months Ended June 30,</w:t>
            </w:r>
          </w:p>
        </w:tc>
      </w:tr>
      <w:tr>
        <w:trPr>
          <w:trHeight w:val="264"/>
        </w:trPr>
        <w:tc>
          <w:tcPr>
            <w:tcW w:w="4420" w:type="dxa"/>
            <w:vAlign w:val="bottom"/>
            <w:tcBorders>
              <w:bottom w:val="single" w:sz="8" w:color="CCEEFF"/>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2015</w:t>
            </w:r>
          </w:p>
        </w:tc>
        <w:tc>
          <w:tcPr>
            <w:tcW w:w="44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2014</w:t>
            </w:r>
          </w:p>
        </w:tc>
      </w:tr>
      <w:tr>
        <w:trPr>
          <w:trHeight w:val="257"/>
        </w:trPr>
        <w:tc>
          <w:tcPr>
            <w:tcW w:w="4420" w:type="dxa"/>
            <w:vAlign w:val="bottom"/>
            <w:shd w:val="clear" w:color="auto" w:fill="CCEEFF"/>
          </w:tcPr>
          <w:p>
            <w:pPr>
              <w:ind w:left="80"/>
              <w:spacing w:after="0"/>
              <w:rPr>
                <w:sz w:val="20"/>
                <w:szCs w:val="20"/>
                <w:color w:val="auto"/>
              </w:rPr>
            </w:pPr>
            <w:r>
              <w:rPr>
                <w:rFonts w:ascii="Arial" w:cs="Arial" w:eastAsia="Arial" w:hAnsi="Arial"/>
                <w:sz w:val="16"/>
                <w:szCs w:val="16"/>
                <w:color w:val="auto"/>
              </w:rPr>
              <w:t>Earnings per share — diluted</w:t>
            </w:r>
          </w:p>
        </w:tc>
        <w:tc>
          <w:tcPr>
            <w:tcW w:w="88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0.52</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0.42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0.94</w:t>
            </w:r>
          </w:p>
        </w:tc>
      </w:tr>
      <w:tr>
        <w:trPr>
          <w:trHeight w:val="260"/>
        </w:trPr>
        <w:tc>
          <w:tcPr>
            <w:tcW w:w="4420" w:type="dxa"/>
            <w:vAlign w:val="bottom"/>
          </w:tcPr>
          <w:p>
            <w:pPr>
              <w:ind w:left="20"/>
              <w:spacing w:after="0"/>
              <w:rPr>
                <w:sz w:val="20"/>
                <w:szCs w:val="20"/>
                <w:color w:val="auto"/>
              </w:rPr>
            </w:pPr>
            <w:r>
              <w:rPr>
                <w:rFonts w:ascii="Arial" w:cs="Arial" w:eastAsia="Arial" w:hAnsi="Arial"/>
                <w:sz w:val="16"/>
                <w:szCs w:val="16"/>
                <w:color w:val="auto"/>
              </w:rPr>
              <w:t>After-Tax:</w:t>
            </w:r>
          </w:p>
        </w:tc>
        <w:tc>
          <w:tcPr>
            <w:tcW w:w="8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80"/>
        </w:trPr>
        <w:tc>
          <w:tcPr>
            <w:tcW w:w="44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EBITDA Adjustments per share</w:t>
            </w:r>
          </w:p>
        </w:tc>
        <w:tc>
          <w:tcPr>
            <w:tcW w:w="88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0.07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0.13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0.14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0.24</w:t>
            </w:r>
          </w:p>
        </w:tc>
      </w:tr>
      <w:tr>
        <w:trPr>
          <w:trHeight w:val="264"/>
        </w:trPr>
        <w:tc>
          <w:tcPr>
            <w:tcW w:w="442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Amortization of intangible assets per share</w:t>
            </w:r>
          </w:p>
        </w:tc>
        <w:tc>
          <w:tcPr>
            <w:tcW w:w="88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0.06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0.06</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0.12</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0.11</w:t>
            </w:r>
          </w:p>
        </w:tc>
      </w:tr>
      <w:tr>
        <w:trPr>
          <w:trHeight w:val="240"/>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Earnings per share</w:t>
            </w:r>
          </w:p>
        </w:tc>
        <w:tc>
          <w:tcPr>
            <w:tcW w:w="88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0.65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0.61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1.29</w:t>
            </w:r>
          </w:p>
        </w:tc>
      </w:tr>
      <w:tr>
        <w:trPr>
          <w:trHeight w:val="20"/>
        </w:trPr>
        <w:tc>
          <w:tcPr>
            <w:tcW w:w="44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247" w:lineRule="exact"/>
        <w:rPr>
          <w:sz w:val="20"/>
          <w:szCs w:val="20"/>
          <w:color w:val="auto"/>
        </w:rPr>
      </w:pPr>
    </w:p>
    <w:p>
      <w:pPr>
        <w:ind w:right="80" w:firstLine="486"/>
        <w:spacing w:after="0" w:line="251" w:lineRule="auto"/>
        <w:rPr>
          <w:sz w:val="20"/>
          <w:szCs w:val="20"/>
          <w:color w:val="auto"/>
        </w:rPr>
      </w:pPr>
      <w:r>
        <w:rPr>
          <w:rFonts w:ascii="Arial" w:cs="Arial" w:eastAsia="Arial" w:hAnsi="Arial"/>
          <w:sz w:val="18"/>
          <w:szCs w:val="18"/>
          <w:color w:val="auto"/>
        </w:rPr>
        <w:t>As a regulated entity, we are subject to regulatory oversight and inquiries related to, among other items, our compliance and supervisory systems and procedures and other controls, as well as our disclosures, supervision and reporting. The ongoing environment of additional regulation, increased regulatory compliance obligations, and enhanced regulatory enforcement has resulted in additional operational and compliance costs, as well as increased costs in the form of fines, restitution, and remediation related to regulatory matters. In the ordinary course of business, we periodically identify or become aware of purported inadequacies, deficiencies, and other issues. It is our policy to evaluate these matters for potential securities law or regulatory violations, and other potential compliance issues. It is also our policy to self-report known violations and issues as required by applicable law and regulation. When deemed probable that matters may result in financial losses, the we accrue for those losses based on an estimate of possible fines, customer restitution, and losses related to the repurchase of sold securities and other losses, as applicable. Our ability to estimate such costs may vary based on the current stage of evaluation and status of discussion with regulators, as applicable.</w:t>
      </w:r>
    </w:p>
    <w:p>
      <w:pPr>
        <w:spacing w:after="0" w:line="212" w:lineRule="exact"/>
        <w:rPr>
          <w:sz w:val="20"/>
          <w:szCs w:val="20"/>
          <w:color w:val="auto"/>
        </w:rPr>
      </w:pPr>
    </w:p>
    <w:p>
      <w:pPr>
        <w:ind w:right="240" w:firstLine="486"/>
        <w:spacing w:after="0" w:line="253" w:lineRule="auto"/>
        <w:rPr>
          <w:sz w:val="20"/>
          <w:szCs w:val="20"/>
          <w:color w:val="auto"/>
        </w:rPr>
      </w:pPr>
      <w:r>
        <w:rPr>
          <w:rFonts w:ascii="Arial" w:cs="Arial" w:eastAsia="Arial" w:hAnsi="Arial"/>
          <w:sz w:val="18"/>
          <w:szCs w:val="18"/>
          <w:color w:val="auto"/>
        </w:rPr>
        <w:t>Our accruals at June 30, 2015 include estimated costs for significant regulatory matters, generally relating to the adequacy of our compliance and supervisory systems and procedures and other controls, for which we believe losses are both probable and reasonably estimable. One of the matters relates to sales of certain securities over several years, and our accrual at June 30, 2015 includes an estimate for the loss we expect to incur in resolving this matter including if we were to repurchase certain affected securities at their original sales prices.</w:t>
      </w:r>
    </w:p>
    <w:p>
      <w:pPr>
        <w:spacing w:after="0" w:line="206" w:lineRule="exact"/>
        <w:rPr>
          <w:sz w:val="20"/>
          <w:szCs w:val="20"/>
          <w:color w:val="auto"/>
        </w:rPr>
      </w:pPr>
    </w:p>
    <w:p>
      <w:pPr>
        <w:ind w:right="240" w:firstLine="486"/>
        <w:spacing w:after="0" w:line="256" w:lineRule="auto"/>
        <w:rPr>
          <w:sz w:val="20"/>
          <w:szCs w:val="20"/>
          <w:color w:val="auto"/>
        </w:rPr>
      </w:pPr>
      <w:r>
        <w:rPr>
          <w:rFonts w:ascii="Arial" w:cs="Arial" w:eastAsia="Arial" w:hAnsi="Arial"/>
          <w:sz w:val="18"/>
          <w:szCs w:val="18"/>
          <w:color w:val="auto"/>
        </w:rPr>
        <w:t xml:space="preserve">The outcome of regulatory matters could result in legal liability, regulatory fines, or monetary penalties in excess of our accruals, which could have a material adverse effect on our business, results of operations, cash flows, or financial condition. For more information on management’s loss contingency policies, see Note 9.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to the condensed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Service Value Commitment Initiative</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Program</w:t>
      </w:r>
    </w:p>
    <w:p>
      <w:pPr>
        <w:spacing w:after="0" w:line="243" w:lineRule="exact"/>
        <w:rPr>
          <w:sz w:val="20"/>
          <w:szCs w:val="20"/>
          <w:color w:val="auto"/>
        </w:rPr>
      </w:pPr>
    </w:p>
    <w:p>
      <w:pPr>
        <w:ind w:right="340" w:firstLine="486"/>
        <w:spacing w:after="0" w:line="254" w:lineRule="auto"/>
        <w:rPr>
          <w:sz w:val="20"/>
          <w:szCs w:val="20"/>
          <w:color w:val="auto"/>
        </w:rPr>
      </w:pPr>
      <w:r>
        <w:rPr>
          <w:rFonts w:ascii="Arial" w:cs="Arial" w:eastAsia="Arial" w:hAnsi="Arial"/>
          <w:sz w:val="18"/>
          <w:szCs w:val="18"/>
          <w:color w:val="auto"/>
        </w:rPr>
        <w:t>Our Service Value Commitment initiative (the “Program”) is a multi-year effort to position us for sustainable long-term growth by improving the service experience of our advisors and delivering efficiencies in our operating model. We have assessed our information technology delivery, governance, organization and strategy, and committed to undertake a course of action to reposition our labor force and invest in technology, human capital, marketing, and other key areas to enable future growth.</w:t>
      </w:r>
    </w:p>
    <w:p>
      <w:pPr>
        <w:spacing w:after="0" w:line="204" w:lineRule="exact"/>
        <w:rPr>
          <w:sz w:val="20"/>
          <w:szCs w:val="20"/>
          <w:color w:val="auto"/>
        </w:rPr>
      </w:pPr>
    </w:p>
    <w:p>
      <w:pPr>
        <w:ind w:right="220" w:firstLine="486"/>
        <w:spacing w:after="0" w:line="253" w:lineRule="auto"/>
        <w:rPr>
          <w:sz w:val="20"/>
          <w:szCs w:val="20"/>
          <w:color w:val="auto"/>
        </w:rPr>
      </w:pPr>
      <w:r>
        <w:rPr>
          <w:rFonts w:ascii="Arial" w:cs="Arial" w:eastAsia="Arial" w:hAnsi="Arial"/>
          <w:sz w:val="18"/>
          <w:szCs w:val="18"/>
          <w:color w:val="auto"/>
        </w:rPr>
        <w:t xml:space="preserve">As of June 30, 2015, we have incurred $64.6 million of costs related to outsourcing and other related costs, technology transformation costs, employee severance obligations, and other related costs, as well as non-cash charges for impairment of certain fixed assets related to internally developed software. The Program is expected to be completed in 2015, and we estimate total charges to be approximately $68.0 million. See Note 3. </w:t>
      </w:r>
      <w:r>
        <w:rPr>
          <w:rFonts w:ascii="Arial" w:cs="Arial" w:eastAsia="Arial" w:hAnsi="Arial"/>
          <w:sz w:val="18"/>
          <w:szCs w:val="18"/>
          <w:i w:val="1"/>
          <w:iCs w:val="1"/>
          <w:color w:val="auto"/>
        </w:rPr>
        <w:t>Restructuring</w:t>
      </w:r>
      <w:r>
        <w:rPr>
          <w:rFonts w:ascii="Arial" w:cs="Arial" w:eastAsia="Arial" w:hAnsi="Arial"/>
          <w:sz w:val="18"/>
          <w:szCs w:val="18"/>
          <w:color w:val="auto"/>
        </w:rPr>
        <w:t>, within the notes to unaudited condensed consolidated financial statements for additional information regarding the Program.</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Financial Instruments</w:t>
      </w:r>
    </w:p>
    <w:p>
      <w:pPr>
        <w:spacing w:after="0" w:line="243"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In conjunction with the Program, we entered into a long-term contractual obligation (the "Agreement") with a third-party provider to enhance the quality and speed and reduce the cost of our processes by outsourcing certain functions. The Agreement enables the third-party provider to use the services of its affiliates in India to provide services to us. The Agreement provides that we settle the cost of our contractual obligation to the third-party provider each month in US dollars. However, the Agreement provides that on each annual anniversary date of the signing of the Agreement, the price for services (as denominated in US dollars) is to be adjusted for the then-current exchange rate between the US dollar and the Indian rupee. The Agreement provides that, once an annual adjustment is calculated, there are no further modifications to the amounts paid by us to the third-party provider for fluctuations in the exchange rate until the reset on the next anniversary date. The third-party provider bears the risk of currency movement from the date of signing the Agreement until the reset on the first anniversary of its signing, and during each period until the next annual reset. We bear the risk of currency movement at each annual reset date following the first anniversary.</w:t>
      </w:r>
    </w:p>
    <w:p>
      <w:pPr>
        <w:spacing w:after="0" w:line="212"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We use derivative financial instruments consisting solely of non-deliverable foreign currency contracts, all of which have been designated as cash flow hedges. Through these instruments, we believe we have mitigated foreign currency risk arising from a substantial portion of our contract obligation with the third-party provider arising from annual anniversary adjustments. We will continue to assess the effectiveness of our use of cash flow hedges to mitigate risk from foreign currency contracts.</w:t>
      </w:r>
    </w:p>
    <w:p>
      <w:pPr>
        <w:sectPr>
          <w:pgSz w:w="11900" w:h="16838" w:orient="portrait"/>
          <w:cols w:equalWidth="0" w:num="1">
            <w:col w:w="11420"/>
          </w:cols>
          <w:pgMar w:left="240" w:top="436" w:right="239" w:bottom="0" w:gutter="0" w:footer="0" w:header="0"/>
        </w:sectPr>
      </w:pPr>
    </w:p>
    <w:bookmarkStart w:id="33" w:name="page34"/>
    <w:bookmarkEnd w:id="33"/>
    <w:p>
      <w:pPr>
        <w:ind w:right="220" w:firstLine="486"/>
        <w:spacing w:after="0" w:line="284" w:lineRule="auto"/>
        <w:rPr>
          <w:sz w:val="20"/>
          <w:szCs w:val="20"/>
          <w:color w:val="auto"/>
        </w:rPr>
      </w:pPr>
      <w:r>
        <w:rPr>
          <w:rFonts w:ascii="Arial" w:cs="Arial" w:eastAsia="Arial" w:hAnsi="Arial"/>
          <w:sz w:val="18"/>
          <w:szCs w:val="18"/>
          <w:color w:val="auto"/>
        </w:rPr>
        <w:t xml:space="preserve">See Note 6. </w:t>
      </w:r>
      <w:r>
        <w:rPr>
          <w:rFonts w:ascii="Arial" w:cs="Arial" w:eastAsia="Arial" w:hAnsi="Arial"/>
          <w:sz w:val="18"/>
          <w:szCs w:val="18"/>
          <w:i w:val="1"/>
          <w:iCs w:val="1"/>
          <w:color w:val="auto"/>
        </w:rPr>
        <w:t>Derivative Financial Instruments</w:t>
      </w:r>
      <w:r>
        <w:rPr>
          <w:rFonts w:ascii="Arial" w:cs="Arial" w:eastAsia="Arial" w:hAnsi="Arial"/>
          <w:sz w:val="18"/>
          <w:szCs w:val="18"/>
          <w:color w:val="auto"/>
        </w:rPr>
        <w:t>, within the notes to unaudited condensed consolidated financial statements for additional information regarding our derivative financial instruments.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Integrations, and Divestitures</w:t>
      </w:r>
    </w:p>
    <w:p>
      <w:pPr>
        <w:spacing w:after="0" w:line="247" w:lineRule="exact"/>
        <w:rPr>
          <w:sz w:val="20"/>
          <w:szCs w:val="20"/>
          <w:color w:val="auto"/>
        </w:rPr>
      </w:pPr>
    </w:p>
    <w:p>
      <w:pPr>
        <w:ind w:right="440" w:firstLine="486"/>
        <w:spacing w:after="0" w:line="254" w:lineRule="auto"/>
        <w:rPr>
          <w:sz w:val="20"/>
          <w:szCs w:val="20"/>
          <w:color w:val="auto"/>
        </w:rPr>
      </w:pPr>
      <w:r>
        <w:rPr>
          <w:rFonts w:ascii="Arial" w:cs="Arial" w:eastAsia="Arial" w:hAnsi="Arial"/>
          <w:sz w:val="18"/>
          <w:szCs w:val="18"/>
          <w:color w:val="auto"/>
        </w:rPr>
        <w:t>From time to time we undertake acquisitions or divestitures outside the ordinary course of business based on opportunities in the competitive landscape. These activities are part of our overall growth strategy, but can distort comparability when reviewing revenue and expense trends for periods presented. There have been no material acquisitions, integrations, or divestitures during the six months ended June 30, 2015. See our 2014 Annual Report on Form 10-K for 2014 activity.</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Overview and Impact of Financial Market Events</w:t>
      </w:r>
    </w:p>
    <w:p>
      <w:pPr>
        <w:spacing w:after="0" w:line="193"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Our business is directly and indirectly sensitive to several macroeconomic factors, primarily in the United States. One of these factors is the current and expected future level of short-term interest rates, particularly overnight rates. At its June policy meeting, the Federal Reserve’s policy making arm, the Federal Open Market Committee ("FOMC"), reaffirmed its view that the current 0.0% to 0.25% target range for the federal funds rate remains appropriate. The FOMC stated that it expects the economy to grow at a moderate pace and anticipates that it will be appropriate to raise the target range for the federal funds rate when it has seen further improvement in the labor market and is reasonably confident that inflation will move back to its 2 percent objective over the medium term.</w:t>
      </w:r>
    </w:p>
    <w:p>
      <w:pPr>
        <w:spacing w:after="0" w:line="101"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As a result of the accommodative monetary policy, interest rates, including the rate on overnight funds have remained low on a historical basis, with the average federal funds effective rate for the second quarter of 2015 at 13 basis points. The low interest rate environment and fee compression, resulting from contract repricing in order to keep yields on our cash sweep programs competitive, has had a negative impact on the profitability of our cash</w:t>
      </w:r>
    </w:p>
    <w:p>
      <w:pPr>
        <w:spacing w:after="0" w:line="3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120" w:right="279" w:bottom="1440" w:gutter="0" w:footer="0" w:header="0"/>
        </w:sectPr>
      </w:pPr>
    </w:p>
    <w:bookmarkStart w:id="34" w:name="page35"/>
    <w:bookmarkEnd w:id="34"/>
    <w:p>
      <w:pPr>
        <w:ind w:right="760"/>
        <w:spacing w:after="0" w:line="262" w:lineRule="auto"/>
        <w:rPr>
          <w:sz w:val="20"/>
          <w:szCs w:val="20"/>
          <w:color w:val="auto"/>
        </w:rPr>
      </w:pPr>
      <w:r>
        <w:rPr>
          <w:rFonts w:ascii="Arial" w:cs="Arial" w:eastAsia="Arial" w:hAnsi="Arial"/>
          <w:sz w:val="18"/>
          <w:szCs w:val="18"/>
          <w:color w:val="auto"/>
        </w:rPr>
        <w:t>sweep programs. Fee compression continued to occur in 2015 and is expected to increase further in 2016. Additionally, we have seen decreasing levels of demand for fixed and variable annuity products.</w:t>
      </w:r>
    </w:p>
    <w:p>
      <w:pPr>
        <w:spacing w:after="0" w:line="196"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Our business is also affected by the performance of equity securities across the various markets in the United States. The S&amp;P 500 index closed the quarter at 2,063, which remained relatively unchanged from its close on December 31, 2014, and for the first half 2015 the S&amp;P 500 low was only 7% below its high during such period. This lack of volatility is due in part to assurances from the Federal Reserve that, despite growing evidence of strength in the U.S. economy, it does not plan to act quickly in raising interest rates. While the market demonstrated impressive resilience, investors continue to contend with lingering economic worries about geopolitical uncertainty, Federal Reserve monetary policy, U.S. and global growth rates, and policy uncertainty in Washington, D.C.</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90"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Results of Operations</w:t>
      </w:r>
    </w:p>
    <w:p>
      <w:pPr>
        <w:spacing w:after="0" w:line="193" w:lineRule="exact"/>
        <w:rPr>
          <w:sz w:val="20"/>
          <w:szCs w:val="20"/>
          <w:color w:val="auto"/>
        </w:rPr>
      </w:pPr>
    </w:p>
    <w:p>
      <w:pPr>
        <w:jc w:val="both"/>
        <w:ind w:right="220" w:firstLine="486"/>
        <w:spacing w:after="0" w:line="256" w:lineRule="auto"/>
        <w:rPr>
          <w:sz w:val="20"/>
          <w:szCs w:val="20"/>
          <w:color w:val="auto"/>
        </w:rPr>
      </w:pPr>
      <w:r>
        <w:rPr>
          <w:rFonts w:ascii="Arial" w:cs="Arial" w:eastAsia="Arial" w:hAnsi="Arial"/>
          <w:sz w:val="18"/>
          <w:szCs w:val="18"/>
          <w:color w:val="auto"/>
        </w:rPr>
        <w:t>The following table and discussion below presents an analysis of our results of operations for the three and six months ended June 30, 2015 and 2014. Where appropriate, we have identified specific events and changes that affect comparability or identification or monitoring of trends, and where possible and practical, have quantified the impact of such items.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4"/>
          </w:tcPr>
          <w:p>
            <w:pPr>
              <w:jc w:val="right"/>
              <w:ind w:right="159"/>
              <w:spacing w:after="0"/>
              <w:rPr>
                <w:sz w:val="20"/>
                <w:szCs w:val="20"/>
                <w:color w:val="auto"/>
              </w:rPr>
            </w:pPr>
            <w:r>
              <w:rPr>
                <w:rFonts w:ascii="Arial" w:cs="Arial" w:eastAsia="Arial" w:hAnsi="Arial"/>
                <w:sz w:val="16"/>
                <w:szCs w:val="16"/>
                <w:b w:val="1"/>
                <w:bCs w:val="1"/>
                <w:color w:val="auto"/>
              </w:rPr>
              <w:t>Three Months Ended June 30,</w:t>
            </w:r>
          </w:p>
        </w:tc>
        <w:tc>
          <w:tcPr>
            <w:tcW w:w="14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4"/>
          </w:tcPr>
          <w:p>
            <w:pPr>
              <w:jc w:val="right"/>
              <w:ind w:right="259"/>
              <w:spacing w:after="0"/>
              <w:rPr>
                <w:sz w:val="20"/>
                <w:szCs w:val="20"/>
                <w:color w:val="auto"/>
              </w:rPr>
            </w:pPr>
            <w:r>
              <w:rPr>
                <w:rFonts w:ascii="Arial" w:cs="Arial" w:eastAsia="Arial" w:hAnsi="Arial"/>
                <w:sz w:val="16"/>
                <w:szCs w:val="16"/>
                <w:b w:val="1"/>
                <w:bCs w:val="1"/>
                <w:color w:val="auto"/>
              </w:rPr>
              <w:t>Six Months Ended June 30,</w:t>
            </w:r>
          </w:p>
        </w:tc>
        <w:tc>
          <w:tcPr>
            <w:tcW w:w="1360" w:type="dxa"/>
            <w:vAlign w:val="bottom"/>
          </w:tcPr>
          <w:p>
            <w:pPr>
              <w:spacing w:after="0"/>
              <w:rPr>
                <w:sz w:val="19"/>
                <w:szCs w:val="19"/>
                <w:color w:val="auto"/>
              </w:rPr>
            </w:pPr>
          </w:p>
        </w:tc>
      </w:tr>
      <w:tr>
        <w:trPr>
          <w:trHeight w:val="264"/>
        </w:trPr>
        <w:tc>
          <w:tcPr>
            <w:tcW w:w="30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2014</w:t>
            </w:r>
          </w:p>
        </w:tc>
        <w:tc>
          <w:tcPr>
            <w:tcW w:w="14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 Change</w:t>
            </w: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2014</w:t>
            </w:r>
          </w:p>
        </w:tc>
        <w:tc>
          <w:tcPr>
            <w:tcW w:w="13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 Change</w:t>
            </w:r>
          </w:p>
        </w:tc>
      </w:tr>
      <w:tr>
        <w:trPr>
          <w:trHeight w:val="237"/>
        </w:trPr>
        <w:tc>
          <w:tcPr>
            <w:tcW w:w="3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920" w:type="dxa"/>
            <w:vAlign w:val="bottom"/>
            <w:gridSpan w:val="4"/>
          </w:tcPr>
          <w:p>
            <w:pPr>
              <w:ind w:left="86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80"/>
        </w:trPr>
        <w:tc>
          <w:tcPr>
            <w:tcW w:w="3000" w:type="dxa"/>
            <w:vAlign w:val="bottom"/>
          </w:tcPr>
          <w:p>
            <w:pPr>
              <w:ind w:left="80"/>
              <w:spacing w:after="0"/>
              <w:rPr>
                <w:sz w:val="20"/>
                <w:szCs w:val="20"/>
                <w:color w:val="auto"/>
              </w:rPr>
            </w:pPr>
            <w:r>
              <w:rPr>
                <w:rFonts w:ascii="Arial" w:cs="Arial" w:eastAsia="Arial" w:hAnsi="Arial"/>
                <w:sz w:val="16"/>
                <w:szCs w:val="16"/>
                <w:b w:val="1"/>
                <w:bCs w:val="1"/>
                <w:color w:val="auto"/>
              </w:rPr>
              <w:t>Revenues</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80"/>
        </w:trPr>
        <w:tc>
          <w:tcPr>
            <w:tcW w:w="3000" w:type="dxa"/>
            <w:vAlign w:val="bottom"/>
            <w:shd w:val="clear" w:color="auto" w:fill="CCEEFF"/>
          </w:tcPr>
          <w:p>
            <w:pPr>
              <w:ind w:left="80"/>
              <w:spacing w:after="0"/>
              <w:rPr>
                <w:sz w:val="20"/>
                <w:szCs w:val="20"/>
                <w:color w:val="auto"/>
              </w:rPr>
            </w:pPr>
            <w:r>
              <w:rPr>
                <w:rFonts w:ascii="Arial" w:cs="Arial" w:eastAsia="Arial" w:hAnsi="Arial"/>
                <w:sz w:val="16"/>
                <w:szCs w:val="16"/>
                <w:color w:val="auto"/>
              </w:rPr>
              <w:t>Commission</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509,689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535,177</w:t>
            </w:r>
          </w:p>
        </w:tc>
        <w:tc>
          <w:tcPr>
            <w:tcW w:w="14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(4.8)%</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1,033,088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1,069,751</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r>
      <w:tr>
        <w:trPr>
          <w:trHeight w:val="260"/>
        </w:trPr>
        <w:tc>
          <w:tcPr>
            <w:tcW w:w="3000" w:type="dxa"/>
            <w:vAlign w:val="bottom"/>
          </w:tcPr>
          <w:p>
            <w:pPr>
              <w:ind w:left="80"/>
              <w:spacing w:after="0"/>
              <w:rPr>
                <w:sz w:val="20"/>
                <w:szCs w:val="20"/>
                <w:color w:val="auto"/>
              </w:rPr>
            </w:pPr>
            <w:r>
              <w:rPr>
                <w:rFonts w:ascii="Arial" w:cs="Arial" w:eastAsia="Arial" w:hAnsi="Arial"/>
                <w:sz w:val="16"/>
                <w:szCs w:val="16"/>
                <w:color w:val="auto"/>
              </w:rPr>
              <w:t>Advisory</w:t>
            </w:r>
          </w:p>
        </w:tc>
        <w:tc>
          <w:tcPr>
            <w:tcW w:w="18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344,884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330,394</w:t>
            </w: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4.4 %</w:t>
            </w:r>
          </w:p>
        </w:tc>
        <w:tc>
          <w:tcPr>
            <w:tcW w:w="240" w:type="dxa"/>
            <w:vAlign w:val="bottom"/>
          </w:tcPr>
          <w:p>
            <w:pPr>
              <w:spacing w:after="0"/>
              <w:rPr>
                <w:sz w:val="22"/>
                <w:szCs w:val="22"/>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686,996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657,647</w:t>
            </w:r>
          </w:p>
        </w:tc>
        <w:tc>
          <w:tcPr>
            <w:tcW w:w="1360" w:type="dxa"/>
            <w:vAlign w:val="bottom"/>
          </w:tcPr>
          <w:p>
            <w:pPr>
              <w:jc w:val="right"/>
              <w:spacing w:after="0"/>
              <w:rPr>
                <w:sz w:val="20"/>
                <w:szCs w:val="20"/>
                <w:color w:val="auto"/>
              </w:rPr>
            </w:pPr>
            <w:r>
              <w:rPr>
                <w:rFonts w:ascii="Arial" w:cs="Arial" w:eastAsia="Arial" w:hAnsi="Arial"/>
                <w:sz w:val="16"/>
                <w:szCs w:val="16"/>
                <w:color w:val="auto"/>
              </w:rPr>
              <w:t>4.5 %</w:t>
            </w:r>
          </w:p>
        </w:tc>
      </w:tr>
      <w:tr>
        <w:trPr>
          <w:trHeight w:val="280"/>
        </w:trPr>
        <w:tc>
          <w:tcPr>
            <w:tcW w:w="3000" w:type="dxa"/>
            <w:vAlign w:val="bottom"/>
            <w:shd w:val="clear" w:color="auto" w:fill="CCEEFF"/>
          </w:tcPr>
          <w:p>
            <w:pPr>
              <w:ind w:left="80"/>
              <w:spacing w:after="0"/>
              <w:rPr>
                <w:sz w:val="20"/>
                <w:szCs w:val="20"/>
                <w:color w:val="auto"/>
              </w:rPr>
            </w:pPr>
            <w:r>
              <w:rPr>
                <w:rFonts w:ascii="Arial" w:cs="Arial" w:eastAsia="Arial" w:hAnsi="Arial"/>
                <w:sz w:val="16"/>
                <w:szCs w:val="16"/>
                <w:color w:val="auto"/>
              </w:rPr>
              <w:t>Asset-based</w:t>
            </w: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125,072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118,537</w:t>
            </w:r>
          </w:p>
        </w:tc>
        <w:tc>
          <w:tcPr>
            <w:tcW w:w="14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5.5 %</w:t>
            </w: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245,704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233,211</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5.4 %</w:t>
            </w:r>
          </w:p>
        </w:tc>
      </w:tr>
      <w:tr>
        <w:trPr>
          <w:trHeight w:val="260"/>
        </w:trPr>
        <w:tc>
          <w:tcPr>
            <w:tcW w:w="3000" w:type="dxa"/>
            <w:vAlign w:val="bottom"/>
          </w:tcPr>
          <w:p>
            <w:pPr>
              <w:ind w:left="80"/>
              <w:spacing w:after="0"/>
              <w:rPr>
                <w:sz w:val="20"/>
                <w:szCs w:val="20"/>
                <w:color w:val="auto"/>
              </w:rPr>
            </w:pPr>
            <w:r>
              <w:rPr>
                <w:rFonts w:ascii="Arial" w:cs="Arial" w:eastAsia="Arial" w:hAnsi="Arial"/>
                <w:sz w:val="16"/>
                <w:szCs w:val="16"/>
                <w:color w:val="auto"/>
              </w:rPr>
              <w:t>Transaction and fee</w:t>
            </w:r>
          </w:p>
        </w:tc>
        <w:tc>
          <w:tcPr>
            <w:tcW w:w="18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97,811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91,625</w:t>
            </w: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6.8 %</w:t>
            </w:r>
          </w:p>
        </w:tc>
        <w:tc>
          <w:tcPr>
            <w:tcW w:w="240" w:type="dxa"/>
            <w:vAlign w:val="bottom"/>
          </w:tcPr>
          <w:p>
            <w:pPr>
              <w:spacing w:after="0"/>
              <w:rPr>
                <w:sz w:val="22"/>
                <w:szCs w:val="22"/>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199,506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181,610</w:t>
            </w:r>
          </w:p>
        </w:tc>
        <w:tc>
          <w:tcPr>
            <w:tcW w:w="1360" w:type="dxa"/>
            <w:vAlign w:val="bottom"/>
          </w:tcPr>
          <w:p>
            <w:pPr>
              <w:jc w:val="right"/>
              <w:spacing w:after="0"/>
              <w:rPr>
                <w:sz w:val="20"/>
                <w:szCs w:val="20"/>
                <w:color w:val="auto"/>
              </w:rPr>
            </w:pPr>
            <w:r>
              <w:rPr>
                <w:rFonts w:ascii="Arial" w:cs="Arial" w:eastAsia="Arial" w:hAnsi="Arial"/>
                <w:sz w:val="16"/>
                <w:szCs w:val="16"/>
                <w:color w:val="auto"/>
              </w:rPr>
              <w:t>9.9 %</w:t>
            </w:r>
          </w:p>
        </w:tc>
      </w:tr>
      <w:tr>
        <w:trPr>
          <w:trHeight w:val="280"/>
        </w:trPr>
        <w:tc>
          <w:tcPr>
            <w:tcW w:w="3000" w:type="dxa"/>
            <w:vAlign w:val="bottom"/>
            <w:shd w:val="clear" w:color="auto" w:fill="CCEEFF"/>
          </w:tcPr>
          <w:p>
            <w:pPr>
              <w:ind w:left="8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13,205</w:t>
            </w: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16,996</w:t>
            </w:r>
          </w:p>
        </w:tc>
        <w:tc>
          <w:tcPr>
            <w:tcW w:w="14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(22.3)%</w:t>
            </w:r>
          </w:p>
        </w:tc>
        <w:tc>
          <w:tcPr>
            <w:tcW w:w="2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34,669</w:t>
            </w: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37,941</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r>
      <w:tr>
        <w:trPr>
          <w:trHeight w:val="244"/>
        </w:trPr>
        <w:tc>
          <w:tcPr>
            <w:tcW w:w="3000" w:type="dxa"/>
            <w:vAlign w:val="bottom"/>
            <w:tcBorders>
              <w:bottom w:val="single" w:sz="8" w:color="CCEEFF"/>
            </w:tcBorders>
          </w:tcPr>
          <w:p>
            <w:pPr>
              <w:ind w:left="160"/>
              <w:spacing w:after="0"/>
              <w:rPr>
                <w:sz w:val="20"/>
                <w:szCs w:val="20"/>
                <w:color w:val="auto"/>
              </w:rPr>
            </w:pPr>
            <w:r>
              <w:rPr>
                <w:rFonts w:ascii="Arial" w:cs="Arial" w:eastAsia="Arial" w:hAnsi="Arial"/>
                <w:sz w:val="16"/>
                <w:szCs w:val="16"/>
                <w:b w:val="1"/>
                <w:bCs w:val="1"/>
                <w:color w:val="auto"/>
              </w:rPr>
              <w:t>Net revenues</w:t>
            </w: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1,090,661</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1,092,729</w:t>
            </w:r>
          </w:p>
        </w:tc>
        <w:tc>
          <w:tcPr>
            <w:tcW w:w="1460" w:type="dxa"/>
            <w:vAlign w:val="bottom"/>
            <w:tcBorders>
              <w:bottom w:val="single" w:sz="8" w:color="CCEEFF"/>
            </w:tcBorders>
          </w:tcPr>
          <w:p>
            <w:pPr>
              <w:jc w:val="right"/>
              <w:ind w:right="59"/>
              <w:spacing w:after="0"/>
              <w:rPr>
                <w:sz w:val="20"/>
                <w:szCs w:val="20"/>
                <w:color w:val="auto"/>
              </w:rPr>
            </w:pPr>
            <w:r>
              <w:rPr>
                <w:rFonts w:ascii="Arial" w:cs="Arial" w:eastAsia="Arial" w:hAnsi="Arial"/>
                <w:sz w:val="16"/>
                <w:szCs w:val="16"/>
                <w:color w:val="auto"/>
              </w:rPr>
              <w:t>(0.2)%</w:t>
            </w: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2,199,963</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2,180,160</w:t>
            </w: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0.9 %</w:t>
            </w:r>
          </w:p>
        </w:tc>
      </w:tr>
      <w:tr>
        <w:trPr>
          <w:trHeight w:val="270"/>
        </w:trPr>
        <w:tc>
          <w:tcPr>
            <w:tcW w:w="3000" w:type="dxa"/>
            <w:vAlign w:val="bottom"/>
            <w:shd w:val="clear" w:color="auto" w:fill="CCEEFF"/>
          </w:tcPr>
          <w:p>
            <w:pPr>
              <w:ind w:left="80"/>
              <w:spacing w:after="0"/>
              <w:rPr>
                <w:sz w:val="20"/>
                <w:szCs w:val="20"/>
                <w:color w:val="auto"/>
              </w:rPr>
            </w:pPr>
            <w:r>
              <w:rPr>
                <w:rFonts w:ascii="Arial" w:cs="Arial" w:eastAsia="Arial" w:hAnsi="Arial"/>
                <w:sz w:val="16"/>
                <w:szCs w:val="16"/>
                <w:b w:val="1"/>
                <w:bCs w:val="1"/>
                <w:color w:val="auto"/>
              </w:rPr>
              <w:t>Expenses</w:t>
            </w: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60"/>
        </w:trPr>
        <w:tc>
          <w:tcPr>
            <w:tcW w:w="3000" w:type="dxa"/>
            <w:vAlign w:val="bottom"/>
          </w:tcPr>
          <w:p>
            <w:pPr>
              <w:ind w:left="80"/>
              <w:spacing w:after="0"/>
              <w:rPr>
                <w:sz w:val="20"/>
                <w:szCs w:val="20"/>
                <w:color w:val="auto"/>
              </w:rPr>
            </w:pPr>
            <w:r>
              <w:rPr>
                <w:rFonts w:ascii="Arial" w:cs="Arial" w:eastAsia="Arial" w:hAnsi="Arial"/>
                <w:sz w:val="16"/>
                <w:szCs w:val="16"/>
                <w:color w:val="auto"/>
              </w:rPr>
              <w:t>Production</w:t>
            </w:r>
          </w:p>
        </w:tc>
        <w:tc>
          <w:tcPr>
            <w:tcW w:w="18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750,390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763,991</w:t>
            </w: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(1.8)%</w:t>
            </w:r>
          </w:p>
        </w:tc>
        <w:tc>
          <w:tcPr>
            <w:tcW w:w="240" w:type="dxa"/>
            <w:vAlign w:val="bottom"/>
          </w:tcPr>
          <w:p>
            <w:pPr>
              <w:spacing w:after="0"/>
              <w:rPr>
                <w:sz w:val="22"/>
                <w:szCs w:val="22"/>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1,504,378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1,520,709</w:t>
            </w:r>
          </w:p>
        </w:tc>
        <w:tc>
          <w:tcPr>
            <w:tcW w:w="136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80"/>
        </w:trPr>
        <w:tc>
          <w:tcPr>
            <w:tcW w:w="3000" w:type="dxa"/>
            <w:vAlign w:val="bottom"/>
            <w:shd w:val="clear" w:color="auto" w:fill="CCEEFF"/>
          </w:tcPr>
          <w:p>
            <w:pPr>
              <w:ind w:left="80"/>
              <w:spacing w:after="0"/>
              <w:rPr>
                <w:sz w:val="20"/>
                <w:szCs w:val="20"/>
                <w:color w:val="auto"/>
              </w:rPr>
            </w:pPr>
            <w:r>
              <w:rPr>
                <w:rFonts w:ascii="Arial" w:cs="Arial" w:eastAsia="Arial" w:hAnsi="Arial"/>
                <w:sz w:val="16"/>
                <w:szCs w:val="16"/>
                <w:color w:val="auto"/>
              </w:rPr>
              <w:t>Compensation and benefits</w:t>
            </w: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112,337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104,821</w:t>
            </w:r>
          </w:p>
        </w:tc>
        <w:tc>
          <w:tcPr>
            <w:tcW w:w="14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7.2 %</w:t>
            </w: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224,617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211,169</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6.4 %</w:t>
            </w:r>
          </w:p>
        </w:tc>
      </w:tr>
      <w:tr>
        <w:trPr>
          <w:trHeight w:val="260"/>
        </w:trPr>
        <w:tc>
          <w:tcPr>
            <w:tcW w:w="3000" w:type="dxa"/>
            <w:vAlign w:val="bottom"/>
          </w:tcPr>
          <w:p>
            <w:pPr>
              <w:ind w:left="80"/>
              <w:spacing w:after="0"/>
              <w:rPr>
                <w:sz w:val="20"/>
                <w:szCs w:val="20"/>
                <w:color w:val="auto"/>
              </w:rPr>
            </w:pPr>
            <w:r>
              <w:rPr>
                <w:rFonts w:ascii="Arial" w:cs="Arial" w:eastAsia="Arial" w:hAnsi="Arial"/>
                <w:sz w:val="16"/>
                <w:szCs w:val="16"/>
                <w:color w:val="auto"/>
              </w:rPr>
              <w:t>General and administrative</w:t>
            </w:r>
          </w:p>
        </w:tc>
        <w:tc>
          <w:tcPr>
            <w:tcW w:w="18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99,457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106,799</w:t>
            </w: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(6.9)%</w:t>
            </w:r>
          </w:p>
        </w:tc>
        <w:tc>
          <w:tcPr>
            <w:tcW w:w="240" w:type="dxa"/>
            <w:vAlign w:val="bottom"/>
          </w:tcPr>
          <w:p>
            <w:pPr>
              <w:spacing w:after="0"/>
              <w:rPr>
                <w:sz w:val="22"/>
                <w:szCs w:val="22"/>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213,811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201,176</w:t>
            </w:r>
          </w:p>
        </w:tc>
        <w:tc>
          <w:tcPr>
            <w:tcW w:w="1360" w:type="dxa"/>
            <w:vAlign w:val="bottom"/>
          </w:tcPr>
          <w:p>
            <w:pPr>
              <w:jc w:val="right"/>
              <w:spacing w:after="0"/>
              <w:rPr>
                <w:sz w:val="20"/>
                <w:szCs w:val="20"/>
                <w:color w:val="auto"/>
              </w:rPr>
            </w:pPr>
            <w:r>
              <w:rPr>
                <w:rFonts w:ascii="Arial" w:cs="Arial" w:eastAsia="Arial" w:hAnsi="Arial"/>
                <w:sz w:val="16"/>
                <w:szCs w:val="16"/>
                <w:color w:val="auto"/>
              </w:rPr>
              <w:t>6.3 %</w:t>
            </w:r>
          </w:p>
        </w:tc>
      </w:tr>
      <w:tr>
        <w:trPr>
          <w:trHeight w:val="280"/>
        </w:trPr>
        <w:tc>
          <w:tcPr>
            <w:tcW w:w="3000" w:type="dxa"/>
            <w:vAlign w:val="bottom"/>
            <w:shd w:val="clear" w:color="auto" w:fill="CCEEFF"/>
          </w:tcPr>
          <w:p>
            <w:pPr>
              <w:ind w:left="80"/>
              <w:spacing w:after="0"/>
              <w:rPr>
                <w:sz w:val="20"/>
                <w:szCs w:val="20"/>
                <w:color w:val="auto"/>
              </w:rPr>
            </w:pPr>
            <w:r>
              <w:rPr>
                <w:rFonts w:ascii="Arial" w:cs="Arial" w:eastAsia="Arial" w:hAnsi="Arial"/>
                <w:sz w:val="16"/>
                <w:szCs w:val="16"/>
                <w:color w:val="auto"/>
              </w:rPr>
              <w:t>Depreciation and amortization</w:t>
            </w: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26,732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23,818</w:t>
            </w:r>
          </w:p>
        </w:tc>
        <w:tc>
          <w:tcPr>
            <w:tcW w:w="14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12.2 %</w:t>
            </w: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52,798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46,099</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14.5 %</w:t>
            </w:r>
          </w:p>
        </w:tc>
      </w:tr>
      <w:tr>
        <w:trPr>
          <w:trHeight w:val="264"/>
        </w:trPr>
        <w:tc>
          <w:tcPr>
            <w:tcW w:w="300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Restructuring charges</w:t>
            </w: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4,492</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9,225</w:t>
            </w:r>
          </w:p>
        </w:tc>
        <w:tc>
          <w:tcPr>
            <w:tcW w:w="1460" w:type="dxa"/>
            <w:vAlign w:val="bottom"/>
            <w:tcBorders>
              <w:bottom w:val="single" w:sz="8" w:color="CCEEFF"/>
            </w:tcBorders>
          </w:tcPr>
          <w:p>
            <w:pPr>
              <w:jc w:val="right"/>
              <w:ind w:right="59"/>
              <w:spacing w:after="0"/>
              <w:rPr>
                <w:sz w:val="20"/>
                <w:szCs w:val="20"/>
                <w:color w:val="auto"/>
              </w:rPr>
            </w:pPr>
            <w:r>
              <w:rPr>
                <w:rFonts w:ascii="Arial" w:cs="Arial" w:eastAsia="Arial" w:hAnsi="Arial"/>
                <w:sz w:val="16"/>
                <w:szCs w:val="16"/>
                <w:color w:val="auto"/>
              </w:rPr>
              <w:t>(51.3)%</w:t>
            </w: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8,416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16,545</w:t>
            </w: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(49.1)%</w:t>
            </w:r>
          </w:p>
        </w:tc>
      </w:tr>
      <w:tr>
        <w:trPr>
          <w:trHeight w:val="250"/>
        </w:trPr>
        <w:tc>
          <w:tcPr>
            <w:tcW w:w="3000" w:type="dxa"/>
            <w:vAlign w:val="bottom"/>
            <w:shd w:val="clear" w:color="auto" w:fill="CCEEFF"/>
          </w:tcPr>
          <w:p>
            <w:pPr>
              <w:ind w:left="160"/>
              <w:spacing w:after="0"/>
              <w:rPr>
                <w:sz w:val="20"/>
                <w:szCs w:val="20"/>
                <w:color w:val="auto"/>
              </w:rPr>
            </w:pPr>
            <w:r>
              <w:rPr>
                <w:rFonts w:ascii="Arial" w:cs="Arial" w:eastAsia="Arial" w:hAnsi="Arial"/>
                <w:sz w:val="16"/>
                <w:szCs w:val="16"/>
                <w:b w:val="1"/>
                <w:bCs w:val="1"/>
                <w:color w:val="auto"/>
              </w:rPr>
              <w:t>Total operating expenses</w:t>
            </w:r>
          </w:p>
        </w:tc>
        <w:tc>
          <w:tcPr>
            <w:tcW w:w="1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993,408</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1,008,654</w:t>
            </w:r>
          </w:p>
        </w:tc>
        <w:tc>
          <w:tcPr>
            <w:tcW w:w="14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(1.5)%</w:t>
            </w:r>
          </w:p>
        </w:tc>
        <w:tc>
          <w:tcPr>
            <w:tcW w:w="2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2,004,020</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1,995,698</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0.4 %</w:t>
            </w:r>
          </w:p>
        </w:tc>
      </w:tr>
      <w:tr>
        <w:trPr>
          <w:trHeight w:val="250"/>
        </w:trPr>
        <w:tc>
          <w:tcPr>
            <w:tcW w:w="300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Non-operating interest expense</w:t>
            </w: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13,163</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12,914</w:t>
            </w:r>
          </w:p>
        </w:tc>
        <w:tc>
          <w:tcPr>
            <w:tcW w:w="1460" w:type="dxa"/>
            <w:vAlign w:val="bottom"/>
            <w:tcBorders>
              <w:bottom w:val="single" w:sz="8" w:color="CCEEFF"/>
            </w:tcBorders>
          </w:tcPr>
          <w:p>
            <w:pPr>
              <w:jc w:val="right"/>
              <w:ind w:right="59"/>
              <w:spacing w:after="0"/>
              <w:rPr>
                <w:sz w:val="20"/>
                <w:szCs w:val="20"/>
                <w:color w:val="auto"/>
              </w:rPr>
            </w:pPr>
            <w:r>
              <w:rPr>
                <w:rFonts w:ascii="Arial" w:cs="Arial" w:eastAsia="Arial" w:hAnsi="Arial"/>
                <w:sz w:val="16"/>
                <w:szCs w:val="16"/>
                <w:color w:val="auto"/>
              </w:rPr>
              <w:t>1.9 %</w:t>
            </w: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27,178</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25,754</w:t>
            </w: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5.5 %</w:t>
            </w:r>
          </w:p>
        </w:tc>
      </w:tr>
      <w:tr>
        <w:trPr>
          <w:trHeight w:val="257"/>
        </w:trPr>
        <w:tc>
          <w:tcPr>
            <w:tcW w:w="3000" w:type="dxa"/>
            <w:vAlign w:val="bottom"/>
            <w:shd w:val="clear" w:color="auto" w:fill="CCEEFF"/>
          </w:tcPr>
          <w:p>
            <w:pPr>
              <w:ind w:left="160"/>
              <w:spacing w:after="0"/>
              <w:rPr>
                <w:sz w:val="20"/>
                <w:szCs w:val="20"/>
                <w:color w:val="auto"/>
              </w:rPr>
            </w:pPr>
            <w:r>
              <w:rPr>
                <w:rFonts w:ascii="Arial" w:cs="Arial" w:eastAsia="Arial" w:hAnsi="Arial"/>
                <w:sz w:val="16"/>
                <w:szCs w:val="16"/>
                <w:b w:val="1"/>
                <w:bCs w:val="1"/>
                <w:color w:val="auto"/>
              </w:rPr>
              <w:t>Total expenses</w:t>
            </w:r>
          </w:p>
        </w:tc>
        <w:tc>
          <w:tcPr>
            <w:tcW w:w="18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1,006,571</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1,021,568</w:t>
            </w:r>
          </w:p>
        </w:tc>
        <w:tc>
          <w:tcPr>
            <w:tcW w:w="14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(1.5)%</w:t>
            </w:r>
          </w:p>
        </w:tc>
        <w:tc>
          <w:tcPr>
            <w:tcW w:w="2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2,031,198</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2,021,452</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0.5 %</w:t>
            </w:r>
          </w:p>
        </w:tc>
      </w:tr>
      <w:tr>
        <w:trPr>
          <w:trHeight w:val="198"/>
        </w:trPr>
        <w:tc>
          <w:tcPr>
            <w:tcW w:w="3000" w:type="dxa"/>
            <w:vAlign w:val="bottom"/>
          </w:tcPr>
          <w:p>
            <w:pPr>
              <w:ind w:left="20"/>
              <w:spacing w:after="0"/>
              <w:rPr>
                <w:sz w:val="20"/>
                <w:szCs w:val="20"/>
                <w:color w:val="auto"/>
              </w:rPr>
            </w:pPr>
            <w:r>
              <w:rPr>
                <w:rFonts w:ascii="Arial" w:cs="Arial" w:eastAsia="Arial" w:hAnsi="Arial"/>
                <w:sz w:val="16"/>
                <w:szCs w:val="16"/>
                <w:color w:val="auto"/>
              </w:rPr>
              <w:t>Income before provision for income</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4"/>
        </w:trPr>
        <w:tc>
          <w:tcPr>
            <w:tcW w:w="3000" w:type="dxa"/>
            <w:vAlign w:val="bottom"/>
          </w:tcPr>
          <w:p>
            <w:pPr>
              <w:ind w:left="220"/>
              <w:spacing w:after="0"/>
              <w:rPr>
                <w:sz w:val="20"/>
                <w:szCs w:val="20"/>
                <w:color w:val="auto"/>
              </w:rPr>
            </w:pPr>
            <w:r>
              <w:rPr>
                <w:rFonts w:ascii="Arial" w:cs="Arial" w:eastAsia="Arial" w:hAnsi="Arial"/>
                <w:sz w:val="16"/>
                <w:szCs w:val="16"/>
                <w:color w:val="auto"/>
              </w:rPr>
              <w:t>taxes</w:t>
            </w:r>
          </w:p>
        </w:tc>
        <w:tc>
          <w:tcPr>
            <w:tcW w:w="180" w:type="dxa"/>
            <w:vAlign w:val="bottom"/>
          </w:tcPr>
          <w:p>
            <w:pPr>
              <w:spacing w:after="0"/>
              <w:rPr>
                <w:sz w:val="17"/>
                <w:szCs w:val="17"/>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84,090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71,161</w:t>
            </w: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18.2 %</w:t>
            </w:r>
          </w:p>
        </w:tc>
        <w:tc>
          <w:tcPr>
            <w:tcW w:w="240" w:type="dxa"/>
            <w:vAlign w:val="bottom"/>
          </w:tcPr>
          <w:p>
            <w:pPr>
              <w:spacing w:after="0"/>
              <w:rPr>
                <w:sz w:val="17"/>
                <w:szCs w:val="17"/>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168,765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158,708</w:t>
            </w:r>
          </w:p>
        </w:tc>
        <w:tc>
          <w:tcPr>
            <w:tcW w:w="1360" w:type="dxa"/>
            <w:vAlign w:val="bottom"/>
          </w:tcPr>
          <w:p>
            <w:pPr>
              <w:jc w:val="right"/>
              <w:spacing w:after="0"/>
              <w:rPr>
                <w:sz w:val="20"/>
                <w:szCs w:val="20"/>
                <w:color w:val="auto"/>
              </w:rPr>
            </w:pPr>
            <w:r>
              <w:rPr>
                <w:rFonts w:ascii="Arial" w:cs="Arial" w:eastAsia="Arial" w:hAnsi="Arial"/>
                <w:sz w:val="16"/>
                <w:szCs w:val="16"/>
                <w:color w:val="auto"/>
              </w:rPr>
              <w:t>6.3 %</w:t>
            </w:r>
          </w:p>
        </w:tc>
      </w:tr>
      <w:tr>
        <w:trPr>
          <w:trHeight w:val="280"/>
        </w:trPr>
        <w:tc>
          <w:tcPr>
            <w:tcW w:w="30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Provision for income taxes</w:t>
            </w:r>
          </w:p>
        </w:tc>
        <w:tc>
          <w:tcPr>
            <w:tcW w:w="18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33,848</w:t>
            </w: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28,070</w:t>
            </w:r>
          </w:p>
        </w:tc>
        <w:tc>
          <w:tcPr>
            <w:tcW w:w="14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20.6 %</w:t>
            </w:r>
          </w:p>
        </w:tc>
        <w:tc>
          <w:tcPr>
            <w:tcW w:w="2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67,845</w:t>
            </w: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62,482</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8.6 %</w:t>
            </w:r>
          </w:p>
        </w:tc>
      </w:tr>
      <w:tr>
        <w:trPr>
          <w:trHeight w:val="261"/>
        </w:trPr>
        <w:tc>
          <w:tcPr>
            <w:tcW w:w="3000" w:type="dxa"/>
            <w:vAlign w:val="bottom"/>
          </w:tcPr>
          <w:p>
            <w:pPr>
              <w:ind w:left="20"/>
              <w:spacing w:after="0"/>
              <w:rPr>
                <w:sz w:val="20"/>
                <w:szCs w:val="20"/>
                <w:color w:val="auto"/>
              </w:rPr>
            </w:pPr>
            <w:r>
              <w:rPr>
                <w:rFonts w:ascii="Arial" w:cs="Arial" w:eastAsia="Arial" w:hAnsi="Arial"/>
                <w:sz w:val="16"/>
                <w:szCs w:val="16"/>
                <w:b w:val="1"/>
                <w:bCs w:val="1"/>
                <w:color w:val="auto"/>
              </w:rPr>
              <w:t>Net income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50,242</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43,091</w:t>
            </w: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16.6 %</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100,920</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142"/>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96,226</w:t>
            </w:r>
          </w:p>
        </w:tc>
        <w:tc>
          <w:tcPr>
            <w:tcW w:w="1360" w:type="dxa"/>
            <w:vAlign w:val="bottom"/>
          </w:tcPr>
          <w:p>
            <w:pPr>
              <w:jc w:val="right"/>
              <w:spacing w:after="0"/>
              <w:rPr>
                <w:sz w:val="20"/>
                <w:szCs w:val="20"/>
                <w:color w:val="auto"/>
              </w:rPr>
            </w:pPr>
            <w:r>
              <w:rPr>
                <w:rFonts w:ascii="Arial" w:cs="Arial" w:eastAsia="Arial" w:hAnsi="Arial"/>
                <w:sz w:val="16"/>
                <w:szCs w:val="16"/>
                <w:color w:val="auto"/>
              </w:rPr>
              <w:t>4.9 %</w:t>
            </w:r>
          </w:p>
        </w:tc>
      </w:tr>
      <w:tr>
        <w:trPr>
          <w:trHeight w:val="20"/>
        </w:trPr>
        <w:tc>
          <w:tcPr>
            <w:tcW w:w="3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Commission Revenues</w:t>
      </w:r>
    </w:p>
    <w:p>
      <w:pPr>
        <w:spacing w:after="0" w:line="243" w:lineRule="exact"/>
        <w:rPr>
          <w:sz w:val="20"/>
          <w:szCs w:val="20"/>
          <w:color w:val="auto"/>
        </w:rPr>
      </w:pPr>
    </w:p>
    <w:p>
      <w:pPr>
        <w:ind w:right="180" w:firstLine="486"/>
        <w:spacing w:after="0" w:line="252" w:lineRule="auto"/>
        <w:rPr>
          <w:sz w:val="20"/>
          <w:szCs w:val="20"/>
          <w:color w:val="auto"/>
        </w:rPr>
      </w:pPr>
      <w:r>
        <w:rPr>
          <w:rFonts w:ascii="Arial" w:cs="Arial" w:eastAsia="Arial" w:hAnsi="Arial"/>
          <w:sz w:val="18"/>
          <w:szCs w:val="18"/>
          <w:color w:val="auto"/>
        </w:rPr>
        <w:t>We generate two types of commission revenues: transaction-based sales commissions and trailing commissions. Transaction-based sales commission revenues, which occur whenever clients trade securities or purchase various types of investment products, primarily represent gross commissions generated by our advisors. The levels of transaction-based sales commission revenues can vary from period to period based on the overall economic environment, number of trading days in the reporting period, and investment activity of our advisors' clients. We earn trailing commission revenues (a commission that is paid over time, such as 12(b)-1 fees) primarily on mutual funds and variable annuities held by clients of our advisors. Trailing commission revenues are recurring in nature and are earned based on the market value of investment holdings in trail-eligible assets.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22" w:right="239" w:bottom="1440" w:gutter="0" w:footer="0" w:header="0"/>
        </w:sectPr>
      </w:pPr>
    </w:p>
    <w:bookmarkStart w:id="36" w:name="page37"/>
    <w:bookmarkEnd w:id="36"/>
    <w:p>
      <w:pPr>
        <w:ind w:right="860" w:firstLine="486"/>
        <w:spacing w:after="0" w:line="262" w:lineRule="auto"/>
        <w:rPr>
          <w:sz w:val="20"/>
          <w:szCs w:val="20"/>
          <w:color w:val="auto"/>
        </w:rPr>
      </w:pPr>
      <w:r>
        <w:rPr>
          <w:rFonts w:ascii="Arial" w:cs="Arial" w:eastAsia="Arial" w:hAnsi="Arial"/>
          <w:sz w:val="18"/>
          <w:szCs w:val="18"/>
          <w:color w:val="auto"/>
        </w:rPr>
        <w:t>The following table sets forth our commission revenue, by product category, included in our unaudited condensed consolidated statements of income for the three months ended June 30, 2015 and 2014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92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June 30,</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64"/>
        </w:trPr>
        <w:tc>
          <w:tcPr>
            <w:tcW w:w="554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 Change</w:t>
            </w:r>
          </w:p>
        </w:tc>
      </w:tr>
      <w:tr>
        <w:trPr>
          <w:trHeight w:val="257"/>
        </w:trPr>
        <w:tc>
          <w:tcPr>
            <w:tcW w:w="5540" w:type="dxa"/>
            <w:vAlign w:val="bottom"/>
            <w:shd w:val="clear" w:color="auto" w:fill="CCEEFF"/>
          </w:tcPr>
          <w:p>
            <w:pPr>
              <w:ind w:left="80"/>
              <w:spacing w:after="0"/>
              <w:rPr>
                <w:sz w:val="20"/>
                <w:szCs w:val="20"/>
                <w:color w:val="auto"/>
              </w:rPr>
            </w:pPr>
            <w:r>
              <w:rPr>
                <w:rFonts w:ascii="Arial" w:cs="Arial" w:eastAsia="Arial" w:hAnsi="Arial"/>
                <w:sz w:val="16"/>
                <w:szCs w:val="16"/>
                <w:color w:val="auto"/>
              </w:rPr>
              <w:t>Variable annuities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203,380</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206,708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(3,328)</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60"/>
        </w:trPr>
        <w:tc>
          <w:tcPr>
            <w:tcW w:w="5540" w:type="dxa"/>
            <w:vAlign w:val="bottom"/>
          </w:tcPr>
          <w:p>
            <w:pPr>
              <w:ind w:left="80"/>
              <w:spacing w:after="0"/>
              <w:rPr>
                <w:sz w:val="20"/>
                <w:szCs w:val="20"/>
                <w:color w:val="auto"/>
              </w:rPr>
            </w:pPr>
            <w:r>
              <w:rPr>
                <w:rFonts w:ascii="Arial" w:cs="Arial" w:eastAsia="Arial" w:hAnsi="Arial"/>
                <w:sz w:val="16"/>
                <w:szCs w:val="16"/>
                <w:color w:val="auto"/>
              </w:rPr>
              <w:t>Mutual funds</w:t>
            </w:r>
          </w:p>
        </w:tc>
        <w:tc>
          <w:tcPr>
            <w:tcW w:w="24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158,063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154,207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3,856</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2.5 %</w:t>
            </w:r>
          </w:p>
        </w:tc>
      </w:tr>
      <w:tr>
        <w:trPr>
          <w:trHeight w:val="280"/>
        </w:trPr>
        <w:tc>
          <w:tcPr>
            <w:tcW w:w="5540" w:type="dxa"/>
            <w:vAlign w:val="bottom"/>
            <w:shd w:val="clear" w:color="auto" w:fill="CCEEFF"/>
          </w:tcPr>
          <w:p>
            <w:pPr>
              <w:ind w:left="80"/>
              <w:spacing w:after="0"/>
              <w:rPr>
                <w:sz w:val="20"/>
                <w:szCs w:val="20"/>
                <w:color w:val="auto"/>
              </w:rPr>
            </w:pPr>
            <w:r>
              <w:rPr>
                <w:rFonts w:ascii="Arial" w:cs="Arial" w:eastAsia="Arial" w:hAnsi="Arial"/>
                <w:sz w:val="16"/>
                <w:szCs w:val="16"/>
                <w:color w:val="auto"/>
              </w:rPr>
              <w:t>Alternative investments</w:t>
            </w: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31,987</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50,692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(18,705)</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(36.9)%</w:t>
            </w:r>
          </w:p>
        </w:tc>
      </w:tr>
      <w:tr>
        <w:trPr>
          <w:trHeight w:val="260"/>
        </w:trPr>
        <w:tc>
          <w:tcPr>
            <w:tcW w:w="5540" w:type="dxa"/>
            <w:vAlign w:val="bottom"/>
          </w:tcPr>
          <w:p>
            <w:pPr>
              <w:ind w:left="80"/>
              <w:spacing w:after="0"/>
              <w:rPr>
                <w:sz w:val="20"/>
                <w:szCs w:val="20"/>
                <w:color w:val="auto"/>
              </w:rPr>
            </w:pPr>
            <w:r>
              <w:rPr>
                <w:rFonts w:ascii="Arial" w:cs="Arial" w:eastAsia="Arial" w:hAnsi="Arial"/>
                <w:sz w:val="16"/>
                <w:szCs w:val="16"/>
                <w:color w:val="auto"/>
              </w:rPr>
              <w:t>Fixed annuities</w:t>
            </w:r>
          </w:p>
        </w:tc>
        <w:tc>
          <w:tcPr>
            <w:tcW w:w="24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36,092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42,831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(6,739)</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(15.7)%</w:t>
            </w:r>
          </w:p>
        </w:tc>
      </w:tr>
      <w:tr>
        <w:trPr>
          <w:trHeight w:val="280"/>
        </w:trPr>
        <w:tc>
          <w:tcPr>
            <w:tcW w:w="5540" w:type="dxa"/>
            <w:vAlign w:val="bottom"/>
            <w:shd w:val="clear" w:color="auto" w:fill="CCEEFF"/>
          </w:tcPr>
          <w:p>
            <w:pPr>
              <w:ind w:left="80"/>
              <w:spacing w:after="0"/>
              <w:rPr>
                <w:sz w:val="20"/>
                <w:szCs w:val="20"/>
                <w:color w:val="auto"/>
              </w:rPr>
            </w:pPr>
            <w:r>
              <w:rPr>
                <w:rFonts w:ascii="Arial" w:cs="Arial" w:eastAsia="Arial" w:hAnsi="Arial"/>
                <w:sz w:val="16"/>
                <w:szCs w:val="16"/>
                <w:color w:val="auto"/>
              </w:rPr>
              <w:t>Equities</w:t>
            </w: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23,475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26,511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(3,036)</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(11.5)%</w:t>
            </w:r>
          </w:p>
        </w:tc>
      </w:tr>
      <w:tr>
        <w:trPr>
          <w:trHeight w:val="260"/>
        </w:trPr>
        <w:tc>
          <w:tcPr>
            <w:tcW w:w="5540" w:type="dxa"/>
            <w:vAlign w:val="bottom"/>
          </w:tcPr>
          <w:p>
            <w:pPr>
              <w:ind w:left="80"/>
              <w:spacing w:after="0"/>
              <w:rPr>
                <w:sz w:val="20"/>
                <w:szCs w:val="20"/>
                <w:color w:val="auto"/>
              </w:rPr>
            </w:pPr>
            <w:r>
              <w:rPr>
                <w:rFonts w:ascii="Arial" w:cs="Arial" w:eastAsia="Arial" w:hAnsi="Arial"/>
                <w:sz w:val="16"/>
                <w:szCs w:val="16"/>
                <w:color w:val="auto"/>
              </w:rPr>
              <w:t>Fixed income</w:t>
            </w:r>
          </w:p>
        </w:tc>
        <w:tc>
          <w:tcPr>
            <w:tcW w:w="24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24,071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22,443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1,628</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7.3 %</w:t>
            </w:r>
          </w:p>
        </w:tc>
      </w:tr>
      <w:tr>
        <w:trPr>
          <w:trHeight w:val="280"/>
        </w:trPr>
        <w:tc>
          <w:tcPr>
            <w:tcW w:w="5540" w:type="dxa"/>
            <w:vAlign w:val="bottom"/>
            <w:shd w:val="clear" w:color="auto" w:fill="CCEEFF"/>
          </w:tcPr>
          <w:p>
            <w:pPr>
              <w:ind w:left="80"/>
              <w:spacing w:after="0"/>
              <w:rPr>
                <w:sz w:val="20"/>
                <w:szCs w:val="20"/>
                <w:color w:val="auto"/>
              </w:rPr>
            </w:pPr>
            <w:r>
              <w:rPr>
                <w:rFonts w:ascii="Arial" w:cs="Arial" w:eastAsia="Arial" w:hAnsi="Arial"/>
                <w:sz w:val="16"/>
                <w:szCs w:val="16"/>
                <w:color w:val="auto"/>
              </w:rPr>
              <w:t>Insurance</w:t>
            </w: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20,024</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17,910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2,114</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11.8 %</w:t>
            </w:r>
          </w:p>
        </w:tc>
      </w:tr>
      <w:tr>
        <w:trPr>
          <w:trHeight w:val="260"/>
        </w:trPr>
        <w:tc>
          <w:tcPr>
            <w:tcW w:w="5540" w:type="dxa"/>
            <w:vAlign w:val="bottom"/>
          </w:tcPr>
          <w:p>
            <w:pPr>
              <w:ind w:left="80"/>
              <w:spacing w:after="0"/>
              <w:rPr>
                <w:sz w:val="20"/>
                <w:szCs w:val="20"/>
                <w:color w:val="auto"/>
              </w:rPr>
            </w:pPr>
            <w:r>
              <w:rPr>
                <w:rFonts w:ascii="Arial" w:cs="Arial" w:eastAsia="Arial" w:hAnsi="Arial"/>
                <w:sz w:val="16"/>
                <w:szCs w:val="16"/>
                <w:color w:val="auto"/>
              </w:rPr>
              <w:t>Group annuities</w:t>
            </w:r>
          </w:p>
        </w:tc>
        <w:tc>
          <w:tcPr>
            <w:tcW w:w="24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12,391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13,611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(1,220)</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(9.0)%</w:t>
            </w:r>
          </w:p>
        </w:tc>
      </w:tr>
      <w:tr>
        <w:trPr>
          <w:trHeight w:val="280"/>
        </w:trPr>
        <w:tc>
          <w:tcPr>
            <w:tcW w:w="5540" w:type="dxa"/>
            <w:vAlign w:val="bottom"/>
            <w:shd w:val="clear" w:color="auto" w:fill="CCEEFF"/>
          </w:tcPr>
          <w:p>
            <w:pPr>
              <w:ind w:left="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206</w:t>
            </w:r>
          </w:p>
        </w:tc>
        <w:tc>
          <w:tcPr>
            <w:tcW w:w="12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264</w:t>
            </w: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(22.0)%</w:t>
            </w:r>
          </w:p>
        </w:tc>
      </w:tr>
      <w:tr>
        <w:trPr>
          <w:trHeight w:val="244"/>
        </w:trPr>
        <w:tc>
          <w:tcPr>
            <w:tcW w:w="5540" w:type="dxa"/>
            <w:vAlign w:val="bottom"/>
          </w:tcPr>
          <w:p>
            <w:pPr>
              <w:ind w:left="200"/>
              <w:spacing w:after="0"/>
              <w:rPr>
                <w:sz w:val="20"/>
                <w:szCs w:val="20"/>
                <w:color w:val="auto"/>
              </w:rPr>
            </w:pPr>
            <w:r>
              <w:rPr>
                <w:rFonts w:ascii="Arial" w:cs="Arial" w:eastAsia="Arial" w:hAnsi="Arial"/>
                <w:sz w:val="16"/>
                <w:szCs w:val="16"/>
                <w:b w:val="1"/>
                <w:bCs w:val="1"/>
                <w:color w:val="auto"/>
              </w:rPr>
              <w:t>Total commission revenue</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509,689</w:t>
            </w:r>
          </w:p>
        </w:tc>
        <w:tc>
          <w:tcPr>
            <w:tcW w:w="120" w:type="dxa"/>
            <w:vAlign w:val="bottom"/>
          </w:tcPr>
          <w:p>
            <w:pPr>
              <w:spacing w:after="0"/>
              <w:rPr>
                <w:sz w:val="21"/>
                <w:szCs w:val="21"/>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535,177</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(25,488)</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(4.8)%</w:t>
            </w:r>
          </w:p>
        </w:tc>
      </w:tr>
    </w:tbl>
    <w:p>
      <w:pPr>
        <w:spacing w:after="0" w:line="16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our commission revenue, by sales-based and trailing commission revenue, for the three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30, 2015 and 2014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92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June 30,</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64"/>
        </w:trPr>
        <w:tc>
          <w:tcPr>
            <w:tcW w:w="554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 Change</w:t>
            </w:r>
          </w:p>
        </w:tc>
      </w:tr>
      <w:tr>
        <w:trPr>
          <w:trHeight w:val="257"/>
        </w:trPr>
        <w:tc>
          <w:tcPr>
            <w:tcW w:w="5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Sales-based</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262,792</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303,232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(40,440)</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(13.3)%</w:t>
            </w:r>
          </w:p>
        </w:tc>
      </w:tr>
      <w:tr>
        <w:trPr>
          <w:trHeight w:val="264"/>
        </w:trPr>
        <w:tc>
          <w:tcPr>
            <w:tcW w:w="5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Trailing</w:t>
            </w: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246,897</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231,945</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14,952</w:t>
            </w:r>
          </w:p>
        </w:tc>
        <w:tc>
          <w:tcPr>
            <w:tcW w:w="14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6.4 %</w:t>
            </w:r>
          </w:p>
        </w:tc>
      </w:tr>
      <w:tr>
        <w:trPr>
          <w:trHeight w:val="240"/>
        </w:trPr>
        <w:tc>
          <w:tcPr>
            <w:tcW w:w="5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b w:val="1"/>
                <w:bCs w:val="1"/>
                <w:color w:val="auto"/>
              </w:rPr>
              <w:t>Total commission revenue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509,689</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535,177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(25,488)</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(4.8)%</w:t>
            </w:r>
          </w:p>
        </w:tc>
      </w:tr>
      <w:tr>
        <w:trPr>
          <w:trHeight w:val="20"/>
        </w:trPr>
        <w:tc>
          <w:tcPr>
            <w:tcW w:w="5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right="100" w:firstLine="486"/>
        <w:spacing w:after="0" w:line="254" w:lineRule="auto"/>
        <w:rPr>
          <w:sz w:val="20"/>
          <w:szCs w:val="20"/>
          <w:color w:val="auto"/>
        </w:rPr>
      </w:pPr>
      <w:r>
        <w:rPr>
          <w:rFonts w:ascii="Arial" w:cs="Arial" w:eastAsia="Arial" w:hAnsi="Arial"/>
          <w:sz w:val="18"/>
          <w:szCs w:val="18"/>
          <w:color w:val="auto"/>
        </w:rPr>
        <w:t>The decrease in commission revenue for the three months ended June 30, 2015 compared with the same period in 2014, was primarily due to a decrease in sales-based activity for alternative investments and fixed and variable annuities. The decline in demand for annuities was a result of the low interest rate environment and the decline in demand for alternative investments was due to a lack of liquidity events of such products and the real estate cycle.</w:t>
      </w:r>
    </w:p>
    <w:p>
      <w:pPr>
        <w:spacing w:after="0" w:line="96" w:lineRule="exact"/>
        <w:rPr>
          <w:sz w:val="20"/>
          <w:szCs w:val="20"/>
          <w:color w:val="auto"/>
        </w:rPr>
      </w:pPr>
    </w:p>
    <w:p>
      <w:pPr>
        <w:ind w:right="660" w:firstLine="486"/>
        <w:spacing w:after="0" w:line="262" w:lineRule="auto"/>
        <w:rPr>
          <w:sz w:val="20"/>
          <w:szCs w:val="20"/>
          <w:color w:val="auto"/>
        </w:rPr>
      </w:pPr>
      <w:r>
        <w:rPr>
          <w:rFonts w:ascii="Arial" w:cs="Arial" w:eastAsia="Arial" w:hAnsi="Arial"/>
          <w:sz w:val="18"/>
          <w:szCs w:val="18"/>
          <w:color w:val="auto"/>
        </w:rPr>
        <w:t>Increases in trailing revenues for mutual funds, fixed and variable annuities, and alternative investments reflect improved investor engagement and strong market conditions, resulting in an increase in the value of the underlying assets.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382" w:right="239" w:bottom="1440" w:gutter="0" w:footer="0" w:header="0"/>
        </w:sectPr>
      </w:pPr>
    </w:p>
    <w:bookmarkStart w:id="37" w:name="page38"/>
    <w:bookmarkEnd w:id="37"/>
    <w:p>
      <w:pPr>
        <w:ind w:right="860" w:firstLine="486"/>
        <w:spacing w:after="0" w:line="262" w:lineRule="auto"/>
        <w:rPr>
          <w:sz w:val="20"/>
          <w:szCs w:val="20"/>
          <w:color w:val="auto"/>
        </w:rPr>
      </w:pPr>
      <w:r>
        <w:rPr>
          <w:rFonts w:ascii="Arial" w:cs="Arial" w:eastAsia="Arial" w:hAnsi="Arial"/>
          <w:sz w:val="18"/>
          <w:szCs w:val="18"/>
          <w:color w:val="auto"/>
        </w:rPr>
        <w:t>The following table sets forth our commission revenue, by product category, included in our unaudited condensed consolidated statements of income for the six months ended June 30, 2015 and 2014 (dollars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60" w:type="dxa"/>
            <w:vAlign w:val="bottom"/>
            <w:gridSpan w:val="5"/>
          </w:tcPr>
          <w:p>
            <w:pPr>
              <w:ind w:left="180"/>
              <w:spacing w:after="0"/>
              <w:rPr>
                <w:sz w:val="20"/>
                <w:szCs w:val="20"/>
                <w:color w:val="auto"/>
              </w:rPr>
            </w:pPr>
            <w:r>
              <w:rPr>
                <w:rFonts w:ascii="Arial" w:cs="Arial" w:eastAsia="Arial" w:hAnsi="Arial"/>
                <w:sz w:val="16"/>
                <w:szCs w:val="16"/>
                <w:b w:val="1"/>
                <w:bCs w:val="1"/>
                <w:color w:val="auto"/>
              </w:rPr>
              <w:t>Six Months Ended June 30,</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64"/>
        </w:trPr>
        <w:tc>
          <w:tcPr>
            <w:tcW w:w="554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 Change</w:t>
            </w:r>
          </w:p>
        </w:tc>
      </w:tr>
      <w:tr>
        <w:trPr>
          <w:trHeight w:val="257"/>
        </w:trPr>
        <w:tc>
          <w:tcPr>
            <w:tcW w:w="5540" w:type="dxa"/>
            <w:vAlign w:val="bottom"/>
            <w:shd w:val="clear" w:color="auto" w:fill="CCEEFF"/>
          </w:tcPr>
          <w:p>
            <w:pPr>
              <w:ind w:left="80"/>
              <w:spacing w:after="0"/>
              <w:rPr>
                <w:sz w:val="20"/>
                <w:szCs w:val="20"/>
                <w:color w:val="auto"/>
              </w:rPr>
            </w:pPr>
            <w:r>
              <w:rPr>
                <w:rFonts w:ascii="Arial" w:cs="Arial" w:eastAsia="Arial" w:hAnsi="Arial"/>
                <w:sz w:val="16"/>
                <w:szCs w:val="16"/>
                <w:color w:val="auto"/>
              </w:rPr>
              <w:t>Variable annuities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395,732</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404,904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(9,172)</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60"/>
        </w:trPr>
        <w:tc>
          <w:tcPr>
            <w:tcW w:w="5540" w:type="dxa"/>
            <w:vAlign w:val="bottom"/>
          </w:tcPr>
          <w:p>
            <w:pPr>
              <w:ind w:left="80"/>
              <w:spacing w:after="0"/>
              <w:rPr>
                <w:sz w:val="20"/>
                <w:szCs w:val="20"/>
                <w:color w:val="auto"/>
              </w:rPr>
            </w:pPr>
            <w:r>
              <w:rPr>
                <w:rFonts w:ascii="Arial" w:cs="Arial" w:eastAsia="Arial" w:hAnsi="Arial"/>
                <w:sz w:val="16"/>
                <w:szCs w:val="16"/>
                <w:color w:val="auto"/>
              </w:rPr>
              <w:t>Mutual funds</w:t>
            </w:r>
          </w:p>
        </w:tc>
        <w:tc>
          <w:tcPr>
            <w:tcW w:w="30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309,216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302,962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6,254</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2.1 %</w:t>
            </w:r>
          </w:p>
        </w:tc>
      </w:tr>
      <w:tr>
        <w:trPr>
          <w:trHeight w:val="280"/>
        </w:trPr>
        <w:tc>
          <w:tcPr>
            <w:tcW w:w="5540" w:type="dxa"/>
            <w:vAlign w:val="bottom"/>
            <w:shd w:val="clear" w:color="auto" w:fill="CCEEFF"/>
          </w:tcPr>
          <w:p>
            <w:pPr>
              <w:ind w:left="80"/>
              <w:spacing w:after="0"/>
              <w:rPr>
                <w:sz w:val="20"/>
                <w:szCs w:val="20"/>
                <w:color w:val="auto"/>
              </w:rPr>
            </w:pPr>
            <w:r>
              <w:rPr>
                <w:rFonts w:ascii="Arial" w:cs="Arial" w:eastAsia="Arial" w:hAnsi="Arial"/>
                <w:sz w:val="16"/>
                <w:szCs w:val="16"/>
                <w:color w:val="auto"/>
              </w:rPr>
              <w:t>Alternative investments</w:t>
            </w: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90,680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106,374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(15,694)</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(14.8)%</w:t>
            </w:r>
          </w:p>
        </w:tc>
      </w:tr>
      <w:tr>
        <w:trPr>
          <w:trHeight w:val="260"/>
        </w:trPr>
        <w:tc>
          <w:tcPr>
            <w:tcW w:w="5540" w:type="dxa"/>
            <w:vAlign w:val="bottom"/>
          </w:tcPr>
          <w:p>
            <w:pPr>
              <w:ind w:left="80"/>
              <w:spacing w:after="0"/>
              <w:rPr>
                <w:sz w:val="20"/>
                <w:szCs w:val="20"/>
                <w:color w:val="auto"/>
              </w:rPr>
            </w:pPr>
            <w:r>
              <w:rPr>
                <w:rFonts w:ascii="Arial" w:cs="Arial" w:eastAsia="Arial" w:hAnsi="Arial"/>
                <w:sz w:val="16"/>
                <w:szCs w:val="16"/>
                <w:color w:val="auto"/>
              </w:rPr>
              <w:t>Fixed annuities</w:t>
            </w:r>
          </w:p>
        </w:tc>
        <w:tc>
          <w:tcPr>
            <w:tcW w:w="30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71,199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89,557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(18,358)</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(20.5)%</w:t>
            </w:r>
          </w:p>
        </w:tc>
      </w:tr>
      <w:tr>
        <w:trPr>
          <w:trHeight w:val="280"/>
        </w:trPr>
        <w:tc>
          <w:tcPr>
            <w:tcW w:w="5540" w:type="dxa"/>
            <w:vAlign w:val="bottom"/>
            <w:shd w:val="clear" w:color="auto" w:fill="CCEEFF"/>
          </w:tcPr>
          <w:p>
            <w:pPr>
              <w:ind w:left="80"/>
              <w:spacing w:after="0"/>
              <w:rPr>
                <w:sz w:val="20"/>
                <w:szCs w:val="20"/>
                <w:color w:val="auto"/>
              </w:rPr>
            </w:pPr>
            <w:r>
              <w:rPr>
                <w:rFonts w:ascii="Arial" w:cs="Arial" w:eastAsia="Arial" w:hAnsi="Arial"/>
                <w:sz w:val="16"/>
                <w:szCs w:val="16"/>
                <w:color w:val="auto"/>
              </w:rPr>
              <w:t>Equities</w:t>
            </w: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50,808</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55,621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(4,813)</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(8.7)%</w:t>
            </w:r>
          </w:p>
        </w:tc>
      </w:tr>
      <w:tr>
        <w:trPr>
          <w:trHeight w:val="260"/>
        </w:trPr>
        <w:tc>
          <w:tcPr>
            <w:tcW w:w="5540" w:type="dxa"/>
            <w:vAlign w:val="bottom"/>
          </w:tcPr>
          <w:p>
            <w:pPr>
              <w:ind w:left="80"/>
              <w:spacing w:after="0"/>
              <w:rPr>
                <w:sz w:val="20"/>
                <w:szCs w:val="20"/>
                <w:color w:val="auto"/>
              </w:rPr>
            </w:pPr>
            <w:r>
              <w:rPr>
                <w:rFonts w:ascii="Arial" w:cs="Arial" w:eastAsia="Arial" w:hAnsi="Arial"/>
                <w:sz w:val="16"/>
                <w:szCs w:val="16"/>
                <w:color w:val="auto"/>
              </w:rPr>
              <w:t>Fixed income</w:t>
            </w:r>
          </w:p>
        </w:tc>
        <w:tc>
          <w:tcPr>
            <w:tcW w:w="30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48,058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44,427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3,631</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8.2 %</w:t>
            </w:r>
          </w:p>
        </w:tc>
      </w:tr>
      <w:tr>
        <w:trPr>
          <w:trHeight w:val="280"/>
        </w:trPr>
        <w:tc>
          <w:tcPr>
            <w:tcW w:w="5540" w:type="dxa"/>
            <w:vAlign w:val="bottom"/>
            <w:shd w:val="clear" w:color="auto" w:fill="CCEEFF"/>
          </w:tcPr>
          <w:p>
            <w:pPr>
              <w:ind w:left="80"/>
              <w:spacing w:after="0"/>
              <w:rPr>
                <w:sz w:val="20"/>
                <w:szCs w:val="20"/>
                <w:color w:val="auto"/>
              </w:rPr>
            </w:pPr>
            <w:r>
              <w:rPr>
                <w:rFonts w:ascii="Arial" w:cs="Arial" w:eastAsia="Arial" w:hAnsi="Arial"/>
                <w:sz w:val="16"/>
                <w:szCs w:val="16"/>
                <w:color w:val="auto"/>
              </w:rPr>
              <w:t>Insurance</w:t>
            </w: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41,713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37,322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4,391</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11.8 %</w:t>
            </w:r>
          </w:p>
        </w:tc>
      </w:tr>
      <w:tr>
        <w:trPr>
          <w:trHeight w:val="260"/>
        </w:trPr>
        <w:tc>
          <w:tcPr>
            <w:tcW w:w="5540" w:type="dxa"/>
            <w:vAlign w:val="bottom"/>
          </w:tcPr>
          <w:p>
            <w:pPr>
              <w:ind w:left="80"/>
              <w:spacing w:after="0"/>
              <w:rPr>
                <w:sz w:val="20"/>
                <w:szCs w:val="20"/>
                <w:color w:val="auto"/>
              </w:rPr>
            </w:pPr>
            <w:r>
              <w:rPr>
                <w:rFonts w:ascii="Arial" w:cs="Arial" w:eastAsia="Arial" w:hAnsi="Arial"/>
                <w:sz w:val="16"/>
                <w:szCs w:val="16"/>
                <w:color w:val="auto"/>
              </w:rPr>
              <w:t>Group annuities</w:t>
            </w:r>
          </w:p>
        </w:tc>
        <w:tc>
          <w:tcPr>
            <w:tcW w:w="30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25,383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28,221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(2,838)</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(10.1)%</w:t>
            </w:r>
          </w:p>
        </w:tc>
      </w:tr>
      <w:tr>
        <w:trPr>
          <w:trHeight w:val="280"/>
        </w:trPr>
        <w:tc>
          <w:tcPr>
            <w:tcW w:w="5540" w:type="dxa"/>
            <w:vAlign w:val="bottom"/>
            <w:shd w:val="clear" w:color="auto" w:fill="CCEEFF"/>
          </w:tcPr>
          <w:p>
            <w:pPr>
              <w:ind w:left="8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299</w:t>
            </w:r>
          </w:p>
        </w:tc>
        <w:tc>
          <w:tcPr>
            <w:tcW w:w="12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363</w:t>
            </w: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(17.6)%</w:t>
            </w:r>
          </w:p>
        </w:tc>
      </w:tr>
      <w:tr>
        <w:trPr>
          <w:trHeight w:val="234"/>
        </w:trPr>
        <w:tc>
          <w:tcPr>
            <w:tcW w:w="5540" w:type="dxa"/>
            <w:vAlign w:val="bottom"/>
          </w:tcPr>
          <w:p>
            <w:pPr>
              <w:ind w:left="200"/>
              <w:spacing w:after="0"/>
              <w:rPr>
                <w:sz w:val="20"/>
                <w:szCs w:val="20"/>
                <w:color w:val="auto"/>
              </w:rPr>
            </w:pPr>
            <w:r>
              <w:rPr>
                <w:rFonts w:ascii="Arial" w:cs="Arial" w:eastAsia="Arial" w:hAnsi="Arial"/>
                <w:sz w:val="16"/>
                <w:szCs w:val="16"/>
                <w:b w:val="1"/>
                <w:bCs w:val="1"/>
                <w:color w:val="auto"/>
              </w:rPr>
              <w:t>Total commission revenue</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1,033,088</w:t>
            </w:r>
          </w:p>
        </w:tc>
        <w:tc>
          <w:tcPr>
            <w:tcW w:w="120" w:type="dxa"/>
            <w:vAlign w:val="bottom"/>
          </w:tcPr>
          <w:p>
            <w:pPr>
              <w:spacing w:after="0"/>
              <w:rPr>
                <w:sz w:val="20"/>
                <w:szCs w:val="20"/>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1,069,751</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(36,663)</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(3.4)%</w:t>
            </w:r>
          </w:p>
        </w:tc>
      </w:tr>
      <w:tr>
        <w:trPr>
          <w:trHeight w:val="20"/>
        </w:trPr>
        <w:tc>
          <w:tcPr>
            <w:tcW w:w="5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16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our commission revenue, by sales-based and trailing commission revenue, for the six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30, 2015 and 2014 (dollars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60" w:type="dxa"/>
            <w:vAlign w:val="bottom"/>
            <w:gridSpan w:val="5"/>
          </w:tcPr>
          <w:p>
            <w:pPr>
              <w:ind w:left="180"/>
              <w:spacing w:after="0"/>
              <w:rPr>
                <w:sz w:val="20"/>
                <w:szCs w:val="20"/>
                <w:color w:val="auto"/>
              </w:rPr>
            </w:pPr>
            <w:r>
              <w:rPr>
                <w:rFonts w:ascii="Arial" w:cs="Arial" w:eastAsia="Arial" w:hAnsi="Arial"/>
                <w:sz w:val="16"/>
                <w:szCs w:val="16"/>
                <w:b w:val="1"/>
                <w:bCs w:val="1"/>
                <w:color w:val="auto"/>
              </w:rPr>
              <w:t>Six Months Ended June 30,</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64"/>
        </w:trPr>
        <w:tc>
          <w:tcPr>
            <w:tcW w:w="554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 Change</w:t>
            </w:r>
          </w:p>
        </w:tc>
      </w:tr>
      <w:tr>
        <w:trPr>
          <w:trHeight w:val="257"/>
        </w:trPr>
        <w:tc>
          <w:tcPr>
            <w:tcW w:w="5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Sales-based</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546,259</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615,252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(68,993)</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(11.2)%</w:t>
            </w:r>
          </w:p>
        </w:tc>
      </w:tr>
      <w:tr>
        <w:trPr>
          <w:trHeight w:val="264"/>
        </w:trPr>
        <w:tc>
          <w:tcPr>
            <w:tcW w:w="5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Trailing</w:t>
            </w: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486,829</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454,499</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32,330</w:t>
            </w:r>
          </w:p>
        </w:tc>
        <w:tc>
          <w:tcPr>
            <w:tcW w:w="14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7.1 %</w:t>
            </w:r>
          </w:p>
        </w:tc>
      </w:tr>
      <w:tr>
        <w:trPr>
          <w:trHeight w:val="240"/>
        </w:trPr>
        <w:tc>
          <w:tcPr>
            <w:tcW w:w="5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b w:val="1"/>
                <w:bCs w:val="1"/>
                <w:color w:val="auto"/>
              </w:rPr>
              <w:t>Total commission revenue</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1,033,088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1,069,751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(36,663)</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(3.4)%</w:t>
            </w:r>
          </w:p>
        </w:tc>
      </w:tr>
      <w:tr>
        <w:trPr>
          <w:trHeight w:val="20"/>
        </w:trPr>
        <w:tc>
          <w:tcPr>
            <w:tcW w:w="5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161"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The decrease in commission revenue for the six months ended June 30, 2015 compared with the same period in 2014, was primarily due to a decrease in sales-based activity for fixed and variable annuities and alternative investments. The decline in demand for these products was a result of investors that have shifted their focus from guaranteed income streams with minimal risk to principal (which these products provide), to products providing portfolio growth as gains in the market have steadily risen.</w:t>
      </w:r>
    </w:p>
    <w:p>
      <w:pPr>
        <w:spacing w:after="0" w:line="96" w:lineRule="exact"/>
        <w:rPr>
          <w:sz w:val="20"/>
          <w:szCs w:val="20"/>
          <w:color w:val="auto"/>
        </w:rPr>
      </w:pPr>
    </w:p>
    <w:p>
      <w:pPr>
        <w:ind w:right="460" w:firstLine="486"/>
        <w:spacing w:after="0" w:line="262" w:lineRule="auto"/>
        <w:rPr>
          <w:sz w:val="20"/>
          <w:szCs w:val="20"/>
          <w:color w:val="auto"/>
        </w:rPr>
      </w:pPr>
      <w:r>
        <w:rPr>
          <w:rFonts w:ascii="Arial" w:cs="Arial" w:eastAsia="Arial" w:hAnsi="Arial"/>
          <w:sz w:val="18"/>
          <w:szCs w:val="18"/>
          <w:color w:val="auto"/>
        </w:rPr>
        <w:t>Increases in trailing revenues for fixed and fixed and variable annuities and mutual funds reflect improved investor engagement and strong market conditions, resulting in the increase in the value of the underlying assets.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Advisory Revenues</w:t>
      </w:r>
    </w:p>
    <w:p>
      <w:pPr>
        <w:spacing w:after="0" w:line="243"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Advisory revenues primarily represent fees charged on our corporate RIA platform provided through LPL Financial LLC (“LPL Financial”) to clients of our advisors based on the value of advisory assets. Advisory fees are typically billed to clients quarterly, in advance, and are recognized as revenue ratably during the quarter. The value of the assets in an advisory account on the billing date determines the amount billed, and accordingly, the revenues earned in the following three month period. The majority of our accounts are billed in advance using values as of the last business day of each calendar quarter. Advisory revenues collected on our corporate RIA platform generally average 1.1% of the underlying assets, and can range anywhere from 0.5% to 3.0%.</w:t>
      </w:r>
    </w:p>
    <w:p>
      <w:pPr>
        <w:spacing w:after="0" w:line="209" w:lineRule="exact"/>
        <w:rPr>
          <w:sz w:val="20"/>
          <w:szCs w:val="20"/>
          <w:color w:val="auto"/>
        </w:rPr>
      </w:pPr>
    </w:p>
    <w:p>
      <w:pPr>
        <w:ind w:right="280" w:firstLine="486"/>
        <w:spacing w:after="0" w:line="251" w:lineRule="auto"/>
        <w:rPr>
          <w:sz w:val="20"/>
          <w:szCs w:val="20"/>
          <w:color w:val="auto"/>
        </w:rPr>
      </w:pPr>
      <w:r>
        <w:rPr>
          <w:rFonts w:ascii="Arial" w:cs="Arial" w:eastAsia="Arial" w:hAnsi="Arial"/>
          <w:sz w:val="18"/>
          <w:szCs w:val="18"/>
          <w:color w:val="auto"/>
        </w:rPr>
        <w:t>In addition, we support Hybrid RIAs, which engage us for technology, clearing, compliance-related, and custody services, as well as access to certain of our investment platforms. Most financial advisors associated with Hybrid RIAs carry their brokerage license with LPL Financial and access our fully-integrated brokerage platform under standard terms, although some financial advisors associated with Hybrid RIAs do not carry a brokerage license with us. The assets held under a Hybrid RIA's investment advisory accounts custodied with LPL Financial are included in our advisory and brokerage assets, net new advisory assets, and advisory assets under custody metrics. However, the advisory revenue generated by a Hybrid RIA is earned by the Hybrid RIA, and accordingly is not included in our advisory revenue. We charge administrative fees to Hybrid RIAs for technology, clearing, compliance-related, and custody services based on the value of assets within these advisory accounts. The administrative fees collected on our Hybrid RIA platform vary and can reach a maximum of 0.6% of the underlying assets.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382" w:right="239" w:bottom="1440" w:gutter="0" w:footer="0" w:header="0"/>
        </w:sectPr>
      </w:pPr>
    </w:p>
    <w:bookmarkStart w:id="38" w:name="page39"/>
    <w:bookmarkEnd w:id="38"/>
    <w:p>
      <w:pPr>
        <w:ind w:right="40" w:firstLine="486"/>
        <w:spacing w:after="0" w:line="262" w:lineRule="auto"/>
        <w:rPr>
          <w:sz w:val="20"/>
          <w:szCs w:val="20"/>
          <w:color w:val="auto"/>
        </w:rPr>
      </w:pPr>
      <w:r>
        <w:rPr>
          <w:rFonts w:ascii="Arial" w:cs="Arial" w:eastAsia="Arial" w:hAnsi="Arial"/>
          <w:sz w:val="18"/>
          <w:szCs w:val="18"/>
          <w:color w:val="auto"/>
        </w:rPr>
        <w:t>Furthermore, we support certain financial advisors at broker-dealers affiliated with insurance companies through our customized advisory platforms and charge fees to these advisors based on the value of assets within these advisory accounts.</w:t>
      </w:r>
    </w:p>
    <w:p>
      <w:pPr>
        <w:spacing w:after="0" w:line="88" w:lineRule="exact"/>
        <w:rPr>
          <w:sz w:val="20"/>
          <w:szCs w:val="20"/>
          <w:color w:val="auto"/>
        </w:rPr>
      </w:pPr>
    </w:p>
    <w:p>
      <w:pPr>
        <w:ind w:right="200" w:firstLine="486"/>
        <w:spacing w:after="0" w:line="262" w:lineRule="auto"/>
        <w:rPr>
          <w:sz w:val="20"/>
          <w:szCs w:val="20"/>
          <w:color w:val="auto"/>
        </w:rPr>
      </w:pPr>
      <w:r>
        <w:rPr>
          <w:rFonts w:ascii="Arial" w:cs="Arial" w:eastAsia="Arial" w:hAnsi="Arial"/>
          <w:sz w:val="18"/>
          <w:szCs w:val="18"/>
          <w:color w:val="auto"/>
        </w:rPr>
        <w:t>The following table summarizes the activity within our advisory assets under custody for the three and six months ended June 30, 2015 and 2014 (in billions):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620" w:type="dxa"/>
            <w:vAlign w:val="bottom"/>
          </w:tcPr>
          <w:p>
            <w:pPr>
              <w:spacing w:after="0"/>
              <w:rPr>
                <w:sz w:val="19"/>
                <w:szCs w:val="19"/>
                <w:color w:val="auto"/>
              </w:rPr>
            </w:pPr>
          </w:p>
        </w:tc>
        <w:tc>
          <w:tcPr>
            <w:tcW w:w="2960" w:type="dxa"/>
            <w:vAlign w:val="bottom"/>
            <w:gridSpan w:val="6"/>
          </w:tcPr>
          <w:p>
            <w:pPr>
              <w:ind w:left="280"/>
              <w:spacing w:after="0"/>
              <w:rPr>
                <w:sz w:val="20"/>
                <w:szCs w:val="20"/>
                <w:color w:val="auto"/>
              </w:rPr>
            </w:pPr>
            <w:r>
              <w:rPr>
                <w:rFonts w:ascii="Arial" w:cs="Arial" w:eastAsia="Arial" w:hAnsi="Arial"/>
                <w:sz w:val="16"/>
                <w:szCs w:val="16"/>
                <w:b w:val="1"/>
                <w:bCs w:val="1"/>
                <w:color w:val="auto"/>
              </w:rPr>
              <w:t>Three Months Ended June 30,</w:t>
            </w:r>
          </w:p>
        </w:tc>
        <w:tc>
          <w:tcPr>
            <w:tcW w:w="260" w:type="dxa"/>
            <w:vAlign w:val="bottom"/>
          </w:tcPr>
          <w:p>
            <w:pPr>
              <w:spacing w:after="0"/>
              <w:rPr>
                <w:sz w:val="19"/>
                <w:szCs w:val="19"/>
                <w:color w:val="auto"/>
              </w:rPr>
            </w:pPr>
          </w:p>
        </w:tc>
        <w:tc>
          <w:tcPr>
            <w:tcW w:w="2580" w:type="dxa"/>
            <w:vAlign w:val="bottom"/>
            <w:gridSpan w:val="4"/>
          </w:tcPr>
          <w:p>
            <w:pPr>
              <w:jc w:val="right"/>
              <w:ind w:right="279"/>
              <w:spacing w:after="0"/>
              <w:rPr>
                <w:sz w:val="20"/>
                <w:szCs w:val="20"/>
                <w:color w:val="auto"/>
              </w:rPr>
            </w:pPr>
            <w:r>
              <w:rPr>
                <w:rFonts w:ascii="Arial" w:cs="Arial" w:eastAsia="Arial" w:hAnsi="Arial"/>
                <w:sz w:val="16"/>
                <w:szCs w:val="16"/>
                <w:b w:val="1"/>
                <w:bCs w:val="1"/>
                <w:color w:val="auto"/>
              </w:rPr>
              <w:t>Six Months Ended June 30,</w:t>
            </w:r>
          </w:p>
        </w:tc>
      </w:tr>
      <w:tr>
        <w:trPr>
          <w:trHeight w:val="264"/>
        </w:trPr>
        <w:tc>
          <w:tcPr>
            <w:tcW w:w="5620" w:type="dxa"/>
            <w:vAlign w:val="bottom"/>
            <w:tcBorders>
              <w:bottom w:val="single" w:sz="8" w:color="CCEEFF"/>
            </w:tcBorders>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2015</w:t>
            </w:r>
          </w:p>
        </w:tc>
        <w:tc>
          <w:tcPr>
            <w:tcW w:w="5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2014</w:t>
            </w:r>
          </w:p>
        </w:tc>
      </w:tr>
      <w:tr>
        <w:trPr>
          <w:trHeight w:val="257"/>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 Beginning of period</w:t>
            </w: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99"/>
              </w:rPr>
              <w:t>183.7</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158.0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175.8</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151.6</w:t>
            </w:r>
          </w:p>
        </w:tc>
      </w:tr>
      <w:tr>
        <w:trPr>
          <w:trHeight w:val="260"/>
        </w:trPr>
        <w:tc>
          <w:tcPr>
            <w:tcW w:w="5620" w:type="dxa"/>
            <w:vAlign w:val="bottom"/>
          </w:tcPr>
          <w:p>
            <w:pPr>
              <w:ind w:left="40"/>
              <w:spacing w:after="0"/>
              <w:rPr>
                <w:sz w:val="20"/>
                <w:szCs w:val="20"/>
                <w:color w:val="auto"/>
              </w:rPr>
            </w:pPr>
            <w:r>
              <w:rPr>
                <w:rFonts w:ascii="Arial" w:cs="Arial" w:eastAsia="Arial" w:hAnsi="Arial"/>
                <w:sz w:val="16"/>
                <w:szCs w:val="16"/>
                <w:color w:val="auto"/>
              </w:rPr>
              <w:t>Net new advisory assets</w:t>
            </w:r>
          </w:p>
        </w:tc>
        <w:tc>
          <w:tcPr>
            <w:tcW w:w="860" w:type="dxa"/>
            <w:vAlign w:val="bottom"/>
          </w:tcPr>
          <w:p>
            <w:pPr>
              <w:spacing w:after="0"/>
              <w:rPr>
                <w:sz w:val="22"/>
                <w:szCs w:val="22"/>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9.5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8.7</w:t>
            </w:r>
          </w:p>
        </w:tc>
      </w:tr>
      <w:tr>
        <w:trPr>
          <w:trHeight w:val="273"/>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Market impact and other</w:t>
            </w:r>
          </w:p>
        </w:tc>
        <w:tc>
          <w:tcPr>
            <w:tcW w:w="86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7.0</w:t>
            </w:r>
          </w:p>
        </w:tc>
      </w:tr>
      <w:tr>
        <w:trPr>
          <w:trHeight w:val="240"/>
        </w:trPr>
        <w:tc>
          <w:tcPr>
            <w:tcW w:w="5620" w:type="dxa"/>
            <w:vAlign w:val="bottom"/>
          </w:tcPr>
          <w:p>
            <w:pPr>
              <w:ind w:left="40"/>
              <w:spacing w:after="0"/>
              <w:rPr>
                <w:sz w:val="20"/>
                <w:szCs w:val="20"/>
                <w:color w:val="auto"/>
              </w:rPr>
            </w:pPr>
            <w:r>
              <w:rPr>
                <w:rFonts w:ascii="Arial" w:cs="Arial" w:eastAsia="Arial" w:hAnsi="Arial"/>
                <w:sz w:val="16"/>
                <w:szCs w:val="16"/>
                <w:color w:val="auto"/>
              </w:rPr>
              <w:t>Balance - End of period</w:t>
            </w:r>
          </w:p>
        </w:tc>
        <w:tc>
          <w:tcPr>
            <w:tcW w:w="86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99"/>
              </w:rPr>
              <w:t>186.8</w:t>
            </w:r>
          </w:p>
        </w:tc>
        <w:tc>
          <w:tcPr>
            <w:tcW w:w="120" w:type="dxa"/>
            <w:vAlign w:val="bottom"/>
          </w:tcPr>
          <w:p>
            <w:pPr>
              <w:spacing w:after="0"/>
              <w:rPr>
                <w:sz w:val="20"/>
                <w:szCs w:val="20"/>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167.3</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186.8</w:t>
            </w:r>
          </w:p>
        </w:tc>
        <w:tc>
          <w:tcPr>
            <w:tcW w:w="120" w:type="dxa"/>
            <w:vAlign w:val="bottom"/>
          </w:tcPr>
          <w:p>
            <w:pPr>
              <w:spacing w:after="0"/>
              <w:rPr>
                <w:sz w:val="20"/>
                <w:szCs w:val="20"/>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167.3</w:t>
            </w:r>
          </w:p>
        </w:tc>
      </w:tr>
      <w:tr>
        <w:trPr>
          <w:trHeight w:val="20"/>
        </w:trPr>
        <w:tc>
          <w:tcPr>
            <w:tcW w:w="56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Net new advisory assets for the three and six months ended June 30, 2015 and 2014 had a limited impact on advisory fee revenue for those respective periods. Rather, net new advisory assets are a primary driver of future advisory fee revenue and have resulted from the continued shift by our existing advisors from brokerage towards more advisory business. Advisory revenue for a particular quarter is predominately driven by the prior quarter-end advisory assets under management. The growth in advisory revenue for the three and six months ended June 30, 2015 compared with the same period in 2014 is due to net new advisory assets resulting from our recruiting efforts and strong advisor productivity, as well as market gains as represented by higher levels of the S&amp;P 500 index.</w:t>
      </w:r>
    </w:p>
    <w:p>
      <w:pPr>
        <w:spacing w:after="0" w:line="317"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auto"/>
        </w:rPr>
        <w:t>Adoption of our Hybrid RIA platform has continued to grow rapidly as advisors seek the freedom to run their businesses in a manner that they believe best enables them to meet their clients' needs. This continued shift of advisors to the Hybrid RIA platform (for which we custody assets but do not earn advisory revenues for managing those assets) has caused the rate of revenue growth of advisory assets under management to lag behind the rate of growth of advisory assets under custody. Our advisory revenues include administrative fees collected on our Hybrid RIA platform, but do not include fees for advisory services charged by Hybrid RIA advisors to their clients.</w:t>
      </w:r>
    </w:p>
    <w:p>
      <w:pPr>
        <w:spacing w:after="0" w:line="1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composition of our advisory assets under custody as of June 30, 2015 and 2014 (in billions):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64"/>
        </w:trPr>
        <w:tc>
          <w:tcPr>
            <w:tcW w:w="62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 Change</w:t>
            </w:r>
          </w:p>
        </w:tc>
      </w:tr>
      <w:tr>
        <w:trPr>
          <w:trHeight w:val="257"/>
        </w:trPr>
        <w:tc>
          <w:tcPr>
            <w:tcW w:w="6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Advisory assets under management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126.3</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124.2</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64"/>
        </w:trPr>
        <w:tc>
          <w:tcPr>
            <w:tcW w:w="62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Hybrid RIA assets in advisory accounts custodied by LPL Financial</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60.5</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43.1</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17.4</w:t>
            </w:r>
          </w:p>
        </w:tc>
        <w:tc>
          <w:tcPr>
            <w:tcW w:w="13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40.4%</w:t>
            </w:r>
          </w:p>
        </w:tc>
      </w:tr>
      <w:tr>
        <w:trPr>
          <w:trHeight w:val="240"/>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advisory assets under custody</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186.8</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167.3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19.5</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11.7%</w:t>
            </w:r>
          </w:p>
        </w:tc>
      </w:tr>
      <w:tr>
        <w:trPr>
          <w:trHeight w:val="20"/>
        </w:trPr>
        <w:tc>
          <w:tcPr>
            <w:tcW w:w="6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Asset-Based Revenues</w:t>
      </w:r>
    </w:p>
    <w:p>
      <w:pPr>
        <w:spacing w:after="0" w:line="243" w:lineRule="exact"/>
        <w:rPr>
          <w:sz w:val="20"/>
          <w:szCs w:val="20"/>
          <w:color w:val="auto"/>
        </w:rPr>
      </w:pPr>
    </w:p>
    <w:p>
      <w:pPr>
        <w:ind w:right="20" w:firstLine="486"/>
        <w:spacing w:after="0" w:line="251" w:lineRule="auto"/>
        <w:rPr>
          <w:sz w:val="20"/>
          <w:szCs w:val="20"/>
          <w:color w:val="auto"/>
        </w:rPr>
      </w:pPr>
      <w:r>
        <w:rPr>
          <w:rFonts w:ascii="Arial" w:cs="Arial" w:eastAsia="Arial" w:hAnsi="Arial"/>
          <w:sz w:val="18"/>
          <w:szCs w:val="18"/>
          <w:color w:val="auto"/>
        </w:rPr>
        <w:t>Asset-based revenues are comprised of fees from cash sweep programs, our sponsorship programs with financial product manufacturers, and omnibus processing and networking services. Pursuant to contractual arrangements, uninvested cash balances in our advisors’ client accounts are swept into either insured deposit accounts at various banks or third-party money market funds, for which we receive fees, including administrative and recordkeeping fees based on account type and the invested balances. We receive fees from certain financial product manufacturers in connection with sponsorship programs that support our marketing and sales-force education and training efforts. Our omnibus processing and networking revenues represent fees paid to us in exchange for administrative and record-keeping services that we provide to clients of our advisors. Omnibus processing revenues are paid to us by mutual fund product sponsors and are based on the value of custodied assets in advisory accounts and the number of brokerage accounts in which the related mutual fund positions are held. Networking revenues on brokerage assets are correlated to the number of positions we administer and are paid to us by mutual fund and annuity product manufacturers.</w:t>
      </w:r>
    </w:p>
    <w:p>
      <w:pPr>
        <w:spacing w:after="0" w:line="212" w:lineRule="exact"/>
        <w:rPr>
          <w:sz w:val="20"/>
          <w:szCs w:val="20"/>
          <w:color w:val="auto"/>
        </w:rPr>
      </w:pPr>
    </w:p>
    <w:p>
      <w:pPr>
        <w:jc w:val="both"/>
        <w:ind w:right="160" w:firstLine="486"/>
        <w:spacing w:after="0" w:line="256" w:lineRule="auto"/>
        <w:rPr>
          <w:sz w:val="20"/>
          <w:szCs w:val="20"/>
          <w:color w:val="auto"/>
        </w:rPr>
      </w:pPr>
      <w:r>
        <w:rPr>
          <w:rFonts w:ascii="Arial" w:cs="Arial" w:eastAsia="Arial" w:hAnsi="Arial"/>
          <w:sz w:val="18"/>
          <w:szCs w:val="18"/>
          <w:color w:val="auto"/>
        </w:rPr>
        <w:t>Revenues from product sponsors and for record-keeping services, which are largely based on the underlying asset values, increased in the three months ended June 30, 2015 compared with the same period in 2014 due to the impact of the higher average market indices on the value of those underlying assets and net new sales of</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706"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eligible assets. Asset-based revenues also include revenues from our cash sweep programs, which decreased by $2.2 million, or 8.9%, to</w:t>
      </w:r>
    </w:p>
    <w:p>
      <w:pPr>
        <w:spacing w:after="0" w:line="9"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$22.6 million for the three months ended June 30, 2015 from $24.8 million for the three months ended June 30, 2014. The decrease is due to fee compression that resulted from a repricing of certain contracts that underlie our cash sweep programs.</w:t>
      </w:r>
    </w:p>
    <w:p>
      <w:pPr>
        <w:spacing w:after="0" w:line="264" w:lineRule="exact"/>
        <w:rPr>
          <w:sz w:val="20"/>
          <w:szCs w:val="20"/>
          <w:color w:val="auto"/>
        </w:rPr>
      </w:pPr>
    </w:p>
    <w:p>
      <w:pPr>
        <w:ind w:right="300" w:firstLine="486"/>
        <w:spacing w:after="0" w:line="253" w:lineRule="auto"/>
        <w:rPr>
          <w:sz w:val="20"/>
          <w:szCs w:val="20"/>
          <w:color w:val="auto"/>
        </w:rPr>
      </w:pPr>
      <w:r>
        <w:rPr>
          <w:rFonts w:ascii="Arial" w:cs="Arial" w:eastAsia="Arial" w:hAnsi="Arial"/>
          <w:sz w:val="18"/>
          <w:szCs w:val="18"/>
          <w:color w:val="auto"/>
        </w:rPr>
        <w:t>Revenues for product sponsors and record-keeping services increased in the six months ended June 30, 2015 compared to the same period in 2014 due to the impact of the higher average market indices on the value of such underlying assets and net new sales of eligible assets. Asset-based revenues also include revenues from our cash sweep programs, which decreased by $4.7 million, or 9.6%, to $44.1 million for the six months ended June 30, 2015 from $48.8 million for the six months ended June 30, 2014. The decrease is due to fee compression that resulted from a repricing of certain contracts that underlie our cash sweep programs.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and Fee Revenues</w:t>
      </w:r>
    </w:p>
    <w:p>
      <w:pPr>
        <w:spacing w:after="0" w:line="243"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Revenues earned from transactions and fees primarily consist of transaction fees and ticket charges, subscription fees, Individual Retirement Account (“IRA”) custodian fees, contract and license fees, conference fees, and other client account fees. We charge fees to our advisors and their clients for executing certain transactions in brokerage and fee-based advisory accounts. We earn subscription fees for various services provided to our advisors and on IRA custodial services that we provide for their client accounts. We charge administrative fees to our advisors and fees to advisors who subscribe to our reporting services. We charge fees to financial product manufacturers for participating in our training and marketing conferences. In addition, we host certain advisor conferences that serve as training, sales, and marketing events, for which we charge a fee for attendance.</w:t>
      </w:r>
    </w:p>
    <w:p>
      <w:pPr>
        <w:spacing w:after="0" w:line="207" w:lineRule="exact"/>
        <w:rPr>
          <w:sz w:val="20"/>
          <w:szCs w:val="20"/>
          <w:color w:val="auto"/>
        </w:rPr>
      </w:pPr>
    </w:p>
    <w:p>
      <w:pPr>
        <w:ind w:right="80" w:firstLine="486"/>
        <w:spacing w:after="0" w:line="256" w:lineRule="auto"/>
        <w:rPr>
          <w:sz w:val="20"/>
          <w:szCs w:val="20"/>
          <w:color w:val="auto"/>
        </w:rPr>
      </w:pPr>
      <w:r>
        <w:rPr>
          <w:rFonts w:ascii="Arial" w:cs="Arial" w:eastAsia="Arial" w:hAnsi="Arial"/>
          <w:sz w:val="18"/>
          <w:szCs w:val="18"/>
          <w:color w:val="auto"/>
        </w:rPr>
        <w:t>Transaction and fee revenues increased for the three months ended June 30, 2015 compared with the same period in 2014, primarily due to higher trade volumes in certain advisory accounts that generate transaction based revenue and a 2.5% increase in the average number of advisors.</w:t>
      </w:r>
    </w:p>
    <w:p>
      <w:pPr>
        <w:spacing w:after="0" w:line="256" w:lineRule="exact"/>
        <w:rPr>
          <w:sz w:val="20"/>
          <w:szCs w:val="20"/>
          <w:color w:val="auto"/>
        </w:rPr>
      </w:pPr>
    </w:p>
    <w:p>
      <w:pPr>
        <w:ind w:right="300" w:firstLine="486"/>
        <w:spacing w:after="0" w:line="262" w:lineRule="auto"/>
        <w:rPr>
          <w:sz w:val="20"/>
          <w:szCs w:val="20"/>
          <w:color w:val="auto"/>
        </w:rPr>
      </w:pPr>
      <w:r>
        <w:rPr>
          <w:rFonts w:ascii="Arial" w:cs="Arial" w:eastAsia="Arial" w:hAnsi="Arial"/>
          <w:sz w:val="18"/>
          <w:szCs w:val="18"/>
          <w:color w:val="auto"/>
        </w:rPr>
        <w:t>Transaction and fee revenues increased for the six months ended June 30, 2015 compared with the same period in 2014, which were driven primarily by higher trade volumes in certain advisory accounts and a 2.6% increase in the average number of advisors.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Revenues</w:t>
      </w:r>
    </w:p>
    <w:p>
      <w:pPr>
        <w:spacing w:after="0" w:line="243"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Other revenues include marketing allowances received from certain financial product manufacturers, primarily those who offer alternative investments, such as non-traded real estate investment trusts and business development companies, mark-to-market gains or losses on assets held by us for the advisors' non-qualified deferred compensation plan and our model portfolios, revenues from our Retirement Partners program, interest income from client margin accounts and cash equivalents, net of operating interest expense, and other items.</w:t>
      </w:r>
    </w:p>
    <w:p>
      <w:pPr>
        <w:spacing w:after="0" w:line="204" w:lineRule="exact"/>
        <w:rPr>
          <w:sz w:val="20"/>
          <w:szCs w:val="20"/>
          <w:color w:val="auto"/>
        </w:rPr>
      </w:pPr>
    </w:p>
    <w:p>
      <w:pPr>
        <w:ind w:right="600" w:firstLine="486"/>
        <w:spacing w:after="0" w:line="256" w:lineRule="auto"/>
        <w:rPr>
          <w:sz w:val="20"/>
          <w:szCs w:val="20"/>
          <w:color w:val="auto"/>
        </w:rPr>
      </w:pPr>
      <w:r>
        <w:rPr>
          <w:rFonts w:ascii="Arial" w:cs="Arial" w:eastAsia="Arial" w:hAnsi="Arial"/>
          <w:sz w:val="18"/>
          <w:szCs w:val="18"/>
          <w:color w:val="auto"/>
        </w:rPr>
        <w:t>Other revenues decreased for the three and six months ended June 30, 2015 compared to the same periods in 2014. The primary contributor to such decrease for these periods was lower alternative investment marketing allowances received from product sponsor programs, driven primarily by decreased sales of alternative investments.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Production Expenses</w:t>
      </w:r>
    </w:p>
    <w:p>
      <w:pPr>
        <w:spacing w:after="0" w:line="243"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Production expenses are comprised of the following: base payout amounts that are earned by and paid out to advisors based on commission and advisory revenues earned on each client's account (collectively, commission and advisory revenues earned by LPL Financial are referred to as gross dealer concessions, or “GDC”); production bonuses earned by advisors based on the levels of commission and advisory revenues they produce; the recognition of share-based compensation expense from equity awards granted to advisors and financial institutions based on the fair value of the awards at each reporting period; a mark-to-market gain or loss on amounts designated by advisors as deferred commissions in a non-qualified deferred compensation plan at each reporting period; and brokerage, clearing, and exchange fees. Our production payout ratio is calculated as production expenses, excluding brokerage, clearing, and exchange fees, divided by GDC.</w:t>
      </w:r>
    </w:p>
    <w:p>
      <w:pPr>
        <w:spacing w:after="0" w:line="207" w:lineRule="exact"/>
        <w:rPr>
          <w:sz w:val="20"/>
          <w:szCs w:val="20"/>
          <w:color w:val="auto"/>
        </w:rPr>
      </w:pPr>
    </w:p>
    <w:p>
      <w:pPr>
        <w:ind w:right="120" w:firstLine="486"/>
        <w:spacing w:after="0" w:line="253" w:lineRule="auto"/>
        <w:rPr>
          <w:sz w:val="20"/>
          <w:szCs w:val="20"/>
          <w:color w:val="auto"/>
        </w:rPr>
      </w:pPr>
      <w:r>
        <w:rPr>
          <w:rFonts w:ascii="Arial" w:cs="Arial" w:eastAsia="Arial" w:hAnsi="Arial"/>
          <w:sz w:val="18"/>
          <w:szCs w:val="18"/>
          <w:color w:val="auto"/>
        </w:rPr>
        <w:t>We characterize components of production payout, which consists of all production expenses except brokerage, clearing, and exchange fees, as either GDC sensitive or non-GDC sensitive. Base payout amounts and production bonuses earned by and paid to advisors are characterized as GDC sensitive because they are variable and highly correlated to the level of our commission and advisory revenues in a particular reporting period. Payout characterized as non-GDC sensitive includes share-based compensation expense from equity awards granted to</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90" w:right="239" w:bottom="1440" w:gutter="0" w:footer="0" w:header="0"/>
        </w:sectPr>
      </w:pPr>
    </w:p>
    <w:bookmarkStart w:id="40" w:name="page41"/>
    <w:bookmarkEnd w:id="40"/>
    <w:p>
      <w:pPr>
        <w:ind w:right="200"/>
        <w:spacing w:after="0" w:line="254" w:lineRule="auto"/>
        <w:rPr>
          <w:sz w:val="20"/>
          <w:szCs w:val="20"/>
          <w:color w:val="auto"/>
        </w:rPr>
      </w:pPr>
      <w:r>
        <w:rPr>
          <w:rFonts w:ascii="Arial" w:cs="Arial" w:eastAsia="Arial" w:hAnsi="Arial"/>
          <w:sz w:val="18"/>
          <w:szCs w:val="18"/>
          <w:color w:val="auto"/>
        </w:rPr>
        <w:t>advisors and financial institutions based on the fair value of the awards at each reporting period, and mark-to-market gains or losses on amounts designated by advisors as deferred commissions in a non-qualified deferred compensation plan. Non-GDC sensitive payout is correlated either to market movement or to the value of our stock. We believe that discussion of production payout, viewed in addition to, and not in lieu of, our production expenses, provides useful information to investors regarding our payouts to advisors.</w:t>
      </w:r>
    </w:p>
    <w:p>
      <w:pPr>
        <w:spacing w:after="0" w:line="2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shows our production payout ratio for the three and six months ended June 30, 2015 and 2014:</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100" w:type="dxa"/>
            <w:vAlign w:val="bottom"/>
          </w:tcPr>
          <w:p>
            <w:pPr>
              <w:spacing w:after="0"/>
              <w:rPr>
                <w:sz w:val="19"/>
                <w:szCs w:val="19"/>
                <w:color w:val="auto"/>
              </w:rPr>
            </w:pPr>
          </w:p>
        </w:tc>
        <w:tc>
          <w:tcPr>
            <w:tcW w:w="2600" w:type="dxa"/>
            <w:vAlign w:val="bottom"/>
            <w:gridSpan w:val="4"/>
          </w:tcPr>
          <w:p>
            <w:pPr>
              <w:ind w:left="100"/>
              <w:spacing w:after="0"/>
              <w:rPr>
                <w:sz w:val="20"/>
                <w:szCs w:val="20"/>
                <w:color w:val="auto"/>
              </w:rPr>
            </w:pPr>
            <w:r>
              <w:rPr>
                <w:rFonts w:ascii="Arial" w:cs="Arial" w:eastAsia="Arial" w:hAnsi="Arial"/>
                <w:sz w:val="16"/>
                <w:szCs w:val="16"/>
                <w:b w:val="1"/>
                <w:bCs w:val="1"/>
                <w:color w:val="auto"/>
              </w:rPr>
              <w:t>Three Months Ended June 30,</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0" w:type="dxa"/>
            <w:vAlign w:val="bottom"/>
            <w:gridSpan w:val="4"/>
          </w:tcPr>
          <w:p>
            <w:pPr>
              <w:ind w:left="200"/>
              <w:spacing w:after="0"/>
              <w:rPr>
                <w:sz w:val="20"/>
                <w:szCs w:val="20"/>
                <w:color w:val="auto"/>
              </w:rPr>
            </w:pPr>
            <w:r>
              <w:rPr>
                <w:rFonts w:ascii="Arial" w:cs="Arial" w:eastAsia="Arial" w:hAnsi="Arial"/>
                <w:sz w:val="16"/>
                <w:szCs w:val="16"/>
                <w:b w:val="1"/>
                <w:bCs w:val="1"/>
                <w:color w:val="auto"/>
              </w:rPr>
              <w:t>Six Months Ended June 30,</w:t>
            </w:r>
          </w:p>
        </w:tc>
        <w:tc>
          <w:tcPr>
            <w:tcW w:w="900" w:type="dxa"/>
            <w:vAlign w:val="bottom"/>
          </w:tcPr>
          <w:p>
            <w:pPr>
              <w:spacing w:after="0"/>
              <w:rPr>
                <w:sz w:val="19"/>
                <w:szCs w:val="19"/>
                <w:color w:val="auto"/>
              </w:rPr>
            </w:pPr>
          </w:p>
        </w:tc>
      </w:tr>
      <w:tr>
        <w:trPr>
          <w:trHeight w:val="264"/>
        </w:trPr>
        <w:tc>
          <w:tcPr>
            <w:tcW w:w="4100" w:type="dxa"/>
            <w:vAlign w:val="bottom"/>
            <w:tcBorders>
              <w:bottom w:val="single" w:sz="8" w:color="CCEEFF"/>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Change</w:t>
            </w:r>
          </w:p>
        </w:tc>
        <w:tc>
          <w:tcPr>
            <w:tcW w:w="100" w:type="dxa"/>
            <w:vAlign w:val="bottom"/>
            <w:tcBorders>
              <w:bottom w:val="single" w:sz="8" w:color="CCEEFF"/>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Change</w:t>
            </w:r>
          </w:p>
        </w:tc>
      </w:tr>
      <w:tr>
        <w:trPr>
          <w:trHeight w:val="257"/>
        </w:trPr>
        <w:tc>
          <w:tcPr>
            <w:tcW w:w="4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Base payout rate</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83.43%</w:t>
            </w:r>
          </w:p>
        </w:tc>
        <w:tc>
          <w:tcPr>
            <w:tcW w:w="1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84.01%</w:t>
            </w:r>
          </w:p>
        </w:tc>
        <w:tc>
          <w:tcPr>
            <w:tcW w:w="1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(58 bps)</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83.44%</w:t>
            </w: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83.99%</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(55 bps)</w:t>
            </w:r>
          </w:p>
        </w:tc>
      </w:tr>
      <w:tr>
        <w:trPr>
          <w:trHeight w:val="264"/>
        </w:trPr>
        <w:tc>
          <w:tcPr>
            <w:tcW w:w="41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Production based bonuses</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w:t>
            </w:r>
          </w:p>
        </w:tc>
        <w:tc>
          <w:tcPr>
            <w:tcW w:w="12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w:t>
            </w: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(8 bps)</w:t>
            </w:r>
          </w:p>
        </w:tc>
        <w:tc>
          <w:tcPr>
            <w:tcW w:w="10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w:t>
            </w:r>
          </w:p>
        </w:tc>
        <w:tc>
          <w:tcPr>
            <w:tcW w:w="10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w:t>
            </w: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w:t>
            </w:r>
          </w:p>
        </w:tc>
      </w:tr>
      <w:tr>
        <w:trPr>
          <w:trHeight w:val="257"/>
        </w:trPr>
        <w:tc>
          <w:tcPr>
            <w:tcW w:w="41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GDC sensitive payout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85.99%</w:t>
            </w:r>
          </w:p>
        </w:tc>
        <w:tc>
          <w:tcPr>
            <w:tcW w:w="1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86.65%</w:t>
            </w:r>
          </w:p>
        </w:tc>
        <w:tc>
          <w:tcPr>
            <w:tcW w:w="1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(66 bps)</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85.61%</w:t>
            </w: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86.16%</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(55 bps)</w:t>
            </w:r>
          </w:p>
        </w:tc>
      </w:tr>
      <w:tr>
        <w:trPr>
          <w:trHeight w:val="264"/>
        </w:trPr>
        <w:tc>
          <w:tcPr>
            <w:tcW w:w="41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Non-GDC sensitive payout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0.23%</w:t>
            </w:r>
          </w:p>
        </w:tc>
        <w:tc>
          <w:tcPr>
            <w:tcW w:w="12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0.19%</w:t>
            </w: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4 bps</w:t>
            </w:r>
          </w:p>
        </w:tc>
        <w:tc>
          <w:tcPr>
            <w:tcW w:w="10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0.32%</w:t>
            </w:r>
          </w:p>
        </w:tc>
        <w:tc>
          <w:tcPr>
            <w:tcW w:w="10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0.46%</w:t>
            </w: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(14 bps)</w:t>
            </w:r>
          </w:p>
        </w:tc>
      </w:tr>
      <w:tr>
        <w:trPr>
          <w:trHeight w:val="240"/>
        </w:trPr>
        <w:tc>
          <w:tcPr>
            <w:tcW w:w="41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Total Payout Ratio</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86.22%</w:t>
            </w: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86.84%</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(62 bps)</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85.93%</w:t>
            </w: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86.62%</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(69 bps)</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140" w:firstLine="486"/>
        <w:spacing w:after="0" w:line="254" w:lineRule="auto"/>
        <w:rPr>
          <w:sz w:val="20"/>
          <w:szCs w:val="20"/>
          <w:color w:val="auto"/>
        </w:rPr>
      </w:pPr>
      <w:r>
        <w:rPr>
          <w:rFonts w:ascii="Arial" w:cs="Arial" w:eastAsia="Arial" w:hAnsi="Arial"/>
          <w:sz w:val="18"/>
          <w:szCs w:val="18"/>
          <w:color w:val="auto"/>
        </w:rPr>
        <w:t>Production expenses for the three months ended June 30, 2015 compared with the same period in 2014 remained relatively flat, which correlates with our commission and advisory revenues during the same period. The change in non-GDC sensitive payout is attributable to increased advisor share-based compensation, which is correlated to market movement in our stock as measured at the end of each quarter in the periods presented and the advisor non-qualified deferred compensation plan.</w:t>
      </w:r>
    </w:p>
    <w:p>
      <w:pPr>
        <w:spacing w:after="0" w:line="312"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Production expenses for the six months ended June 30, 2015 compared with the same period in 2014 remained relatively flat, which correlates with our commission and advisory revenues during the same period. The change in non-GDC sensitive payout ratio is attributable to decreased advisor share-based compensation correlating to market movement in our stock as measured at the end of each quarter in the periods presented and the advisor non-qualified deferred compensation plan.</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and Benefits Expense</w:t>
      </w:r>
    </w:p>
    <w:p>
      <w:pPr>
        <w:spacing w:after="0" w:line="243" w:lineRule="exact"/>
        <w:rPr>
          <w:sz w:val="20"/>
          <w:szCs w:val="20"/>
          <w:color w:val="auto"/>
        </w:rPr>
      </w:pPr>
    </w:p>
    <w:p>
      <w:pPr>
        <w:ind w:right="100" w:firstLine="486"/>
        <w:spacing w:after="0" w:line="262" w:lineRule="auto"/>
        <w:rPr>
          <w:sz w:val="20"/>
          <w:szCs w:val="20"/>
          <w:color w:val="auto"/>
        </w:rPr>
      </w:pPr>
      <w:r>
        <w:rPr>
          <w:rFonts w:ascii="Arial" w:cs="Arial" w:eastAsia="Arial" w:hAnsi="Arial"/>
          <w:sz w:val="18"/>
          <w:szCs w:val="18"/>
          <w:color w:val="auto"/>
        </w:rPr>
        <w:t>Compensation and benefits expense includes salaries and wages and related employee benefits and taxes for our employees (including share-based compensation), as well as compensation for temporary employees and consultants.</w:t>
      </w:r>
    </w:p>
    <w:p>
      <w:pPr>
        <w:spacing w:after="0" w:line="196"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The increase in compensation and benefits expense for the three months ended June 30, 2015 compared with the same period in 2014 was primarily driven by a reduction in 2014 of the employee bonus pool accrual, increases in merit pay, increases in health care costs, and a 1.0% increase in our average number of full-time employees, from 3,323 for the three months ended June 30, 2014 to 3,356 for the three months ended June 30, 2015, to support business growth and investments in staffing related to service and compliance and risk management.</w:t>
      </w:r>
    </w:p>
    <w:p>
      <w:pPr>
        <w:spacing w:after="0" w:line="258" w:lineRule="exact"/>
        <w:rPr>
          <w:sz w:val="20"/>
          <w:szCs w:val="20"/>
          <w:color w:val="auto"/>
        </w:rPr>
      </w:pPr>
    </w:p>
    <w:p>
      <w:pPr>
        <w:ind w:right="140" w:firstLine="486"/>
        <w:spacing w:after="0" w:line="253" w:lineRule="auto"/>
        <w:rPr>
          <w:sz w:val="20"/>
          <w:szCs w:val="20"/>
          <w:color w:val="auto"/>
        </w:rPr>
      </w:pPr>
      <w:r>
        <w:rPr>
          <w:rFonts w:ascii="Arial" w:cs="Arial" w:eastAsia="Arial" w:hAnsi="Arial"/>
          <w:sz w:val="18"/>
          <w:szCs w:val="18"/>
          <w:color w:val="auto"/>
        </w:rPr>
        <w:t>The increase in compensation and benefits expense for the six months ended June 30, 2015 compared with the same period in 2014 was primarily driven by a reduction in 2014 of the employee bonus pool accrual, increases in merit pay, increases in health care costs, and a 2.1% increase in our average number of full-time employees from 3,288 for the six months ended June 30, 2014 to 3,357 for the six months ended June 30, 2015, due to higher staffing levels to support investments in staffing related to service and compliance and increased levels of advisor and client activities.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43" w:lineRule="exact"/>
        <w:rPr>
          <w:sz w:val="20"/>
          <w:szCs w:val="20"/>
          <w:color w:val="auto"/>
        </w:rPr>
      </w:pPr>
    </w:p>
    <w:p>
      <w:pPr>
        <w:ind w:right="200" w:firstLine="486"/>
        <w:spacing w:after="0" w:line="254" w:lineRule="auto"/>
        <w:rPr>
          <w:sz w:val="20"/>
          <w:szCs w:val="20"/>
          <w:color w:val="auto"/>
        </w:rPr>
      </w:pPr>
      <w:r>
        <w:rPr>
          <w:rFonts w:ascii="Arial" w:cs="Arial" w:eastAsia="Arial" w:hAnsi="Arial"/>
          <w:sz w:val="18"/>
          <w:szCs w:val="18"/>
          <w:color w:val="auto"/>
        </w:rPr>
        <w:t>General and administrative expenses include promotional, occupancy and equipment, professional services, communications and data processing, and other expenses. General and administrative expenses also include expenses for our hosting of certain advisor conferences that serve as training, sales, and marketing events. Included in other expenses are the estimated costs of the investigation, settlement, and resolution of regulatory matters.</w:t>
      </w:r>
    </w:p>
    <w:p>
      <w:pPr>
        <w:spacing w:after="0" w:line="204" w:lineRule="exact"/>
        <w:rPr>
          <w:sz w:val="20"/>
          <w:szCs w:val="20"/>
          <w:color w:val="auto"/>
        </w:rPr>
      </w:pPr>
    </w:p>
    <w:p>
      <w:pPr>
        <w:jc w:val="both"/>
        <w:ind w:right="20" w:firstLine="486"/>
        <w:spacing w:after="0" w:line="256" w:lineRule="auto"/>
        <w:rPr>
          <w:sz w:val="20"/>
          <w:szCs w:val="20"/>
          <w:color w:val="auto"/>
        </w:rPr>
      </w:pPr>
      <w:r>
        <w:rPr>
          <w:rFonts w:ascii="Arial" w:cs="Arial" w:eastAsia="Arial" w:hAnsi="Arial"/>
          <w:sz w:val="18"/>
          <w:szCs w:val="18"/>
          <w:color w:val="auto"/>
        </w:rPr>
        <w:t>The decrease in general and administrative expenses for the three months ended June 30, 2015 compared with the same period in 2014 was primarily driven by decreases in business development and promotional expenses, as there were no major conferences held in the second quarter of this year and one held in the second</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90"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quarter of 2014, and decreases in charges related to estimated costs for the investigation, settlement, and resolution of regulatory matters.</w:t>
      </w:r>
    </w:p>
    <w:p>
      <w:pPr>
        <w:spacing w:after="0" w:line="279" w:lineRule="exact"/>
        <w:rPr>
          <w:sz w:val="20"/>
          <w:szCs w:val="20"/>
          <w:color w:val="auto"/>
        </w:rPr>
      </w:pPr>
    </w:p>
    <w:p>
      <w:pPr>
        <w:jc w:val="both"/>
        <w:ind w:right="240" w:firstLine="486"/>
        <w:spacing w:after="0" w:line="256" w:lineRule="auto"/>
        <w:rPr>
          <w:sz w:val="20"/>
          <w:szCs w:val="20"/>
          <w:color w:val="auto"/>
        </w:rPr>
      </w:pPr>
      <w:r>
        <w:rPr>
          <w:rFonts w:ascii="Arial" w:cs="Arial" w:eastAsia="Arial" w:hAnsi="Arial"/>
          <w:sz w:val="18"/>
          <w:szCs w:val="18"/>
          <w:color w:val="auto"/>
        </w:rPr>
        <w:t>The increase in general and administrative expenses for the six months ended June 30, 2015 compared with the same period in 2014 was primarily driven by business development and promotional expenses, off set by a decrease in charges related to estimated costs for the investigation, settlement, and resolution of regulatory matters.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 Expense</w:t>
      </w:r>
    </w:p>
    <w:p>
      <w:pPr>
        <w:spacing w:after="0" w:line="243" w:lineRule="exact"/>
        <w:rPr>
          <w:sz w:val="20"/>
          <w:szCs w:val="20"/>
          <w:color w:val="auto"/>
        </w:rPr>
      </w:pPr>
    </w:p>
    <w:p>
      <w:pPr>
        <w:ind w:right="240" w:firstLine="486"/>
        <w:spacing w:after="0" w:line="256" w:lineRule="auto"/>
        <w:rPr>
          <w:sz w:val="20"/>
          <w:szCs w:val="20"/>
          <w:color w:val="auto"/>
        </w:rPr>
      </w:pPr>
      <w:r>
        <w:rPr>
          <w:rFonts w:ascii="Arial" w:cs="Arial" w:eastAsia="Arial" w:hAnsi="Arial"/>
          <w:sz w:val="18"/>
          <w:szCs w:val="18"/>
          <w:color w:val="auto"/>
        </w:rPr>
        <w:t>Depreciation and amortization expense represents the benefits received for using long-lived assets. Those assets consist of intangible assets established through our acquisitions, as well as fixed assets, which include internally developed software, hardware, leasehold improvements, and other equipment.</w:t>
      </w:r>
    </w:p>
    <w:p>
      <w:pPr>
        <w:spacing w:after="0" w:line="202" w:lineRule="exact"/>
        <w:rPr>
          <w:sz w:val="20"/>
          <w:szCs w:val="20"/>
          <w:color w:val="auto"/>
        </w:rPr>
      </w:pPr>
    </w:p>
    <w:p>
      <w:pPr>
        <w:ind w:right="400" w:firstLine="486"/>
        <w:spacing w:after="0" w:line="262" w:lineRule="auto"/>
        <w:rPr>
          <w:sz w:val="20"/>
          <w:szCs w:val="20"/>
          <w:color w:val="auto"/>
        </w:rPr>
      </w:pPr>
      <w:r>
        <w:rPr>
          <w:rFonts w:ascii="Arial" w:cs="Arial" w:eastAsia="Arial" w:hAnsi="Arial"/>
          <w:sz w:val="18"/>
          <w:szCs w:val="18"/>
          <w:color w:val="auto"/>
        </w:rPr>
        <w:t>The increase in depreciation and amortization for the three and six months ended June 30, 2015 compared with the same periods in 2014 was due to increased levels of capital expenditures, primarily related to capitalized software.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Charges</w:t>
      </w:r>
    </w:p>
    <w:p>
      <w:pPr>
        <w:spacing w:after="0" w:line="243"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 xml:space="preserve">Restructuring charges primarily represent expenses incurred as a result of our expansion of our Service Value Commitment initiative. These charges relate primarily to consulting fees paid to support our technology transformation as well as employee severance obligations and other related costs and non-cash charges for impairment. Also included in the restructuring charges are expenses incurred as part of our Fortigent restructuring. See Note 3. </w:t>
      </w:r>
      <w:r>
        <w:rPr>
          <w:rFonts w:ascii="Arial" w:cs="Arial" w:eastAsia="Arial" w:hAnsi="Arial"/>
          <w:sz w:val="18"/>
          <w:szCs w:val="18"/>
          <w:i w:val="1"/>
          <w:iCs w:val="1"/>
          <w:color w:val="auto"/>
        </w:rPr>
        <w:t>Restructuring</w:t>
      </w:r>
      <w:r>
        <w:rPr>
          <w:rFonts w:ascii="Arial" w:cs="Arial" w:eastAsia="Arial" w:hAnsi="Arial"/>
          <w:sz w:val="18"/>
          <w:szCs w:val="18"/>
          <w:color w:val="auto"/>
        </w:rPr>
        <w:t>, within the notes to unaudited condensed consolidated financial statements for further detail.</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43" w:lineRule="exact"/>
        <w:rPr>
          <w:sz w:val="20"/>
          <w:szCs w:val="20"/>
          <w:color w:val="auto"/>
        </w:rPr>
      </w:pPr>
    </w:p>
    <w:p>
      <w:pPr>
        <w:ind w:right="780" w:firstLine="486"/>
        <w:spacing w:after="0" w:line="262" w:lineRule="auto"/>
        <w:rPr>
          <w:sz w:val="20"/>
          <w:szCs w:val="20"/>
          <w:color w:val="auto"/>
        </w:rPr>
      </w:pPr>
      <w:r>
        <w:rPr>
          <w:rFonts w:ascii="Arial" w:cs="Arial" w:eastAsia="Arial" w:hAnsi="Arial"/>
          <w:sz w:val="18"/>
          <w:szCs w:val="18"/>
          <w:color w:val="auto"/>
        </w:rPr>
        <w:t>Interest expense represents non-operating interest expense for our senior secured credit facilities. Period over period variances correspond to changes in the level of outstanding indebtedness relating to these facilities.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43" w:lineRule="exact"/>
        <w:rPr>
          <w:sz w:val="20"/>
          <w:szCs w:val="20"/>
          <w:color w:val="auto"/>
        </w:rPr>
      </w:pPr>
    </w:p>
    <w:p>
      <w:pPr>
        <w:ind w:right="160" w:firstLine="486"/>
        <w:spacing w:after="0" w:line="254" w:lineRule="auto"/>
        <w:rPr>
          <w:sz w:val="20"/>
          <w:szCs w:val="20"/>
          <w:color w:val="auto"/>
        </w:rPr>
      </w:pPr>
      <w:r>
        <w:rPr>
          <w:rFonts w:ascii="Arial" w:cs="Arial" w:eastAsia="Arial" w:hAnsi="Arial"/>
          <w:sz w:val="18"/>
          <w:szCs w:val="18"/>
          <w:color w:val="auto"/>
        </w:rPr>
        <w:t>We estimate our full-year effective income tax rate at the end of each reporting period. This estimate is used in providing for income taxes on a year-to-date basis and may change in subsequent interim periods. The tax rate in any quarter can be affected positively and negatively by adjustments that are required to be reported in the quarter in which resolution of the item occurs. The effective income tax rates reflect the impact of state taxes, settlement contingencies, and expenses that are not deductible for tax purposes.</w:t>
      </w:r>
    </w:p>
    <w:p>
      <w:pPr>
        <w:spacing w:after="0" w:line="204" w:lineRule="exact"/>
        <w:rPr>
          <w:sz w:val="20"/>
          <w:szCs w:val="20"/>
          <w:color w:val="auto"/>
        </w:rPr>
      </w:pPr>
    </w:p>
    <w:p>
      <w:pPr>
        <w:ind w:right="460" w:firstLine="405"/>
        <w:spacing w:after="0" w:line="262" w:lineRule="auto"/>
        <w:rPr>
          <w:sz w:val="20"/>
          <w:szCs w:val="20"/>
          <w:color w:val="auto"/>
        </w:rPr>
      </w:pPr>
      <w:r>
        <w:rPr>
          <w:rFonts w:ascii="Arial" w:cs="Arial" w:eastAsia="Arial" w:hAnsi="Arial"/>
          <w:sz w:val="18"/>
          <w:szCs w:val="18"/>
          <w:color w:val="auto"/>
        </w:rPr>
        <w:t>Our effective tax rate was 40.3% and 39.4% for the three months ended June 30, 2015 and 2014, respectively. The change between periods is due to the release of accruals for uncertain tax positions in 2014 due to the completion of state tax audits.</w:t>
      </w:r>
    </w:p>
    <w:p>
      <w:pPr>
        <w:spacing w:after="0" w:line="196"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auto"/>
        </w:rPr>
        <w:t>Our effective tax rate was 40.2% and 39.4% for the six months ended June 30, 2015 and 2014, respectively. The change between periods is due to the release of accruals for uncertain tax positions in 2014 due to the completion of state tax audits and a decrease in the number of incentive stock options exercised in 2015 compared to the same period in 2014.</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47" w:lineRule="exact"/>
        <w:rPr>
          <w:sz w:val="20"/>
          <w:szCs w:val="20"/>
          <w:color w:val="auto"/>
        </w:rPr>
      </w:pPr>
    </w:p>
    <w:p>
      <w:pPr>
        <w:ind w:right="80" w:firstLine="486"/>
        <w:spacing w:after="0" w:line="252" w:lineRule="auto"/>
        <w:rPr>
          <w:sz w:val="20"/>
          <w:szCs w:val="20"/>
          <w:color w:val="auto"/>
        </w:rPr>
      </w:pPr>
      <w:r>
        <w:rPr>
          <w:rFonts w:ascii="Arial" w:cs="Arial" w:eastAsia="Arial" w:hAnsi="Arial"/>
          <w:sz w:val="18"/>
          <w:szCs w:val="18"/>
          <w:color w:val="auto"/>
        </w:rPr>
        <w:t>Senior management establishes our liquidity and capital policies. These policies include senior management’s review of short- and long-term cash flow forecasts, review of monthly capital expenditures, and daily monitoring of liquidity for our subsidiaries. Decisions on the allocation of capital are based upon, among other things, projected profitability and cash flow, risks of the business, regulatory capital requirements, and future liquidity needs for strategic activities. Our Treasury Department assists in evaluating, monitoring, and controlling the business activities that impact our financial condition, liquidity and capital structure and maintains relationships with various lenders. The objectives of these policies are to support the executive business strategies while ensuring ongoing and sufficient liquidity.</w:t>
      </w: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90" w:right="259" w:bottom="1440" w:gutter="0" w:footer="0" w:header="0"/>
        </w:sectPr>
      </w:pPr>
    </w:p>
    <w:bookmarkStart w:id="42" w:name="page43"/>
    <w:bookmarkEnd w:id="42"/>
    <w:p>
      <w:pPr>
        <w:ind w:left="500"/>
        <w:spacing w:after="0"/>
        <w:rPr>
          <w:sz w:val="20"/>
          <w:szCs w:val="20"/>
          <w:color w:val="auto"/>
        </w:rPr>
      </w:pPr>
      <w:r>
        <w:rPr>
          <w:rFonts w:ascii="Arial" w:cs="Arial" w:eastAsia="Arial" w:hAnsi="Arial"/>
          <w:sz w:val="18"/>
          <w:szCs w:val="18"/>
          <w:color w:val="auto"/>
        </w:rPr>
        <w:t>A summary of changes in our cash flow is provided as follows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3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4"/>
          </w:tcPr>
          <w:p>
            <w:pPr>
              <w:jc w:val="right"/>
              <w:ind w:right="399"/>
              <w:spacing w:after="0"/>
              <w:rPr>
                <w:sz w:val="20"/>
                <w:szCs w:val="20"/>
                <w:color w:val="auto"/>
              </w:rPr>
            </w:pPr>
            <w:r>
              <w:rPr>
                <w:rFonts w:ascii="Arial" w:cs="Arial" w:eastAsia="Arial" w:hAnsi="Arial"/>
                <w:sz w:val="16"/>
                <w:szCs w:val="16"/>
                <w:b w:val="1"/>
                <w:bCs w:val="1"/>
                <w:color w:val="auto"/>
              </w:rPr>
              <w:t>Six Months Ended June 30,</w:t>
            </w:r>
          </w:p>
        </w:tc>
      </w:tr>
      <w:tr>
        <w:trPr>
          <w:trHeight w:val="264"/>
        </w:trPr>
        <w:tc>
          <w:tcPr>
            <w:tcW w:w="83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2014</w:t>
            </w:r>
          </w:p>
        </w:tc>
      </w:tr>
      <w:tr>
        <w:trPr>
          <w:trHeight w:val="260"/>
        </w:trPr>
        <w:tc>
          <w:tcPr>
            <w:tcW w:w="8340" w:type="dxa"/>
            <w:vAlign w:val="bottom"/>
          </w:tcPr>
          <w:p>
            <w:pPr>
              <w:ind w:left="80"/>
              <w:spacing w:after="0"/>
              <w:rPr>
                <w:sz w:val="20"/>
                <w:szCs w:val="20"/>
                <w:color w:val="auto"/>
              </w:rPr>
            </w:pPr>
            <w:r>
              <w:rPr>
                <w:rFonts w:ascii="Arial" w:cs="Arial" w:eastAsia="Arial" w:hAnsi="Arial"/>
                <w:sz w:val="16"/>
                <w:szCs w:val="16"/>
                <w:color w:val="auto"/>
              </w:rPr>
              <w:t>Net cash flows provided by (used in):</w:t>
            </w:r>
          </w:p>
        </w:tc>
        <w:tc>
          <w:tcPr>
            <w:tcW w:w="3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80"/>
        </w:trPr>
        <w:tc>
          <w:tcPr>
            <w:tcW w:w="83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Operating activities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277,706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116,481</w:t>
            </w:r>
          </w:p>
        </w:tc>
      </w:tr>
      <w:tr>
        <w:trPr>
          <w:trHeight w:val="260"/>
        </w:trPr>
        <w:tc>
          <w:tcPr>
            <w:tcW w:w="8340" w:type="dxa"/>
            <w:vAlign w:val="bottom"/>
          </w:tcPr>
          <w:p>
            <w:pPr>
              <w:ind w:left="260"/>
              <w:spacing w:after="0"/>
              <w:rPr>
                <w:sz w:val="20"/>
                <w:szCs w:val="20"/>
                <w:color w:val="auto"/>
              </w:rPr>
            </w:pPr>
            <w:r>
              <w:rPr>
                <w:rFonts w:ascii="Arial" w:cs="Arial" w:eastAsia="Arial" w:hAnsi="Arial"/>
                <w:sz w:val="16"/>
                <w:szCs w:val="16"/>
                <w:color w:val="auto"/>
              </w:rPr>
              <w:t>Investing activities</w:t>
            </w:r>
          </w:p>
        </w:tc>
        <w:tc>
          <w:tcPr>
            <w:tcW w:w="3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(57,949)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(41,226)</w:t>
            </w:r>
          </w:p>
        </w:tc>
      </w:tr>
      <w:tr>
        <w:trPr>
          <w:trHeight w:val="273"/>
        </w:trPr>
        <w:tc>
          <w:tcPr>
            <w:tcW w:w="83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Financing activities</w:t>
            </w:r>
          </w:p>
        </w:tc>
        <w:tc>
          <w:tcPr>
            <w:tcW w:w="3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(84,769)</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(153,263)</w:t>
            </w:r>
          </w:p>
        </w:tc>
      </w:tr>
      <w:tr>
        <w:trPr>
          <w:trHeight w:val="247"/>
        </w:trPr>
        <w:tc>
          <w:tcPr>
            <w:tcW w:w="8340" w:type="dxa"/>
            <w:vAlign w:val="bottom"/>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32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134,988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(78,008)</w:t>
            </w:r>
          </w:p>
        </w:tc>
      </w:tr>
      <w:tr>
        <w:trPr>
          <w:trHeight w:val="273"/>
        </w:trPr>
        <w:tc>
          <w:tcPr>
            <w:tcW w:w="8340" w:type="dxa"/>
            <w:vAlign w:val="bottom"/>
            <w:shd w:val="clear" w:color="auto" w:fill="CCEEFF"/>
          </w:tcPr>
          <w:p>
            <w:pPr>
              <w:ind w:left="80"/>
              <w:spacing w:after="0"/>
              <w:rPr>
                <w:sz w:val="20"/>
                <w:szCs w:val="20"/>
                <w:color w:val="auto"/>
              </w:rPr>
            </w:pPr>
            <w:r>
              <w:rPr>
                <w:rFonts w:ascii="Arial" w:cs="Arial" w:eastAsia="Arial" w:hAnsi="Arial"/>
                <w:sz w:val="16"/>
                <w:szCs w:val="16"/>
                <w:color w:val="auto"/>
              </w:rPr>
              <w:t>Cash and cash equivalents — beginning of period</w:t>
            </w:r>
          </w:p>
        </w:tc>
        <w:tc>
          <w:tcPr>
            <w:tcW w:w="3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412,332</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516,584</w:t>
            </w:r>
          </w:p>
        </w:tc>
      </w:tr>
      <w:tr>
        <w:trPr>
          <w:trHeight w:val="240"/>
        </w:trPr>
        <w:tc>
          <w:tcPr>
            <w:tcW w:w="8340" w:type="dxa"/>
            <w:vAlign w:val="bottom"/>
          </w:tcPr>
          <w:p>
            <w:pPr>
              <w:ind w:left="80"/>
              <w:spacing w:after="0"/>
              <w:rPr>
                <w:sz w:val="20"/>
                <w:szCs w:val="20"/>
                <w:color w:val="auto"/>
              </w:rPr>
            </w:pPr>
            <w:r>
              <w:rPr>
                <w:rFonts w:ascii="Arial" w:cs="Arial" w:eastAsia="Arial" w:hAnsi="Arial"/>
                <w:sz w:val="16"/>
                <w:szCs w:val="16"/>
                <w:color w:val="auto"/>
              </w:rPr>
              <w:t>Cash and cash equivalents — end of period</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547,320</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438,576</w:t>
            </w:r>
          </w:p>
        </w:tc>
      </w:tr>
      <w:tr>
        <w:trPr>
          <w:trHeight w:val="20"/>
        </w:trPr>
        <w:tc>
          <w:tcPr>
            <w:tcW w:w="8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700" w:firstLine="486"/>
        <w:spacing w:after="0" w:line="262" w:lineRule="auto"/>
        <w:rPr>
          <w:sz w:val="20"/>
          <w:szCs w:val="20"/>
          <w:color w:val="auto"/>
        </w:rPr>
      </w:pPr>
      <w:r>
        <w:rPr>
          <w:rFonts w:ascii="Arial" w:cs="Arial" w:eastAsia="Arial" w:hAnsi="Arial"/>
          <w:sz w:val="18"/>
          <w:szCs w:val="18"/>
          <w:color w:val="auto"/>
        </w:rPr>
        <w:t>Cash requirements and liquidity needs are primarily funded through our cash flow from operations and our capacity for additional borrowing.</w:t>
      </w:r>
    </w:p>
    <w:p>
      <w:pPr>
        <w:spacing w:after="0" w:line="196" w:lineRule="exact"/>
        <w:rPr>
          <w:sz w:val="20"/>
          <w:szCs w:val="20"/>
          <w:color w:val="auto"/>
        </w:rPr>
      </w:pPr>
    </w:p>
    <w:p>
      <w:pPr>
        <w:ind w:right="100" w:firstLine="486"/>
        <w:spacing w:after="0" w:line="253" w:lineRule="auto"/>
        <w:rPr>
          <w:sz w:val="20"/>
          <w:szCs w:val="20"/>
          <w:color w:val="auto"/>
        </w:rPr>
      </w:pPr>
      <w:r>
        <w:rPr>
          <w:rFonts w:ascii="Arial" w:cs="Arial" w:eastAsia="Arial" w:hAnsi="Arial"/>
          <w:sz w:val="18"/>
          <w:szCs w:val="18"/>
          <w:color w:val="auto"/>
        </w:rPr>
        <w:t>Net cash provided by operating activities includes changes in operating asset and liability balances related to settlement and funding of client transactions, receivables from product sponsors, and accrued commission and advisory expenses due to our advisors. Operating assets and liabilities that arise from the settlement and funding of transactions by our advisors’ clients are the principal drivers of changes to our net cash from operating activities and can fluctuate significantly from day to day and period to period depending on overall trends and clients' behaviors.</w:t>
      </w:r>
    </w:p>
    <w:p>
      <w:pPr>
        <w:spacing w:after="0" w:line="206" w:lineRule="exact"/>
        <w:rPr>
          <w:sz w:val="20"/>
          <w:szCs w:val="20"/>
          <w:color w:val="auto"/>
        </w:rPr>
      </w:pPr>
    </w:p>
    <w:p>
      <w:pPr>
        <w:ind w:right="120" w:firstLine="486"/>
        <w:spacing w:after="0" w:line="254" w:lineRule="auto"/>
        <w:rPr>
          <w:sz w:val="20"/>
          <w:szCs w:val="20"/>
          <w:color w:val="auto"/>
        </w:rPr>
      </w:pPr>
      <w:r>
        <w:rPr>
          <w:rFonts w:ascii="Arial" w:cs="Arial" w:eastAsia="Arial" w:hAnsi="Arial"/>
          <w:sz w:val="18"/>
          <w:szCs w:val="18"/>
          <w:color w:val="auto"/>
        </w:rPr>
        <w:t>The change in cash flows provided by operating activities for the six months ended June 30, 2015 compared to the same period in 2014 was primarily due to increases in accounts payable and accrued liabilities relating to advisor deferred compensation and self-insurance, and increases in unearned revenues and deferred commissions, partially offset by uses of cash in receivables from others associated with advisor loans.</w:t>
      </w:r>
    </w:p>
    <w:p>
      <w:pPr>
        <w:spacing w:after="0" w:line="204" w:lineRule="exact"/>
        <w:rPr>
          <w:sz w:val="20"/>
          <w:szCs w:val="20"/>
          <w:color w:val="auto"/>
        </w:rPr>
      </w:pPr>
    </w:p>
    <w:p>
      <w:pPr>
        <w:ind w:right="80" w:firstLine="486"/>
        <w:spacing w:after="0" w:line="256" w:lineRule="auto"/>
        <w:rPr>
          <w:sz w:val="20"/>
          <w:szCs w:val="20"/>
          <w:color w:val="auto"/>
        </w:rPr>
      </w:pPr>
      <w:r>
        <w:rPr>
          <w:rFonts w:ascii="Arial" w:cs="Arial" w:eastAsia="Arial" w:hAnsi="Arial"/>
          <w:sz w:val="18"/>
          <w:szCs w:val="18"/>
          <w:color w:val="auto"/>
        </w:rPr>
        <w:t>Changes in cash flows used in investing activities for the six months ended June 30, 2015 as compared to the same period in 2014 were due primarily to the deposits of restricted cash relating to our captive insurance subsidiary during 2015, which did not exist in the comparable period in 2014.</w:t>
      </w:r>
    </w:p>
    <w:p>
      <w:pPr>
        <w:spacing w:after="0" w:line="202" w:lineRule="exact"/>
        <w:rPr>
          <w:sz w:val="20"/>
          <w:szCs w:val="20"/>
          <w:color w:val="auto"/>
        </w:rPr>
      </w:pPr>
    </w:p>
    <w:p>
      <w:pPr>
        <w:ind w:right="440" w:firstLine="486"/>
        <w:spacing w:after="0" w:line="262" w:lineRule="auto"/>
        <w:rPr>
          <w:sz w:val="20"/>
          <w:szCs w:val="20"/>
          <w:color w:val="auto"/>
        </w:rPr>
      </w:pPr>
      <w:r>
        <w:rPr>
          <w:rFonts w:ascii="Arial" w:cs="Arial" w:eastAsia="Arial" w:hAnsi="Arial"/>
          <w:sz w:val="18"/>
          <w:szCs w:val="18"/>
          <w:color w:val="auto"/>
        </w:rPr>
        <w:t>Changes in the cash flows used in financing activities for the six months ended June 30, 2015 compared to the same period in 2014 were due to an increase in proceeds from our revolving credit facility.</w:t>
      </w:r>
    </w:p>
    <w:p>
      <w:pPr>
        <w:spacing w:after="0" w:line="196" w:lineRule="exact"/>
        <w:rPr>
          <w:sz w:val="20"/>
          <w:szCs w:val="20"/>
          <w:color w:val="auto"/>
        </w:rPr>
      </w:pPr>
    </w:p>
    <w:p>
      <w:pPr>
        <w:ind w:right="140" w:firstLine="486"/>
        <w:spacing w:after="0" w:line="251" w:lineRule="auto"/>
        <w:rPr>
          <w:sz w:val="20"/>
          <w:szCs w:val="20"/>
          <w:color w:val="auto"/>
        </w:rPr>
      </w:pPr>
      <w:r>
        <w:rPr>
          <w:rFonts w:ascii="Arial" w:cs="Arial" w:eastAsia="Arial" w:hAnsi="Arial"/>
          <w:sz w:val="18"/>
          <w:szCs w:val="18"/>
          <w:color w:val="auto"/>
        </w:rPr>
        <w:t>We believe that based on current levels of operations and anticipated growth, cash flow from operations, together with other available sources of funds, which include three uncommitted lines of credit available and the revolving credit facility established through our amended credit agreement, will be adequate to satisfy our working capital needs, the payment of all of our obligations, and the funding of anticipated capital expenditures for the foreseeable future. In addition, we have certain capital adequacy requirements related to our registered broker-dealer entity and bank trust subsidiaries and have met all such requirements and expect to continue to do so for the foreseeable future. We regularly evaluate our existing indebtedness, including refinancing thereof, based on a number of factors, including our capital requirements, future prospects, contractual restrictions, the availability of refinancing on attractive terms, and general market conditions. Notwithstanding the foregoing, see the Risks Related to our Debt section within Part I, “Item 1A. Risk Factors” in our 2014 Annual Report on Form 10-K for more information about the risks associated with our debt obligations and their potential effect on our liquidity.</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247" w:lineRule="exact"/>
        <w:rPr>
          <w:sz w:val="20"/>
          <w:szCs w:val="20"/>
          <w:color w:val="auto"/>
        </w:rPr>
      </w:pPr>
    </w:p>
    <w:p>
      <w:pPr>
        <w:ind w:right="100" w:firstLine="486"/>
        <w:spacing w:after="0" w:line="253" w:lineRule="auto"/>
        <w:rPr>
          <w:sz w:val="20"/>
          <w:szCs w:val="20"/>
          <w:color w:val="auto"/>
        </w:rPr>
      </w:pPr>
      <w:r>
        <w:rPr>
          <w:rFonts w:ascii="Arial" w:cs="Arial" w:eastAsia="Arial" w:hAnsi="Arial"/>
          <w:sz w:val="18"/>
          <w:szCs w:val="18"/>
          <w:color w:val="auto"/>
        </w:rPr>
        <w:t xml:space="preserve">The Board of Directors has approved several share repurchase programs pursuant to which we may repurchase issued and outstanding shares of our common stock. Purchases may be effected in open market or privately negotiated transactions, including transactions with our affiliates, with the timing of purchases and the amount of stock purchased generally determined at our discretion within the constraints of our credit agreement and general operating needs. See Note 10. </w:t>
      </w:r>
      <w:r>
        <w:rPr>
          <w:rFonts w:ascii="Arial" w:cs="Arial" w:eastAsia="Arial" w:hAnsi="Arial"/>
          <w:sz w:val="18"/>
          <w:szCs w:val="18"/>
          <w:i w:val="1"/>
          <w:iCs w:val="1"/>
          <w:color w:val="auto"/>
        </w:rPr>
        <w:t>Stockholders' Equity</w:t>
      </w:r>
      <w:r>
        <w:rPr>
          <w:rFonts w:ascii="Arial" w:cs="Arial" w:eastAsia="Arial" w:hAnsi="Arial"/>
          <w:sz w:val="18"/>
          <w:szCs w:val="18"/>
          <w:color w:val="auto"/>
        </w:rPr>
        <w:t>, within the notes to unaudited condensed consolidated financial statements for additional information regarding our share repurchases.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47" w:lineRule="exact"/>
        <w:rPr>
          <w:sz w:val="20"/>
          <w:szCs w:val="20"/>
          <w:color w:val="auto"/>
        </w:rPr>
      </w:pPr>
    </w:p>
    <w:p>
      <w:pPr>
        <w:ind w:firstLine="486"/>
        <w:spacing w:after="0" w:line="256" w:lineRule="auto"/>
        <w:rPr>
          <w:sz w:val="20"/>
          <w:szCs w:val="20"/>
          <w:color w:val="auto"/>
        </w:rPr>
      </w:pPr>
      <w:r>
        <w:rPr>
          <w:rFonts w:ascii="Arial" w:cs="Arial" w:eastAsia="Arial" w:hAnsi="Arial"/>
          <w:sz w:val="18"/>
          <w:szCs w:val="18"/>
          <w:color w:val="auto"/>
        </w:rPr>
        <w:t xml:space="preserve">The payment, timing, and amount of any dividends are subject to approval by our Board as well as certain limits under our credit facilities. See Note 10. </w:t>
      </w:r>
      <w:r>
        <w:rPr>
          <w:rFonts w:ascii="Arial" w:cs="Arial" w:eastAsia="Arial" w:hAnsi="Arial"/>
          <w:sz w:val="18"/>
          <w:szCs w:val="18"/>
          <w:i w:val="1"/>
          <w:iCs w:val="1"/>
          <w:color w:val="auto"/>
        </w:rPr>
        <w:t>Stockholders' Equity</w:t>
      </w:r>
      <w:r>
        <w:rPr>
          <w:rFonts w:ascii="Arial" w:cs="Arial" w:eastAsia="Arial" w:hAnsi="Arial"/>
          <w:sz w:val="18"/>
          <w:szCs w:val="18"/>
          <w:color w:val="auto"/>
        </w:rPr>
        <w:t>, within the notes to unaudited condensed consolidated financial statements for additional information regarding our dividends.</w:t>
      </w:r>
    </w:p>
    <w:p>
      <w:pPr>
        <w:sectPr>
          <w:pgSz w:w="11900" w:h="16838" w:orient="portrait"/>
          <w:cols w:equalWidth="0" w:num="1">
            <w:col w:w="11420"/>
          </w:cols>
          <w:pgMar w:left="240" w:top="490" w:right="239" w:bottom="1440" w:gutter="0" w:footer="0" w:header="0"/>
        </w:sect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1420"/>
          </w:cols>
          <w:pgMar w:left="240" w:top="490" w:right="23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Operating Capital Requirements</w:t>
      </w:r>
    </w:p>
    <w:p>
      <w:pPr>
        <w:spacing w:after="0" w:line="247"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Our primary requirement for working capital relates to funds we loan to our advisors’ clients for trading conducted on margin and funds we are required to maintain at clearing organizations to support these clients’ trading activities. We have several sources of funds that enable us to meet increases in working capital requirements that relate to increases in client margin activities and balances. These sources include cash and cash equivalents on hand, cash and securities segregated under federal and other regulations, and proceeds from re-pledging or selling client securities in margin accounts. When a client purchases securities on margin or uses securities as collateral to borrow from us on margin, we are permitted, pursuant to the applicable securities industry regulations, to repledge, loan, or sell securities that collateralize those margin accounts. As of June 30, 2015, we had received collateral primarily in connection with client margin loans with a fair value of approximately $354.5 million, which we can re-pledge, loan, or sell. Of these securities, approximately $31.4 million were client-owned securities pledged to the Options Clearing Corporation as collateral to secure client obligations related to options positions. As of June 30, 2015 there were no restrictions that materially limited our ability to re-pledge, loan, or sell the remaining $323.1 million of client collateral.</w:t>
      </w:r>
    </w:p>
    <w:p>
      <w:pPr>
        <w:spacing w:after="0" w:line="212" w:lineRule="exact"/>
        <w:rPr>
          <w:sz w:val="20"/>
          <w:szCs w:val="20"/>
          <w:color w:val="auto"/>
        </w:rPr>
      </w:pPr>
    </w:p>
    <w:p>
      <w:pPr>
        <w:ind w:right="200" w:firstLine="486"/>
        <w:spacing w:after="0" w:line="262" w:lineRule="auto"/>
        <w:rPr>
          <w:sz w:val="20"/>
          <w:szCs w:val="20"/>
          <w:color w:val="auto"/>
        </w:rPr>
      </w:pPr>
      <w:r>
        <w:rPr>
          <w:rFonts w:ascii="Arial" w:cs="Arial" w:eastAsia="Arial" w:hAnsi="Arial"/>
          <w:sz w:val="18"/>
          <w:szCs w:val="18"/>
          <w:color w:val="auto"/>
        </w:rPr>
        <w:t>Our other working capital needs are primarily related to regulatory capital requirements at our broker-dealer and bank trust subsidiaries and software development, which we have satisfied in the past from internally generated cash flows.</w:t>
      </w:r>
    </w:p>
    <w:p>
      <w:pPr>
        <w:spacing w:after="0" w:line="196"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Notwithstanding the self-funding nature of our operations, we may sometimes be required to fund timing differences arising from the delayed receipt of client funds associated with the settlement of client transactions in securities markets. These timing differences are funded either with internally generated cash flow or, if needed, with funds drawn on our uncommitted lines of credit at our broker-dealer subsidiary LPL Financial, or under our revolving credit facility.</w:t>
      </w:r>
    </w:p>
    <w:p>
      <w:pPr>
        <w:spacing w:after="0" w:line="204"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Our registered broker-dealer, LPL Financial, is subject to the SEC’s Uniform Net Capital Rule, which requires the maintenance of minimum net capital. LPL Financial computes net capital requirements under the alternative method, which requires firms to maintain minimum net capital, as defined, equal to the greater of $250,000 or 2.0% of aggregate debit balances arising from client transactions. At June 30, 2015, LPL Financial's excess net capital was $129.6 million.</w:t>
      </w:r>
    </w:p>
    <w:p>
      <w:pPr>
        <w:spacing w:after="0" w:line="204" w:lineRule="exact"/>
        <w:rPr>
          <w:sz w:val="20"/>
          <w:szCs w:val="20"/>
          <w:color w:val="auto"/>
        </w:rPr>
      </w:pPr>
    </w:p>
    <w:p>
      <w:pPr>
        <w:ind w:right="100" w:firstLine="486"/>
        <w:spacing w:after="0" w:line="256" w:lineRule="auto"/>
        <w:rPr>
          <w:sz w:val="20"/>
          <w:szCs w:val="20"/>
          <w:color w:val="auto"/>
        </w:rPr>
      </w:pPr>
      <w:r>
        <w:rPr>
          <w:rFonts w:ascii="Arial" w:cs="Arial" w:eastAsia="Arial" w:hAnsi="Arial"/>
          <w:sz w:val="18"/>
          <w:szCs w:val="18"/>
          <w:color w:val="auto"/>
        </w:rPr>
        <w:t>LPL Financial's ability to pay dividends greater than 10% of its excess net capital during any 35 day rolling period requires approval from FINRA. In addition, payment of dividends is restricted if LPL Financial's net capital would be less than 5.0% of aggregate customer debit balances.</w:t>
      </w:r>
    </w:p>
    <w:p>
      <w:pPr>
        <w:spacing w:after="0" w:line="202"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LPL Financial also acts as an introducing broker for commodities and futures. Accordingly, its trading activities are subject to the National Futures Association's (“NFA”) financial requirements and it is required to maintain net capital that is in excess of or equal to the greatest of NFA's minimum financial requirements. The NFA was designated by the Commodity Futures Trading Commission as LPL Financial's primary regulator for such activities. Currently, the highest NFA requirement is the minimum net capital calculated and required pursuant to the SEC's Uniform Net Capital Rule.</w:t>
      </w:r>
    </w:p>
    <w:p>
      <w:pPr>
        <w:spacing w:after="0" w:line="206" w:lineRule="exact"/>
        <w:rPr>
          <w:sz w:val="20"/>
          <w:szCs w:val="20"/>
          <w:color w:val="auto"/>
        </w:rPr>
      </w:pPr>
    </w:p>
    <w:p>
      <w:pPr>
        <w:ind w:right="260" w:firstLine="486"/>
        <w:spacing w:after="0" w:line="256" w:lineRule="auto"/>
        <w:rPr>
          <w:sz w:val="20"/>
          <w:szCs w:val="20"/>
          <w:color w:val="auto"/>
        </w:rPr>
      </w:pPr>
      <w:r>
        <w:rPr>
          <w:rFonts w:ascii="Arial" w:cs="Arial" w:eastAsia="Arial" w:hAnsi="Arial"/>
          <w:sz w:val="18"/>
          <w:szCs w:val="18"/>
          <w:color w:val="auto"/>
        </w:rPr>
        <w:t>Our subsidiary, The Private Trust Company N.A. (“PTC”), is also subject to various regulatory capital requirements. Failure to meet the respective minimum capital requirements can initiate certain mandatory and possible additional discretionary actions by regulators that, if undertaken, could have substantial monetary and non-monetary impacts on PTC's operations.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and Related Covenants</w:t>
      </w:r>
    </w:p>
    <w:p>
      <w:pPr>
        <w:spacing w:after="0" w:line="301" w:lineRule="exact"/>
        <w:rPr>
          <w:sz w:val="20"/>
          <w:szCs w:val="20"/>
          <w:color w:val="auto"/>
        </w:rPr>
      </w:pPr>
    </w:p>
    <w:p>
      <w:pPr>
        <w:ind w:right="1000" w:firstLine="486"/>
        <w:spacing w:after="0" w:line="262" w:lineRule="auto"/>
        <w:rPr>
          <w:sz w:val="20"/>
          <w:szCs w:val="20"/>
          <w:color w:val="auto"/>
        </w:rPr>
      </w:pPr>
      <w:r>
        <w:rPr>
          <w:rFonts w:ascii="Arial" w:cs="Arial" w:eastAsia="Arial" w:hAnsi="Arial"/>
          <w:sz w:val="18"/>
          <w:szCs w:val="18"/>
          <w:color w:val="auto"/>
        </w:rPr>
        <w:t>We are party to a debt agreement with our wholly-owned subsidiary, LPL Holdings, Inc., and other parties thereto (the "Credit Agreement"). See Note 8</w:t>
      </w:r>
      <w:r>
        <w:rPr>
          <w:rFonts w:ascii="Arial" w:cs="Arial" w:eastAsia="Arial" w:hAnsi="Arial"/>
          <w:sz w:val="18"/>
          <w:szCs w:val="18"/>
          <w:i w:val="1"/>
          <w:iCs w:val="1"/>
          <w:color w:val="auto"/>
        </w:rPr>
        <w:t>. Debt,</w:t>
      </w:r>
      <w:r>
        <w:rPr>
          <w:rFonts w:ascii="Arial" w:cs="Arial" w:eastAsia="Arial" w:hAnsi="Arial"/>
          <w:sz w:val="18"/>
          <w:szCs w:val="18"/>
          <w:color w:val="auto"/>
        </w:rPr>
        <w:t xml:space="preserve"> within the notes to consolidated financial statements for further detail.</w:t>
      </w:r>
    </w:p>
    <w:p>
      <w:pPr>
        <w:spacing w:after="0" w:line="19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Credit Agreement contains a number of covenants that, among other things, restrict, subject to certain exceptions, our ability to:</w:t>
      </w:r>
    </w:p>
    <w:p>
      <w:pPr>
        <w:spacing w:after="0" w:line="63"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enter into sale and leaseback transactions;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engage in mergers or consolidations;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sell or transfer assets;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pay dividends and distributions or repurchase our capital stock;</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22" w:right="239" w:bottom="1440" w:gutter="0" w:footer="0" w:header="0"/>
        </w:sectPr>
      </w:pPr>
    </w:p>
    <w:bookmarkStart w:id="44" w:name="page45"/>
    <w:bookmarkEnd w:id="44"/>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make investments, loans or advances;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prepay certain subordinated indebtedness;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engage in certain transactions with affiliates;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amend material agreements governing certain subordinated indebtedness;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 our lines of business.</w:t>
      </w:r>
    </w:p>
    <w:p>
      <w:pPr>
        <w:spacing w:after="0" w:line="117"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Our Credit Agreement prohibits us from paying dividends and distributions or repurchasing our capital stock except for limited purposes. In addition, our financial covenant requirements include a total leverage ratio test and an interest coverage ratio test. Under our total leverage ratio test, we covenant not to allow the ratio of our consolidated total debt (as defined) to an adjusted EBITDA reflecting financial covenants in our Credit Agreement to exceed certain prescribed levels set forth in the Credit Agreement. Under our interest coverage ratio test, we covenant not to allow the ratio of our Credit Agreement Adjusted EBITDA to our consolidated interest expense (as defined in the Credit Agreement) to be less than certain prescribed levels set forth in the Credit Agreement. Each of our financial ratios is measured at the end of each fiscal quarter.</w:t>
      </w:r>
    </w:p>
    <w:p>
      <w:pPr>
        <w:spacing w:after="0" w:line="209" w:lineRule="exact"/>
        <w:rPr>
          <w:sz w:val="20"/>
          <w:szCs w:val="20"/>
          <w:color w:val="auto"/>
        </w:rPr>
      </w:pPr>
    </w:p>
    <w:p>
      <w:pPr>
        <w:ind w:right="140" w:firstLine="486"/>
        <w:spacing w:after="0" w:line="262" w:lineRule="auto"/>
        <w:rPr>
          <w:sz w:val="20"/>
          <w:szCs w:val="20"/>
          <w:color w:val="auto"/>
        </w:rPr>
      </w:pPr>
      <w:r>
        <w:rPr>
          <w:rFonts w:ascii="Arial" w:cs="Arial" w:eastAsia="Arial" w:hAnsi="Arial"/>
          <w:sz w:val="18"/>
          <w:szCs w:val="18"/>
          <w:color w:val="auto"/>
        </w:rPr>
        <w:t>As of June 30, 2015 we were in compliance with all of our covenant requirements. Our covenant requirements and actual ratios were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98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2060" w:type="dxa"/>
            <w:vAlign w:val="bottom"/>
            <w:tcBorders>
              <w:bottom w:val="single" w:sz="8" w:color="auto"/>
            </w:tcBorders>
            <w:gridSpan w:val="3"/>
          </w:tcPr>
          <w:p>
            <w:pPr>
              <w:ind w:left="1000"/>
              <w:spacing w:after="0"/>
              <w:rPr>
                <w:sz w:val="20"/>
                <w:szCs w:val="20"/>
                <w:color w:val="auto"/>
              </w:rPr>
            </w:pPr>
            <w:r>
              <w:rPr>
                <w:rFonts w:ascii="Arial" w:cs="Arial" w:eastAsia="Arial" w:hAnsi="Arial"/>
                <w:sz w:val="16"/>
                <w:szCs w:val="16"/>
                <w:b w:val="1"/>
                <w:bCs w:val="1"/>
                <w:color w:val="auto"/>
                <w:w w:val="99"/>
              </w:rPr>
              <w:t>June 30, 2015</w:t>
            </w:r>
          </w:p>
        </w:tc>
        <w:tc>
          <w:tcPr>
            <w:tcW w:w="1000" w:type="dxa"/>
            <w:vAlign w:val="bottom"/>
            <w:tcBorders>
              <w:bottom w:val="single" w:sz="8" w:color="auto"/>
            </w:tcBorders>
          </w:tcPr>
          <w:p>
            <w:pPr>
              <w:spacing w:after="0"/>
              <w:rPr>
                <w:sz w:val="19"/>
                <w:szCs w:val="19"/>
                <w:color w:val="auto"/>
              </w:rPr>
            </w:pPr>
          </w:p>
        </w:tc>
      </w:tr>
      <w:tr>
        <w:trPr>
          <w:trHeight w:val="198"/>
        </w:trPr>
        <w:tc>
          <w:tcPr>
            <w:tcW w:w="298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2060" w:type="dxa"/>
            <w:vAlign w:val="bottom"/>
            <w:gridSpan w:val="3"/>
          </w:tcPr>
          <w:p>
            <w:pPr>
              <w:jc w:val="center"/>
              <w:ind w:right="600"/>
              <w:spacing w:after="0"/>
              <w:rPr>
                <w:sz w:val="20"/>
                <w:szCs w:val="20"/>
                <w:color w:val="auto"/>
              </w:rPr>
            </w:pPr>
            <w:r>
              <w:rPr>
                <w:rFonts w:ascii="Arial" w:cs="Arial" w:eastAsia="Arial" w:hAnsi="Arial"/>
                <w:sz w:val="16"/>
                <w:szCs w:val="16"/>
                <w:b w:val="1"/>
                <w:bCs w:val="1"/>
                <w:color w:val="auto"/>
              </w:rPr>
              <w:t>Covenant</w:t>
            </w: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Actual</w:t>
            </w:r>
          </w:p>
        </w:tc>
      </w:tr>
      <w:tr>
        <w:trPr>
          <w:trHeight w:val="228"/>
        </w:trPr>
        <w:tc>
          <w:tcPr>
            <w:tcW w:w="29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Financial Ratio</w:t>
            </w:r>
          </w:p>
        </w:tc>
        <w:tc>
          <w:tcPr>
            <w:tcW w:w="538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Requirement</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Ratio</w:t>
            </w:r>
          </w:p>
        </w:tc>
      </w:tr>
      <w:tr>
        <w:trPr>
          <w:trHeight w:val="257"/>
        </w:trPr>
        <w:tc>
          <w:tcPr>
            <w:tcW w:w="83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Leverage Test (Maximum)</w:t>
            </w: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4.00</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2.80</w:t>
            </w:r>
          </w:p>
        </w:tc>
      </w:tr>
      <w:tr>
        <w:trPr>
          <w:trHeight w:val="251"/>
        </w:trPr>
        <w:tc>
          <w:tcPr>
            <w:tcW w:w="8360" w:type="dxa"/>
            <w:vAlign w:val="bottom"/>
            <w:gridSpan w:val="2"/>
          </w:tcPr>
          <w:p>
            <w:pPr>
              <w:ind w:left="40"/>
              <w:spacing w:after="0"/>
              <w:rPr>
                <w:sz w:val="20"/>
                <w:szCs w:val="20"/>
                <w:color w:val="auto"/>
              </w:rPr>
            </w:pPr>
            <w:r>
              <w:rPr>
                <w:rFonts w:ascii="Arial" w:cs="Arial" w:eastAsia="Arial" w:hAnsi="Arial"/>
                <w:sz w:val="16"/>
                <w:szCs w:val="16"/>
                <w:color w:val="auto"/>
              </w:rPr>
              <w:t>Interest Coverage (Minimum)</w:t>
            </w:r>
          </w:p>
        </w:tc>
        <w:tc>
          <w:tcPr>
            <w:tcW w:w="1480" w:type="dxa"/>
            <w:vAlign w:val="bottom"/>
          </w:tcPr>
          <w:p>
            <w:pPr>
              <w:jc w:val="center"/>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10.39</w:t>
            </w:r>
          </w:p>
        </w:tc>
      </w:tr>
    </w:tbl>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47"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 xml:space="preserve">We enter into various off-balance-sheet arrangements in the ordinary course of business, primarily to meet the needs of our advisors’ clients. These arrangements include firm commitments to extend credit. For information on these arrangements, see Note 9. </w:t>
      </w:r>
      <w:r>
        <w:rPr>
          <w:rFonts w:ascii="Arial" w:cs="Arial" w:eastAsia="Arial" w:hAnsi="Arial"/>
          <w:sz w:val="18"/>
          <w:szCs w:val="18"/>
          <w:i w:val="1"/>
          <w:iCs w:val="1"/>
          <w:color w:val="auto"/>
        </w:rPr>
        <w:t>Commitments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Contingencies </w:t>
      </w:r>
      <w:r>
        <w:rPr>
          <w:rFonts w:ascii="Arial" w:cs="Arial" w:eastAsia="Arial" w:hAnsi="Arial"/>
          <w:sz w:val="18"/>
          <w:szCs w:val="18"/>
          <w:color w:val="auto"/>
        </w:rPr>
        <w:t>and Note 16.</w:t>
      </w:r>
      <w:r>
        <w:rPr>
          <w:rFonts w:ascii="Arial" w:cs="Arial" w:eastAsia="Arial" w:hAnsi="Arial"/>
          <w:sz w:val="18"/>
          <w:szCs w:val="18"/>
          <w:i w:val="1"/>
          <w:iCs w:val="1"/>
          <w:color w:val="auto"/>
        </w:rPr>
        <w:t xml:space="preserve"> Financial Instruments with Off-Balance-Sheet Credit Risk and Concentrations of Credit Risk</w:t>
      </w:r>
      <w:r>
        <w:rPr>
          <w:rFonts w:ascii="Arial" w:cs="Arial" w:eastAsia="Arial" w:hAnsi="Arial"/>
          <w:sz w:val="18"/>
          <w:szCs w:val="18"/>
          <w:color w:val="auto"/>
        </w:rPr>
        <w:t>, within the notes to</w:t>
      </w:r>
      <w:r>
        <w:rPr>
          <w:rFonts w:ascii="Arial" w:cs="Arial" w:eastAsia="Arial" w:hAnsi="Arial"/>
          <w:sz w:val="18"/>
          <w:szCs w:val="18"/>
          <w:i w:val="1"/>
          <w:iCs w:val="1"/>
          <w:color w:val="auto"/>
        </w:rPr>
        <w:t xml:space="preserve"> </w:t>
      </w:r>
      <w:r>
        <w:rPr>
          <w:rFonts w:ascii="Arial" w:cs="Arial" w:eastAsia="Arial" w:hAnsi="Arial"/>
          <w:sz w:val="18"/>
          <w:szCs w:val="18"/>
          <w:color w:val="auto"/>
        </w:rPr>
        <w:t>unaudited condensed consolidated financial statements.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47"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We are involved in a build-to-suit lease arrangement in Fort Mill, South Carolina, under which we serve as the construction agent on behalf of the landlord. Under such arrangement, we have obligations to fund cost over-runs in our capacity as the construction agent, and accordingly have determined that under lease accounting standards we bear substantially all of the risks and rewards of ownership as measured under GAAP. We are therefore required to report the landlord's costs of construction on our balance sheet as a fixed asset during the construction period as if we owned such asset. As of June 30, 2015, we have recorded $26.3 million in fixed assets in connection with this arrangement and an equal and off-setting leasehold financing obligation on the unaudited condensed consolidated statement of financial condition. See Note 2</w:t>
      </w:r>
      <w:r>
        <w:rPr>
          <w:rFonts w:ascii="Arial" w:cs="Arial" w:eastAsia="Arial" w:hAnsi="Arial"/>
          <w:sz w:val="18"/>
          <w:szCs w:val="18"/>
          <w:i w:val="1"/>
          <w:iCs w:val="1"/>
          <w:color w:val="auto"/>
        </w:rPr>
        <w:t>. Summary of Significant Accounting Policies</w:t>
      </w:r>
      <w:r>
        <w:rPr>
          <w:rFonts w:ascii="Arial" w:cs="Arial" w:eastAsia="Arial" w:hAnsi="Arial"/>
          <w:sz w:val="18"/>
          <w:szCs w:val="18"/>
          <w:color w:val="auto"/>
        </w:rPr>
        <w:t xml:space="preserve"> within the notes to unaudited condensed consolidated financial statements for further detail as well as Risks Related to Our Business Generally section within Part I, "Item 1A. Risk Factors" in our 2014 Annual Report on Form 10-K for more information about the risks associated with this real estate development project.</w:t>
      </w:r>
    </w:p>
    <w:p>
      <w:pPr>
        <w:spacing w:after="0" w:line="267" w:lineRule="exact"/>
        <w:rPr>
          <w:sz w:val="20"/>
          <w:szCs w:val="20"/>
          <w:color w:val="auto"/>
        </w:rPr>
      </w:pPr>
    </w:p>
    <w:p>
      <w:pPr>
        <w:ind w:right="160" w:firstLine="486"/>
        <w:spacing w:after="0" w:line="253" w:lineRule="auto"/>
        <w:rPr>
          <w:sz w:val="20"/>
          <w:szCs w:val="20"/>
          <w:color w:val="auto"/>
        </w:rPr>
      </w:pPr>
      <w:r>
        <w:rPr>
          <w:rFonts w:ascii="Arial" w:cs="Arial" w:eastAsia="Arial" w:hAnsi="Arial"/>
          <w:sz w:val="18"/>
          <w:szCs w:val="18"/>
          <w:color w:val="auto"/>
        </w:rPr>
        <w:t xml:space="preserve">In the three months ended June 30, 2015 there have been no material changes in our contractual obligations, other than in the ordinary course of business or as noted above, from those disclosed in our 2014 Annual Report on Form 10-K. See Note 8. </w:t>
      </w:r>
      <w:r>
        <w:rPr>
          <w:rFonts w:ascii="Arial" w:cs="Arial" w:eastAsia="Arial" w:hAnsi="Arial"/>
          <w:sz w:val="18"/>
          <w:szCs w:val="18"/>
          <w:i w:val="1"/>
          <w:iCs w:val="1"/>
          <w:color w:val="auto"/>
        </w:rPr>
        <w:t>Debt</w:t>
      </w:r>
      <w:r>
        <w:rPr>
          <w:rFonts w:ascii="Arial" w:cs="Arial" w:eastAsia="Arial" w:hAnsi="Arial"/>
          <w:sz w:val="18"/>
          <w:szCs w:val="18"/>
          <w:color w:val="auto"/>
        </w:rPr>
        <w:t xml:space="preserve"> and Note 9. </w:t>
      </w:r>
      <w:r>
        <w:rPr>
          <w:rFonts w:ascii="Arial" w:cs="Arial" w:eastAsia="Arial" w:hAnsi="Arial"/>
          <w:sz w:val="18"/>
          <w:szCs w:val="18"/>
          <w:i w:val="1"/>
          <w:iCs w:val="1"/>
          <w:color w:val="auto"/>
        </w:rPr>
        <w:t xml:space="preserve">Commitments and Contingencies, </w:t>
      </w:r>
      <w:r>
        <w:rPr>
          <w:rFonts w:ascii="Arial" w:cs="Arial" w:eastAsia="Arial" w:hAnsi="Arial"/>
          <w:sz w:val="18"/>
          <w:szCs w:val="18"/>
          <w:color w:val="auto"/>
        </w:rPr>
        <w:t>within the notes to unaudited condensed consolidated financial statements, as well as the Contractual</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section within Part II, “Item 7. Management’s Discussion and Analysis of Financial Condition and Results of Operations” in our 2014 Annual Report on Form 10-K, for further detail on operating lease obligations and obligations under noncancelable service contracts.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use fair value measurements to record certain financial assets and liabilities at fair value and to determine fair value disclosures.</w:t>
      </w:r>
    </w:p>
    <w:p>
      <w:pPr>
        <w:spacing w:after="0" w:line="225" w:lineRule="exact"/>
        <w:rPr>
          <w:sz w:val="20"/>
          <w:szCs w:val="20"/>
          <w:color w:val="auto"/>
        </w:rPr>
      </w:pPr>
    </w:p>
    <w:p>
      <w:pPr>
        <w:ind w:right="300" w:firstLine="486"/>
        <w:spacing w:after="0" w:line="262" w:lineRule="auto"/>
        <w:rPr>
          <w:sz w:val="20"/>
          <w:szCs w:val="20"/>
          <w:color w:val="auto"/>
        </w:rPr>
      </w:pPr>
      <w:r>
        <w:rPr>
          <w:rFonts w:ascii="Arial" w:cs="Arial" w:eastAsia="Arial" w:hAnsi="Arial"/>
          <w:sz w:val="18"/>
          <w:szCs w:val="18"/>
          <w:color w:val="auto"/>
        </w:rPr>
        <w:t>We use prices obtained from an independent third-party pricing service to measure the fair value of our trading securities. We validate prices received from the pricing service using various methods including, comparison</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36" w:right="239" w:bottom="1440" w:gutter="0" w:footer="0" w:header="0"/>
        </w:sectPr>
      </w:pPr>
    </w:p>
    <w:bookmarkStart w:id="45" w:name="page46"/>
    <w:bookmarkEnd w:id="45"/>
    <w:p>
      <w:pPr>
        <w:ind w:right="300"/>
        <w:spacing w:after="0" w:line="262" w:lineRule="auto"/>
        <w:rPr>
          <w:sz w:val="20"/>
          <w:szCs w:val="20"/>
          <w:color w:val="auto"/>
        </w:rPr>
      </w:pPr>
      <w:r>
        <w:rPr>
          <w:rFonts w:ascii="Arial" w:cs="Arial" w:eastAsia="Arial" w:hAnsi="Arial"/>
          <w:sz w:val="18"/>
          <w:szCs w:val="18"/>
          <w:color w:val="auto"/>
        </w:rPr>
        <w:t>to prices received from additional pricing services, comparison to available market prices and review of other relevant market data including implied yields of major categories of securities.</w:t>
      </w:r>
    </w:p>
    <w:p>
      <w:pPr>
        <w:spacing w:after="0" w:line="196" w:lineRule="exact"/>
        <w:rPr>
          <w:sz w:val="20"/>
          <w:szCs w:val="20"/>
          <w:color w:val="auto"/>
        </w:rPr>
      </w:pPr>
    </w:p>
    <w:p>
      <w:pPr>
        <w:ind w:right="340" w:firstLine="486"/>
        <w:spacing w:after="0" w:line="256" w:lineRule="auto"/>
        <w:rPr>
          <w:sz w:val="20"/>
          <w:szCs w:val="20"/>
          <w:color w:val="auto"/>
        </w:rPr>
      </w:pPr>
      <w:r>
        <w:rPr>
          <w:rFonts w:ascii="Arial" w:cs="Arial" w:eastAsia="Arial" w:hAnsi="Arial"/>
          <w:sz w:val="18"/>
          <w:szCs w:val="18"/>
          <w:color w:val="auto"/>
        </w:rPr>
        <w:t>At June 30, 2015, we did not adjust prices received from the independent third-party pricing service. For certificates of deposit and treasury securities, we utilize market-based inputs including observable market interest rates that correspond to the remaining maturities or next interest reset dates.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47" w:lineRule="exact"/>
        <w:rPr>
          <w:sz w:val="20"/>
          <w:szCs w:val="20"/>
          <w:color w:val="auto"/>
        </w:rPr>
      </w:pPr>
    </w:p>
    <w:p>
      <w:pPr>
        <w:ind w:right="140" w:firstLine="486"/>
        <w:spacing w:after="0" w:line="253" w:lineRule="auto"/>
        <w:rPr>
          <w:sz w:val="20"/>
          <w:szCs w:val="20"/>
          <w:color w:val="auto"/>
        </w:rPr>
      </w:pPr>
      <w:r>
        <w:rPr>
          <w:rFonts w:ascii="Arial" w:cs="Arial" w:eastAsia="Arial" w:hAnsi="Arial"/>
          <w:sz w:val="18"/>
          <w:szCs w:val="18"/>
          <w:color w:val="auto"/>
        </w:rPr>
        <w:t>In the notes to our consolidated financial statements and in “Item 7-Management’s Discussion and Analysis of Financial Condition and Results of Operations” included in our 2014 Annual Report on Form 10-K, we have disclosed those accounting policies that we consider to be significant in determining our results of operations and financial condition. There have been no material changes to those policies that we consider to be significant since the filing of our 2014 Annual Report on Form 10-K. The accounting principles used in preparing our unaudited condensed consolidated financial statements conform in all material respects to GAAP.</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9" w:lineRule="exact"/>
        <w:rPr>
          <w:sz w:val="20"/>
          <w:szCs w:val="20"/>
          <w:color w:val="auto"/>
        </w:rPr>
      </w:pPr>
    </w:p>
    <w:p>
      <w:pPr>
        <w:jc w:val="both"/>
        <w:ind w:right="160" w:firstLine="486"/>
        <w:spacing w:after="0" w:line="266" w:lineRule="auto"/>
        <w:rPr>
          <w:sz w:val="20"/>
          <w:szCs w:val="20"/>
          <w:color w:val="auto"/>
        </w:rPr>
      </w:pPr>
      <w:r>
        <w:rPr>
          <w:rFonts w:ascii="Arial" w:cs="Arial" w:eastAsia="Arial" w:hAnsi="Arial"/>
          <w:sz w:val="18"/>
          <w:szCs w:val="18"/>
          <w:color w:val="auto"/>
        </w:rPr>
        <w:t>Refer to Note 2</w:t>
      </w:r>
      <w:r>
        <w:rPr>
          <w:rFonts w:ascii="Arial" w:cs="Arial" w:eastAsia="Arial" w:hAnsi="Arial"/>
          <w:sz w:val="18"/>
          <w:szCs w:val="18"/>
          <w:i w:val="1"/>
          <w:iCs w:val="1"/>
          <w:color w:val="auto"/>
        </w:rPr>
        <w:t>. Summary of Significant Accounting Policies,</w:t>
      </w:r>
      <w:r>
        <w:rPr>
          <w:rFonts w:ascii="Arial" w:cs="Arial" w:eastAsia="Arial" w:hAnsi="Arial"/>
          <w:sz w:val="18"/>
          <w:szCs w:val="18"/>
          <w:color w:val="auto"/>
        </w:rPr>
        <w:t xml:space="preserve"> within the notes to the condensed consolidated financial statements for a discussion of recent accounting pronouncements or changes in accounting pronouncements that are of significance, or potential significance, to us.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47"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We maintain trading securities owned and securities sold, but not yet purchased in order to facilitate client transactions, to meet a portion of our clearing deposit requirements at various clearing organizations, and to track the performance of our research models. These securities could include mutual funds, debt securities issued by the U.S. government, money market funds, corporate debt securities, certificates of deposit, and equity securities.</w:t>
      </w:r>
    </w:p>
    <w:p>
      <w:pPr>
        <w:spacing w:after="0" w:line="204" w:lineRule="exact"/>
        <w:rPr>
          <w:sz w:val="20"/>
          <w:szCs w:val="20"/>
          <w:color w:val="auto"/>
        </w:rPr>
      </w:pPr>
    </w:p>
    <w:p>
      <w:pPr>
        <w:ind w:right="60" w:firstLine="486"/>
        <w:spacing w:after="0" w:line="251" w:lineRule="auto"/>
        <w:rPr>
          <w:sz w:val="20"/>
          <w:szCs w:val="20"/>
          <w:color w:val="auto"/>
        </w:rPr>
      </w:pPr>
      <w:r>
        <w:rPr>
          <w:rFonts w:ascii="Arial" w:cs="Arial" w:eastAsia="Arial" w:hAnsi="Arial"/>
          <w:sz w:val="18"/>
          <w:szCs w:val="18"/>
          <w:color w:val="auto"/>
        </w:rPr>
        <w:t>Changes in the value of our trading inventory may result from fluctuations in interest rates, credit ratings of the issuer, equity prices, and the correlation among these factors. We manage our trading inventory by product type. Our activities to facilitate client transactions generally involve mutual fund activities, including dividend reinvestments. The balances are based upon pending client activities, which are monitored by our Client Support Services department. Because these positions arise from pending client transactions, there are no specific trading or position limits. Positions held to meet clearing deposit requirements consist of U.S. government securities. The amount of securities deposited depends upon the requirements of the clearing organization. The level of securities deposited is monitored by the settlement area within our Client Support Services department. Our research department develops model portfolios that are used by advisors in developing client portfolios. We currently maintain approximately 194 accounts based on model portfolios. At the time a portfolio is developed, we purchase the securities in that model portfolio in an amount equal to the account minimum for a client. Account minimums vary by product and can range from $10,000 to $250,000 per model. We utilize these positions to track the performance of the research department. The limits on this activity are based at the inception of each new model.</w:t>
      </w:r>
    </w:p>
    <w:p>
      <w:pPr>
        <w:spacing w:after="0" w:line="212"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 xml:space="preserve">At June 30, 2015, the fair value of our trading securities owned were $12.0 million. Securities sold, but not yet purchased were immaterial at June 30, 2015. The fair value of securities included within other assets were $102.9 million at June 30, 2015. See Note 4. </w:t>
      </w:r>
      <w:r>
        <w:rPr>
          <w:rFonts w:ascii="Arial" w:cs="Arial" w:eastAsia="Arial" w:hAnsi="Arial"/>
          <w:sz w:val="18"/>
          <w:szCs w:val="18"/>
          <w:i w:val="1"/>
          <w:iCs w:val="1"/>
          <w:color w:val="auto"/>
        </w:rPr>
        <w:t>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Measurements</w:t>
      </w:r>
      <w:r>
        <w:rPr>
          <w:rFonts w:ascii="Arial" w:cs="Arial" w:eastAsia="Arial" w:hAnsi="Arial"/>
          <w:sz w:val="18"/>
          <w:szCs w:val="18"/>
          <w:color w:val="auto"/>
        </w:rPr>
        <w:t>, within the notes to unaudited condensed consolidated financial statements for information regarding the fair value of trading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securities owned, securities sold, but not yet purchased, and other assets associated with our client facilitation activities. See Note 5. </w:t>
      </w:r>
      <w:r>
        <w:rPr>
          <w:rFonts w:ascii="Arial" w:cs="Arial" w:eastAsia="Arial" w:hAnsi="Arial"/>
          <w:sz w:val="18"/>
          <w:szCs w:val="18"/>
          <w:i w:val="1"/>
          <w:iCs w:val="1"/>
          <w:color w:val="auto"/>
        </w:rPr>
        <w:t>Held-to-Maturity Securities</w:t>
      </w:r>
      <w:r>
        <w:rPr>
          <w:rFonts w:ascii="Arial" w:cs="Arial" w:eastAsia="Arial" w:hAnsi="Arial"/>
          <w:sz w:val="18"/>
          <w:szCs w:val="18"/>
          <w:color w:val="auto"/>
        </w:rPr>
        <w:t>, within the notes to unaudited condensed consolidated financial statements for information regarding the fair value of</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held to maturity.</w:t>
      </w:r>
    </w:p>
    <w:p>
      <w:pPr>
        <w:spacing w:after="0" w:line="20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do not enter into contracts involving derivatives or other similar financial instruments for proprietary trading purposes.</w:t>
      </w:r>
    </w:p>
    <w:p>
      <w:pPr>
        <w:spacing w:after="0" w:line="225" w:lineRule="exact"/>
        <w:rPr>
          <w:sz w:val="20"/>
          <w:szCs w:val="20"/>
          <w:color w:val="auto"/>
        </w:rPr>
      </w:pPr>
    </w:p>
    <w:p>
      <w:pPr>
        <w:ind w:right="340" w:firstLine="486"/>
        <w:spacing w:after="0" w:line="262" w:lineRule="auto"/>
        <w:rPr>
          <w:sz w:val="20"/>
          <w:szCs w:val="20"/>
          <w:color w:val="auto"/>
        </w:rPr>
      </w:pPr>
      <w:r>
        <w:rPr>
          <w:rFonts w:ascii="Arial" w:cs="Arial" w:eastAsia="Arial" w:hAnsi="Arial"/>
          <w:sz w:val="18"/>
          <w:szCs w:val="18"/>
          <w:color w:val="auto"/>
        </w:rPr>
        <w:t>We also have market risk on the fees we earn that are based on the market value of advisory and brokerage assets, assets on which trailing commissions are paid, and assets eligible for sponsor payments.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47"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We are exposed to risk associated with changes in interest rates. As of June 30, 2015, all of the outstanding debt under our Credit Agreement, $1.7 billion, was subject to floating interest rate risk. While our senior secured term loans are subject to increases in interest rates, we do not believe that a short-term change in interest rates would have a material impact on our income before taxes given assets owned, which are subject to the same, but off-setting interest rate risk.</w:t>
      </w:r>
    </w:p>
    <w:p>
      <w:pPr>
        <w:sectPr>
          <w:pgSz w:w="11900" w:h="16838" w:orient="portrait"/>
          <w:cols w:equalWidth="0" w:num="1">
            <w:col w:w="11400"/>
          </w:cols>
          <w:pgMar w:left="240" w:top="490" w:right="259" w:bottom="1440" w:gutter="0" w:footer="0" w:header="0"/>
        </w:sect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400"/>
          </w:cols>
          <w:pgMar w:left="240" w:top="490" w:right="259" w:bottom="1440" w:gutter="0" w:footer="0" w:header="0"/>
          <w:type w:val="continuous"/>
        </w:sectPr>
      </w:pPr>
    </w:p>
    <w:bookmarkStart w:id="46" w:name="page47"/>
    <w:bookmarkEnd w:id="46"/>
    <w:p>
      <w:pPr>
        <w:ind w:right="540" w:firstLine="486"/>
        <w:spacing w:after="0" w:line="262" w:lineRule="auto"/>
        <w:rPr>
          <w:sz w:val="20"/>
          <w:szCs w:val="20"/>
          <w:color w:val="auto"/>
        </w:rPr>
      </w:pPr>
      <w:r>
        <w:rPr>
          <w:rFonts w:ascii="Arial" w:cs="Arial" w:eastAsia="Arial" w:hAnsi="Arial"/>
          <w:sz w:val="18"/>
          <w:szCs w:val="18"/>
          <w:color w:val="auto"/>
        </w:rPr>
        <w:t>The following table summarizes the impact of increasing interest rates on our interest expense from the variable portion of our debt outstanding at June 30, 2015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rPr>
              <w:t>Outstanding at</w:t>
            </w:r>
          </w:p>
        </w:tc>
        <w:tc>
          <w:tcPr>
            <w:tcW w:w="160" w:type="dxa"/>
            <w:vAlign w:val="bottom"/>
            <w:tcBorders>
              <w:bottom w:val="single" w:sz="8" w:color="auto"/>
            </w:tcBorders>
          </w:tcPr>
          <w:p>
            <w:pPr>
              <w:spacing w:after="0"/>
              <w:rPr>
                <w:sz w:val="19"/>
                <w:szCs w:val="19"/>
                <w:color w:val="auto"/>
              </w:rPr>
            </w:pPr>
          </w:p>
        </w:tc>
        <w:tc>
          <w:tcPr>
            <w:tcW w:w="4320" w:type="dxa"/>
            <w:vAlign w:val="bottom"/>
            <w:tcBorders>
              <w:bottom w:val="single" w:sz="8" w:color="auto"/>
            </w:tcBorders>
            <w:gridSpan w:val="10"/>
          </w:tcPr>
          <w:p>
            <w:pPr>
              <w:jc w:val="right"/>
              <w:ind w:right="413"/>
              <w:spacing w:after="0"/>
              <w:rPr>
                <w:sz w:val="20"/>
                <w:szCs w:val="20"/>
                <w:color w:val="auto"/>
              </w:rPr>
            </w:pPr>
            <w:r>
              <w:rPr>
                <w:rFonts w:ascii="Arial" w:cs="Arial" w:eastAsia="Arial" w:hAnsi="Arial"/>
                <w:sz w:val="16"/>
                <w:szCs w:val="16"/>
                <w:b w:val="1"/>
                <w:bCs w:val="1"/>
                <w:color w:val="auto"/>
              </w:rPr>
              <w:t>Annual Impact of an Interest Rate Increase of</w:t>
            </w:r>
          </w:p>
        </w:tc>
        <w:tc>
          <w:tcPr>
            <w:tcW w:w="0" w:type="dxa"/>
            <w:vAlign w:val="bottom"/>
          </w:tcPr>
          <w:p>
            <w:pPr>
              <w:spacing w:after="0"/>
              <w:rPr>
                <w:sz w:val="1"/>
                <w:szCs w:val="1"/>
                <w:color w:val="auto"/>
              </w:rPr>
            </w:pPr>
          </w:p>
        </w:tc>
      </w:tr>
      <w:tr>
        <w:trPr>
          <w:trHeight w:val="117"/>
        </w:trPr>
        <w:tc>
          <w:tcPr>
            <w:tcW w:w="5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10 Basis</w:t>
            </w:r>
          </w:p>
        </w:tc>
        <w:tc>
          <w:tcPr>
            <w:tcW w:w="160" w:type="dxa"/>
            <w:vAlign w:val="bottom"/>
          </w:tcPr>
          <w:p>
            <w:pPr>
              <w:spacing w:after="0"/>
              <w:rPr>
                <w:sz w:val="10"/>
                <w:szCs w:val="10"/>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25 Basis</w:t>
            </w:r>
          </w:p>
        </w:tc>
        <w:tc>
          <w:tcPr>
            <w:tcW w:w="160" w:type="dxa"/>
            <w:vAlign w:val="bottom"/>
          </w:tcPr>
          <w:p>
            <w:pPr>
              <w:spacing w:after="0"/>
              <w:rPr>
                <w:sz w:val="10"/>
                <w:szCs w:val="10"/>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50 Basis</w:t>
            </w:r>
          </w:p>
        </w:tc>
        <w:tc>
          <w:tcPr>
            <w:tcW w:w="140" w:type="dxa"/>
            <w:vAlign w:val="bottom"/>
          </w:tcPr>
          <w:p>
            <w:pPr>
              <w:spacing w:after="0"/>
              <w:rPr>
                <w:sz w:val="10"/>
                <w:szCs w:val="10"/>
                <w:color w:val="auto"/>
              </w:rPr>
            </w:pPr>
          </w:p>
        </w:tc>
        <w:tc>
          <w:tcPr>
            <w:tcW w:w="900" w:type="dxa"/>
            <w:vAlign w:val="bottom"/>
            <w:vMerge w:val="restart"/>
          </w:tcPr>
          <w:p>
            <w:pPr>
              <w:jc w:val="right"/>
              <w:ind w:right="53"/>
              <w:spacing w:after="0"/>
              <w:rPr>
                <w:sz w:val="20"/>
                <w:szCs w:val="20"/>
                <w:color w:val="auto"/>
              </w:rPr>
            </w:pPr>
            <w:r>
              <w:rPr>
                <w:rFonts w:ascii="Arial" w:cs="Arial" w:eastAsia="Arial" w:hAnsi="Arial"/>
                <w:sz w:val="16"/>
                <w:szCs w:val="16"/>
                <w:b w:val="1"/>
                <w:bCs w:val="1"/>
                <w:color w:val="auto"/>
              </w:rPr>
              <w:t>100 Basis</w:t>
            </w:r>
          </w:p>
        </w:tc>
        <w:tc>
          <w:tcPr>
            <w:tcW w:w="0" w:type="dxa"/>
            <w:vAlign w:val="bottom"/>
          </w:tcPr>
          <w:p>
            <w:pPr>
              <w:spacing w:after="0"/>
              <w:rPr>
                <w:sz w:val="1"/>
                <w:szCs w:val="1"/>
                <w:color w:val="auto"/>
              </w:rPr>
            </w:pPr>
          </w:p>
        </w:tc>
      </w:tr>
      <w:tr>
        <w:trPr>
          <w:trHeight w:val="134"/>
        </w:trPr>
        <w:tc>
          <w:tcPr>
            <w:tcW w:w="5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4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rPr>
              <w:t>Variable Interest</w:t>
            </w:r>
          </w:p>
        </w:tc>
        <w:tc>
          <w:tcPr>
            <w:tcW w:w="16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5"/>
        </w:trPr>
        <w:tc>
          <w:tcPr>
            <w:tcW w:w="5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50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Senior Secured Credit Facilities</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center"/>
              <w:ind w:right="94"/>
              <w:spacing w:after="0"/>
              <w:rPr>
                <w:sz w:val="20"/>
                <w:szCs w:val="20"/>
                <w:color w:val="auto"/>
              </w:rPr>
            </w:pPr>
            <w:r>
              <w:rPr>
                <w:rFonts w:ascii="Arial" w:cs="Arial" w:eastAsia="Arial" w:hAnsi="Arial"/>
                <w:sz w:val="16"/>
                <w:szCs w:val="16"/>
                <w:b w:val="1"/>
                <w:bCs w:val="1"/>
                <w:color w:val="auto"/>
              </w:rPr>
              <w:t>Rates</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94"/>
              <w:spacing w:after="0"/>
              <w:rPr>
                <w:sz w:val="20"/>
                <w:szCs w:val="20"/>
                <w:color w:val="auto"/>
              </w:rPr>
            </w:pPr>
            <w:r>
              <w:rPr>
                <w:rFonts w:ascii="Arial" w:cs="Arial" w:eastAsia="Arial" w:hAnsi="Arial"/>
                <w:sz w:val="16"/>
                <w:szCs w:val="16"/>
                <w:b w:val="1"/>
                <w:bCs w:val="1"/>
                <w:color w:val="auto"/>
              </w:rPr>
              <w:t>Points</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73"/>
              <w:spacing w:after="0"/>
              <w:rPr>
                <w:sz w:val="20"/>
                <w:szCs w:val="20"/>
                <w:color w:val="auto"/>
              </w:rPr>
            </w:pPr>
            <w:r>
              <w:rPr>
                <w:rFonts w:ascii="Arial" w:cs="Arial" w:eastAsia="Arial" w:hAnsi="Arial"/>
                <w:sz w:val="16"/>
                <w:szCs w:val="16"/>
                <w:b w:val="1"/>
                <w:bCs w:val="1"/>
                <w:color w:val="auto"/>
              </w:rPr>
              <w:t>Points</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93"/>
              <w:spacing w:after="0"/>
              <w:rPr>
                <w:sz w:val="20"/>
                <w:szCs w:val="20"/>
                <w:color w:val="auto"/>
              </w:rPr>
            </w:pPr>
            <w:r>
              <w:rPr>
                <w:rFonts w:ascii="Arial" w:cs="Arial" w:eastAsia="Arial" w:hAnsi="Arial"/>
                <w:sz w:val="16"/>
                <w:szCs w:val="16"/>
                <w:b w:val="1"/>
                <w:bCs w:val="1"/>
                <w:color w:val="auto"/>
              </w:rPr>
              <w:t>Points</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93"/>
              <w:spacing w:after="0"/>
              <w:rPr>
                <w:sz w:val="20"/>
                <w:szCs w:val="20"/>
                <w:color w:val="auto"/>
              </w:rPr>
            </w:pPr>
            <w:r>
              <w:rPr>
                <w:rFonts w:ascii="Arial" w:cs="Arial" w:eastAsia="Arial" w:hAnsi="Arial"/>
                <w:sz w:val="16"/>
                <w:szCs w:val="16"/>
                <w:b w:val="1"/>
                <w:bCs w:val="1"/>
                <w:color w:val="auto"/>
              </w:rPr>
              <w:t>Points</w:t>
            </w:r>
          </w:p>
        </w:tc>
        <w:tc>
          <w:tcPr>
            <w:tcW w:w="0" w:type="dxa"/>
            <w:vAlign w:val="bottom"/>
          </w:tcPr>
          <w:p>
            <w:pPr>
              <w:spacing w:after="0"/>
              <w:rPr>
                <w:sz w:val="1"/>
                <w:szCs w:val="1"/>
                <w:color w:val="auto"/>
              </w:rPr>
            </w:pPr>
          </w:p>
        </w:tc>
      </w:tr>
      <w:tr>
        <w:trPr>
          <w:trHeight w:val="257"/>
        </w:trPr>
        <w:tc>
          <w:tcPr>
            <w:tcW w:w="5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Term Loan A</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459,375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459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1,148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2,297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4,594</w:t>
            </w:r>
          </w:p>
        </w:tc>
        <w:tc>
          <w:tcPr>
            <w:tcW w:w="0" w:type="dxa"/>
            <w:vAlign w:val="bottom"/>
          </w:tcPr>
          <w:p>
            <w:pPr>
              <w:spacing w:after="0"/>
              <w:rPr>
                <w:sz w:val="1"/>
                <w:szCs w:val="1"/>
                <w:color w:val="auto"/>
              </w:rPr>
            </w:pPr>
          </w:p>
        </w:tc>
      </w:tr>
      <w:tr>
        <w:trPr>
          <w:trHeight w:val="263"/>
        </w:trPr>
        <w:tc>
          <w:tcPr>
            <w:tcW w:w="5120" w:type="dxa"/>
            <w:vAlign w:val="bottom"/>
            <w:gridSpan w:val="2"/>
          </w:tcPr>
          <w:p>
            <w:pPr>
              <w:ind w:left="40"/>
              <w:spacing w:after="0"/>
              <w:rPr>
                <w:sz w:val="20"/>
                <w:szCs w:val="20"/>
                <w:color w:val="auto"/>
              </w:rPr>
            </w:pPr>
            <w:r>
              <w:rPr>
                <w:rFonts w:ascii="Arial" w:cs="Arial" w:eastAsia="Arial" w:hAnsi="Arial"/>
                <w:sz w:val="18"/>
                <w:szCs w:val="18"/>
                <w:color w:val="auto"/>
              </w:rPr>
              <w:t>Term Loan B</w:t>
            </w:r>
          </w:p>
        </w:tc>
        <w:tc>
          <w:tcPr>
            <w:tcW w:w="180" w:type="dxa"/>
            <w:vAlign w:val="bottom"/>
          </w:tcPr>
          <w:p>
            <w:pPr>
              <w:spacing w:after="0"/>
              <w:rPr>
                <w:sz w:val="22"/>
                <w:szCs w:val="22"/>
                <w:color w:val="auto"/>
              </w:rPr>
            </w:pP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1,059,463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1,842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7,119</w:t>
            </w:r>
          </w:p>
        </w:tc>
        <w:tc>
          <w:tcPr>
            <w:tcW w:w="0" w:type="dxa"/>
            <w:vAlign w:val="bottom"/>
          </w:tcPr>
          <w:p>
            <w:pPr>
              <w:spacing w:after="0"/>
              <w:rPr>
                <w:sz w:val="1"/>
                <w:szCs w:val="1"/>
                <w:color w:val="auto"/>
              </w:rPr>
            </w:pPr>
          </w:p>
        </w:tc>
      </w:tr>
      <w:tr>
        <w:trPr>
          <w:trHeight w:val="270"/>
        </w:trPr>
        <w:tc>
          <w:tcPr>
            <w:tcW w:w="51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Revolving Credit Facility</w:t>
            </w:r>
          </w:p>
        </w:tc>
        <w:tc>
          <w:tcPr>
            <w:tcW w:w="18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175,000</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438</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875</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1,750</w:t>
            </w:r>
          </w:p>
        </w:tc>
        <w:tc>
          <w:tcPr>
            <w:tcW w:w="0" w:type="dxa"/>
            <w:vAlign w:val="bottom"/>
          </w:tcPr>
          <w:p>
            <w:pPr>
              <w:spacing w:after="0"/>
              <w:rPr>
                <w:sz w:val="1"/>
                <w:szCs w:val="1"/>
                <w:color w:val="auto"/>
              </w:rPr>
            </w:pPr>
          </w:p>
        </w:tc>
      </w:tr>
      <w:tr>
        <w:trPr>
          <w:trHeight w:val="257"/>
        </w:trPr>
        <w:tc>
          <w:tcPr>
            <w:tcW w:w="5120" w:type="dxa"/>
            <w:vAlign w:val="bottom"/>
            <w:gridSpan w:val="2"/>
          </w:tcPr>
          <w:p>
            <w:pPr>
              <w:ind w:left="40"/>
              <w:spacing w:after="0"/>
              <w:rPr>
                <w:sz w:val="20"/>
                <w:szCs w:val="20"/>
                <w:color w:val="auto"/>
              </w:rPr>
            </w:pPr>
            <w:r>
              <w:rPr>
                <w:rFonts w:ascii="Arial" w:cs="Arial" w:eastAsia="Arial" w:hAnsi="Arial"/>
                <w:sz w:val="18"/>
                <w:szCs w:val="18"/>
                <w:color w:val="auto"/>
              </w:rPr>
              <w:t>Variable Rate Debt Outstanding</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1,693,838</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634</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1,586</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5,014</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13,463</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See Note 8. </w:t>
      </w:r>
      <w:r>
        <w:rPr>
          <w:rFonts w:ascii="Arial" w:cs="Arial" w:eastAsia="Arial" w:hAnsi="Arial"/>
          <w:sz w:val="18"/>
          <w:szCs w:val="18"/>
          <w:i w:val="1"/>
          <w:iCs w:val="1"/>
          <w:color w:val="auto"/>
        </w:rPr>
        <w:t>Debt</w:t>
      </w:r>
      <w:r>
        <w:rPr>
          <w:rFonts w:ascii="Arial" w:cs="Arial" w:eastAsia="Arial" w:hAnsi="Arial"/>
          <w:sz w:val="18"/>
          <w:szCs w:val="18"/>
          <w:color w:val="auto"/>
        </w:rPr>
        <w:t>, within the notes to unaudited condensed consolidated financial statements for additional information.</w:t>
      </w:r>
    </w:p>
    <w:p>
      <w:pPr>
        <w:spacing w:after="0" w:line="203"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We offer our advisors and their clients two primary cash sweep programs that are interest rate sensitive: our insured cash programs and money market sweep vehicles involving multiple money market fund providers. Our insured cash programs use multiple non-affiliated banks to provide up to $1.5 million ($3.0 million in joint accounts) of FDIC insurance for client deposits custodied at the banks. While clients earn interest for balances on deposit in the insured cash programs, we earn a fee. Our fees from the insured cash programs are based on prevailing interest rates in the current interest rate environment. Changes in interest rates and fees for the insured cash programs are monitored by our fee and rate setting committee (the “FRS committee”), which governs and approves any changes to our fees. By meeting promptly after interest rates change, or for other market or non-market reasons, the FRS committee balances financial risk of the insured cash programs with products that offer competitive client yields. However, as short-term interest rates hit lower levels, the FRS committee may be compelled to lower fees.</w:t>
      </w:r>
    </w:p>
    <w:p>
      <w:pPr>
        <w:spacing w:after="0" w:line="206" w:lineRule="exact"/>
        <w:rPr>
          <w:sz w:val="20"/>
          <w:szCs w:val="20"/>
          <w:color w:val="auto"/>
        </w:rPr>
      </w:pPr>
    </w:p>
    <w:p>
      <w:pPr>
        <w:ind w:firstLine="486"/>
        <w:spacing w:after="0" w:line="256" w:lineRule="auto"/>
        <w:rPr>
          <w:sz w:val="20"/>
          <w:szCs w:val="20"/>
          <w:color w:val="auto"/>
        </w:rPr>
      </w:pPr>
      <w:r>
        <w:rPr>
          <w:rFonts w:ascii="Arial" w:cs="Arial" w:eastAsia="Arial" w:hAnsi="Arial"/>
          <w:sz w:val="18"/>
          <w:szCs w:val="18"/>
          <w:color w:val="auto"/>
        </w:rPr>
        <w:t>The average Federal Reserve effective federal funds rate (“FFER”) for the three months ended June 30, 2015 was 0.13%. The following table reflects the approximate annual impact to asset-based revenues on our insured cash programs (assuming that client balances at June 30, 2015 remain unchanged) of an upward or downward change in short-term interest rates of one basis point (dollars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Federal Reserve Effective Federal Funds</w:t>
            </w:r>
          </w:p>
        </w:tc>
        <w:tc>
          <w:tcPr>
            <w:tcW w:w="7360" w:type="dxa"/>
            <w:vAlign w:val="bottom"/>
          </w:tcPr>
          <w:p>
            <w:pPr>
              <w:jc w:val="right"/>
              <w:ind w:right="1354"/>
              <w:spacing w:after="0"/>
              <w:rPr>
                <w:sz w:val="20"/>
                <w:szCs w:val="20"/>
                <w:color w:val="auto"/>
              </w:rPr>
            </w:pPr>
            <w:r>
              <w:rPr>
                <w:rFonts w:ascii="Arial" w:cs="Arial" w:eastAsia="Arial" w:hAnsi="Arial"/>
                <w:sz w:val="16"/>
                <w:szCs w:val="16"/>
                <w:b w:val="1"/>
                <w:bCs w:val="1"/>
                <w:color w:val="auto"/>
              </w:rPr>
              <w:t>Annualized Increase or Decrease in Asset-Based</w:t>
            </w:r>
          </w:p>
        </w:tc>
        <w:tc>
          <w:tcPr>
            <w:tcW w:w="740" w:type="dxa"/>
            <w:vAlign w:val="bottom"/>
          </w:tcPr>
          <w:p>
            <w:pPr>
              <w:spacing w:after="0"/>
              <w:rPr>
                <w:sz w:val="16"/>
                <w:szCs w:val="16"/>
                <w:color w:val="auto"/>
              </w:rPr>
            </w:pPr>
          </w:p>
        </w:tc>
      </w:tr>
      <w:tr>
        <w:trPr>
          <w:trHeight w:val="228"/>
        </w:trPr>
        <w:tc>
          <w:tcPr>
            <w:tcW w:w="33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Rate</w:t>
            </w:r>
          </w:p>
        </w:tc>
        <w:tc>
          <w:tcPr>
            <w:tcW w:w="7360" w:type="dxa"/>
            <w:vAlign w:val="bottom"/>
          </w:tcPr>
          <w:p>
            <w:pPr>
              <w:jc w:val="right"/>
              <w:ind w:right="1734"/>
              <w:spacing w:after="0"/>
              <w:rPr>
                <w:sz w:val="20"/>
                <w:szCs w:val="20"/>
                <w:color w:val="auto"/>
              </w:rPr>
            </w:pPr>
            <w:r>
              <w:rPr>
                <w:rFonts w:ascii="Arial" w:cs="Arial" w:eastAsia="Arial" w:hAnsi="Arial"/>
                <w:sz w:val="16"/>
                <w:szCs w:val="16"/>
                <w:b w:val="1"/>
                <w:bCs w:val="1"/>
                <w:color w:val="auto"/>
              </w:rPr>
              <w:t>Revenues per One Basis Point Change</w:t>
            </w:r>
          </w:p>
        </w:tc>
        <w:tc>
          <w:tcPr>
            <w:tcW w:w="740" w:type="dxa"/>
            <w:vAlign w:val="bottom"/>
          </w:tcPr>
          <w:p>
            <w:pPr>
              <w:spacing w:after="0"/>
              <w:rPr>
                <w:sz w:val="19"/>
                <w:szCs w:val="19"/>
                <w:color w:val="auto"/>
              </w:rPr>
            </w:pPr>
          </w:p>
        </w:tc>
      </w:tr>
      <w:tr>
        <w:trPr>
          <w:trHeight w:val="257"/>
        </w:trPr>
        <w:tc>
          <w:tcPr>
            <w:tcW w:w="3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0.00% - 0.25%</w:t>
            </w:r>
          </w:p>
        </w:tc>
        <w:tc>
          <w:tcPr>
            <w:tcW w:w="120" w:type="dxa"/>
            <w:vAlign w:val="bottom"/>
            <w:tcBorders>
              <w:top w:val="single" w:sz="8" w:color="CCEEFF"/>
            </w:tcBorders>
            <w:shd w:val="clear" w:color="auto" w:fill="CCEEFF"/>
          </w:tcPr>
          <w:p>
            <w:pPr>
              <w:spacing w:after="0"/>
              <w:rPr>
                <w:sz w:val="22"/>
                <w:szCs w:val="22"/>
                <w:color w:val="auto"/>
              </w:rPr>
            </w:pPr>
          </w:p>
        </w:tc>
        <w:tc>
          <w:tcPr>
            <w:tcW w:w="7360" w:type="dxa"/>
            <w:vAlign w:val="bottom"/>
            <w:tcBorders>
              <w:top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1,800</w:t>
            </w:r>
          </w:p>
        </w:tc>
      </w:tr>
      <w:tr>
        <w:trPr>
          <w:trHeight w:val="263"/>
        </w:trPr>
        <w:tc>
          <w:tcPr>
            <w:tcW w:w="3200" w:type="dxa"/>
            <w:vAlign w:val="bottom"/>
          </w:tcPr>
          <w:p>
            <w:pPr>
              <w:jc w:val="center"/>
              <w:spacing w:after="0"/>
              <w:rPr>
                <w:sz w:val="20"/>
                <w:szCs w:val="20"/>
                <w:color w:val="auto"/>
              </w:rPr>
            </w:pPr>
            <w:r>
              <w:rPr>
                <w:rFonts w:ascii="Arial" w:cs="Arial" w:eastAsia="Arial" w:hAnsi="Arial"/>
                <w:sz w:val="18"/>
                <w:szCs w:val="18"/>
                <w:color w:val="auto"/>
                <w:w w:val="99"/>
              </w:rPr>
              <w:t>0.26% - 1.25%</w:t>
            </w:r>
          </w:p>
        </w:tc>
        <w:tc>
          <w:tcPr>
            <w:tcW w:w="120" w:type="dxa"/>
            <w:vAlign w:val="bottom"/>
          </w:tcPr>
          <w:p>
            <w:pPr>
              <w:spacing w:after="0"/>
              <w:rPr>
                <w:sz w:val="22"/>
                <w:szCs w:val="22"/>
                <w:color w:val="auto"/>
              </w:rPr>
            </w:pPr>
          </w:p>
        </w:tc>
        <w:tc>
          <w:tcPr>
            <w:tcW w:w="736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900</w:t>
            </w:r>
          </w:p>
        </w:tc>
      </w:tr>
      <w:tr>
        <w:trPr>
          <w:trHeight w:val="277"/>
        </w:trPr>
        <w:tc>
          <w:tcPr>
            <w:tcW w:w="3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1.26% - 2.70%</w:t>
            </w:r>
          </w:p>
        </w:tc>
        <w:tc>
          <w:tcPr>
            <w:tcW w:w="120" w:type="dxa"/>
            <w:vAlign w:val="bottom"/>
            <w:shd w:val="clear" w:color="auto" w:fill="CCEEFF"/>
          </w:tcPr>
          <w:p>
            <w:pPr>
              <w:spacing w:after="0"/>
              <w:rPr>
                <w:sz w:val="24"/>
                <w:szCs w:val="24"/>
                <w:color w:val="auto"/>
              </w:rPr>
            </w:pPr>
          </w:p>
        </w:tc>
        <w:tc>
          <w:tcPr>
            <w:tcW w:w="73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800</w:t>
            </w:r>
          </w:p>
        </w:tc>
      </w:tr>
    </w:tbl>
    <w:p>
      <w:pPr>
        <w:spacing w:after="0" w:line="161" w:lineRule="exact"/>
        <w:rPr>
          <w:sz w:val="20"/>
          <w:szCs w:val="20"/>
          <w:color w:val="auto"/>
        </w:rPr>
      </w:pPr>
    </w:p>
    <w:p>
      <w:pPr>
        <w:ind w:right="400" w:firstLine="486"/>
        <w:spacing w:after="0" w:line="256" w:lineRule="auto"/>
        <w:rPr>
          <w:sz w:val="20"/>
          <w:szCs w:val="20"/>
          <w:color w:val="auto"/>
        </w:rPr>
      </w:pPr>
      <w:r>
        <w:rPr>
          <w:rFonts w:ascii="Arial" w:cs="Arial" w:eastAsia="Arial" w:hAnsi="Arial"/>
          <w:sz w:val="18"/>
          <w:szCs w:val="18"/>
          <w:color w:val="auto"/>
        </w:rPr>
        <w:t>The actual impact to asset-based revenues, including a change in the FFER of greater than 2.70%, may vary depending on the FRS committee's strategy in response to a change in interest rate levels, the significance of a change, and actual balances at the time of such change.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w:t>
      </w:r>
    </w:p>
    <w:p>
      <w:pPr>
        <w:spacing w:after="0" w:line="247" w:lineRule="exact"/>
        <w:rPr>
          <w:sz w:val="20"/>
          <w:szCs w:val="20"/>
          <w:color w:val="auto"/>
        </w:rPr>
      </w:pPr>
    </w:p>
    <w:p>
      <w:pPr>
        <w:ind w:right="160" w:firstLine="486"/>
        <w:spacing w:after="0" w:line="254" w:lineRule="auto"/>
        <w:rPr>
          <w:sz w:val="20"/>
          <w:szCs w:val="20"/>
          <w:color w:val="auto"/>
        </w:rPr>
      </w:pPr>
      <w:r>
        <w:rPr>
          <w:rFonts w:ascii="Arial" w:cs="Arial" w:eastAsia="Arial" w:hAnsi="Arial"/>
          <w:sz w:val="18"/>
          <w:szCs w:val="18"/>
          <w:color w:val="auto"/>
        </w:rPr>
        <w:t>Credit risk is the risk of loss due to adverse changes in a borrower’s, issuer’s, or counterparty’s ability to meet its financial obligations under contractual or agreed upon terms. Credit risk includes the risk that collateral posted with LPL Financial by clients of our advisors to support margin lending or derivative trading is insufficient to meet such client’s contractual obligations to LPL Financial. We bear credit risk on the activities of our advisors’ clients, including the execution, settlement and financing of various transactions on behalf of these clients.</w:t>
      </w:r>
    </w:p>
    <w:p>
      <w:pPr>
        <w:spacing w:after="0" w:line="204" w:lineRule="exact"/>
        <w:rPr>
          <w:sz w:val="20"/>
          <w:szCs w:val="20"/>
          <w:color w:val="auto"/>
        </w:rPr>
      </w:pPr>
    </w:p>
    <w:p>
      <w:pPr>
        <w:ind w:right="140" w:firstLine="486"/>
        <w:spacing w:after="0" w:line="254" w:lineRule="auto"/>
        <w:rPr>
          <w:sz w:val="20"/>
          <w:szCs w:val="20"/>
          <w:color w:val="auto"/>
        </w:rPr>
      </w:pPr>
      <w:r>
        <w:rPr>
          <w:rFonts w:ascii="Arial" w:cs="Arial" w:eastAsia="Arial" w:hAnsi="Arial"/>
          <w:sz w:val="18"/>
          <w:szCs w:val="18"/>
          <w:color w:val="auto"/>
        </w:rPr>
        <w:t>These activities are transacted on either a cash or margin basis. Our credit exposure in these transactions consists primarily of margin accounts, through which we extend credit to advisors' clients collateralized by cash (for purposes of margin lending, cash is not used as collateral) and securities in the client’s account. Under many of these agreements, we are permitted to sell, re-pledge or loan these securities held as collateral and use these securities to enter into securities lending arrangements or to deliver to counterparties to cover short positions.</w:t>
      </w:r>
    </w:p>
    <w:p>
      <w:pPr>
        <w:spacing w:after="0" w:line="204" w:lineRule="exact"/>
        <w:rPr>
          <w:sz w:val="20"/>
          <w:szCs w:val="20"/>
          <w:color w:val="auto"/>
        </w:rPr>
      </w:pPr>
    </w:p>
    <w:p>
      <w:pPr>
        <w:ind w:right="280" w:firstLine="486"/>
        <w:spacing w:after="0" w:line="254" w:lineRule="auto"/>
        <w:rPr>
          <w:sz w:val="20"/>
          <w:szCs w:val="20"/>
          <w:color w:val="auto"/>
        </w:rPr>
      </w:pPr>
      <w:r>
        <w:rPr>
          <w:rFonts w:ascii="Arial" w:cs="Arial" w:eastAsia="Arial" w:hAnsi="Arial"/>
          <w:sz w:val="18"/>
          <w:szCs w:val="18"/>
          <w:color w:val="auto"/>
        </w:rPr>
        <w:t>As our advisors execute margin transactions on behalf of their clients, we may incur losses if clients do not fulfill their obligations, the collateral in clients' accounts is insufficient to fully cover losses from such investments, and our advisors fail to reimburse us for such losses. Our losses on margin accounts were immaterial and did not exceed $0.1 million during the six months ended June 30, 2015 and 2014. We monitor exposure to industry sectors</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382" w:right="239" w:bottom="1440" w:gutter="0" w:footer="0" w:header="0"/>
        </w:sectPr>
      </w:pPr>
    </w:p>
    <w:bookmarkStart w:id="47" w:name="page48"/>
    <w:bookmarkEnd w:id="47"/>
    <w:p>
      <w:pPr>
        <w:ind w:right="620"/>
        <w:spacing w:after="0" w:line="262" w:lineRule="auto"/>
        <w:rPr>
          <w:sz w:val="20"/>
          <w:szCs w:val="20"/>
          <w:color w:val="auto"/>
        </w:rPr>
      </w:pPr>
      <w:r>
        <w:rPr>
          <w:rFonts w:ascii="Arial" w:cs="Arial" w:eastAsia="Arial" w:hAnsi="Arial"/>
          <w:sz w:val="18"/>
          <w:szCs w:val="18"/>
          <w:color w:val="auto"/>
        </w:rPr>
        <w:t>and individual securities and perform analyses on a regular basis in connection with our margin lending activities. We adjust our margin requirements if we believe our risk exposure is not appropriate based on market conditions.</w:t>
      </w:r>
    </w:p>
    <w:p>
      <w:pPr>
        <w:spacing w:after="0" w:line="196"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We are subject to concentration risk if we extend large loans to or have large commitments with a single counterparty, borrower, or group of similar counterparties or borrowers (e.g. in the same industry), or if we accept a concentrated position as collateral for a margin loan. Receivables from and payables to clients and stock borrowing and lending activities are conducted with a large number of clients and counterparties and potential concentration is carefully monitored. We seek to limit this risk through careful review of the underlying business and the use of limits established by senior management, taking into consideration factors including the financial strength of the counterparty, the size of the position or commitment, the expected duration of the position or commitment and other positions or commitments outstanding.</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w:t>
      </w:r>
    </w:p>
    <w:p>
      <w:pPr>
        <w:spacing w:after="0" w:line="247" w:lineRule="exact"/>
        <w:rPr>
          <w:sz w:val="20"/>
          <w:szCs w:val="20"/>
          <w:color w:val="auto"/>
        </w:rPr>
      </w:pPr>
    </w:p>
    <w:p>
      <w:pPr>
        <w:ind w:right="40" w:firstLine="486"/>
        <w:spacing w:after="0" w:line="251" w:lineRule="auto"/>
        <w:rPr>
          <w:sz w:val="20"/>
          <w:szCs w:val="20"/>
          <w:color w:val="auto"/>
        </w:rPr>
      </w:pPr>
      <w:r>
        <w:rPr>
          <w:rFonts w:ascii="Arial" w:cs="Arial" w:eastAsia="Arial" w:hAnsi="Arial"/>
          <w:sz w:val="18"/>
          <w:szCs w:val="18"/>
          <w:color w:val="auto"/>
        </w:rPr>
        <w:t>Operational risk is defined as the risk of loss resulting from failed or inadequate processes or systems, actions by people, or external events. We operate in diverse markets and are reliant on the ability of our employees and systems, as well as third-party service providers and their systems, to process a large number of transactions effectively. These risks are less direct and quantifiable than credit and market risk, but managing them is critical, particularly in a rapidly changing environment with increasing transaction volumes and in light of increasing reliance on third-party service providers. In the event of a breakdown or improper operation of systems or improper action by employees, advisors or third-party service providers, we could suffer financial loss, data loss, regulatory sanctions, and damage to our reputation. Business continuity plans exist for critical systems, and redundancies are built into the systems as deemed appropriate. In order to assist in the mitigation and control of operational risk, we have an Operational Risk Management department and framework that enables assessment and reporting on operational risk across the firm. This framework helps ensure policies and procedures are in place and appropriately designed to identify and manage operational risk at appropriate levels throughout our organization and within various departments. These control mechanisms attempt to ensure that operational policies and procedures are being followed and that our employees and advisors operate within established corporate policies and limits. Notwithstanding the foregoing, please consult the Risks Related to our Technology section within Part I, “Item 1A. Risk Factors” in our 2014 Annual Report on Form 10-K for more information about the risks associated with our technology, including risks related to security, and the potential related effects on our operations.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and Legal Risk</w:t>
      </w:r>
    </w:p>
    <w:p>
      <w:pPr>
        <w:spacing w:after="0" w:line="139"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The regulatory environment in which we operate is discussed in detail within Part I, “Item 1, Business Section” in our 2014 Annual Report on Form 10-K. In recent years, and during the period presented in this Quarterly Report on Form 10-Q, we have observed regulators broaden the scope, frequency, and depth of their examinations to include greater emphasis on the quality and consistency of the industry’s execution of policies and procedures. Please consult the Risks Related to Our Regulatory Environment section within Part I, “Item 1A. Risk Factors” in our 2014 Annual Report on Form 10-K for more information about the risks associated with operating within our regulatory environment, and the potential related effects on our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139" w:lineRule="exact"/>
        <w:rPr>
          <w:sz w:val="20"/>
          <w:szCs w:val="20"/>
          <w:color w:val="auto"/>
        </w:rPr>
      </w:pPr>
    </w:p>
    <w:p>
      <w:pPr>
        <w:ind w:right="300" w:firstLine="486"/>
        <w:spacing w:after="0" w:line="256" w:lineRule="auto"/>
        <w:rPr>
          <w:sz w:val="20"/>
          <w:szCs w:val="20"/>
          <w:color w:val="auto"/>
        </w:rPr>
      </w:pPr>
      <w:r>
        <w:rPr>
          <w:rFonts w:ascii="Arial" w:cs="Arial" w:eastAsia="Arial" w:hAnsi="Arial"/>
          <w:sz w:val="18"/>
          <w:szCs w:val="18"/>
          <w:color w:val="auto"/>
        </w:rPr>
        <w:t>We employ an enterprise risk management framework ("ERM") that is intended to address key risks and responsibilities, enable us to execute our business strategy, and protect our Company and its franchise. Our framework is designed to promote clear lines of risk management accountability and a structured escalation process for key risk information and events.</w:t>
      </w:r>
    </w:p>
    <w:p>
      <w:pPr>
        <w:spacing w:after="0" w:line="202"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Our risk management governance approach includes the Board and certain of its committees; the Management Committee and business line management of our broker-dealer subsidiary LPL Financial; the Risk Oversight Committee (the “ROC”) of LPL Financial and its subcommittees; the Policy Committee of LPL Financial; the Internal Audit Department of LPL Financial; and the Governance, Risk, and Compliance (“GRC”) Department of LPL Financial. We regularly reevaluate and, when necessary, modify our processes to improve the identification and escalation of risks and events.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 of the Board</w:t>
      </w:r>
    </w:p>
    <w:p>
      <w:pPr>
        <w:spacing w:after="0" w:line="247" w:lineRule="exact"/>
        <w:rPr>
          <w:sz w:val="20"/>
          <w:szCs w:val="20"/>
          <w:color w:val="auto"/>
        </w:rPr>
      </w:pPr>
    </w:p>
    <w:p>
      <w:pPr>
        <w:ind w:right="100" w:firstLine="486"/>
        <w:spacing w:after="0" w:line="256" w:lineRule="auto"/>
        <w:rPr>
          <w:sz w:val="20"/>
          <w:szCs w:val="20"/>
          <w:color w:val="auto"/>
        </w:rPr>
      </w:pPr>
      <w:r>
        <w:rPr>
          <w:rFonts w:ascii="Arial" w:cs="Arial" w:eastAsia="Arial" w:hAnsi="Arial"/>
          <w:sz w:val="18"/>
          <w:szCs w:val="18"/>
          <w:color w:val="auto"/>
        </w:rPr>
        <w:t>In addition to its other responsibilities, the Audit Committee of the Board (the “Audit Committee”) reviews our policies with respect to risk assessment and risk management, as well as our major financial risk exposures and the steps management has undertaken to control them. The Audit Committee provides reports to the Board at each of the Board’s regularly scheduled quarterly meetings.</w:t>
      </w:r>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490" w:right="27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auto"/>
        </w:rPr>
        <w:t>Compensation and Human Resources Committee of the Board</w:t>
      </w:r>
    </w:p>
    <w:p>
      <w:pPr>
        <w:spacing w:after="0" w:line="247" w:lineRule="exact"/>
        <w:rPr>
          <w:sz w:val="20"/>
          <w:szCs w:val="20"/>
          <w:color w:val="auto"/>
        </w:rPr>
      </w:pPr>
    </w:p>
    <w:p>
      <w:pPr>
        <w:jc w:val="both"/>
        <w:ind w:right="780" w:firstLine="486"/>
        <w:spacing w:after="0" w:line="256" w:lineRule="auto"/>
        <w:rPr>
          <w:sz w:val="20"/>
          <w:szCs w:val="20"/>
          <w:color w:val="auto"/>
        </w:rPr>
      </w:pPr>
      <w:r>
        <w:rPr>
          <w:rFonts w:ascii="Arial" w:cs="Arial" w:eastAsia="Arial" w:hAnsi="Arial"/>
          <w:sz w:val="18"/>
          <w:szCs w:val="18"/>
          <w:color w:val="auto"/>
        </w:rPr>
        <w:t>In addition to its other responsibilities, the Compensation and Human Resources Committee of the Board assesses whether our compensation arrangements encourage inappropriate risk-taking, and whether risks arising from our compensation arrangements are reasonably likely to have a material adverse effect on the Company.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Oversight Committee of LPL Financial</w:t>
      </w:r>
    </w:p>
    <w:p>
      <w:pPr>
        <w:spacing w:after="0" w:line="247" w:lineRule="exact"/>
        <w:rPr>
          <w:sz w:val="20"/>
          <w:szCs w:val="20"/>
          <w:color w:val="auto"/>
        </w:rPr>
      </w:pPr>
    </w:p>
    <w:p>
      <w:pPr>
        <w:ind w:right="20" w:firstLine="486"/>
        <w:spacing w:after="0" w:line="268" w:lineRule="auto"/>
        <w:rPr>
          <w:sz w:val="20"/>
          <w:szCs w:val="20"/>
          <w:color w:val="auto"/>
        </w:rPr>
      </w:pPr>
      <w:r>
        <w:rPr>
          <w:rFonts w:ascii="Arial" w:cs="Arial" w:eastAsia="Arial" w:hAnsi="Arial"/>
          <w:sz w:val="17"/>
          <w:szCs w:val="17"/>
          <w:color w:val="auto"/>
        </w:rPr>
        <w:t xml:space="preserve">The Audit Committee has mandated that the ROC oversee our risk management activities, including those of our subsidiaries. The Chief Risk Officer of LPL Financial serves as chair, and our Executive Vice President, Deputy General Counsel, Regulatory Counseling, serves as vice chair, of the ROC, which generally meets on a monthly basis with </w:t>
      </w:r>
      <w:r>
        <w:rPr>
          <w:rFonts w:ascii="Arial" w:cs="Arial" w:eastAsia="Arial" w:hAnsi="Arial"/>
          <w:sz w:val="17"/>
          <w:szCs w:val="17"/>
          <w:i w:val="1"/>
          <w:iCs w:val="1"/>
          <w:color w:val="auto"/>
        </w:rPr>
        <w:t>ad hoc</w:t>
      </w:r>
      <w:r>
        <w:rPr>
          <w:rFonts w:ascii="Arial" w:cs="Arial" w:eastAsia="Arial" w:hAnsi="Arial"/>
          <w:sz w:val="17"/>
          <w:szCs w:val="17"/>
          <w:color w:val="auto"/>
        </w:rPr>
        <w:t xml:space="preserve"> meetings as necessary. Each member of the Management Committee of LPL Financial and all other Managing Directors serve on the ROC. Additional members of the Company’s senior management team are also included as ex-officio members, representing the key control areas of the Company. These individuals include, but are not limited to, the Chief Compliance Officer, Advisory; the Chief Information Security Officer; and the Chief Privacy Officer of LPL Financial. Participation in the ROC by senior officers is intended to ensure that the ROC covers the key risk areas of the Company, including its subsidiaries, and that the ROC thoroughly reviews significant matters relating to risk priorities, policies, control procedures and related exceptions, certain new and complex products and business arrangements, transactions with significant risk elements, and identified emerging risks.</w:t>
      </w:r>
    </w:p>
    <w:p>
      <w:pPr>
        <w:spacing w:after="0" w:line="196" w:lineRule="exact"/>
        <w:rPr>
          <w:sz w:val="20"/>
          <w:szCs w:val="20"/>
          <w:color w:val="auto"/>
        </w:rPr>
      </w:pPr>
    </w:p>
    <w:p>
      <w:pPr>
        <w:jc w:val="both"/>
        <w:ind w:right="120" w:firstLine="486"/>
        <w:spacing w:after="0" w:line="256" w:lineRule="auto"/>
        <w:rPr>
          <w:sz w:val="20"/>
          <w:szCs w:val="20"/>
          <w:color w:val="auto"/>
        </w:rPr>
      </w:pPr>
      <w:r>
        <w:rPr>
          <w:rFonts w:ascii="Arial" w:cs="Arial" w:eastAsia="Arial" w:hAnsi="Arial"/>
          <w:sz w:val="18"/>
          <w:szCs w:val="18"/>
          <w:color w:val="auto"/>
        </w:rPr>
        <w:t>The chair of the ROC provides reports to the Audit Committee at each of the Audit Committee’s regularly scheduled quarterly meetings and, as necessary or requested, to the Board. The reports generally cover topics addressed by the ROC at its meetings since the immediately preceding report. If warranted, matters of material risk are escalated to the Audit Committee or Board more frequently.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Subcommittees of the Risk Oversight Committee</w:t>
      </w:r>
    </w:p>
    <w:p>
      <w:pPr>
        <w:spacing w:after="0" w:line="247" w:lineRule="exact"/>
        <w:rPr>
          <w:sz w:val="20"/>
          <w:szCs w:val="20"/>
          <w:color w:val="auto"/>
        </w:rPr>
      </w:pPr>
    </w:p>
    <w:p>
      <w:pPr>
        <w:ind w:right="200" w:firstLine="486"/>
        <w:spacing w:after="0" w:line="253" w:lineRule="auto"/>
        <w:rPr>
          <w:sz w:val="20"/>
          <w:szCs w:val="20"/>
          <w:color w:val="auto"/>
        </w:rPr>
      </w:pPr>
      <w:r>
        <w:rPr>
          <w:rFonts w:ascii="Arial" w:cs="Arial" w:eastAsia="Arial" w:hAnsi="Arial"/>
          <w:sz w:val="18"/>
          <w:szCs w:val="18"/>
          <w:color w:val="auto"/>
        </w:rPr>
        <w:t>The ROC has established multiple subcommittees that cover key areas of risk. The subcommittees meet regularly and are responsible for keeping the ROC informed and escalating issues in accordance with the Company’s escalation policies. The responsibilities of such subcommittees include, for example, oversight of the approval of new and complex investment products offered to advisors’ clients; oversight of the Company’s investment advisory business; issues and trends related to advisor compliance and examination findings; whistle-blower hotline allegations; and oversight of disclosures related to our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Policy Committee</w:t>
      </w:r>
    </w:p>
    <w:p>
      <w:pPr>
        <w:spacing w:after="0" w:line="247"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The Policy Committee oversees and is responsible for management of certain material policy issues for the Company. Its membership is comprised of a subset of the Management Committee, and currently includes the President; Managing Director, Legal &amp; Government Relations; Managing Director, Chief Risk Officer; and Managing Director, Investment and Planning Solutions. The purpose of the Policy Committee is to centralize the review and decision-making process for certain material policy issues that may arise from time to time, including policy conflicts and potential conflicts that may arise from legal and regulatory requirements, business proposals, and practices throughout the Company as they relate to advisor-facing or public-facing issues. The Policy Committee is responsible for analyzing such issues, and either facilitating the policy decision or conflict resolution, or making the policy decision. The Policy Committee reports the results of its decisions or other resolutions to the Management Committee on a regular basis.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Audit Department</w:t>
      </w:r>
    </w:p>
    <w:p>
      <w:pPr>
        <w:spacing w:after="0" w:line="247" w:lineRule="exact"/>
        <w:rPr>
          <w:sz w:val="20"/>
          <w:szCs w:val="20"/>
          <w:color w:val="auto"/>
        </w:rPr>
      </w:pPr>
    </w:p>
    <w:p>
      <w:pPr>
        <w:ind w:right="40" w:firstLine="486"/>
        <w:spacing w:after="0" w:line="256" w:lineRule="auto"/>
        <w:rPr>
          <w:sz w:val="20"/>
          <w:szCs w:val="20"/>
          <w:color w:val="auto"/>
        </w:rPr>
      </w:pPr>
      <w:r>
        <w:rPr>
          <w:rFonts w:ascii="Arial" w:cs="Arial" w:eastAsia="Arial" w:hAnsi="Arial"/>
          <w:sz w:val="18"/>
          <w:szCs w:val="18"/>
          <w:color w:val="auto"/>
        </w:rPr>
        <w:t>The Internal Audit Department provides independent verification of the effectiveness of the Company’s internal controls by conducting risk assessments and audits designed to identify and cover important risk categories. The Internal Audit Department provides regular reports to the ROC and reports to the Audit Committee at least as often as quarterly.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Control Groups</w:t>
      </w:r>
    </w:p>
    <w:p>
      <w:pPr>
        <w:spacing w:after="0" w:line="247"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The GRC Department provides compliance oversight and guidance, and conducts various risk and other assessments to address regulatory and Company-specific risks and requirements. The GRC Department reports to the Chief Risk Officer, who reviews the results of the Company’s risk management process with the ROC, the Audit Committee, and the Board as necessary. We also consider the Internal Audit Department to be a control group.</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522"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i w:val="1"/>
          <w:iCs w:val="1"/>
          <w:color w:val="auto"/>
        </w:rPr>
        <w:t>Business Line Management</w:t>
      </w:r>
    </w:p>
    <w:p>
      <w:pPr>
        <w:spacing w:after="0" w:line="247"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Each business line is responsible for managing its risk, and business line management is responsible for keeping senior management, including the members of the ROC, informed of operational risk and escalating risk matters (as defined by the Company’s escalation policies). We have conducted Company-wide escalation training for our employees. Certain business lines, including Client Support Services and Business Technology Services, have dedicated personnel with responsibilities for monitoring and managing risk-related matters. Business lines are subject to oversight by the control groups, and the Finance, Legal, Business Technology Services, and Human Capital Departments also execute certain control functions and report matters to the ROC, Audit Committee, and Board as appropriate.</w:t>
      </w:r>
    </w:p>
    <w:p>
      <w:pPr>
        <w:spacing w:after="0" w:line="209"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In addition to the ERM framework, we have written policies and procedures that govern the conduct of business by our advisors, employees, and the terms and conditions of our relationships with product manufacturers. Our client and advisor policies address the extension of credit for client accounts, data and physical security, compliance with industry regulation, and codes of ethics to govern employee and advisor conduct, among other matters.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47"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Our Disclosure Committee, with the participation of our Chief Executive Officer and Chief Financial Officer, evaluated the effectiveness of our disclosure controls and procedures, as defined in Rules 13a-15(e) and 15d-15(e) under the Securities Exchange Act of 1934, as amended, as of the end of the period covered by this report. Based on that evaluation, the Chief Executive Officer and Chief Financial Officer concluded that our disclosure controls and procedures as of the end of the period covered by this report were effective.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Internal Control over Financial Reporting</w:t>
      </w:r>
    </w:p>
    <w:p>
      <w:pPr>
        <w:spacing w:after="0" w:line="247" w:lineRule="exact"/>
        <w:rPr>
          <w:sz w:val="20"/>
          <w:szCs w:val="20"/>
          <w:color w:val="auto"/>
        </w:rPr>
      </w:pPr>
    </w:p>
    <w:p>
      <w:pPr>
        <w:ind w:right="120" w:firstLine="486"/>
        <w:spacing w:after="0" w:line="262" w:lineRule="auto"/>
        <w:rPr>
          <w:sz w:val="20"/>
          <w:szCs w:val="20"/>
          <w:color w:val="auto"/>
        </w:rPr>
      </w:pPr>
      <w:r>
        <w:rPr>
          <w:rFonts w:ascii="Arial" w:cs="Arial" w:eastAsia="Arial" w:hAnsi="Arial"/>
          <w:sz w:val="18"/>
          <w:szCs w:val="18"/>
          <w:color w:val="auto"/>
        </w:rPr>
        <w:t>There were no changes in our internal control over financial reporting that occurred during the second quarter ended June 30, 2015 that have materially affected, or are reasonably likely to materially affect, our internal control over financial reporting.</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522" w:right="25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47"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333333"/>
        </w:rPr>
        <w:t>We are involved from time to time in routine legal proceedings occurring in the ordinary course of business. In the opinion of management, there are no matters outstanding that would have a material adverse impact on our operations or financial condition. For a discussion of legal proceedings, s</w:t>
      </w:r>
      <w:r>
        <w:rPr>
          <w:rFonts w:ascii="Arial" w:cs="Arial" w:eastAsia="Arial" w:hAnsi="Arial"/>
          <w:sz w:val="18"/>
          <w:szCs w:val="18"/>
          <w:color w:val="252525"/>
        </w:rPr>
        <w:t>ee</w:t>
      </w:r>
      <w:r>
        <w:rPr>
          <w:rFonts w:ascii="Arial" w:cs="Arial" w:eastAsia="Arial" w:hAnsi="Arial"/>
          <w:sz w:val="18"/>
          <w:szCs w:val="18"/>
          <w:color w:val="333333"/>
        </w:rPr>
        <w:t xml:space="preserve"> </w:t>
      </w:r>
      <w:r>
        <w:rPr>
          <w:rFonts w:ascii="Arial" w:cs="Arial" w:eastAsia="Arial" w:hAnsi="Arial"/>
          <w:sz w:val="18"/>
          <w:szCs w:val="18"/>
          <w:color w:val="000000"/>
        </w:rPr>
        <w:t>Note 9.</w:t>
      </w:r>
      <w:r>
        <w:rPr>
          <w:rFonts w:ascii="Arial" w:cs="Arial" w:eastAsia="Arial" w:hAnsi="Arial"/>
          <w:sz w:val="18"/>
          <w:szCs w:val="18"/>
          <w:color w:val="333333"/>
        </w:rPr>
        <w:t xml:space="preserve"> </w:t>
      </w:r>
      <w:r>
        <w:rPr>
          <w:rFonts w:ascii="Arial" w:cs="Arial" w:eastAsia="Arial" w:hAnsi="Arial"/>
          <w:sz w:val="18"/>
          <w:szCs w:val="18"/>
          <w:i w:val="1"/>
          <w:iCs w:val="1"/>
          <w:color w:val="000000"/>
        </w:rPr>
        <w:t>Commitments and Contingencies,</w:t>
      </w:r>
      <w:r>
        <w:rPr>
          <w:rFonts w:ascii="Arial" w:cs="Arial" w:eastAsia="Arial" w:hAnsi="Arial"/>
          <w:sz w:val="18"/>
          <w:szCs w:val="18"/>
          <w:color w:val="333333"/>
        </w:rPr>
        <w:t xml:space="preserve"> </w:t>
      </w:r>
      <w:r>
        <w:rPr>
          <w:rFonts w:ascii="Arial" w:cs="Arial" w:eastAsia="Arial" w:hAnsi="Arial"/>
          <w:sz w:val="18"/>
          <w:szCs w:val="18"/>
          <w:color w:val="252525"/>
        </w:rPr>
        <w:t>within the notes to unaudited condensed consolidated financial</w:t>
      </w:r>
      <w:r>
        <w:rPr>
          <w:rFonts w:ascii="Arial" w:cs="Arial" w:eastAsia="Arial" w:hAnsi="Arial"/>
          <w:sz w:val="18"/>
          <w:szCs w:val="18"/>
          <w:color w:val="333333"/>
        </w:rPr>
        <w:t xml:space="preserve"> </w:t>
      </w:r>
      <w:r>
        <w:rPr>
          <w:rFonts w:ascii="Arial" w:cs="Arial" w:eastAsia="Arial" w:hAnsi="Arial"/>
          <w:sz w:val="18"/>
          <w:szCs w:val="18"/>
          <w:color w:val="252525"/>
        </w:rPr>
        <w:t>statements for disclosure of matters related to regulatory matters.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47" w:lineRule="exact"/>
        <w:rPr>
          <w:sz w:val="20"/>
          <w:szCs w:val="20"/>
          <w:color w:val="auto"/>
        </w:rPr>
      </w:pPr>
    </w:p>
    <w:p>
      <w:pPr>
        <w:ind w:right="60" w:firstLine="486"/>
        <w:spacing w:after="0" w:line="262" w:lineRule="auto"/>
        <w:rPr>
          <w:sz w:val="20"/>
          <w:szCs w:val="20"/>
          <w:color w:val="auto"/>
        </w:rPr>
      </w:pPr>
      <w:r>
        <w:rPr>
          <w:rFonts w:ascii="Arial" w:cs="Arial" w:eastAsia="Arial" w:hAnsi="Arial"/>
          <w:sz w:val="18"/>
          <w:szCs w:val="18"/>
          <w:color w:val="auto"/>
        </w:rPr>
        <w:t>There have been no material changes in the information regarding the Company’s risks, as set forth under Part I, “Item 1A. Risk Factors” in the Company’s 2014 Annual Report on Form 10-K.</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table below sets forth information regarding repurchases on a monthly basis during the three months ended June 30, 2015:</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Total Number</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jc w:val="center"/>
              <w:ind w:right="124"/>
              <w:spacing w:after="0"/>
              <w:rPr>
                <w:sz w:val="20"/>
                <w:szCs w:val="20"/>
                <w:color w:val="auto"/>
              </w:rPr>
            </w:pPr>
            <w:r>
              <w:rPr>
                <w:rFonts w:ascii="Arial" w:cs="Arial" w:eastAsia="Arial" w:hAnsi="Arial"/>
                <w:sz w:val="14"/>
                <w:szCs w:val="14"/>
                <w:b w:val="1"/>
                <w:bCs w:val="1"/>
                <w:color w:val="auto"/>
              </w:rPr>
              <w:t>Approximate</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of Shares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jc w:val="center"/>
              <w:ind w:right="124"/>
              <w:spacing w:after="0"/>
              <w:rPr>
                <w:sz w:val="20"/>
                <w:szCs w:val="20"/>
                <w:color w:val="auto"/>
              </w:rPr>
            </w:pPr>
            <w:r>
              <w:rPr>
                <w:rFonts w:ascii="Arial" w:cs="Arial" w:eastAsia="Arial" w:hAnsi="Arial"/>
                <w:sz w:val="14"/>
                <w:szCs w:val="14"/>
                <w:b w:val="1"/>
                <w:bCs w:val="1"/>
                <w:color w:val="auto"/>
              </w:rPr>
              <w:t>Dollar Value of</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Purchased as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jc w:val="center"/>
              <w:ind w:right="104"/>
              <w:spacing w:after="0"/>
              <w:rPr>
                <w:sz w:val="20"/>
                <w:szCs w:val="20"/>
                <w:color w:val="auto"/>
              </w:rPr>
            </w:pPr>
            <w:r>
              <w:rPr>
                <w:rFonts w:ascii="Arial" w:cs="Arial" w:eastAsia="Arial" w:hAnsi="Arial"/>
                <w:sz w:val="14"/>
                <w:szCs w:val="14"/>
                <w:b w:val="1"/>
                <w:bCs w:val="1"/>
                <w:color w:val="auto"/>
              </w:rPr>
              <w:t>Shares That May</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9"/>
              </w:rPr>
              <w:t>Total Number</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Weighted Average</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Part of Publicly</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jc w:val="center"/>
              <w:ind w:right="124"/>
              <w:spacing w:after="0"/>
              <w:rPr>
                <w:sz w:val="20"/>
                <w:szCs w:val="20"/>
                <w:color w:val="auto"/>
              </w:rPr>
            </w:pPr>
            <w:r>
              <w:rPr>
                <w:rFonts w:ascii="Arial" w:cs="Arial" w:eastAsia="Arial" w:hAnsi="Arial"/>
                <w:sz w:val="14"/>
                <w:szCs w:val="14"/>
                <w:b w:val="1"/>
                <w:bCs w:val="1"/>
                <w:color w:val="auto"/>
              </w:rPr>
              <w:t>Yet Be</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rPr>
              <w:t>of Shares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Price</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Announced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jc w:val="center"/>
              <w:ind w:right="104"/>
              <w:spacing w:after="0"/>
              <w:rPr>
                <w:sz w:val="20"/>
                <w:szCs w:val="20"/>
                <w:color w:val="auto"/>
              </w:rPr>
            </w:pPr>
            <w:r>
              <w:rPr>
                <w:rFonts w:ascii="Arial" w:cs="Arial" w:eastAsia="Arial" w:hAnsi="Arial"/>
                <w:sz w:val="14"/>
                <w:szCs w:val="14"/>
                <w:b w:val="1"/>
                <w:bCs w:val="1"/>
                <w:color w:val="auto"/>
              </w:rPr>
              <w:t>Purchased Under</w:t>
            </w:r>
          </w:p>
        </w:tc>
        <w:tc>
          <w:tcPr>
            <w:tcW w:w="0" w:type="dxa"/>
            <w:vAlign w:val="bottom"/>
          </w:tcPr>
          <w:p>
            <w:pPr>
              <w:spacing w:after="0"/>
              <w:rPr>
                <w:sz w:val="1"/>
                <w:szCs w:val="1"/>
                <w:color w:val="auto"/>
              </w:rPr>
            </w:pPr>
          </w:p>
        </w:tc>
      </w:tr>
      <w:tr>
        <w:trPr>
          <w:trHeight w:val="162"/>
        </w:trPr>
        <w:tc>
          <w:tcPr>
            <w:tcW w:w="4460" w:type="dxa"/>
            <w:vAlign w:val="bottom"/>
            <w:gridSpan w:val="3"/>
          </w:tcPr>
          <w:p>
            <w:pPr>
              <w:ind w:left="40"/>
              <w:spacing w:after="0"/>
              <w:rPr>
                <w:sz w:val="20"/>
                <w:szCs w:val="20"/>
                <w:color w:val="auto"/>
              </w:rPr>
            </w:pPr>
            <w:r>
              <w:rPr>
                <w:rFonts w:ascii="Arial" w:cs="Arial" w:eastAsia="Arial" w:hAnsi="Arial"/>
                <w:sz w:val="14"/>
                <w:szCs w:val="14"/>
                <w:b w:val="1"/>
                <w:bCs w:val="1"/>
                <w:color w:val="auto"/>
              </w:rPr>
              <w:t>Period</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rPr>
              <w:t>Purchased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Paid per Share</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Programs(1)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jc w:val="center"/>
              <w:ind w:right="104"/>
              <w:spacing w:after="0"/>
              <w:rPr>
                <w:sz w:val="20"/>
                <w:szCs w:val="20"/>
                <w:color w:val="auto"/>
              </w:rPr>
            </w:pPr>
            <w:r>
              <w:rPr>
                <w:rFonts w:ascii="Arial" w:cs="Arial" w:eastAsia="Arial" w:hAnsi="Arial"/>
                <w:sz w:val="14"/>
                <w:szCs w:val="14"/>
                <w:b w:val="1"/>
                <w:bCs w:val="1"/>
                <w:color w:val="auto"/>
              </w:rPr>
              <w:t>the Programs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CCEEFF"/>
            </w:tcBorders>
          </w:tcPr>
          <w:p>
            <w:pPr>
              <w:spacing w:after="0" w:line="20" w:lineRule="exact"/>
              <w:rPr>
                <w:sz w:val="1"/>
                <w:szCs w:val="1"/>
                <w:color w:val="auto"/>
              </w:rPr>
            </w:pPr>
          </w:p>
        </w:tc>
        <w:tc>
          <w:tcPr>
            <w:tcW w:w="398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44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April 1, 2015 through April 30, 2015</w:t>
            </w:r>
          </w:p>
        </w:tc>
        <w:tc>
          <w:tcPr>
            <w:tcW w:w="17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621,288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42.03</w:t>
            </w:r>
          </w:p>
        </w:tc>
        <w:tc>
          <w:tcPr>
            <w:tcW w:w="100" w:type="dxa"/>
            <w:vAlign w:val="bottom"/>
            <w:shd w:val="clear" w:color="auto" w:fill="CCEEFF"/>
          </w:tcPr>
          <w:p>
            <w:pPr>
              <w:spacing w:after="0"/>
              <w:rPr>
                <w:sz w:val="21"/>
                <w:szCs w:val="21"/>
                <w:color w:val="auto"/>
              </w:rPr>
            </w:pPr>
          </w:p>
        </w:tc>
        <w:tc>
          <w:tcPr>
            <w:tcW w:w="172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621,288</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36,828,948</w:t>
            </w:r>
          </w:p>
        </w:tc>
        <w:tc>
          <w:tcPr>
            <w:tcW w:w="0" w:type="dxa"/>
            <w:vAlign w:val="bottom"/>
          </w:tcPr>
          <w:p>
            <w:pPr>
              <w:spacing w:after="0"/>
              <w:rPr>
                <w:sz w:val="1"/>
                <w:szCs w:val="1"/>
                <w:color w:val="auto"/>
              </w:rPr>
            </w:pPr>
          </w:p>
        </w:tc>
      </w:tr>
      <w:tr>
        <w:trPr>
          <w:trHeight w:val="260"/>
        </w:trPr>
        <w:tc>
          <w:tcPr>
            <w:tcW w:w="4460" w:type="dxa"/>
            <w:vAlign w:val="bottom"/>
            <w:gridSpan w:val="3"/>
          </w:tcPr>
          <w:p>
            <w:pPr>
              <w:ind w:left="40"/>
              <w:spacing w:after="0"/>
              <w:rPr>
                <w:sz w:val="20"/>
                <w:szCs w:val="20"/>
                <w:color w:val="auto"/>
              </w:rPr>
            </w:pPr>
            <w:r>
              <w:rPr>
                <w:rFonts w:ascii="Arial" w:cs="Arial" w:eastAsia="Arial" w:hAnsi="Arial"/>
                <w:sz w:val="16"/>
                <w:szCs w:val="16"/>
                <w:color w:val="auto"/>
              </w:rPr>
              <w:t>May 1, 2015 through May 31, 2015</w:t>
            </w:r>
          </w:p>
        </w:tc>
        <w:tc>
          <w:tcPr>
            <w:tcW w:w="1740" w:type="dxa"/>
            <w:vAlign w:val="bottom"/>
          </w:tcPr>
          <w:p>
            <w:pPr>
              <w:jc w:val="right"/>
              <w:ind w:right="43"/>
              <w:spacing w:after="0"/>
              <w:rPr>
                <w:sz w:val="20"/>
                <w:szCs w:val="20"/>
                <w:color w:val="auto"/>
              </w:rPr>
            </w:pPr>
            <w:r>
              <w:rPr>
                <w:rFonts w:ascii="Arial" w:cs="Arial" w:eastAsia="Arial" w:hAnsi="Arial"/>
                <w:sz w:val="16"/>
                <w:szCs w:val="16"/>
                <w:color w:val="auto"/>
              </w:rPr>
              <w:t>1,354,573</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3"/>
              <w:spacing w:after="0"/>
              <w:rPr>
                <w:sz w:val="20"/>
                <w:szCs w:val="20"/>
                <w:color w:val="auto"/>
              </w:rPr>
            </w:pPr>
            <w:r>
              <w:rPr>
                <w:rFonts w:ascii="Arial" w:cs="Arial" w:eastAsia="Arial" w:hAnsi="Arial"/>
                <w:sz w:val="16"/>
                <w:szCs w:val="16"/>
                <w:color w:val="auto"/>
              </w:rPr>
              <w:t>41.70</w:t>
            </w:r>
          </w:p>
        </w:tc>
        <w:tc>
          <w:tcPr>
            <w:tcW w:w="100" w:type="dxa"/>
            <w:vAlign w:val="bottom"/>
          </w:tcPr>
          <w:p>
            <w:pPr>
              <w:spacing w:after="0"/>
              <w:rPr>
                <w:sz w:val="22"/>
                <w:szCs w:val="22"/>
                <w:color w:val="auto"/>
              </w:rPr>
            </w:pPr>
          </w:p>
        </w:tc>
        <w:tc>
          <w:tcPr>
            <w:tcW w:w="1720" w:type="dxa"/>
            <w:vAlign w:val="bottom"/>
          </w:tcPr>
          <w:p>
            <w:pPr>
              <w:jc w:val="right"/>
              <w:ind w:right="44"/>
              <w:spacing w:after="0"/>
              <w:rPr>
                <w:sz w:val="20"/>
                <w:szCs w:val="20"/>
                <w:color w:val="auto"/>
              </w:rPr>
            </w:pPr>
            <w:r>
              <w:rPr>
                <w:rFonts w:ascii="Arial" w:cs="Arial" w:eastAsia="Arial" w:hAnsi="Arial"/>
                <w:sz w:val="16"/>
                <w:szCs w:val="16"/>
                <w:color w:val="auto"/>
              </w:rPr>
              <w:t>1,354,573</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24"/>
              <w:spacing w:after="0"/>
              <w:rPr>
                <w:sz w:val="20"/>
                <w:szCs w:val="20"/>
                <w:color w:val="auto"/>
              </w:rPr>
            </w:pPr>
            <w:r>
              <w:rPr>
                <w:rFonts w:ascii="Arial" w:cs="Arial" w:eastAsia="Arial" w:hAnsi="Arial"/>
                <w:sz w:val="16"/>
                <w:szCs w:val="16"/>
                <w:color w:val="auto"/>
              </w:rPr>
              <w:t>180,365,290</w:t>
            </w:r>
          </w:p>
        </w:tc>
        <w:tc>
          <w:tcPr>
            <w:tcW w:w="0" w:type="dxa"/>
            <w:vAlign w:val="bottom"/>
          </w:tcPr>
          <w:p>
            <w:pPr>
              <w:spacing w:after="0"/>
              <w:rPr>
                <w:sz w:val="1"/>
                <w:szCs w:val="1"/>
                <w:color w:val="auto"/>
              </w:rPr>
            </w:pPr>
          </w:p>
        </w:tc>
      </w:tr>
      <w:tr>
        <w:trPr>
          <w:trHeight w:val="273"/>
        </w:trPr>
        <w:tc>
          <w:tcPr>
            <w:tcW w:w="44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June 1, 2015 through June 30, 2015</w:t>
            </w:r>
          </w:p>
        </w:tc>
        <w:tc>
          <w:tcPr>
            <w:tcW w:w="17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75,551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42.46</w:t>
            </w:r>
          </w:p>
        </w:tc>
        <w:tc>
          <w:tcPr>
            <w:tcW w:w="100" w:type="dxa"/>
            <w:vAlign w:val="bottom"/>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75,551</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177,158,921</w:t>
            </w:r>
          </w:p>
        </w:tc>
        <w:tc>
          <w:tcPr>
            <w:tcW w:w="0" w:type="dxa"/>
            <w:vAlign w:val="bottom"/>
          </w:tcPr>
          <w:p>
            <w:pPr>
              <w:spacing w:after="0"/>
              <w:rPr>
                <w:sz w:val="1"/>
                <w:szCs w:val="1"/>
                <w:color w:val="auto"/>
              </w:rPr>
            </w:pPr>
          </w:p>
        </w:tc>
      </w:tr>
      <w:tr>
        <w:trPr>
          <w:trHeight w:val="237"/>
        </w:trPr>
        <w:tc>
          <w:tcPr>
            <w:tcW w:w="4460" w:type="dxa"/>
            <w:vAlign w:val="bottom"/>
            <w:gridSpan w:val="3"/>
          </w:tcPr>
          <w:p>
            <w:pPr>
              <w:ind w:left="40"/>
              <w:spacing w:after="0"/>
              <w:rPr>
                <w:sz w:val="20"/>
                <w:szCs w:val="20"/>
                <w:color w:val="auto"/>
              </w:rPr>
            </w:pPr>
            <w:r>
              <w:rPr>
                <w:rFonts w:ascii="Arial" w:cs="Arial" w:eastAsia="Arial" w:hAnsi="Arial"/>
                <w:sz w:val="16"/>
                <w:szCs w:val="16"/>
                <w:color w:val="auto"/>
              </w:rPr>
              <w:t>April 1, 2015 through June 30, 2015</w:t>
            </w:r>
          </w:p>
        </w:tc>
        <w:tc>
          <w:tcPr>
            <w:tcW w:w="17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2,051,412</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3"/>
              <w:spacing w:after="0"/>
              <w:rPr>
                <w:sz w:val="20"/>
                <w:szCs w:val="20"/>
                <w:color w:val="auto"/>
              </w:rPr>
            </w:pPr>
            <w:r>
              <w:rPr>
                <w:rFonts w:ascii="Arial" w:cs="Arial" w:eastAsia="Arial" w:hAnsi="Arial"/>
                <w:sz w:val="16"/>
                <w:szCs w:val="16"/>
                <w:color w:val="auto"/>
              </w:rPr>
              <w:t>41.83</w:t>
            </w:r>
          </w:p>
        </w:tc>
        <w:tc>
          <w:tcPr>
            <w:tcW w:w="100" w:type="dxa"/>
            <w:vAlign w:val="bottom"/>
          </w:tcPr>
          <w:p>
            <w:pPr>
              <w:spacing w:after="0"/>
              <w:rPr>
                <w:sz w:val="20"/>
                <w:szCs w:val="20"/>
                <w:color w:val="auto"/>
              </w:rPr>
            </w:pPr>
          </w:p>
        </w:tc>
        <w:tc>
          <w:tcPr>
            <w:tcW w:w="172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2,051,412</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24"/>
              <w:spacing w:after="0"/>
              <w:rPr>
                <w:sz w:val="20"/>
                <w:szCs w:val="20"/>
                <w:color w:val="auto"/>
              </w:rPr>
            </w:pPr>
            <w:r>
              <w:rPr>
                <w:rFonts w:ascii="Arial" w:cs="Arial" w:eastAsia="Arial" w:hAnsi="Arial"/>
                <w:sz w:val="16"/>
                <w:szCs w:val="16"/>
                <w:color w:val="auto"/>
              </w:rPr>
              <w:t>177,158,921</w:t>
            </w:r>
          </w:p>
        </w:tc>
        <w:tc>
          <w:tcPr>
            <w:tcW w:w="0" w:type="dxa"/>
            <w:vAlign w:val="bottom"/>
          </w:tcPr>
          <w:p>
            <w:pPr>
              <w:spacing w:after="0"/>
              <w:rPr>
                <w:sz w:val="1"/>
                <w:szCs w:val="1"/>
                <w:color w:val="auto"/>
              </w:rPr>
            </w:pPr>
          </w:p>
        </w:tc>
      </w:tr>
      <w:tr>
        <w:trPr>
          <w:trHeight w:val="20"/>
        </w:trPr>
        <w:tc>
          <w:tcPr>
            <w:tcW w:w="4460" w:type="dxa"/>
            <w:vAlign w:val="bottom"/>
            <w:gridSpan w:val="3"/>
            <w:vMerge w:val="restart"/>
          </w:tcPr>
          <w:p>
            <w:pPr>
              <w:spacing w:after="0"/>
              <w:rPr>
                <w:sz w:val="20"/>
                <w:szCs w:val="20"/>
                <w:color w:val="auto"/>
              </w:rPr>
            </w:pPr>
            <w:r>
              <w:rPr>
                <w:rFonts w:ascii="Arial" w:cs="Arial" w:eastAsia="Arial" w:hAnsi="Arial"/>
                <w:sz w:val="11"/>
                <w:szCs w:val="11"/>
                <w:color w:val="auto"/>
              </w:rPr>
              <w:t>____________________</w:t>
            </w: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4460" w:type="dxa"/>
            <w:vAlign w:val="bottom"/>
            <w:gridSpan w:val="3"/>
            <w:vMerge w:val="continue"/>
          </w:tcPr>
          <w:p>
            <w:pPr>
              <w:spacing w:after="0"/>
              <w:rPr>
                <w:sz w:val="9"/>
                <w:szCs w:val="9"/>
                <w:color w:val="auto"/>
              </w:rPr>
            </w:pPr>
          </w:p>
        </w:tc>
        <w:tc>
          <w:tcPr>
            <w:tcW w:w="1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660" w:right="940" w:hanging="328"/>
        <w:spacing w:after="0" w:line="262"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See Note 10. </w:t>
      </w:r>
      <w:r>
        <w:rPr>
          <w:rFonts w:ascii="Arial" w:cs="Arial" w:eastAsia="Arial" w:hAnsi="Arial"/>
          <w:sz w:val="18"/>
          <w:szCs w:val="18"/>
          <w:i w:val="1"/>
          <w:iCs w:val="1"/>
          <w:color w:val="auto"/>
        </w:rPr>
        <w:t>Stockholders' Equity</w:t>
      </w:r>
      <w:r>
        <w:rPr>
          <w:rFonts w:ascii="Arial" w:cs="Arial" w:eastAsia="Arial" w:hAnsi="Arial"/>
          <w:sz w:val="18"/>
          <w:szCs w:val="18"/>
          <w:color w:val="auto"/>
        </w:rPr>
        <w:t>, within the notes to unaudited condensed consolidated financial statements for additional information.</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14"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30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right"/>
        <w:ind w:right="439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219"/>
          </w:cols>
          <w:pgMar w:left="240" w:top="522" w:right="1440"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Item 6. Exhibits</w:t>
      </w:r>
    </w:p>
    <w:p>
      <w:pPr>
        <w:spacing w:after="0" w:line="243"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3.1</w:t>
            </w:r>
          </w:p>
        </w:tc>
        <w:tc>
          <w:tcPr>
            <w:tcW w:w="9980" w:type="dxa"/>
            <w:vAlign w:val="bottom"/>
          </w:tcPr>
          <w:p>
            <w:pPr>
              <w:ind w:left="180"/>
              <w:spacing w:after="0"/>
              <w:rPr>
                <w:sz w:val="20"/>
                <w:szCs w:val="20"/>
                <w:color w:val="auto"/>
              </w:rPr>
            </w:pPr>
            <w:r>
              <w:rPr>
                <w:rFonts w:ascii="Arial" w:cs="Arial" w:eastAsia="Arial" w:hAnsi="Arial"/>
                <w:sz w:val="18"/>
                <w:szCs w:val="18"/>
                <w:color w:val="auto"/>
                <w:w w:val="99"/>
              </w:rPr>
              <w:t>Amended and Restated Certificate of Incorporation (previously filed as Exhibit 3.1 to the registration statement on Form S-1</w:t>
            </w:r>
          </w:p>
        </w:tc>
      </w:tr>
      <w:tr>
        <w:trPr>
          <w:trHeight w:val="217"/>
        </w:trPr>
        <w:tc>
          <w:tcPr>
            <w:tcW w:w="920" w:type="dxa"/>
            <w:vAlign w:val="bottom"/>
          </w:tcPr>
          <w:p>
            <w:pPr>
              <w:spacing w:after="0"/>
              <w:rPr>
                <w:sz w:val="18"/>
                <w:szCs w:val="18"/>
                <w:color w:val="auto"/>
              </w:rPr>
            </w:pPr>
          </w:p>
        </w:tc>
        <w:tc>
          <w:tcPr>
            <w:tcW w:w="9980" w:type="dxa"/>
            <w:vAlign w:val="bottom"/>
          </w:tcPr>
          <w:p>
            <w:pPr>
              <w:ind w:left="180"/>
              <w:spacing w:after="0"/>
              <w:rPr>
                <w:sz w:val="20"/>
                <w:szCs w:val="20"/>
                <w:color w:val="auto"/>
              </w:rPr>
            </w:pPr>
            <w:r>
              <w:rPr>
                <w:rFonts w:ascii="Arial" w:cs="Arial" w:eastAsia="Arial" w:hAnsi="Arial"/>
                <w:sz w:val="18"/>
                <w:szCs w:val="18"/>
                <w:color w:val="auto"/>
              </w:rPr>
              <w:t>(File Number 333-167325) on July 9, 2010, and incorporated herein by reference)</w:t>
            </w:r>
          </w:p>
        </w:tc>
      </w:tr>
      <w:tr>
        <w:trPr>
          <w:trHeight w:val="350"/>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3.2</w:t>
            </w:r>
          </w:p>
        </w:tc>
        <w:tc>
          <w:tcPr>
            <w:tcW w:w="9980" w:type="dxa"/>
            <w:vAlign w:val="bottom"/>
          </w:tcPr>
          <w:p>
            <w:pPr>
              <w:ind w:left="180"/>
              <w:spacing w:after="0"/>
              <w:rPr>
                <w:sz w:val="20"/>
                <w:szCs w:val="20"/>
                <w:color w:val="auto"/>
              </w:rPr>
            </w:pPr>
            <w:r>
              <w:rPr>
                <w:rFonts w:ascii="Arial" w:cs="Arial" w:eastAsia="Arial" w:hAnsi="Arial"/>
                <w:sz w:val="18"/>
                <w:szCs w:val="18"/>
                <w:color w:val="auto"/>
              </w:rPr>
              <w:t>Certificate of Ownership and Merger (previously filed as Exhibit 3.1 to the Current Report on Form 8-K (File Number 001-</w:t>
            </w:r>
          </w:p>
        </w:tc>
      </w:tr>
      <w:tr>
        <w:trPr>
          <w:trHeight w:val="217"/>
        </w:trPr>
        <w:tc>
          <w:tcPr>
            <w:tcW w:w="920" w:type="dxa"/>
            <w:vAlign w:val="bottom"/>
          </w:tcPr>
          <w:p>
            <w:pPr>
              <w:spacing w:after="0"/>
              <w:rPr>
                <w:sz w:val="18"/>
                <w:szCs w:val="18"/>
                <w:color w:val="auto"/>
              </w:rPr>
            </w:pPr>
          </w:p>
        </w:tc>
        <w:tc>
          <w:tcPr>
            <w:tcW w:w="9980" w:type="dxa"/>
            <w:vAlign w:val="bottom"/>
          </w:tcPr>
          <w:p>
            <w:pPr>
              <w:ind w:left="180"/>
              <w:spacing w:after="0"/>
              <w:rPr>
                <w:sz w:val="20"/>
                <w:szCs w:val="20"/>
                <w:color w:val="auto"/>
              </w:rPr>
            </w:pPr>
            <w:r>
              <w:rPr>
                <w:rFonts w:ascii="Arial" w:cs="Arial" w:eastAsia="Arial" w:hAnsi="Arial"/>
                <w:sz w:val="18"/>
                <w:szCs w:val="18"/>
                <w:color w:val="auto"/>
              </w:rPr>
              <w:t>34963) on June 19, 2012, and incorporated herein by reference)</w:t>
            </w:r>
          </w:p>
        </w:tc>
      </w:tr>
      <w:tr>
        <w:trPr>
          <w:trHeight w:val="350"/>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3.3</w:t>
            </w:r>
          </w:p>
        </w:tc>
        <w:tc>
          <w:tcPr>
            <w:tcW w:w="9980" w:type="dxa"/>
            <w:vAlign w:val="bottom"/>
          </w:tcPr>
          <w:p>
            <w:pPr>
              <w:ind w:left="180"/>
              <w:spacing w:after="0"/>
              <w:rPr>
                <w:sz w:val="20"/>
                <w:szCs w:val="20"/>
                <w:color w:val="auto"/>
              </w:rPr>
            </w:pPr>
            <w:r>
              <w:rPr>
                <w:rFonts w:ascii="Arial" w:cs="Arial" w:eastAsia="Arial" w:hAnsi="Arial"/>
                <w:sz w:val="18"/>
                <w:szCs w:val="18"/>
                <w:color w:val="auto"/>
              </w:rPr>
              <w:t>Certificate of Amendment to the Amended and Restated Certificate of Incorporation (previously filed as Exhibit 3.1 to the</w:t>
            </w:r>
          </w:p>
        </w:tc>
      </w:tr>
      <w:tr>
        <w:trPr>
          <w:trHeight w:val="217"/>
        </w:trPr>
        <w:tc>
          <w:tcPr>
            <w:tcW w:w="920" w:type="dxa"/>
            <w:vAlign w:val="bottom"/>
          </w:tcPr>
          <w:p>
            <w:pPr>
              <w:spacing w:after="0"/>
              <w:rPr>
                <w:sz w:val="18"/>
                <w:szCs w:val="18"/>
                <w:color w:val="auto"/>
              </w:rPr>
            </w:pPr>
          </w:p>
        </w:tc>
        <w:tc>
          <w:tcPr>
            <w:tcW w:w="9980" w:type="dxa"/>
            <w:vAlign w:val="bottom"/>
          </w:tcPr>
          <w:p>
            <w:pPr>
              <w:ind w:left="180"/>
              <w:spacing w:after="0"/>
              <w:rPr>
                <w:sz w:val="20"/>
                <w:szCs w:val="20"/>
                <w:color w:val="auto"/>
              </w:rPr>
            </w:pPr>
            <w:r>
              <w:rPr>
                <w:rFonts w:ascii="Arial" w:cs="Arial" w:eastAsia="Arial" w:hAnsi="Arial"/>
                <w:sz w:val="18"/>
                <w:szCs w:val="18"/>
                <w:color w:val="auto"/>
              </w:rPr>
              <w:t>Current Report on Form 8-K (File Number 001-34963) on May 9, 2014, and incorporated herein by reference)</w:t>
            </w:r>
          </w:p>
        </w:tc>
      </w:tr>
      <w:tr>
        <w:trPr>
          <w:trHeight w:val="350"/>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3.4</w:t>
            </w:r>
          </w:p>
        </w:tc>
        <w:tc>
          <w:tcPr>
            <w:tcW w:w="9980" w:type="dxa"/>
            <w:vAlign w:val="bottom"/>
          </w:tcPr>
          <w:p>
            <w:pPr>
              <w:ind w:left="180"/>
              <w:spacing w:after="0"/>
              <w:rPr>
                <w:sz w:val="20"/>
                <w:szCs w:val="20"/>
                <w:color w:val="auto"/>
              </w:rPr>
            </w:pPr>
            <w:r>
              <w:rPr>
                <w:rFonts w:ascii="Arial" w:cs="Arial" w:eastAsia="Arial" w:hAnsi="Arial"/>
                <w:sz w:val="18"/>
                <w:szCs w:val="18"/>
                <w:color w:val="auto"/>
              </w:rPr>
              <w:t>Fifth Amended and Restated Bylaws (previously filed as Exhibit 3.1 to the Current Report on Form 8-K (File Number 001-</w:t>
            </w:r>
          </w:p>
        </w:tc>
      </w:tr>
      <w:tr>
        <w:trPr>
          <w:trHeight w:val="217"/>
        </w:trPr>
        <w:tc>
          <w:tcPr>
            <w:tcW w:w="920" w:type="dxa"/>
            <w:vAlign w:val="bottom"/>
          </w:tcPr>
          <w:p>
            <w:pPr>
              <w:spacing w:after="0"/>
              <w:rPr>
                <w:sz w:val="18"/>
                <w:szCs w:val="18"/>
                <w:color w:val="auto"/>
              </w:rPr>
            </w:pPr>
          </w:p>
        </w:tc>
        <w:tc>
          <w:tcPr>
            <w:tcW w:w="9980" w:type="dxa"/>
            <w:vAlign w:val="bottom"/>
          </w:tcPr>
          <w:p>
            <w:pPr>
              <w:ind w:left="180"/>
              <w:spacing w:after="0"/>
              <w:rPr>
                <w:sz w:val="20"/>
                <w:szCs w:val="20"/>
                <w:color w:val="auto"/>
              </w:rPr>
            </w:pPr>
            <w:r>
              <w:rPr>
                <w:rFonts w:ascii="Arial" w:cs="Arial" w:eastAsia="Arial" w:hAnsi="Arial"/>
                <w:sz w:val="18"/>
                <w:szCs w:val="18"/>
                <w:color w:val="auto"/>
              </w:rPr>
              <w:t>34963) on March 12, 2014 and incorporated herein by reference)</w:t>
            </w:r>
          </w:p>
        </w:tc>
      </w:tr>
      <w:tr>
        <w:trPr>
          <w:trHeight w:val="350"/>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10.1</w:t>
            </w:r>
          </w:p>
        </w:tc>
        <w:tc>
          <w:tcPr>
            <w:tcW w:w="9980" w:type="dxa"/>
            <w:vAlign w:val="bottom"/>
          </w:tcPr>
          <w:p>
            <w:pPr>
              <w:ind w:left="180"/>
              <w:spacing w:after="0"/>
              <w:rPr>
                <w:sz w:val="20"/>
                <w:szCs w:val="20"/>
                <w:color w:val="auto"/>
              </w:rPr>
            </w:pPr>
            <w:r>
              <w:rPr>
                <w:rFonts w:ascii="Arial" w:cs="Arial" w:eastAsia="Arial" w:hAnsi="Arial"/>
                <w:sz w:val="18"/>
                <w:szCs w:val="18"/>
                <w:color w:val="auto"/>
                <w:w w:val="99"/>
              </w:rPr>
              <w:t>LPL Financial Holdings Inc. Amended and Restated 2010 Omnibus Equity Incentive Plan (previously filed as Exhibit 10.1 to</w:t>
            </w:r>
          </w:p>
        </w:tc>
      </w:tr>
      <w:tr>
        <w:trPr>
          <w:trHeight w:val="217"/>
        </w:trPr>
        <w:tc>
          <w:tcPr>
            <w:tcW w:w="920" w:type="dxa"/>
            <w:vAlign w:val="bottom"/>
          </w:tcPr>
          <w:p>
            <w:pPr>
              <w:spacing w:after="0"/>
              <w:rPr>
                <w:sz w:val="18"/>
                <w:szCs w:val="18"/>
                <w:color w:val="auto"/>
              </w:rPr>
            </w:pPr>
          </w:p>
        </w:tc>
        <w:tc>
          <w:tcPr>
            <w:tcW w:w="9980" w:type="dxa"/>
            <w:vAlign w:val="bottom"/>
          </w:tcPr>
          <w:p>
            <w:pPr>
              <w:ind w:left="180"/>
              <w:spacing w:after="0"/>
              <w:rPr>
                <w:sz w:val="20"/>
                <w:szCs w:val="20"/>
                <w:color w:val="auto"/>
              </w:rPr>
            </w:pPr>
            <w:r>
              <w:rPr>
                <w:rFonts w:ascii="Arial" w:cs="Arial" w:eastAsia="Arial" w:hAnsi="Arial"/>
                <w:sz w:val="18"/>
                <w:szCs w:val="18"/>
                <w:color w:val="auto"/>
              </w:rPr>
              <w:t>the Current Report on Form 8-K (File Number 001-34963) on May 15, 2015, and incorporated herein by reference)</w:t>
            </w:r>
          </w:p>
        </w:tc>
      </w:tr>
      <w:tr>
        <w:trPr>
          <w:trHeight w:val="350"/>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10.2</w:t>
            </w:r>
          </w:p>
        </w:tc>
        <w:tc>
          <w:tcPr>
            <w:tcW w:w="9980" w:type="dxa"/>
            <w:vAlign w:val="bottom"/>
          </w:tcPr>
          <w:p>
            <w:pPr>
              <w:ind w:left="180"/>
              <w:spacing w:after="0"/>
              <w:rPr>
                <w:sz w:val="20"/>
                <w:szCs w:val="20"/>
                <w:color w:val="auto"/>
              </w:rPr>
            </w:pPr>
            <w:r>
              <w:rPr>
                <w:rFonts w:ascii="Arial" w:cs="Arial" w:eastAsia="Arial" w:hAnsi="Arial"/>
                <w:sz w:val="18"/>
                <w:szCs w:val="18"/>
                <w:color w:val="auto"/>
                <w:w w:val="99"/>
              </w:rPr>
              <w:t>LPL Financial Holdings Inc. Amended and Restated Corporate Executive Bonus Plan (previously filed as Exhibit 10.2 to the</w:t>
            </w:r>
          </w:p>
        </w:tc>
      </w:tr>
      <w:tr>
        <w:trPr>
          <w:trHeight w:val="217"/>
        </w:trPr>
        <w:tc>
          <w:tcPr>
            <w:tcW w:w="920" w:type="dxa"/>
            <w:vAlign w:val="bottom"/>
          </w:tcPr>
          <w:p>
            <w:pPr>
              <w:spacing w:after="0"/>
              <w:rPr>
                <w:sz w:val="18"/>
                <w:szCs w:val="18"/>
                <w:color w:val="auto"/>
              </w:rPr>
            </w:pPr>
          </w:p>
        </w:tc>
        <w:tc>
          <w:tcPr>
            <w:tcW w:w="9980" w:type="dxa"/>
            <w:vAlign w:val="bottom"/>
          </w:tcPr>
          <w:p>
            <w:pPr>
              <w:ind w:left="180"/>
              <w:spacing w:after="0"/>
              <w:rPr>
                <w:sz w:val="20"/>
                <w:szCs w:val="20"/>
                <w:color w:val="auto"/>
              </w:rPr>
            </w:pPr>
            <w:r>
              <w:rPr>
                <w:rFonts w:ascii="Arial" w:cs="Arial" w:eastAsia="Arial" w:hAnsi="Arial"/>
                <w:sz w:val="18"/>
                <w:szCs w:val="18"/>
                <w:color w:val="auto"/>
              </w:rPr>
              <w:t>Current Report on Form 8-K (File Number 001-34963) on May 15, 2015, and incorporated herein by reference)</w:t>
            </w:r>
          </w:p>
        </w:tc>
      </w:tr>
      <w:tr>
        <w:trPr>
          <w:trHeight w:val="365"/>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10.3</w:t>
            </w:r>
          </w:p>
        </w:tc>
        <w:tc>
          <w:tcPr>
            <w:tcW w:w="9980" w:type="dxa"/>
            <w:vAlign w:val="bottom"/>
          </w:tcPr>
          <w:p>
            <w:pPr>
              <w:ind w:left="180"/>
              <w:spacing w:after="0"/>
              <w:rPr>
                <w:sz w:val="20"/>
                <w:szCs w:val="20"/>
                <w:color w:val="auto"/>
              </w:rPr>
            </w:pPr>
            <w:r>
              <w:rPr>
                <w:rFonts w:ascii="Arial" w:cs="Arial" w:eastAsia="Arial" w:hAnsi="Arial"/>
                <w:sz w:val="18"/>
                <w:szCs w:val="18"/>
                <w:color w:val="auto"/>
              </w:rPr>
              <w:t>LPL Financial Holdings Inc. Amended Non-Employee Director Compensation Policy*</w:t>
            </w:r>
          </w:p>
        </w:tc>
      </w:tr>
      <w:tr>
        <w:trPr>
          <w:trHeight w:val="365"/>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31.1</w:t>
            </w:r>
          </w:p>
        </w:tc>
        <w:tc>
          <w:tcPr>
            <w:tcW w:w="9980" w:type="dxa"/>
            <w:vAlign w:val="bottom"/>
          </w:tcPr>
          <w:p>
            <w:pPr>
              <w:ind w:left="180"/>
              <w:spacing w:after="0"/>
              <w:rPr>
                <w:sz w:val="20"/>
                <w:szCs w:val="20"/>
                <w:color w:val="auto"/>
              </w:rPr>
            </w:pPr>
            <w:r>
              <w:rPr>
                <w:rFonts w:ascii="Arial" w:cs="Arial" w:eastAsia="Arial" w:hAnsi="Arial"/>
                <w:sz w:val="18"/>
                <w:szCs w:val="18"/>
                <w:color w:val="auto"/>
              </w:rPr>
              <w:t>Certification of the Chief Executive Officer pursuant to Rule 13a-14(a)*</w:t>
            </w:r>
          </w:p>
        </w:tc>
      </w:tr>
      <w:tr>
        <w:trPr>
          <w:trHeight w:val="365"/>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31.2</w:t>
            </w:r>
          </w:p>
        </w:tc>
        <w:tc>
          <w:tcPr>
            <w:tcW w:w="9980" w:type="dxa"/>
            <w:vAlign w:val="bottom"/>
          </w:tcPr>
          <w:p>
            <w:pPr>
              <w:ind w:left="180"/>
              <w:spacing w:after="0"/>
              <w:rPr>
                <w:sz w:val="20"/>
                <w:szCs w:val="20"/>
                <w:color w:val="auto"/>
              </w:rPr>
            </w:pPr>
            <w:r>
              <w:rPr>
                <w:rFonts w:ascii="Arial" w:cs="Arial" w:eastAsia="Arial" w:hAnsi="Arial"/>
                <w:sz w:val="18"/>
                <w:szCs w:val="18"/>
                <w:color w:val="auto"/>
              </w:rPr>
              <w:t>Certification of the Chief Financial Officer pursuant to Rule 13a-14(a)*</w:t>
            </w:r>
          </w:p>
        </w:tc>
      </w:tr>
      <w:tr>
        <w:trPr>
          <w:trHeight w:val="350"/>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32.1</w:t>
            </w:r>
          </w:p>
        </w:tc>
        <w:tc>
          <w:tcPr>
            <w:tcW w:w="9980" w:type="dxa"/>
            <w:vAlign w:val="bottom"/>
          </w:tcPr>
          <w:p>
            <w:pPr>
              <w:ind w:left="180"/>
              <w:spacing w:after="0"/>
              <w:rPr>
                <w:sz w:val="20"/>
                <w:szCs w:val="20"/>
                <w:color w:val="auto"/>
              </w:rPr>
            </w:pPr>
            <w:r>
              <w:rPr>
                <w:rFonts w:ascii="Arial" w:cs="Arial" w:eastAsia="Arial" w:hAnsi="Arial"/>
                <w:sz w:val="18"/>
                <w:szCs w:val="18"/>
                <w:color w:val="auto"/>
              </w:rPr>
              <w:t>Certification of the Chief Executive Officer pursuant to 18 U.S.C. Section 1350, as adopted pursuant to Section 906 of the</w:t>
            </w:r>
          </w:p>
        </w:tc>
      </w:tr>
      <w:tr>
        <w:trPr>
          <w:trHeight w:val="217"/>
        </w:trPr>
        <w:tc>
          <w:tcPr>
            <w:tcW w:w="920" w:type="dxa"/>
            <w:vAlign w:val="bottom"/>
          </w:tcPr>
          <w:p>
            <w:pPr>
              <w:spacing w:after="0"/>
              <w:rPr>
                <w:sz w:val="18"/>
                <w:szCs w:val="18"/>
                <w:color w:val="auto"/>
              </w:rPr>
            </w:pPr>
          </w:p>
        </w:tc>
        <w:tc>
          <w:tcPr>
            <w:tcW w:w="9980" w:type="dxa"/>
            <w:vAlign w:val="bottom"/>
          </w:tcPr>
          <w:p>
            <w:pPr>
              <w:ind w:left="180"/>
              <w:spacing w:after="0"/>
              <w:rPr>
                <w:sz w:val="20"/>
                <w:szCs w:val="20"/>
                <w:color w:val="auto"/>
              </w:rPr>
            </w:pPr>
            <w:r>
              <w:rPr>
                <w:rFonts w:ascii="Arial" w:cs="Arial" w:eastAsia="Arial" w:hAnsi="Arial"/>
                <w:sz w:val="18"/>
                <w:szCs w:val="18"/>
                <w:color w:val="auto"/>
              </w:rPr>
              <w:t>Sarbanes-Oxley Act of 2002*</w:t>
            </w:r>
          </w:p>
        </w:tc>
      </w:tr>
      <w:tr>
        <w:trPr>
          <w:trHeight w:val="350"/>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32.2</w:t>
            </w:r>
          </w:p>
        </w:tc>
        <w:tc>
          <w:tcPr>
            <w:tcW w:w="9980" w:type="dxa"/>
            <w:vAlign w:val="bottom"/>
          </w:tcPr>
          <w:p>
            <w:pPr>
              <w:ind w:left="180"/>
              <w:spacing w:after="0"/>
              <w:rPr>
                <w:sz w:val="20"/>
                <w:szCs w:val="20"/>
                <w:color w:val="auto"/>
              </w:rPr>
            </w:pPr>
            <w:r>
              <w:rPr>
                <w:rFonts w:ascii="Arial" w:cs="Arial" w:eastAsia="Arial" w:hAnsi="Arial"/>
                <w:sz w:val="18"/>
                <w:szCs w:val="18"/>
                <w:color w:val="auto"/>
              </w:rPr>
              <w:t>Certification of the Chief Financial Officer pursuant to 18 U.S.C. Section 1350, as adopted pursuant to Section 906 of the</w:t>
            </w:r>
          </w:p>
        </w:tc>
      </w:tr>
      <w:tr>
        <w:trPr>
          <w:trHeight w:val="217"/>
        </w:trPr>
        <w:tc>
          <w:tcPr>
            <w:tcW w:w="920" w:type="dxa"/>
            <w:vAlign w:val="bottom"/>
          </w:tcPr>
          <w:p>
            <w:pPr>
              <w:spacing w:after="0"/>
              <w:rPr>
                <w:sz w:val="18"/>
                <w:szCs w:val="18"/>
                <w:color w:val="auto"/>
              </w:rPr>
            </w:pPr>
          </w:p>
        </w:tc>
        <w:tc>
          <w:tcPr>
            <w:tcW w:w="9980" w:type="dxa"/>
            <w:vAlign w:val="bottom"/>
          </w:tcPr>
          <w:p>
            <w:pPr>
              <w:ind w:left="180"/>
              <w:spacing w:after="0"/>
              <w:rPr>
                <w:sz w:val="20"/>
                <w:szCs w:val="20"/>
                <w:color w:val="auto"/>
              </w:rPr>
            </w:pPr>
            <w:r>
              <w:rPr>
                <w:rFonts w:ascii="Arial" w:cs="Arial" w:eastAsia="Arial" w:hAnsi="Arial"/>
                <w:sz w:val="18"/>
                <w:szCs w:val="18"/>
                <w:color w:val="auto"/>
              </w:rPr>
              <w:t>Sarbanes-Oxley Act of 2002*</w:t>
            </w:r>
          </w:p>
        </w:tc>
      </w:tr>
      <w:tr>
        <w:trPr>
          <w:trHeight w:val="567"/>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101.INS</w:t>
            </w:r>
          </w:p>
        </w:tc>
        <w:tc>
          <w:tcPr>
            <w:tcW w:w="9980" w:type="dxa"/>
            <w:vAlign w:val="bottom"/>
          </w:tcPr>
          <w:p>
            <w:pPr>
              <w:ind w:left="180"/>
              <w:spacing w:after="0"/>
              <w:rPr>
                <w:sz w:val="20"/>
                <w:szCs w:val="20"/>
                <w:color w:val="auto"/>
              </w:rPr>
            </w:pPr>
            <w:r>
              <w:rPr>
                <w:rFonts w:ascii="Arial" w:cs="Arial" w:eastAsia="Arial" w:hAnsi="Arial"/>
                <w:sz w:val="18"/>
                <w:szCs w:val="18"/>
                <w:color w:val="auto"/>
              </w:rPr>
              <w:t>XBRL Instance Document</w:t>
            </w:r>
          </w:p>
        </w:tc>
      </w:tr>
      <w:tr>
        <w:trPr>
          <w:trHeight w:val="257"/>
        </w:trPr>
        <w:tc>
          <w:tcPr>
            <w:tcW w:w="920" w:type="dxa"/>
            <w:vAlign w:val="bottom"/>
          </w:tcPr>
          <w:p>
            <w:pPr>
              <w:jc w:val="right"/>
              <w:ind w:right="110"/>
              <w:spacing w:after="0"/>
              <w:rPr>
                <w:sz w:val="20"/>
                <w:szCs w:val="20"/>
                <w:color w:val="auto"/>
              </w:rPr>
            </w:pPr>
            <w:r>
              <w:rPr>
                <w:rFonts w:ascii="Arial" w:cs="Arial" w:eastAsia="Arial" w:hAnsi="Arial"/>
                <w:sz w:val="18"/>
                <w:szCs w:val="18"/>
                <w:color w:val="auto"/>
                <w:w w:val="95"/>
              </w:rPr>
              <w:t>101.SCH</w:t>
            </w:r>
          </w:p>
        </w:tc>
        <w:tc>
          <w:tcPr>
            <w:tcW w:w="9980" w:type="dxa"/>
            <w:vAlign w:val="bottom"/>
          </w:tcPr>
          <w:p>
            <w:pPr>
              <w:ind w:left="180"/>
              <w:spacing w:after="0"/>
              <w:rPr>
                <w:sz w:val="20"/>
                <w:szCs w:val="20"/>
                <w:color w:val="auto"/>
              </w:rPr>
            </w:pPr>
            <w:r>
              <w:rPr>
                <w:rFonts w:ascii="Arial" w:cs="Arial" w:eastAsia="Arial" w:hAnsi="Arial"/>
                <w:sz w:val="18"/>
                <w:szCs w:val="18"/>
                <w:color w:val="auto"/>
              </w:rPr>
              <w:t>XBRL Taxonomy Extension Schema</w:t>
            </w:r>
          </w:p>
        </w:tc>
      </w:tr>
      <w:tr>
        <w:trPr>
          <w:trHeight w:val="257"/>
        </w:trPr>
        <w:tc>
          <w:tcPr>
            <w:tcW w:w="920" w:type="dxa"/>
            <w:vAlign w:val="bottom"/>
          </w:tcPr>
          <w:p>
            <w:pPr>
              <w:jc w:val="right"/>
              <w:ind w:right="110"/>
              <w:spacing w:after="0"/>
              <w:rPr>
                <w:sz w:val="20"/>
                <w:szCs w:val="20"/>
                <w:color w:val="auto"/>
              </w:rPr>
            </w:pPr>
            <w:r>
              <w:rPr>
                <w:rFonts w:ascii="Arial" w:cs="Arial" w:eastAsia="Arial" w:hAnsi="Arial"/>
                <w:sz w:val="18"/>
                <w:szCs w:val="18"/>
                <w:color w:val="auto"/>
                <w:w w:val="99"/>
              </w:rPr>
              <w:t>101.CAL</w:t>
            </w:r>
          </w:p>
        </w:tc>
        <w:tc>
          <w:tcPr>
            <w:tcW w:w="9980" w:type="dxa"/>
            <w:vAlign w:val="bottom"/>
          </w:tcPr>
          <w:p>
            <w:pPr>
              <w:ind w:left="180"/>
              <w:spacing w:after="0"/>
              <w:rPr>
                <w:sz w:val="20"/>
                <w:szCs w:val="20"/>
                <w:color w:val="auto"/>
              </w:rPr>
            </w:pPr>
            <w:r>
              <w:rPr>
                <w:rFonts w:ascii="Arial" w:cs="Arial" w:eastAsia="Arial" w:hAnsi="Arial"/>
                <w:sz w:val="18"/>
                <w:szCs w:val="18"/>
                <w:color w:val="auto"/>
              </w:rPr>
              <w:t>XBRL Taxonomy Extension Calculation</w:t>
            </w:r>
          </w:p>
        </w:tc>
      </w:tr>
      <w:tr>
        <w:trPr>
          <w:trHeight w:val="257"/>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101.LAB</w:t>
            </w:r>
          </w:p>
        </w:tc>
        <w:tc>
          <w:tcPr>
            <w:tcW w:w="9980" w:type="dxa"/>
            <w:vAlign w:val="bottom"/>
          </w:tcPr>
          <w:p>
            <w:pPr>
              <w:ind w:left="180"/>
              <w:spacing w:after="0"/>
              <w:rPr>
                <w:sz w:val="20"/>
                <w:szCs w:val="20"/>
                <w:color w:val="auto"/>
              </w:rPr>
            </w:pPr>
            <w:r>
              <w:rPr>
                <w:rFonts w:ascii="Arial" w:cs="Arial" w:eastAsia="Arial" w:hAnsi="Arial"/>
                <w:sz w:val="18"/>
                <w:szCs w:val="18"/>
                <w:color w:val="auto"/>
              </w:rPr>
              <w:t>XBRL Taxonomy Extension Label</w:t>
            </w:r>
          </w:p>
        </w:tc>
      </w:tr>
      <w:tr>
        <w:trPr>
          <w:trHeight w:val="270"/>
        </w:trPr>
        <w:tc>
          <w:tcPr>
            <w:tcW w:w="920" w:type="dxa"/>
            <w:vAlign w:val="bottom"/>
          </w:tcPr>
          <w:p>
            <w:pPr>
              <w:jc w:val="right"/>
              <w:ind w:right="110"/>
              <w:spacing w:after="0"/>
              <w:rPr>
                <w:sz w:val="20"/>
                <w:szCs w:val="20"/>
                <w:color w:val="auto"/>
              </w:rPr>
            </w:pPr>
            <w:r>
              <w:rPr>
                <w:rFonts w:ascii="Arial" w:cs="Arial" w:eastAsia="Arial" w:hAnsi="Arial"/>
                <w:sz w:val="18"/>
                <w:szCs w:val="18"/>
                <w:color w:val="auto"/>
                <w:w w:val="97"/>
              </w:rPr>
              <w:t>101.PRE</w:t>
            </w:r>
          </w:p>
        </w:tc>
        <w:tc>
          <w:tcPr>
            <w:tcW w:w="9980" w:type="dxa"/>
            <w:vAlign w:val="bottom"/>
          </w:tcPr>
          <w:p>
            <w:pPr>
              <w:ind w:left="180"/>
              <w:spacing w:after="0"/>
              <w:rPr>
                <w:sz w:val="20"/>
                <w:szCs w:val="20"/>
                <w:color w:val="auto"/>
              </w:rPr>
            </w:pPr>
            <w:r>
              <w:rPr>
                <w:rFonts w:ascii="Arial" w:cs="Arial" w:eastAsia="Arial" w:hAnsi="Arial"/>
                <w:sz w:val="18"/>
                <w:szCs w:val="18"/>
                <w:color w:val="auto"/>
              </w:rPr>
              <w:t>XBRL Taxonomy Extension Presentation</w:t>
            </w:r>
          </w:p>
        </w:tc>
      </w:tr>
      <w:tr>
        <w:trPr>
          <w:trHeight w:val="270"/>
        </w:trPr>
        <w:tc>
          <w:tcPr>
            <w:tcW w:w="920" w:type="dxa"/>
            <w:vAlign w:val="bottom"/>
          </w:tcPr>
          <w:p>
            <w:pPr>
              <w:jc w:val="right"/>
              <w:ind w:right="110"/>
              <w:spacing w:after="0"/>
              <w:rPr>
                <w:sz w:val="20"/>
                <w:szCs w:val="20"/>
                <w:color w:val="auto"/>
              </w:rPr>
            </w:pPr>
            <w:r>
              <w:rPr>
                <w:rFonts w:ascii="Arial" w:cs="Arial" w:eastAsia="Arial" w:hAnsi="Arial"/>
                <w:sz w:val="18"/>
                <w:szCs w:val="18"/>
                <w:color w:val="auto"/>
                <w:w w:val="98"/>
              </w:rPr>
              <w:t>101.DEF</w:t>
            </w:r>
          </w:p>
        </w:tc>
        <w:tc>
          <w:tcPr>
            <w:tcW w:w="9980" w:type="dxa"/>
            <w:vAlign w:val="bottom"/>
          </w:tcPr>
          <w:p>
            <w:pPr>
              <w:ind w:left="180"/>
              <w:spacing w:after="0"/>
              <w:rPr>
                <w:sz w:val="20"/>
                <w:szCs w:val="20"/>
                <w:color w:val="auto"/>
              </w:rPr>
            </w:pPr>
            <w:r>
              <w:rPr>
                <w:rFonts w:ascii="Arial" w:cs="Arial" w:eastAsia="Arial" w:hAnsi="Arial"/>
                <w:sz w:val="18"/>
                <w:szCs w:val="18"/>
                <w:color w:val="auto"/>
              </w:rPr>
              <w:t>XBRL Taxonomy Extension Definition</w:t>
            </w:r>
          </w:p>
        </w:tc>
      </w:tr>
    </w:tbl>
    <w:p>
      <w:pPr>
        <w:spacing w:after="0" w:line="24"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w:t>
      </w:r>
    </w:p>
    <w:p>
      <w:pPr>
        <w:spacing w:after="0" w:line="16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Filed herewith.</w:t>
      </w:r>
    </w:p>
    <w:p>
      <w:pPr>
        <w:spacing w:after="0" w:line="38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20"/>
          </w:cols>
          <w:pgMar w:left="240" w:top="360" w:right="439" w:bottom="1440" w:gutter="0" w:footer="0" w:header="0"/>
        </w:sectPr>
      </w:pPr>
    </w:p>
    <w:bookmarkStart w:id="53" w:name="page54"/>
    <w:bookmarkEnd w:id="53"/>
    <w:p>
      <w:pPr>
        <w:jc w:val="center"/>
        <w:ind w:right="-559"/>
        <w:spacing w:after="0"/>
        <w:rPr>
          <w:sz w:val="20"/>
          <w:szCs w:val="20"/>
          <w:color w:val="auto"/>
        </w:rPr>
      </w:pPr>
      <w:r>
        <w:rPr>
          <w:rFonts w:ascii="Arial" w:cs="Arial" w:eastAsia="Arial" w:hAnsi="Arial"/>
          <w:sz w:val="18"/>
          <w:szCs w:val="18"/>
          <w:b w:val="1"/>
          <w:bCs w:val="1"/>
          <w:color w:val="auto"/>
        </w:rPr>
        <w:t>SIGNATURES</w:t>
      </w:r>
    </w:p>
    <w:p>
      <w:pPr>
        <w:spacing w:after="0" w:line="207" w:lineRule="exact"/>
        <w:rPr>
          <w:sz w:val="20"/>
          <w:szCs w:val="20"/>
          <w:color w:val="auto"/>
        </w:rPr>
      </w:pPr>
    </w:p>
    <w:p>
      <w:pPr>
        <w:ind w:firstLine="486"/>
        <w:spacing w:after="0" w:line="262"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336"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LPL Financial Holdings Inc.</w:t>
      </w:r>
    </w:p>
    <w:p>
      <w:pPr>
        <w:spacing w:after="0" w:line="274" w:lineRule="exact"/>
        <w:rPr>
          <w:sz w:val="20"/>
          <w:szCs w:val="20"/>
          <w:color w:val="auto"/>
        </w:rPr>
      </w:pPr>
    </w:p>
    <w:p>
      <w:pPr>
        <w:ind w:left="260"/>
        <w:spacing w:after="0"/>
        <w:tabs>
          <w:tab w:leader="none" w:pos="5260" w:val="left"/>
          <w:tab w:leader="none" w:pos="5680" w:val="left"/>
        </w:tabs>
        <w:rPr>
          <w:sz w:val="20"/>
          <w:szCs w:val="20"/>
          <w:color w:val="auto"/>
        </w:rPr>
      </w:pPr>
      <w:r>
        <w:rPr>
          <w:rFonts w:ascii="Arial" w:cs="Arial" w:eastAsia="Arial" w:hAnsi="Arial"/>
          <w:sz w:val="18"/>
          <w:szCs w:val="18"/>
          <w:color w:val="auto"/>
        </w:rPr>
        <w:t>Date: August 5, 2015</w:t>
      </w:r>
      <w:r>
        <w:rPr>
          <w:sz w:val="20"/>
          <w:szCs w:val="20"/>
          <w:color w:val="auto"/>
        </w:rPr>
        <w:tab/>
      </w:r>
      <w:r>
        <w:rPr>
          <w:rFonts w:ascii="Arial" w:cs="Arial" w:eastAsia="Arial" w:hAnsi="Arial"/>
          <w:sz w:val="18"/>
          <w:szCs w:val="18"/>
          <w:color w:val="auto"/>
        </w:rPr>
        <w:t>By:</w:t>
        <w:tab/>
        <w:t>/s/ MARK S. CASADY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14605</wp:posOffset>
            </wp:positionV>
            <wp:extent cx="20237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4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Mark S. Casady</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Chairman and Chief Executive Officer</w:t>
      </w:r>
    </w:p>
    <w:p>
      <w:pPr>
        <w:spacing w:after="0" w:line="320" w:lineRule="exact"/>
        <w:rPr>
          <w:sz w:val="20"/>
          <w:szCs w:val="20"/>
          <w:color w:val="auto"/>
        </w:rPr>
      </w:pPr>
    </w:p>
    <w:p>
      <w:pPr>
        <w:ind w:left="260"/>
        <w:spacing w:after="0"/>
        <w:tabs>
          <w:tab w:leader="none" w:pos="5260" w:val="left"/>
          <w:tab w:leader="none" w:pos="5720" w:val="left"/>
        </w:tabs>
        <w:rPr>
          <w:sz w:val="20"/>
          <w:szCs w:val="20"/>
          <w:color w:val="auto"/>
        </w:rPr>
      </w:pPr>
      <w:r>
        <w:rPr>
          <w:rFonts w:ascii="Arial" w:cs="Arial" w:eastAsia="Arial" w:hAnsi="Arial"/>
          <w:sz w:val="18"/>
          <w:szCs w:val="18"/>
          <w:color w:val="auto"/>
        </w:rPr>
        <w:t>Date: August 5,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THOMAS LUX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14605</wp:posOffset>
            </wp:positionV>
            <wp:extent cx="20237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4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Thomas Lux</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Acting Chief Financial Officer</w:t>
      </w:r>
    </w:p>
    <w:p>
      <w:pPr>
        <w:spacing w:after="0" w:line="200" w:lineRule="exact"/>
        <w:rPr>
          <w:sz w:val="20"/>
          <w:szCs w:val="20"/>
          <w:color w:val="auto"/>
        </w:rPr>
      </w:pPr>
    </w:p>
    <w:p>
      <w:pPr>
        <w:spacing w:after="0" w:line="282"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860"/>
          </w:cols>
          <w:pgMar w:left="240" w:top="360" w:right="79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LPL FINANCIAL HOLDINGS INC.</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Non-Employee Director Compensation Policy</w:t>
      </w: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Annual Retainer</w:t>
      </w:r>
    </w:p>
    <w:p>
      <w:pPr>
        <w:spacing w:after="0" w:line="222" w:lineRule="exact"/>
        <w:rPr>
          <w:sz w:val="20"/>
          <w:szCs w:val="20"/>
          <w:color w:val="auto"/>
        </w:rPr>
      </w:pPr>
    </w:p>
    <w:p>
      <w:pPr>
        <w:jc w:val="both"/>
        <w:ind w:left="340" w:hanging="332"/>
        <w:spacing w:after="0" w:line="269" w:lineRule="auto"/>
        <w:tabs>
          <w:tab w:leader="none" w:pos="340" w:val="left"/>
        </w:tabs>
        <w:numPr>
          <w:ilvl w:val="0"/>
          <w:numId w:val="35"/>
        </w:numPr>
        <w:rPr>
          <w:rFonts w:ascii="Arial" w:cs="Arial" w:eastAsia="Arial" w:hAnsi="Arial"/>
          <w:sz w:val="17"/>
          <w:szCs w:val="17"/>
          <w:color w:val="auto"/>
        </w:rPr>
      </w:pPr>
      <w:r>
        <w:rPr>
          <w:rFonts w:ascii="Arial" w:cs="Arial" w:eastAsia="Arial" w:hAnsi="Arial"/>
          <w:sz w:val="19"/>
          <w:szCs w:val="19"/>
          <w:color w:val="auto"/>
        </w:rPr>
        <w:t>All non-employee directors receive an annual retainer of $195,000, which is paid in advance on the next business day following the Company’s annual meeting of stockholders (the “Annual Payment Date”). Of this amount, $65,000 is paid in a lump sum in cash and $130,000 is paid in the form of restricted shares of the Company’s common stock (the “Common Stock”).</w:t>
      </w:r>
    </w:p>
    <w:p>
      <w:pPr>
        <w:spacing w:after="0" w:line="170" w:lineRule="exact"/>
        <w:rPr>
          <w:rFonts w:ascii="Arial" w:cs="Arial" w:eastAsia="Arial" w:hAnsi="Arial"/>
          <w:sz w:val="17"/>
          <w:szCs w:val="17"/>
          <w:color w:val="auto"/>
        </w:rPr>
      </w:pPr>
    </w:p>
    <w:p>
      <w:pPr>
        <w:jc w:val="both"/>
        <w:ind w:left="340" w:hanging="332"/>
        <w:spacing w:after="0" w:line="291" w:lineRule="auto"/>
        <w:tabs>
          <w:tab w:leader="none" w:pos="340" w:val="left"/>
        </w:tabs>
        <w:numPr>
          <w:ilvl w:val="0"/>
          <w:numId w:val="35"/>
        </w:numPr>
        <w:rPr>
          <w:rFonts w:ascii="Arial" w:cs="Arial" w:eastAsia="Arial" w:hAnsi="Arial"/>
          <w:sz w:val="16"/>
          <w:szCs w:val="16"/>
          <w:color w:val="auto"/>
        </w:rPr>
      </w:pPr>
      <w:r>
        <w:rPr>
          <w:rFonts w:ascii="Arial" w:cs="Arial" w:eastAsia="Arial" w:hAnsi="Arial"/>
          <w:sz w:val="18"/>
          <w:szCs w:val="18"/>
          <w:color w:val="auto"/>
        </w:rPr>
        <w:t>The restricted shares are issued under the Company’s Amended and Restated 2010 Omnibus Equity Incentive Plan (the “2010 Plan”) and vest in full on the first anniversary of the Annual Payment Date. The number of restricted shares is determined by dividing $130,000 by the closing price per share of the Common Stock on The NASDAQ Stock Market on the Annual Payment Date (the “Grant Price”).</w:t>
      </w:r>
    </w:p>
    <w:p>
      <w:pPr>
        <w:spacing w:after="0" w:line="151" w:lineRule="exact"/>
        <w:rPr>
          <w:rFonts w:ascii="Arial" w:cs="Arial" w:eastAsia="Arial" w:hAnsi="Arial"/>
          <w:sz w:val="16"/>
          <w:szCs w:val="16"/>
          <w:color w:val="auto"/>
        </w:rPr>
      </w:pPr>
    </w:p>
    <w:p>
      <w:pPr>
        <w:jc w:val="both"/>
        <w:ind w:left="340" w:hanging="332"/>
        <w:spacing w:after="0" w:line="246"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20"/>
          <w:szCs w:val="20"/>
          <w:color w:val="auto"/>
        </w:rPr>
        <w:t>In lieu of the above cash payment, a non-employee director may make an election (an “Election”) to be issued, on the Annual Payment Date, a number of shares of the Common Stock under the 2010 Plan determined by dividing $65,000 by the Grant Price. An Election must be delivered in writing (including electronic mail) prior to the Annual Payment Date during an open trading window under the Company’s insider trading policy.</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Additional Service Retainers</w:t>
      </w:r>
    </w:p>
    <w:p>
      <w:pPr>
        <w:spacing w:after="0" w:line="222" w:lineRule="exact"/>
        <w:rPr>
          <w:sz w:val="20"/>
          <w:szCs w:val="20"/>
          <w:color w:val="auto"/>
        </w:rPr>
      </w:pPr>
    </w:p>
    <w:p>
      <w:pPr>
        <w:ind w:left="340" w:hanging="332"/>
        <w:spacing w:after="0" w:line="260"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20"/>
          <w:szCs w:val="20"/>
          <w:color w:val="auto"/>
        </w:rPr>
        <w:t>Members of the standing committees of the Board of Directors receive annual service retainers in the following amounts, paid in cash in quarterly installments following the end of each quarter of service:</w:t>
      </w:r>
    </w:p>
    <w:p>
      <w:pPr>
        <w:spacing w:after="0" w:line="229" w:lineRule="exact"/>
        <w:rPr>
          <w:sz w:val="20"/>
          <w:szCs w:val="20"/>
          <w:color w:val="auto"/>
        </w:rPr>
      </w:pPr>
    </w:p>
    <w:tbl>
      <w:tblPr>
        <w:tblLayout w:type="fixed"/>
        <w:tblInd w:w="72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24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Chair</w:t>
            </w:r>
          </w:p>
        </w:tc>
        <w:tc>
          <w:tcPr>
            <w:tcW w:w="2100" w:type="dxa"/>
            <w:vAlign w:val="bottom"/>
          </w:tcPr>
          <w:p>
            <w:pPr>
              <w:jc w:val="right"/>
              <w:spacing w:after="0"/>
              <w:rPr>
                <w:sz w:val="20"/>
                <w:szCs w:val="20"/>
                <w:color w:val="auto"/>
              </w:rPr>
            </w:pPr>
            <w:r>
              <w:rPr>
                <w:rFonts w:ascii="Arial" w:cs="Arial" w:eastAsia="Arial" w:hAnsi="Arial"/>
                <w:sz w:val="18"/>
                <w:szCs w:val="18"/>
                <w:b w:val="1"/>
                <w:bCs w:val="1"/>
                <w:color w:val="auto"/>
              </w:rPr>
              <w:t>Each Other Member</w:t>
            </w:r>
          </w:p>
        </w:tc>
      </w:tr>
      <w:tr>
        <w:trPr>
          <w:trHeight w:val="27"/>
        </w:trPr>
        <w:tc>
          <w:tcPr>
            <w:tcW w:w="5500" w:type="dxa"/>
            <w:vAlign w:val="bottom"/>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254"/>
        </w:trPr>
        <w:tc>
          <w:tcPr>
            <w:tcW w:w="5500" w:type="dxa"/>
            <w:vAlign w:val="bottom"/>
          </w:tcPr>
          <w:p>
            <w:pPr>
              <w:spacing w:after="0"/>
              <w:rPr>
                <w:sz w:val="20"/>
                <w:szCs w:val="20"/>
                <w:color w:val="auto"/>
              </w:rPr>
            </w:pPr>
            <w:r>
              <w:rPr>
                <w:rFonts w:ascii="Arial" w:cs="Arial" w:eastAsia="Arial" w:hAnsi="Arial"/>
                <w:sz w:val="20"/>
                <w:szCs w:val="20"/>
                <w:color w:val="auto"/>
              </w:rPr>
              <w:t>Audit Committee</w:t>
            </w:r>
          </w:p>
        </w:tc>
        <w:tc>
          <w:tcPr>
            <w:tcW w:w="2220" w:type="dxa"/>
            <w:vAlign w:val="bottom"/>
          </w:tcPr>
          <w:p>
            <w:pPr>
              <w:jc w:val="right"/>
              <w:spacing w:after="0"/>
              <w:rPr>
                <w:sz w:val="20"/>
                <w:szCs w:val="20"/>
                <w:color w:val="auto"/>
              </w:rPr>
            </w:pPr>
            <w:r>
              <w:rPr>
                <w:rFonts w:ascii="Arial" w:cs="Arial" w:eastAsia="Arial" w:hAnsi="Arial"/>
                <w:sz w:val="20"/>
                <w:szCs w:val="20"/>
                <w:color w:val="auto"/>
              </w:rPr>
              <w:t>$20,000</w:t>
            </w:r>
          </w:p>
        </w:tc>
        <w:tc>
          <w:tcPr>
            <w:tcW w:w="200" w:type="dxa"/>
            <w:vAlign w:val="bottom"/>
          </w:tcPr>
          <w:p>
            <w:pPr>
              <w:spacing w:after="0"/>
              <w:rPr>
                <w:sz w:val="22"/>
                <w:szCs w:val="22"/>
                <w:color w:val="auto"/>
              </w:rPr>
            </w:pPr>
          </w:p>
        </w:tc>
        <w:tc>
          <w:tcPr>
            <w:tcW w:w="2100" w:type="dxa"/>
            <w:vAlign w:val="bottom"/>
          </w:tcPr>
          <w:p>
            <w:pPr>
              <w:jc w:val="right"/>
              <w:spacing w:after="0"/>
              <w:rPr>
                <w:sz w:val="20"/>
                <w:szCs w:val="20"/>
                <w:color w:val="auto"/>
              </w:rPr>
            </w:pPr>
            <w:r>
              <w:rPr>
                <w:rFonts w:ascii="Arial" w:cs="Arial" w:eastAsia="Arial" w:hAnsi="Arial"/>
                <w:sz w:val="20"/>
                <w:szCs w:val="20"/>
                <w:color w:val="auto"/>
              </w:rPr>
              <w:t>$10,000</w:t>
            </w:r>
          </w:p>
        </w:tc>
      </w:tr>
      <w:tr>
        <w:trPr>
          <w:trHeight w:val="284"/>
        </w:trPr>
        <w:tc>
          <w:tcPr>
            <w:tcW w:w="5500" w:type="dxa"/>
            <w:vAlign w:val="bottom"/>
          </w:tcPr>
          <w:p>
            <w:pPr>
              <w:spacing w:after="0"/>
              <w:rPr>
                <w:sz w:val="20"/>
                <w:szCs w:val="20"/>
                <w:color w:val="auto"/>
              </w:rPr>
            </w:pPr>
            <w:r>
              <w:rPr>
                <w:rFonts w:ascii="Arial" w:cs="Arial" w:eastAsia="Arial" w:hAnsi="Arial"/>
                <w:sz w:val="20"/>
                <w:szCs w:val="20"/>
                <w:color w:val="auto"/>
              </w:rPr>
              <w:t>Compensation and Human Resources Committee</w:t>
            </w:r>
          </w:p>
        </w:tc>
        <w:tc>
          <w:tcPr>
            <w:tcW w:w="2220" w:type="dxa"/>
            <w:vAlign w:val="bottom"/>
          </w:tcPr>
          <w:p>
            <w:pPr>
              <w:jc w:val="right"/>
              <w:spacing w:after="0"/>
              <w:rPr>
                <w:sz w:val="20"/>
                <w:szCs w:val="20"/>
                <w:color w:val="auto"/>
              </w:rPr>
            </w:pPr>
            <w:r>
              <w:rPr>
                <w:rFonts w:ascii="Arial" w:cs="Arial" w:eastAsia="Arial" w:hAnsi="Arial"/>
                <w:sz w:val="20"/>
                <w:szCs w:val="20"/>
                <w:color w:val="auto"/>
              </w:rPr>
              <w:t>$15,000</w:t>
            </w:r>
          </w:p>
        </w:tc>
        <w:tc>
          <w:tcPr>
            <w:tcW w:w="200" w:type="dxa"/>
            <w:vAlign w:val="bottom"/>
          </w:tcPr>
          <w:p>
            <w:pPr>
              <w:spacing w:after="0"/>
              <w:rPr>
                <w:sz w:val="24"/>
                <w:szCs w:val="24"/>
                <w:color w:val="auto"/>
              </w:rPr>
            </w:pPr>
          </w:p>
        </w:tc>
        <w:tc>
          <w:tcPr>
            <w:tcW w:w="2100" w:type="dxa"/>
            <w:vAlign w:val="bottom"/>
          </w:tcPr>
          <w:p>
            <w:pPr>
              <w:jc w:val="right"/>
              <w:spacing w:after="0"/>
              <w:rPr>
                <w:sz w:val="20"/>
                <w:szCs w:val="20"/>
                <w:color w:val="auto"/>
              </w:rPr>
            </w:pPr>
            <w:r>
              <w:rPr>
                <w:rFonts w:ascii="Arial" w:cs="Arial" w:eastAsia="Arial" w:hAnsi="Arial"/>
                <w:sz w:val="20"/>
                <w:szCs w:val="20"/>
                <w:color w:val="auto"/>
              </w:rPr>
              <w:t>$7,500</w:t>
            </w:r>
          </w:p>
        </w:tc>
      </w:tr>
      <w:tr>
        <w:trPr>
          <w:trHeight w:val="284"/>
        </w:trPr>
        <w:tc>
          <w:tcPr>
            <w:tcW w:w="5500" w:type="dxa"/>
            <w:vAlign w:val="bottom"/>
          </w:tcPr>
          <w:p>
            <w:pPr>
              <w:spacing w:after="0"/>
              <w:rPr>
                <w:sz w:val="20"/>
                <w:szCs w:val="20"/>
                <w:color w:val="auto"/>
              </w:rPr>
            </w:pPr>
            <w:r>
              <w:rPr>
                <w:rFonts w:ascii="Arial" w:cs="Arial" w:eastAsia="Arial" w:hAnsi="Arial"/>
                <w:sz w:val="20"/>
                <w:szCs w:val="20"/>
                <w:color w:val="auto"/>
              </w:rPr>
              <w:t>Nominating and Governance Committee</w:t>
            </w:r>
          </w:p>
        </w:tc>
        <w:tc>
          <w:tcPr>
            <w:tcW w:w="2220" w:type="dxa"/>
            <w:vAlign w:val="bottom"/>
          </w:tcPr>
          <w:p>
            <w:pPr>
              <w:jc w:val="right"/>
              <w:spacing w:after="0"/>
              <w:rPr>
                <w:sz w:val="20"/>
                <w:szCs w:val="20"/>
                <w:color w:val="auto"/>
              </w:rPr>
            </w:pPr>
            <w:r>
              <w:rPr>
                <w:rFonts w:ascii="Arial" w:cs="Arial" w:eastAsia="Arial" w:hAnsi="Arial"/>
                <w:sz w:val="20"/>
                <w:szCs w:val="20"/>
                <w:color w:val="auto"/>
              </w:rPr>
              <w:t>$10,000</w:t>
            </w:r>
          </w:p>
        </w:tc>
        <w:tc>
          <w:tcPr>
            <w:tcW w:w="200" w:type="dxa"/>
            <w:vAlign w:val="bottom"/>
          </w:tcPr>
          <w:p>
            <w:pPr>
              <w:spacing w:after="0"/>
              <w:rPr>
                <w:sz w:val="24"/>
                <w:szCs w:val="24"/>
                <w:color w:val="auto"/>
              </w:rPr>
            </w:pPr>
          </w:p>
        </w:tc>
        <w:tc>
          <w:tcPr>
            <w:tcW w:w="2100" w:type="dxa"/>
            <w:vAlign w:val="bottom"/>
          </w:tcPr>
          <w:p>
            <w:pPr>
              <w:jc w:val="right"/>
              <w:spacing w:after="0"/>
              <w:rPr>
                <w:sz w:val="20"/>
                <w:szCs w:val="20"/>
                <w:color w:val="auto"/>
              </w:rPr>
            </w:pPr>
            <w:r>
              <w:rPr>
                <w:rFonts w:ascii="Arial" w:cs="Arial" w:eastAsia="Arial" w:hAnsi="Arial"/>
                <w:sz w:val="20"/>
                <w:szCs w:val="20"/>
                <w:color w:val="auto"/>
              </w:rPr>
              <w:t>$5,000</w:t>
            </w:r>
          </w:p>
        </w:tc>
      </w:tr>
    </w:tbl>
    <w:p>
      <w:pPr>
        <w:spacing w:after="0" w:line="114" w:lineRule="exact"/>
        <w:rPr>
          <w:sz w:val="20"/>
          <w:szCs w:val="20"/>
          <w:color w:val="auto"/>
        </w:rPr>
      </w:pPr>
    </w:p>
    <w:p>
      <w:pPr>
        <w:ind w:left="340" w:hanging="332"/>
        <w:spacing w:after="0" w:line="260"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20"/>
          <w:szCs w:val="20"/>
          <w:color w:val="auto"/>
        </w:rPr>
        <w:t>The Lead Director receives an annual service retainer of $25,000, paid in cash in quarterly installments following the end of each quarter of service.</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Newly Elected Directors</w:t>
      </w:r>
    </w:p>
    <w:p>
      <w:pPr>
        <w:spacing w:after="0" w:line="222" w:lineRule="exact"/>
        <w:rPr>
          <w:sz w:val="20"/>
          <w:szCs w:val="20"/>
          <w:color w:val="auto"/>
        </w:rPr>
      </w:pPr>
    </w:p>
    <w:p>
      <w:pPr>
        <w:spacing w:after="0" w:line="316" w:lineRule="auto"/>
        <w:rPr>
          <w:sz w:val="20"/>
          <w:szCs w:val="20"/>
          <w:color w:val="auto"/>
        </w:rPr>
      </w:pPr>
      <w:r>
        <w:rPr>
          <w:rFonts w:ascii="Arial" w:cs="Arial" w:eastAsia="Arial" w:hAnsi="Arial"/>
          <w:sz w:val="18"/>
          <w:szCs w:val="18"/>
          <w:color w:val="auto"/>
        </w:rPr>
        <w:t>Following a non-employee director’s initial election to the Board of Directors, he or she will receive a portion of the annual retainer (the “Pro-Rated Retainer”), payable on the first business day of the month immediately following such election (the “Election Payment Date”).</w:t>
      </w:r>
    </w:p>
    <w:p>
      <w:pPr>
        <w:spacing w:after="0" w:line="130" w:lineRule="exact"/>
        <w:rPr>
          <w:sz w:val="20"/>
          <w:szCs w:val="20"/>
          <w:color w:val="auto"/>
        </w:rPr>
      </w:pPr>
    </w:p>
    <w:p>
      <w:pPr>
        <w:jc w:val="both"/>
        <w:ind w:left="340" w:hanging="332"/>
        <w:spacing w:after="0" w:line="250"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20"/>
          <w:szCs w:val="20"/>
          <w:color w:val="auto"/>
        </w:rPr>
        <w:t>The cash portion of the Pro-Rated Retainer will be calculated by multiplying $65,000 by a fraction, the numerator of which is the number of full months between the Election Payment Date and the first anniversary of the most recent Annual Payment Date and the denominator of which is 12 (the “Cash Amount”).</w:t>
      </w:r>
    </w:p>
    <w:p>
      <w:pPr>
        <w:spacing w:after="0" w:line="186" w:lineRule="exact"/>
        <w:rPr>
          <w:rFonts w:ascii="Arial" w:cs="Arial" w:eastAsia="Arial" w:hAnsi="Arial"/>
          <w:sz w:val="18"/>
          <w:szCs w:val="18"/>
          <w:color w:val="auto"/>
        </w:rPr>
      </w:pPr>
    </w:p>
    <w:p>
      <w:pPr>
        <w:jc w:val="both"/>
        <w:ind w:left="340" w:hanging="332"/>
        <w:spacing w:after="0" w:line="244"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20"/>
          <w:szCs w:val="20"/>
          <w:color w:val="auto"/>
        </w:rPr>
        <w:t>The number of restricted shares to be issued will be determined by (i) multiplying $130,000 by a fraction, the numerator of which is the number of full months between the Election Payment Date and the first anniversary of the most recent Annual Payment Date and the denominator of which is 12, and (ii) dividing such product by the closing price per share of the Common Stock on The NASDAQ Stock Market on the Election Payment Date. The restricted shares will be issued under the 2010 Plan and vest in full on the first anniversary of the most recent Annual Payment Date.</w:t>
      </w:r>
    </w:p>
    <w:p>
      <w:pPr>
        <w:spacing w:after="0" w:line="194" w:lineRule="exact"/>
        <w:rPr>
          <w:rFonts w:ascii="Arial" w:cs="Arial" w:eastAsia="Arial" w:hAnsi="Arial"/>
          <w:sz w:val="18"/>
          <w:szCs w:val="18"/>
          <w:color w:val="auto"/>
        </w:rPr>
      </w:pPr>
    </w:p>
    <w:p>
      <w:pPr>
        <w:jc w:val="both"/>
        <w:ind w:left="340" w:hanging="332"/>
        <w:spacing w:after="0" w:line="246"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20"/>
          <w:szCs w:val="20"/>
          <w:color w:val="auto"/>
        </w:rPr>
        <w:t>In lieu of the above cash payment, a non-employee director may make an election to be issued, on the Election Payment Date, a number of shares of Common Stock under the 2010 Plan determined by dividing the Cash Amount by the closing price per share of the Common Stock on The NASDAQ Stock Market on the Election Payment Date. Such an election must be delivered in writing (including electronic mail) on or prior to the date of the director’s election to the Board of Directors.</w:t>
      </w:r>
    </w:p>
    <w:p>
      <w:pPr>
        <w:sectPr>
          <w:pgSz w:w="11900" w:h="16838" w:orient="portrait"/>
          <w:cols w:equalWidth="0" w:num="1">
            <w:col w:w="11420"/>
          </w:cols>
          <w:pgMar w:left="240" w:top="576" w:right="239" w:bottom="1440" w:gutter="0" w:footer="0" w:header="0"/>
        </w:sectPr>
      </w:pPr>
    </w:p>
    <w:bookmarkStart w:id="55" w:name="page56"/>
    <w:bookmarkEnd w:id="55"/>
    <w:p>
      <w:pPr>
        <w:spacing w:after="0" w:line="260" w:lineRule="auto"/>
        <w:rPr>
          <w:sz w:val="20"/>
          <w:szCs w:val="20"/>
          <w:color w:val="auto"/>
        </w:rPr>
      </w:pPr>
      <w:r>
        <w:rPr>
          <w:rFonts w:ascii="Arial" w:cs="Arial" w:eastAsia="Arial" w:hAnsi="Arial"/>
          <w:sz w:val="20"/>
          <w:szCs w:val="20"/>
          <w:color w:val="auto"/>
        </w:rPr>
        <w:t>Newly elected directors, and directors who are newly appointed to a committee, will also be entitled to pro-rated service retainers for any full month following his or her initial appointment to a committee of the Board of Directors.</w:t>
      </w:r>
    </w:p>
    <w:p>
      <w:pPr>
        <w:spacing w:after="0" w:line="69"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In the discretion of the Board of Directors, the grant date of shares of Common Stock, including restricted shares, may be delayed until the next open trading window under the Company’s insider trading policy then in effect.</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Effective as of May 12, 2015</w:t>
      </w:r>
    </w:p>
    <w:p>
      <w:pPr>
        <w:sectPr>
          <w:pgSz w:w="11900" w:h="16838" w:orient="portrait"/>
          <w:cols w:equalWidth="0" w:num="1">
            <w:col w:w="11420"/>
          </w:cols>
          <w:pgMar w:left="240" w:top="690"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Mark S. Casady, certify that:</w:t>
      </w:r>
    </w:p>
    <w:p>
      <w:pPr>
        <w:spacing w:after="0" w:line="225" w:lineRule="exact"/>
        <w:rPr>
          <w:sz w:val="20"/>
          <w:szCs w:val="20"/>
          <w:color w:val="auto"/>
        </w:rPr>
      </w:pPr>
    </w:p>
    <w:p>
      <w:pPr>
        <w:ind w:left="660" w:hanging="652"/>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LPL Financial Holdings Inc.;</w:t>
      </w:r>
    </w:p>
    <w:p>
      <w:pPr>
        <w:spacing w:after="0" w:line="225" w:lineRule="exact"/>
        <w:rPr>
          <w:rFonts w:ascii="Arial" w:cs="Arial" w:eastAsia="Arial" w:hAnsi="Arial"/>
          <w:sz w:val="18"/>
          <w:szCs w:val="18"/>
          <w:color w:val="auto"/>
        </w:rPr>
      </w:pPr>
    </w:p>
    <w:p>
      <w:pPr>
        <w:ind w:left="660" w:right="120" w:hanging="652"/>
        <w:spacing w:after="0" w:line="256"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left="660" w:right="20" w:hanging="652"/>
        <w:spacing w:after="0" w:line="291" w:lineRule="auto"/>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rFonts w:ascii="Arial" w:cs="Arial" w:eastAsia="Arial" w:hAnsi="Arial"/>
          <w:sz w:val="17"/>
          <w:szCs w:val="17"/>
          <w:color w:val="auto"/>
        </w:rPr>
      </w:pPr>
    </w:p>
    <w:p>
      <w:pPr>
        <w:ind w:left="660" w:right="300" w:hanging="652"/>
        <w:spacing w:after="0" w:line="256"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8"/>
          <w:szCs w:val="18"/>
          <w:color w:val="auto"/>
        </w:rPr>
      </w:pPr>
    </w:p>
    <w:p>
      <w:pPr>
        <w:ind w:left="1300" w:right="180" w:hanging="644"/>
        <w:spacing w:after="0" w:line="256" w:lineRule="auto"/>
        <w:tabs>
          <w:tab w:leader="none" w:pos="13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ind w:left="1300" w:right="160" w:hanging="644"/>
        <w:spacing w:after="0" w:line="256" w:lineRule="auto"/>
        <w:tabs>
          <w:tab w:leader="none" w:pos="13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1300" w:right="100" w:hanging="644"/>
        <w:spacing w:after="0" w:line="256" w:lineRule="auto"/>
        <w:tabs>
          <w:tab w:leader="none" w:pos="13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ind w:left="1300" w:right="240" w:hanging="644"/>
        <w:spacing w:after="0" w:line="256" w:lineRule="auto"/>
        <w:tabs>
          <w:tab w:leader="none" w:pos="13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left="660" w:right="520" w:hanging="652"/>
        <w:spacing w:after="0" w:line="256"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8"/>
          <w:szCs w:val="18"/>
          <w:color w:val="auto"/>
        </w:rPr>
      </w:pPr>
    </w:p>
    <w:p>
      <w:pPr>
        <w:ind w:left="1300" w:right="100" w:hanging="644"/>
        <w:spacing w:after="0" w:line="256" w:lineRule="auto"/>
        <w:tabs>
          <w:tab w:leader="none" w:pos="13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1" w:lineRule="exact"/>
        <w:rPr>
          <w:rFonts w:ascii="Arial" w:cs="Arial" w:eastAsia="Arial" w:hAnsi="Arial"/>
          <w:sz w:val="18"/>
          <w:szCs w:val="18"/>
          <w:color w:val="auto"/>
        </w:rPr>
      </w:pPr>
    </w:p>
    <w:p>
      <w:pPr>
        <w:ind w:left="1300" w:right="20" w:hanging="644"/>
        <w:spacing w:after="0" w:line="262" w:lineRule="auto"/>
        <w:tabs>
          <w:tab w:leader="none" w:pos="13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2015</w:t>
      </w:r>
    </w:p>
    <w:p>
      <w:pPr>
        <w:spacing w:after="0" w:line="171"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/s/ Mark S. Casady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14605</wp:posOffset>
            </wp:positionV>
            <wp:extent cx="19894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286"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Mark S. Casady</w:t>
      </w:r>
    </w:p>
    <w:p>
      <w:pPr>
        <w:spacing w:after="0" w:line="32" w:lineRule="exact"/>
        <w:rPr>
          <w:sz w:val="20"/>
          <w:szCs w:val="20"/>
          <w:color w:val="auto"/>
        </w:rPr>
      </w:pPr>
    </w:p>
    <w:p>
      <w:pPr>
        <w:ind w:left="7040"/>
        <w:spacing w:after="0"/>
        <w:rPr>
          <w:sz w:val="20"/>
          <w:szCs w:val="20"/>
          <w:color w:val="auto"/>
        </w:rPr>
      </w:pPr>
      <w:r>
        <w:rPr>
          <w:rFonts w:ascii="Arial" w:cs="Arial" w:eastAsia="Arial" w:hAnsi="Arial"/>
          <w:sz w:val="18"/>
          <w:szCs w:val="18"/>
          <w:i w:val="1"/>
          <w:iCs w:val="1"/>
          <w:color w:val="auto"/>
        </w:rPr>
        <w:t>Chief Executive Officer</w:t>
      </w:r>
    </w:p>
    <w:p>
      <w:pPr>
        <w:spacing w:after="0" w:line="14" w:lineRule="exact"/>
        <w:rPr>
          <w:sz w:val="20"/>
          <w:szCs w:val="20"/>
          <w:color w:val="auto"/>
        </w:rPr>
      </w:pPr>
    </w:p>
    <w:p>
      <w:pPr>
        <w:ind w:left="704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576"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Thomas Lux, certify that:</w:t>
      </w:r>
    </w:p>
    <w:p>
      <w:pPr>
        <w:spacing w:after="0" w:line="225" w:lineRule="exact"/>
        <w:rPr>
          <w:sz w:val="20"/>
          <w:szCs w:val="20"/>
          <w:color w:val="auto"/>
        </w:rPr>
      </w:pPr>
    </w:p>
    <w:p>
      <w:pPr>
        <w:ind w:left="660" w:hanging="652"/>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LPL Financial Holdings Inc.;</w:t>
      </w:r>
    </w:p>
    <w:p>
      <w:pPr>
        <w:spacing w:after="0" w:line="225" w:lineRule="exact"/>
        <w:rPr>
          <w:rFonts w:ascii="Arial" w:cs="Arial" w:eastAsia="Arial" w:hAnsi="Arial"/>
          <w:sz w:val="18"/>
          <w:szCs w:val="18"/>
          <w:color w:val="auto"/>
        </w:rPr>
      </w:pPr>
    </w:p>
    <w:p>
      <w:pPr>
        <w:ind w:left="660" w:right="120" w:hanging="652"/>
        <w:spacing w:after="0" w:line="256"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left="660" w:right="20" w:hanging="652"/>
        <w:spacing w:after="0" w:line="291" w:lineRule="auto"/>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rFonts w:ascii="Arial" w:cs="Arial" w:eastAsia="Arial" w:hAnsi="Arial"/>
          <w:sz w:val="17"/>
          <w:szCs w:val="17"/>
          <w:color w:val="auto"/>
        </w:rPr>
      </w:pPr>
    </w:p>
    <w:p>
      <w:pPr>
        <w:ind w:left="660" w:right="300" w:hanging="652"/>
        <w:spacing w:after="0" w:line="256"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8"/>
          <w:szCs w:val="18"/>
          <w:color w:val="auto"/>
        </w:rPr>
      </w:pPr>
    </w:p>
    <w:p>
      <w:pPr>
        <w:ind w:left="1300" w:right="180" w:hanging="644"/>
        <w:spacing w:after="0" w:line="256" w:lineRule="auto"/>
        <w:tabs>
          <w:tab w:leader="none" w:pos="13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ind w:left="1300" w:right="160" w:hanging="644"/>
        <w:spacing w:after="0" w:line="256" w:lineRule="auto"/>
        <w:tabs>
          <w:tab w:leader="none" w:pos="13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1300" w:right="100" w:hanging="644"/>
        <w:spacing w:after="0" w:line="256" w:lineRule="auto"/>
        <w:tabs>
          <w:tab w:leader="none" w:pos="13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ind w:left="1300" w:right="240" w:hanging="644"/>
        <w:spacing w:after="0" w:line="256" w:lineRule="auto"/>
        <w:tabs>
          <w:tab w:leader="none" w:pos="13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left="660" w:right="520" w:hanging="652"/>
        <w:spacing w:after="0" w:line="256"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8"/>
          <w:szCs w:val="18"/>
          <w:color w:val="auto"/>
        </w:rPr>
      </w:pPr>
    </w:p>
    <w:p>
      <w:pPr>
        <w:ind w:left="1300" w:right="100" w:hanging="644"/>
        <w:spacing w:after="0" w:line="256" w:lineRule="auto"/>
        <w:tabs>
          <w:tab w:leader="none" w:pos="13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1" w:lineRule="exact"/>
        <w:rPr>
          <w:rFonts w:ascii="Arial" w:cs="Arial" w:eastAsia="Arial" w:hAnsi="Arial"/>
          <w:sz w:val="18"/>
          <w:szCs w:val="18"/>
          <w:color w:val="auto"/>
        </w:rPr>
      </w:pPr>
    </w:p>
    <w:p>
      <w:pPr>
        <w:ind w:left="1300" w:right="20" w:hanging="644"/>
        <w:spacing w:after="0" w:line="262" w:lineRule="auto"/>
        <w:tabs>
          <w:tab w:leader="none" w:pos="13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2015</w:t>
      </w:r>
    </w:p>
    <w:p>
      <w:pPr>
        <w:sectPr>
          <w:pgSz w:w="11900" w:h="16838" w:orient="portrait"/>
          <w:cols w:equalWidth="0" w:num="1">
            <w:col w:w="11420"/>
          </w:cols>
          <w:pgMar w:left="240" w:top="576" w:right="239" w:bottom="1440" w:gutter="0" w:footer="0" w:header="0"/>
        </w:sectPr>
      </w:pPr>
    </w:p>
    <w:bookmarkStart w:id="58" w:name="page59"/>
    <w:bookmarkEnd w:id="58"/>
    <w:p>
      <w:pPr>
        <w:ind w:left="5840"/>
        <w:spacing w:after="0"/>
        <w:rPr>
          <w:sz w:val="20"/>
          <w:szCs w:val="20"/>
          <w:color w:val="auto"/>
        </w:rPr>
      </w:pPr>
      <w:r>
        <w:rPr>
          <w:rFonts w:ascii="Arial" w:cs="Arial" w:eastAsia="Arial" w:hAnsi="Arial"/>
          <w:sz w:val="18"/>
          <w:szCs w:val="18"/>
          <w:color w:val="auto"/>
        </w:rPr>
        <w:t>/s/ Thomas Lux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3693795</wp:posOffset>
            </wp:positionH>
            <wp:positionV relativeFrom="paragraph">
              <wp:posOffset>14605</wp:posOffset>
            </wp:positionV>
            <wp:extent cx="19894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ectPr>
          <w:pgSz w:w="11900" w:h="16838" w:orient="portrait"/>
          <w:cols w:equalWidth="0" w:num="1">
            <w:col w:w="9019"/>
          </w:cols>
          <w:pgMar w:left="1440" w:top="760" w:right="1440" w:bottom="1440" w:gutter="0" w:footer="0" w:header="0"/>
        </w:sectPr>
      </w:pPr>
    </w:p>
    <w:p>
      <w:pPr>
        <w:spacing w:after="0" w:line="30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Thomas Lux</w:t>
      </w:r>
    </w:p>
    <w:p>
      <w:pPr>
        <w:spacing w:after="0" w:line="32" w:lineRule="exact"/>
        <w:rPr>
          <w:sz w:val="20"/>
          <w:szCs w:val="20"/>
          <w:color w:val="auto"/>
        </w:rPr>
      </w:pPr>
    </w:p>
    <w:p>
      <w:pPr>
        <w:ind w:left="5840"/>
        <w:spacing w:after="0"/>
        <w:rPr>
          <w:sz w:val="20"/>
          <w:szCs w:val="20"/>
          <w:color w:val="auto"/>
        </w:rPr>
      </w:pPr>
      <w:r>
        <w:rPr>
          <w:rFonts w:ascii="Arial" w:cs="Arial" w:eastAsia="Arial" w:hAnsi="Arial"/>
          <w:sz w:val="17"/>
          <w:szCs w:val="17"/>
          <w:i w:val="1"/>
          <w:iCs w:val="1"/>
          <w:color w:val="auto"/>
        </w:rPr>
        <w:t>Acting Chief Financial Officer</w:t>
      </w:r>
    </w:p>
    <w:p>
      <w:pPr>
        <w:spacing w:after="0" w:line="25" w:lineRule="exact"/>
        <w:rPr>
          <w:sz w:val="20"/>
          <w:szCs w:val="20"/>
          <w:color w:val="auto"/>
        </w:rPr>
      </w:pPr>
    </w:p>
    <w:p>
      <w:pPr>
        <w:ind w:left="584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9019"/>
          </w:cols>
          <w:pgMar w:left="1440" w:top="760" w:right="1440" w:bottom="1440" w:gutter="0" w:footer="0" w:header="0"/>
          <w:type w:val="continuous"/>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5" w:lineRule="exact"/>
        <w:rPr>
          <w:sz w:val="20"/>
          <w:szCs w:val="20"/>
          <w:color w:val="auto"/>
        </w:rPr>
      </w:pPr>
    </w:p>
    <w:p>
      <w:pPr>
        <w:jc w:val="both"/>
        <w:ind w:right="140" w:firstLine="250"/>
        <w:spacing w:after="0" w:line="256" w:lineRule="auto"/>
        <w:rPr>
          <w:sz w:val="20"/>
          <w:szCs w:val="20"/>
          <w:color w:val="auto"/>
        </w:rPr>
      </w:pPr>
      <w:r>
        <w:rPr>
          <w:rFonts w:ascii="Arial" w:cs="Arial" w:eastAsia="Arial" w:hAnsi="Arial"/>
          <w:sz w:val="18"/>
          <w:szCs w:val="18"/>
          <w:color w:val="auto"/>
        </w:rPr>
        <w:t>In connection with the Quarterly Report on Form 10-Q of LPL Financial Holdings Inc. (the “Company”) for the period ending June 30, 2015 as filed with the Securities and Exchange Commission (“SEC”) on the date hereof (the “Report”), I, Mark S. Casady, Chief Executive Officer of the Company, certify, pursuant to 18 U.S.C. 1350, as adopted pursuant to section 906 of the Sarbanes-Oxley Act of 2002, that:</w:t>
      </w:r>
    </w:p>
    <w:p>
      <w:pPr>
        <w:spacing w:after="0" w:line="202" w:lineRule="exact"/>
        <w:rPr>
          <w:sz w:val="20"/>
          <w:szCs w:val="20"/>
          <w:color w:val="auto"/>
        </w:rPr>
      </w:pPr>
    </w:p>
    <w:p>
      <w:pPr>
        <w:ind w:left="820" w:hanging="488"/>
        <w:spacing w:after="0"/>
        <w:tabs>
          <w:tab w:leader="none" w:pos="8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820" w:right="20" w:hanging="488"/>
        <w:spacing w:after="0" w:line="262" w:lineRule="auto"/>
        <w:tabs>
          <w:tab w:leader="none" w:pos="8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6" w:lineRule="exact"/>
        <w:rPr>
          <w:sz w:val="20"/>
          <w:szCs w:val="20"/>
          <w:color w:val="auto"/>
        </w:rPr>
      </w:pPr>
    </w:p>
    <w:p>
      <w:pPr>
        <w:ind w:right="20" w:firstLine="240"/>
        <w:spacing w:after="0" w:line="262"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 or its staff upon request.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2015</w:t>
      </w:r>
    </w:p>
    <w:p>
      <w:pPr>
        <w:spacing w:after="0" w:line="387"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/s/ Mark S. Casady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14605</wp:posOffset>
            </wp:positionV>
            <wp:extent cx="19894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286"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Mark S. Casady</w:t>
      </w:r>
    </w:p>
    <w:p>
      <w:pPr>
        <w:spacing w:after="0" w:line="32" w:lineRule="exact"/>
        <w:rPr>
          <w:sz w:val="20"/>
          <w:szCs w:val="20"/>
          <w:color w:val="auto"/>
        </w:rPr>
      </w:pPr>
    </w:p>
    <w:p>
      <w:pPr>
        <w:ind w:left="704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576"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5" w:lineRule="exact"/>
        <w:rPr>
          <w:sz w:val="20"/>
          <w:szCs w:val="20"/>
          <w:color w:val="auto"/>
        </w:rPr>
      </w:pPr>
    </w:p>
    <w:p>
      <w:pPr>
        <w:jc w:val="both"/>
        <w:ind w:right="140" w:firstLine="250"/>
        <w:spacing w:after="0" w:line="256" w:lineRule="auto"/>
        <w:rPr>
          <w:sz w:val="20"/>
          <w:szCs w:val="20"/>
          <w:color w:val="auto"/>
        </w:rPr>
      </w:pPr>
      <w:r>
        <w:rPr>
          <w:rFonts w:ascii="Arial" w:cs="Arial" w:eastAsia="Arial" w:hAnsi="Arial"/>
          <w:sz w:val="18"/>
          <w:szCs w:val="18"/>
          <w:color w:val="auto"/>
        </w:rPr>
        <w:t>In connection with the Quarterly Report on Form 10-Q of LPL Financial Holdings Inc. (the “Company”) for the period ending June 30, 2015 as filed with the Securities and Exchange Commission (“SEC”) on the date hereof (the “Report”), I, Thomas Lux, Acting Chief Financial Officer of the Company, certify, pursuant to 18 U.S.C. 1350, as adopted pursuant to section 906 of the Sarbanes-Oxley Act of 2002, that:</w:t>
      </w:r>
    </w:p>
    <w:p>
      <w:pPr>
        <w:spacing w:after="0" w:line="202" w:lineRule="exact"/>
        <w:rPr>
          <w:sz w:val="20"/>
          <w:szCs w:val="20"/>
          <w:color w:val="auto"/>
        </w:rPr>
      </w:pPr>
    </w:p>
    <w:p>
      <w:pPr>
        <w:ind w:left="820" w:hanging="488"/>
        <w:spacing w:after="0"/>
        <w:tabs>
          <w:tab w:leader="none" w:pos="8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820" w:right="20" w:hanging="488"/>
        <w:spacing w:after="0" w:line="262" w:lineRule="auto"/>
        <w:tabs>
          <w:tab w:leader="none" w:pos="8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6" w:lineRule="exact"/>
        <w:rPr>
          <w:sz w:val="20"/>
          <w:szCs w:val="20"/>
          <w:color w:val="auto"/>
        </w:rPr>
      </w:pPr>
    </w:p>
    <w:p>
      <w:pPr>
        <w:ind w:right="20" w:firstLine="240"/>
        <w:spacing w:after="0" w:line="262"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 or its staff upon request.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2015</w:t>
      </w:r>
    </w:p>
    <w:p>
      <w:pPr>
        <w:spacing w:after="0" w:line="387"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/s/ Thomas Lux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14605</wp:posOffset>
            </wp:positionV>
            <wp:extent cx="19894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286"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Thomas Lux</w:t>
      </w:r>
    </w:p>
    <w:p>
      <w:pPr>
        <w:spacing w:after="0" w:line="32" w:lineRule="exact"/>
        <w:rPr>
          <w:sz w:val="20"/>
          <w:szCs w:val="20"/>
          <w:color w:val="auto"/>
        </w:rPr>
      </w:pPr>
    </w:p>
    <w:p>
      <w:pPr>
        <w:ind w:left="7040"/>
        <w:spacing w:after="0"/>
        <w:rPr>
          <w:sz w:val="20"/>
          <w:szCs w:val="20"/>
          <w:color w:val="auto"/>
        </w:rPr>
      </w:pPr>
      <w:r>
        <w:rPr>
          <w:rFonts w:ascii="Arial" w:cs="Arial" w:eastAsia="Arial" w:hAnsi="Arial"/>
          <w:sz w:val="18"/>
          <w:szCs w:val="18"/>
          <w:i w:val="1"/>
          <w:iCs w:val="1"/>
          <w:color w:val="auto"/>
        </w:rPr>
        <w:t>Acting Chief Financial Officer</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3AB105"/>
    <w:multiLevelType w:val="hybridMultilevel"/>
    <w:lvl w:ilvl="0">
      <w:lvlJc w:val="left"/>
      <w:lvlText w:val="x"/>
      <w:numFmt w:val="bullet"/>
      <w:start w:val="1"/>
    </w:lvl>
  </w:abstractNum>
  <w:abstractNum w:abstractNumId="1">
    <w:nsid w:val="721DA317"/>
    <w:multiLevelType w:val="hybridMultilevel"/>
    <w:lvl w:ilvl="0">
      <w:lvlJc w:val="left"/>
      <w:lvlText w:val="o"/>
      <w:numFmt w:val="bullet"/>
      <w:start w:val="1"/>
    </w:lvl>
  </w:abstractNum>
  <w:abstractNum w:abstractNumId="2">
    <w:nsid w:val="2443A858"/>
    <w:multiLevelType w:val="hybridMultilevel"/>
    <w:lvl w:ilvl="0">
      <w:lvlJc w:val="left"/>
      <w:lvlText w:val="%1."/>
      <w:numFmt w:val="decimal"/>
      <w:start w:val="1"/>
    </w:lvl>
  </w:abstractNum>
  <w:abstractNum w:abstractNumId="3">
    <w:nsid w:val="2D1D5AE9"/>
    <w:multiLevelType w:val="hybridMultilevel"/>
    <w:lvl w:ilvl="0">
      <w:lvlJc w:val="left"/>
      <w:lvlText w:val="%1."/>
      <w:numFmt w:val="decimal"/>
      <w:start w:val="2"/>
    </w:lvl>
  </w:abstractNum>
  <w:abstractNum w:abstractNumId="4">
    <w:nsid w:val="6763845E"/>
    <w:multiLevelType w:val="hybridMultilevel"/>
    <w:lvl w:ilvl="0">
      <w:lvlJc w:val="left"/>
      <w:lvlText w:val="%1."/>
      <w:numFmt w:val="decimal"/>
      <w:start w:val="3"/>
    </w:lvl>
  </w:abstractNum>
  <w:abstractNum w:abstractNumId="5">
    <w:nsid w:val="75A2A8D4"/>
    <w:multiLevelType w:val="hybridMultilevel"/>
    <w:lvl w:ilvl="0">
      <w:lvlJc w:val="left"/>
      <w:lvlText w:val="%1."/>
      <w:numFmt w:val="decimal"/>
      <w:start w:val="4"/>
    </w:lvl>
  </w:abstractNum>
  <w:abstractNum w:abstractNumId="6">
    <w:nsid w:val="8EDBDAB"/>
    <w:multiLevelType w:val="hybridMultilevel"/>
    <w:lvl w:ilvl="0">
      <w:lvlJc w:val="left"/>
      <w:lvlText w:val="%1."/>
      <w:numFmt w:val="decimal"/>
      <w:start w:val="5"/>
    </w:lvl>
  </w:abstractNum>
  <w:abstractNum w:abstractNumId="7">
    <w:nsid w:val="79838CB2"/>
    <w:multiLevelType w:val="hybridMultilevel"/>
    <w:lvl w:ilvl="0">
      <w:lvlJc w:val="left"/>
      <w:lvlText w:val="%1."/>
      <w:numFmt w:val="decimal"/>
      <w:start w:val="6"/>
    </w:lvl>
  </w:abstractNum>
  <w:abstractNum w:abstractNumId="8">
    <w:nsid w:val="4353D0CD"/>
    <w:multiLevelType w:val="hybridMultilevel"/>
    <w:lvl w:ilvl="0">
      <w:lvlJc w:val="left"/>
      <w:lvlText w:val="%1."/>
      <w:numFmt w:val="decimal"/>
      <w:start w:val="7"/>
    </w:lvl>
  </w:abstractNum>
  <w:abstractNum w:abstractNumId="9">
    <w:nsid w:val="B03E0C6"/>
    <w:multiLevelType w:val="hybridMultilevel"/>
    <w:lvl w:ilvl="0">
      <w:lvlJc w:val="left"/>
      <w:lvlText w:val="%1."/>
      <w:numFmt w:val="decimal"/>
      <w:start w:val="8"/>
    </w:lvl>
  </w:abstractNum>
  <w:abstractNum w:abstractNumId="10">
    <w:nsid w:val="189A769B"/>
    <w:multiLevelType w:val="hybridMultilevel"/>
    <w:lvl w:ilvl="0">
      <w:lvlJc w:val="left"/>
      <w:lvlText w:val="%1."/>
      <w:numFmt w:val="decimal"/>
      <w:start w:val="9"/>
    </w:lvl>
  </w:abstractNum>
  <w:abstractNum w:abstractNumId="11">
    <w:nsid w:val="54E49EB4"/>
    <w:multiLevelType w:val="hybridMultilevel"/>
    <w:lvl w:ilvl="0">
      <w:lvlJc w:val="left"/>
      <w:lvlText w:val="%1."/>
      <w:numFmt w:val="decimal"/>
      <w:start w:val="10"/>
    </w:lvl>
  </w:abstractNum>
  <w:abstractNum w:abstractNumId="12">
    <w:nsid w:val="71F32454"/>
    <w:multiLevelType w:val="hybridMultilevel"/>
    <w:lvl w:ilvl="0">
      <w:lvlJc w:val="left"/>
      <w:lvlText w:val="(%1)"/>
      <w:numFmt w:val="decimal"/>
      <w:start w:val="1"/>
    </w:lvl>
  </w:abstractNum>
  <w:abstractNum w:abstractNumId="13">
    <w:nsid w:val="2CA88611"/>
    <w:multiLevelType w:val="hybridMultilevel"/>
    <w:lvl w:ilvl="0">
      <w:lvlJc w:val="left"/>
      <w:lvlText w:val="%1."/>
      <w:numFmt w:val="decimal"/>
      <w:start w:val="11"/>
    </w:lvl>
  </w:abstractNum>
  <w:abstractNum w:abstractNumId="14">
    <w:nsid w:val="836C40E"/>
    <w:multiLevelType w:val="hybridMultilevel"/>
    <w:lvl w:ilvl="0">
      <w:lvlJc w:val="left"/>
      <w:lvlText w:val="%1."/>
      <w:numFmt w:val="decimal"/>
      <w:start w:val="12"/>
    </w:lvl>
  </w:abstractNum>
  <w:abstractNum w:abstractNumId="15">
    <w:nsid w:val="2901D82"/>
    <w:multiLevelType w:val="hybridMultilevel"/>
    <w:lvl w:ilvl="0">
      <w:lvlJc w:val="left"/>
      <w:lvlText w:val="%1."/>
      <w:numFmt w:val="decimal"/>
      <w:start w:val="13"/>
    </w:lvl>
  </w:abstractNum>
  <w:abstractNum w:abstractNumId="16">
    <w:nsid w:val="3A95F874"/>
    <w:multiLevelType w:val="hybridMultilevel"/>
    <w:lvl w:ilvl="0">
      <w:lvlJc w:val="left"/>
      <w:lvlText w:val="%1."/>
      <w:numFmt w:val="decimal"/>
      <w:start w:val="14"/>
    </w:lvl>
  </w:abstractNum>
  <w:abstractNum w:abstractNumId="17">
    <w:nsid w:val="8138641"/>
    <w:multiLevelType w:val="hybridMultilevel"/>
    <w:lvl w:ilvl="0">
      <w:lvlJc w:val="left"/>
      <w:lvlText w:val="%1."/>
      <w:numFmt w:val="decimal"/>
      <w:start w:val="15"/>
    </w:lvl>
  </w:abstractNum>
  <w:abstractNum w:abstractNumId="18">
    <w:nsid w:val="1E7FF521"/>
    <w:multiLevelType w:val="hybridMultilevel"/>
    <w:lvl w:ilvl="0">
      <w:lvlJc w:val="left"/>
      <w:lvlText w:val="%1."/>
      <w:numFmt w:val="decimal"/>
      <w:start w:val="16"/>
    </w:lvl>
  </w:abstractNum>
  <w:abstractNum w:abstractNumId="19">
    <w:nsid w:val="7C3DBD3D"/>
    <w:multiLevelType w:val="hybridMultilevel"/>
    <w:lvl w:ilvl="0">
      <w:lvlJc w:val="left"/>
      <w:lvlText w:val="%1."/>
      <w:numFmt w:val="decimal"/>
      <w:start w:val="17"/>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1)"/>
      <w:numFmt w:val="decimal"/>
      <w:start w:val="1"/>
    </w:lvl>
  </w:abstractNum>
  <w:abstractNum w:abstractNumId="22">
    <w:nsid w:val="22221A70"/>
    <w:multiLevelType w:val="hybridMultilevel"/>
    <w:lvl w:ilvl="0">
      <w:lvlJc w:val="left"/>
      <w:lvlText w:val="(%1)"/>
      <w:numFmt w:val="lowerLetter"/>
      <w:start w:val="1"/>
    </w:lvl>
  </w:abstractNum>
  <w:abstractNum w:abstractNumId="23">
    <w:nsid w:val="4516DDE9"/>
    <w:multiLevelType w:val="hybridMultilevel"/>
    <w:lvl w:ilvl="0">
      <w:lvlJc w:val="left"/>
      <w:lvlText w:val="(%1)"/>
      <w:numFmt w:val="decimal"/>
      <w:start w:val="3"/>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
      <w:numFmt w:val="bullet"/>
      <w:start w:val="1"/>
    </w:lvl>
  </w:abstractNum>
  <w:abstractNum w:abstractNumId="27">
    <w:nsid w:val="5577F8E1"/>
    <w:multiLevelType w:val="hybridMultilevel"/>
    <w:lvl w:ilvl="0">
      <w:lvlJc w:val="left"/>
      <w:lvlText w:val="(%1)"/>
      <w:numFmt w:val="decimal"/>
      <w:start w:val="1"/>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1)"/>
      <w:numFmt w:val="decimal"/>
      <w:start w:val="1"/>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
      <w:numFmt w:val="bullet"/>
      <w:start w:val="1"/>
    </w:lvl>
  </w:abstractNum>
  <w:abstractNum w:abstractNumId="33">
    <w:nsid w:val="5C482A97"/>
    <w:multiLevelType w:val="hybridMultilevel"/>
    <w:lvl w:ilvl="0">
      <w:lvlJc w:val="left"/>
      <w:lvlText w:val="(%1)"/>
      <w:numFmt w:val="decimal"/>
      <w:start w:val="1"/>
    </w:lvl>
  </w:abstractNum>
  <w:abstractNum w:abstractNumId="34">
    <w:nsid w:val="2463B9EA"/>
    <w:multiLevelType w:val="hybridMultilevel"/>
    <w:lvl w:ilvl="0">
      <w:lvlJc w:val="left"/>
      <w:lvlText w:val="•"/>
      <w:numFmt w:val="bullet"/>
      <w:start w:val="1"/>
    </w:lvl>
  </w:abstractNum>
  <w:abstractNum w:abstractNumId="35">
    <w:nsid w:val="5E884ADC"/>
    <w:multiLevelType w:val="hybridMultilevel"/>
    <w:lvl w:ilvl="0">
      <w:lvlJc w:val="left"/>
      <w:lvlText w:val="•"/>
      <w:numFmt w:val="bullet"/>
      <w:start w:val="1"/>
    </w:lvl>
  </w:abstractNum>
  <w:abstractNum w:abstractNumId="36">
    <w:nsid w:val="51EAD36B"/>
    <w:multiLevelType w:val="hybridMultilevel"/>
    <w:lvl w:ilvl="0">
      <w:lvlJc w:val="left"/>
      <w:lvlText w:val="•"/>
      <w:numFmt w:val="bullet"/>
      <w:start w:val="1"/>
    </w:lvl>
  </w:abstractNum>
  <w:abstractNum w:abstractNumId="37">
    <w:nsid w:val="2D517796"/>
    <w:multiLevelType w:val="hybridMultilevel"/>
    <w:lvl w:ilvl="0">
      <w:lvlJc w:val="left"/>
      <w:lvlText w:val="•"/>
      <w:numFmt w:val="bullet"/>
      <w:start w:val="1"/>
    </w:lvl>
  </w:abstractNum>
  <w:abstractNum w:abstractNumId="38">
    <w:nsid w:val="580BD78F"/>
    <w:multiLevelType w:val="hybridMultilevel"/>
    <w:lvl w:ilvl="0">
      <w:lvlJc w:val="left"/>
      <w:lvlText w:val="%1."/>
      <w:numFmt w:val="decimal"/>
      <w:start w:val="1"/>
    </w:lvl>
    <w:lvl w:ilvl="1">
      <w:lvlJc w:val="left"/>
      <w:lvlText w:val="%2."/>
      <w:numFmt w:val="lowerLetter"/>
      <w:start w:val="1"/>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2019-12-29T15:20:42Z</dcterms:created>
  <dcterms:modified xsi:type="dcterms:W3CDTF">2019-12-29T15:20:42Z</dcterms:modified>
</cp:coreProperties>
</file>