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8, 2024</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LPL Financial Holdings Inc.</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1080" w:type="dxa"/>
        <w:tblCellMar>
          <w:top w:w="0" w:type="dxa"/>
          <w:left w:w="0" w:type="dxa"/>
          <w:bottom w:w="0" w:type="dxa"/>
          <w:right w:w="0" w:type="dxa"/>
        </w:tblCellMar>
      </w:tblPr>
      <w:tr>
        <w:trPr>
          <w:trHeight w:val="230"/>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rPr>
              <w:t>Delaware</w:t>
            </w:r>
          </w:p>
        </w:tc>
        <w:tc>
          <w:tcPr>
            <w:tcW w:w="3360" w:type="dxa"/>
            <w:vAlign w:val="bottom"/>
          </w:tcPr>
          <w:p>
            <w:pPr>
              <w:jc w:val="right"/>
              <w:ind w:right="1170"/>
              <w:spacing w:after="0"/>
              <w:rPr>
                <w:sz w:val="20"/>
                <w:szCs w:val="20"/>
                <w:color w:val="auto"/>
              </w:rPr>
            </w:pPr>
            <w:r>
              <w:rPr>
                <w:rFonts w:ascii="Arial" w:cs="Arial" w:eastAsia="Arial" w:hAnsi="Arial"/>
                <w:sz w:val="18"/>
                <w:szCs w:val="18"/>
                <w:b w:val="1"/>
                <w:bCs w:val="1"/>
                <w:color w:val="auto"/>
              </w:rPr>
              <w:t>001-34963</w:t>
            </w:r>
          </w:p>
        </w:tc>
        <w:tc>
          <w:tcPr>
            <w:tcW w:w="284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20-3717839</w:t>
            </w:r>
          </w:p>
        </w:tc>
        <w:tc>
          <w:tcPr>
            <w:tcW w:w="0" w:type="dxa"/>
            <w:vAlign w:val="bottom"/>
          </w:tcPr>
          <w:p>
            <w:pPr>
              <w:spacing w:after="0"/>
              <w:rPr>
                <w:sz w:val="1"/>
                <w:szCs w:val="1"/>
                <w:color w:val="auto"/>
              </w:rPr>
            </w:pPr>
          </w:p>
        </w:tc>
      </w:tr>
      <w:tr>
        <w:trPr>
          <w:trHeight w:val="181"/>
        </w:trPr>
        <w:tc>
          <w:tcPr>
            <w:tcW w:w="2860" w:type="dxa"/>
            <w:vAlign w:val="bottom"/>
          </w:tcPr>
          <w:p>
            <w:pPr>
              <w:jc w:val="center"/>
              <w:ind w:right="530"/>
              <w:spacing w:after="0" w:line="181" w:lineRule="exact"/>
              <w:rPr>
                <w:sz w:val="20"/>
                <w:szCs w:val="20"/>
                <w:color w:val="auto"/>
              </w:rPr>
            </w:pPr>
            <w:r>
              <w:rPr>
                <w:rFonts w:ascii="Arial" w:cs="Arial" w:eastAsia="Arial" w:hAnsi="Arial"/>
                <w:sz w:val="18"/>
                <w:szCs w:val="18"/>
                <w:color w:val="auto"/>
                <w:w w:val="99"/>
              </w:rPr>
              <w:t>(State or other jurisdiction of</w:t>
            </w: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9"/>
              </w:rPr>
              <w:t>(Commission File Number)</w:t>
            </w:r>
          </w:p>
        </w:tc>
        <w:tc>
          <w:tcPr>
            <w:tcW w:w="2840" w:type="dxa"/>
            <w:vAlign w:val="bottom"/>
          </w:tcPr>
          <w:p>
            <w:pPr>
              <w:jc w:val="center"/>
              <w:ind w:left="530"/>
              <w:spacing w:after="0" w:line="181" w:lineRule="exact"/>
              <w:rPr>
                <w:sz w:val="20"/>
                <w:szCs w:val="20"/>
                <w:color w:val="auto"/>
              </w:rPr>
            </w:pPr>
            <w:r>
              <w:rPr>
                <w:rFonts w:ascii="Arial" w:cs="Arial" w:eastAsia="Arial" w:hAnsi="Arial"/>
                <w:sz w:val="18"/>
                <w:szCs w:val="18"/>
                <w:color w:val="auto"/>
                <w:w w:val="99"/>
              </w:rPr>
              <w:t>(IRS Employer Identification</w:t>
            </w:r>
          </w:p>
        </w:tc>
        <w:tc>
          <w:tcPr>
            <w:tcW w:w="0" w:type="dxa"/>
            <w:vAlign w:val="bottom"/>
          </w:tcPr>
          <w:p>
            <w:pPr>
              <w:spacing w:after="0"/>
              <w:rPr>
                <w:sz w:val="1"/>
                <w:szCs w:val="1"/>
                <w:color w:val="auto"/>
              </w:rPr>
            </w:pPr>
          </w:p>
        </w:tc>
      </w:tr>
      <w:tr>
        <w:trPr>
          <w:trHeight w:val="153"/>
        </w:trPr>
        <w:tc>
          <w:tcPr>
            <w:tcW w:w="2860" w:type="dxa"/>
            <w:vAlign w:val="bottom"/>
            <w:vMerge w:val="restart"/>
          </w:tcPr>
          <w:p>
            <w:pPr>
              <w:jc w:val="center"/>
              <w:ind w:right="510"/>
              <w:spacing w:after="0"/>
              <w:rPr>
                <w:sz w:val="20"/>
                <w:szCs w:val="20"/>
                <w:color w:val="auto"/>
              </w:rPr>
            </w:pPr>
            <w:r>
              <w:rPr>
                <w:rFonts w:ascii="Arial" w:cs="Arial" w:eastAsia="Arial" w:hAnsi="Arial"/>
                <w:sz w:val="18"/>
                <w:szCs w:val="18"/>
                <w:color w:val="auto"/>
                <w:w w:val="99"/>
              </w:rPr>
              <w:t>incorporation)</w:t>
            </w:r>
          </w:p>
        </w:tc>
        <w:tc>
          <w:tcPr>
            <w:tcW w:w="3360" w:type="dxa"/>
            <w:vAlign w:val="bottom"/>
            <w:vMerge w:val="continue"/>
          </w:tcPr>
          <w:p>
            <w:pPr>
              <w:spacing w:after="0"/>
              <w:rPr>
                <w:sz w:val="13"/>
                <w:szCs w:val="13"/>
                <w:color w:val="auto"/>
              </w:rPr>
            </w:pPr>
          </w:p>
        </w:tc>
        <w:tc>
          <w:tcPr>
            <w:tcW w:w="2840" w:type="dxa"/>
            <w:vAlign w:val="bottom"/>
            <w:vMerge w:val="restart"/>
          </w:tcPr>
          <w:p>
            <w:pPr>
              <w:jc w:val="center"/>
              <w:ind w:left="530"/>
              <w:spacing w:after="0"/>
              <w:rPr>
                <w:sz w:val="20"/>
                <w:szCs w:val="20"/>
                <w:color w:val="auto"/>
              </w:rPr>
            </w:pPr>
            <w:r>
              <w:rPr>
                <w:rFonts w:ascii="Arial" w:cs="Arial" w:eastAsia="Arial" w:hAnsi="Arial"/>
                <w:sz w:val="18"/>
                <w:szCs w:val="18"/>
                <w:color w:val="auto"/>
                <w:w w:val="99"/>
              </w:rPr>
              <w:t>No.)</w:t>
            </w:r>
          </w:p>
        </w:tc>
        <w:tc>
          <w:tcPr>
            <w:tcW w:w="0" w:type="dxa"/>
            <w:vAlign w:val="bottom"/>
          </w:tcPr>
          <w:p>
            <w:pPr>
              <w:spacing w:after="0"/>
              <w:rPr>
                <w:sz w:val="1"/>
                <w:szCs w:val="1"/>
                <w:color w:val="auto"/>
              </w:rPr>
            </w:pPr>
          </w:p>
        </w:tc>
      </w:tr>
      <w:tr>
        <w:trPr>
          <w:trHeight w:val="86"/>
        </w:trPr>
        <w:tc>
          <w:tcPr>
            <w:tcW w:w="2860" w:type="dxa"/>
            <w:vAlign w:val="bottom"/>
            <w:vMerge w:val="continue"/>
          </w:tcPr>
          <w:p>
            <w:pPr>
              <w:spacing w:after="0"/>
              <w:rPr>
                <w:sz w:val="7"/>
                <w:szCs w:val="7"/>
                <w:color w:val="auto"/>
              </w:rPr>
            </w:pPr>
          </w:p>
        </w:tc>
        <w:tc>
          <w:tcPr>
            <w:tcW w:w="336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8" w:lineRule="exact"/>
        <w:rPr>
          <w:sz w:val="24"/>
          <w:szCs w:val="24"/>
          <w:color w:val="auto"/>
        </w:rPr>
      </w:pPr>
    </w:p>
    <w:tbl>
      <w:tblPr>
        <w:tblLayout w:type="fixed"/>
        <w:tblInd w:w="1280" w:type="dxa"/>
        <w:tblCellMar>
          <w:top w:w="0" w:type="dxa"/>
          <w:left w:w="0" w:type="dxa"/>
          <w:bottom w:w="0" w:type="dxa"/>
          <w:right w:w="0" w:type="dxa"/>
        </w:tblCellMar>
      </w:tblPr>
      <w:tr>
        <w:trPr>
          <w:trHeight w:val="243"/>
        </w:trPr>
        <w:tc>
          <w:tcPr>
            <w:tcW w:w="2260" w:type="dxa"/>
            <w:vAlign w:val="bottom"/>
          </w:tcPr>
          <w:p>
            <w:pPr>
              <w:spacing w:after="0"/>
              <w:rPr>
                <w:sz w:val="20"/>
                <w:szCs w:val="20"/>
                <w:color w:val="auto"/>
              </w:rPr>
            </w:pPr>
            <w:r>
              <w:rPr>
                <w:rFonts w:ascii="Arial" w:cs="Arial" w:eastAsia="Arial" w:hAnsi="Arial"/>
                <w:sz w:val="18"/>
                <w:szCs w:val="18"/>
                <w:b w:val="1"/>
                <w:bCs w:val="1"/>
                <w:color w:val="auto"/>
              </w:rPr>
              <w:t>4707 Executive Drive,</w:t>
            </w:r>
          </w:p>
        </w:tc>
        <w:tc>
          <w:tcPr>
            <w:tcW w:w="2540" w:type="dxa"/>
            <w:vAlign w:val="bottom"/>
          </w:tcPr>
          <w:p>
            <w:pPr>
              <w:jc w:val="center"/>
              <w:ind w:right="710"/>
              <w:spacing w:after="0"/>
              <w:rPr>
                <w:sz w:val="20"/>
                <w:szCs w:val="20"/>
                <w:color w:val="auto"/>
              </w:rPr>
            </w:pPr>
            <w:r>
              <w:rPr>
                <w:rFonts w:ascii="Arial" w:cs="Arial" w:eastAsia="Arial" w:hAnsi="Arial"/>
                <w:sz w:val="18"/>
                <w:szCs w:val="18"/>
                <w:b w:val="1"/>
                <w:bCs w:val="1"/>
                <w:color w:val="auto"/>
              </w:rPr>
              <w:t>San Diego,</w:t>
            </w:r>
          </w:p>
        </w:tc>
        <w:tc>
          <w:tcPr>
            <w:tcW w:w="1280" w:type="dxa"/>
            <w:vAlign w:val="bottom"/>
          </w:tcPr>
          <w:p>
            <w:pPr>
              <w:ind w:left="140"/>
              <w:spacing w:after="0"/>
              <w:rPr>
                <w:sz w:val="20"/>
                <w:szCs w:val="20"/>
                <w:color w:val="auto"/>
              </w:rPr>
            </w:pPr>
            <w:r>
              <w:rPr>
                <w:rFonts w:ascii="Arial" w:cs="Arial" w:eastAsia="Arial" w:hAnsi="Arial"/>
                <w:sz w:val="18"/>
                <w:szCs w:val="18"/>
                <w:b w:val="1"/>
                <w:bCs w:val="1"/>
                <w:color w:val="auto"/>
              </w:rPr>
              <w:t>California</w:t>
            </w:r>
          </w:p>
        </w:tc>
        <w:tc>
          <w:tcPr>
            <w:tcW w:w="2100" w:type="dxa"/>
            <w:vAlign w:val="bottom"/>
          </w:tcPr>
          <w:p>
            <w:pPr>
              <w:jc w:val="right"/>
              <w:ind w:right="90"/>
              <w:spacing w:after="0"/>
              <w:rPr>
                <w:sz w:val="20"/>
                <w:szCs w:val="20"/>
                <w:color w:val="auto"/>
              </w:rPr>
            </w:pPr>
            <w:r>
              <w:rPr>
                <w:rFonts w:ascii="Arial" w:cs="Arial" w:eastAsia="Arial" w:hAnsi="Arial"/>
                <w:sz w:val="18"/>
                <w:szCs w:val="18"/>
                <w:b w:val="1"/>
                <w:bCs w:val="1"/>
                <w:color w:val="auto"/>
              </w:rPr>
              <w:t>92121</w:t>
            </w:r>
          </w:p>
        </w:tc>
      </w:tr>
      <w:tr>
        <w:trPr>
          <w:trHeight w:val="239"/>
        </w:trPr>
        <w:tc>
          <w:tcPr>
            <w:tcW w:w="4800" w:type="dxa"/>
            <w:vAlign w:val="bottom"/>
            <w:gridSpan w:val="2"/>
          </w:tcPr>
          <w:p>
            <w:pPr>
              <w:jc w:val="center"/>
              <w:ind w:left="1390"/>
              <w:spacing w:after="0"/>
              <w:rPr>
                <w:sz w:val="20"/>
                <w:szCs w:val="20"/>
                <w:color w:val="auto"/>
              </w:rPr>
            </w:pPr>
            <w:r>
              <w:rPr>
                <w:rFonts w:ascii="Arial" w:cs="Arial" w:eastAsia="Arial" w:hAnsi="Arial"/>
                <w:sz w:val="18"/>
                <w:szCs w:val="18"/>
                <w:color w:val="auto"/>
                <w:w w:val="99"/>
              </w:rPr>
              <w:t>(Address of principal executive offices)</w:t>
            </w:r>
          </w:p>
        </w:tc>
        <w:tc>
          <w:tcPr>
            <w:tcW w:w="1280" w:type="dxa"/>
            <w:vAlign w:val="bottom"/>
          </w:tcPr>
          <w:p>
            <w:pPr>
              <w:spacing w:after="0"/>
              <w:rPr>
                <w:sz w:val="20"/>
                <w:szCs w:val="20"/>
                <w:color w:val="auto"/>
              </w:rPr>
            </w:pPr>
          </w:p>
        </w:tc>
        <w:tc>
          <w:tcPr>
            <w:tcW w:w="2100" w:type="dxa"/>
            <w:vAlign w:val="bottom"/>
          </w:tcPr>
          <w:p>
            <w:pPr>
              <w:jc w:val="center"/>
              <w:ind w:left="1150"/>
              <w:spacing w:after="0"/>
              <w:rPr>
                <w:sz w:val="20"/>
                <w:szCs w:val="20"/>
                <w:color w:val="auto"/>
              </w:rPr>
            </w:pPr>
            <w:r>
              <w:rPr>
                <w:rFonts w:ascii="Arial" w:cs="Arial" w:eastAsia="Arial" w:hAnsi="Arial"/>
                <w:sz w:val="18"/>
                <w:szCs w:val="18"/>
                <w:color w:val="auto"/>
              </w:rPr>
              <w:t>(Zip Code)</w:t>
            </w:r>
          </w:p>
        </w:tc>
      </w:tr>
      <w:tr>
        <w:trPr>
          <w:trHeight w:val="666"/>
        </w:trPr>
        <w:tc>
          <w:tcPr>
            <w:tcW w:w="6080" w:type="dxa"/>
            <w:vAlign w:val="bottom"/>
            <w:gridSpan w:val="3"/>
          </w:tcPr>
          <w:p>
            <w:pPr>
              <w:ind w:left="12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35"/>
                <w:szCs w:val="35"/>
                <w:b w:val="1"/>
                <w:bCs w:val="1"/>
                <w:color w:val="auto"/>
                <w:vertAlign w:val="superscript"/>
              </w:rPr>
              <w:t>(800)</w:t>
            </w:r>
          </w:p>
        </w:tc>
        <w:tc>
          <w:tcPr>
            <w:tcW w:w="2100" w:type="dxa"/>
            <w:vAlign w:val="bottom"/>
          </w:tcPr>
          <w:p>
            <w:pPr>
              <w:jc w:val="right"/>
              <w:ind w:right="1090"/>
              <w:spacing w:after="0"/>
              <w:rPr>
                <w:sz w:val="20"/>
                <w:szCs w:val="20"/>
                <w:color w:val="auto"/>
              </w:rPr>
            </w:pPr>
            <w:r>
              <w:rPr>
                <w:rFonts w:ascii="Arial" w:cs="Arial" w:eastAsia="Arial" w:hAnsi="Arial"/>
                <w:sz w:val="18"/>
                <w:szCs w:val="18"/>
                <w:b w:val="1"/>
                <w:bCs w:val="1"/>
                <w:color w:val="auto"/>
              </w:rPr>
              <w:t>877-7210</w:t>
            </w:r>
          </w:p>
        </w:tc>
      </w:tr>
      <w:tr>
        <w:trPr>
          <w:trHeight w:val="247"/>
        </w:trPr>
        <w:tc>
          <w:tcPr>
            <w:tcW w:w="2260" w:type="dxa"/>
            <w:vAlign w:val="bottom"/>
          </w:tcPr>
          <w:p>
            <w:pPr>
              <w:spacing w:after="0"/>
              <w:rPr>
                <w:sz w:val="21"/>
                <w:szCs w:val="21"/>
                <w:color w:val="auto"/>
              </w:rPr>
            </w:pPr>
          </w:p>
        </w:tc>
        <w:tc>
          <w:tcPr>
            <w:tcW w:w="2540" w:type="dxa"/>
            <w:vAlign w:val="bottom"/>
          </w:tcPr>
          <w:p>
            <w:pPr>
              <w:ind w:left="1920"/>
              <w:spacing w:after="0"/>
              <w:rPr>
                <w:sz w:val="20"/>
                <w:szCs w:val="20"/>
                <w:color w:val="auto"/>
              </w:rPr>
            </w:pPr>
            <w:r>
              <w:rPr>
                <w:rFonts w:ascii="Arial" w:cs="Arial" w:eastAsia="Arial" w:hAnsi="Arial"/>
                <w:sz w:val="18"/>
                <w:szCs w:val="18"/>
                <w:b w:val="1"/>
                <w:bCs w:val="1"/>
                <w:color w:val="auto"/>
              </w:rPr>
              <w:t>N/A</w:t>
            </w:r>
          </w:p>
        </w:tc>
        <w:tc>
          <w:tcPr>
            <w:tcW w:w="1280" w:type="dxa"/>
            <w:vAlign w:val="bottom"/>
          </w:tcPr>
          <w:p>
            <w:pPr>
              <w:spacing w:after="0"/>
              <w:rPr>
                <w:sz w:val="21"/>
                <w:szCs w:val="21"/>
                <w:color w:val="auto"/>
              </w:rPr>
            </w:pPr>
          </w:p>
        </w:tc>
        <w:tc>
          <w:tcPr>
            <w:tcW w:w="2100" w:type="dxa"/>
            <w:vAlign w:val="bottom"/>
          </w:tcPr>
          <w:p>
            <w:pPr>
              <w:spacing w:after="0"/>
              <w:rPr>
                <w:sz w:val="21"/>
                <w:szCs w:val="21"/>
                <w:color w:val="auto"/>
              </w:rPr>
            </w:pPr>
          </w:p>
        </w:tc>
      </w:tr>
    </w:tbl>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w:t>
      </w:r>
    </w:p>
    <w:p>
      <w:pPr>
        <w:spacing w:after="0" w:line="18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50"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Title of each class</w:t>
      </w:r>
    </w:p>
    <w:p>
      <w:pPr>
        <w:spacing w:after="0" w:line="32" w:lineRule="exact"/>
        <w:rPr>
          <w:sz w:val="24"/>
          <w:szCs w:val="24"/>
          <w:color w:val="auto"/>
        </w:rPr>
      </w:pPr>
    </w:p>
    <w:p>
      <w:pPr>
        <w:jc w:val="center"/>
        <w:ind w:left="480"/>
        <w:spacing w:after="0"/>
        <w:rPr>
          <w:sz w:val="20"/>
          <w:szCs w:val="20"/>
          <w:color w:val="auto"/>
        </w:rPr>
      </w:pPr>
      <w:r>
        <w:rPr>
          <w:rFonts w:ascii="Arial" w:cs="Arial" w:eastAsia="Arial" w:hAnsi="Arial"/>
          <w:sz w:val="17"/>
          <w:szCs w:val="17"/>
          <w:color w:val="auto"/>
        </w:rPr>
        <w:t>Common Stock - par value $0.001 per share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Trading Symbol(s)</w:t>
      </w:r>
    </w:p>
    <w:p>
      <w:pPr>
        <w:spacing w:after="0" w:line="4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LPLA</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Name of each exchange on which registered</w:t>
      </w:r>
    </w:p>
    <w:p>
      <w:pPr>
        <w:spacing w:after="0" w:line="4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The Nasdaq Global Select Market</w:t>
      </w:r>
    </w:p>
    <w:p>
      <w:pPr>
        <w:spacing w:after="0" w:line="148" w:lineRule="exact"/>
        <w:rPr>
          <w:sz w:val="24"/>
          <w:szCs w:val="24"/>
          <w:color w:val="auto"/>
        </w:rPr>
      </w:pPr>
    </w:p>
    <w:p>
      <w:pPr>
        <w:sectPr>
          <w:pgSz w:w="11900" w:h="16838" w:orient="portrait"/>
          <w:cols w:equalWidth="0" w:num="3">
            <w:col w:w="4220" w:space="720"/>
            <w:col w:w="1520" w:space="720"/>
            <w:col w:w="4060"/>
          </w:cols>
          <w:pgMar w:left="320" w:top="1440" w:right="3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1"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020" w:right="580" w:hanging="805"/>
        <w:spacing w:after="0" w:line="249"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86" w:lineRule="exact"/>
        <w:rPr>
          <w:sz w:val="20"/>
          <w:szCs w:val="20"/>
          <w:color w:val="auto"/>
        </w:rPr>
      </w:pPr>
    </w:p>
    <w:p>
      <w:pPr>
        <w:ind w:right="320" w:firstLine="324"/>
        <w:spacing w:after="0"/>
        <w:rPr>
          <w:sz w:val="20"/>
          <w:szCs w:val="20"/>
          <w:color w:val="auto"/>
        </w:rPr>
      </w:pPr>
      <w:r>
        <w:rPr>
          <w:rFonts w:ascii="Arial" w:cs="Arial" w:eastAsia="Arial" w:hAnsi="Arial"/>
          <w:sz w:val="18"/>
          <w:szCs w:val="18"/>
          <w:color w:val="auto"/>
        </w:rPr>
        <w:t>As previously disclosed, on October 1, 2024, the Board of Directors (the “Board”) of LPL Financial Holdings Inc. (the “Company”) terminated Dan H. Arnold, former President and Chief Executive Officer of the Company for “Cause” (as defined under the Company’s Executive Severance Plan (the “Severance Plan”) and the Company’s 2010 Omnibus Equity Incentive Plan and 2021 Omnibus Equity Incentive Plan (the “Incentive Plans”)). As set forth in the Company’s prior disclosure, the Board exercised its discretion to defer the automatic forfeiture of a portion of Mr. Arnold's vested options to purchase common stock of the Company subject to the satisfactory negotiation of and Mr. Arnold's entry into a settlement agreement for the benefit of the Company and its shareholders (the “Non-Forfeited Options”).</w:t>
      </w:r>
    </w:p>
    <w:p>
      <w:pPr>
        <w:spacing w:after="0" w:line="212" w:lineRule="exact"/>
        <w:rPr>
          <w:sz w:val="20"/>
          <w:szCs w:val="20"/>
          <w:color w:val="auto"/>
        </w:rPr>
      </w:pPr>
    </w:p>
    <w:p>
      <w:pPr>
        <w:jc w:val="both"/>
        <w:ind w:right="120" w:firstLine="648"/>
        <w:spacing w:after="0" w:line="255" w:lineRule="auto"/>
        <w:rPr>
          <w:sz w:val="20"/>
          <w:szCs w:val="20"/>
          <w:color w:val="auto"/>
        </w:rPr>
      </w:pPr>
      <w:r>
        <w:rPr>
          <w:rFonts w:ascii="Arial" w:cs="Arial" w:eastAsia="Arial" w:hAnsi="Arial"/>
          <w:sz w:val="17"/>
          <w:szCs w:val="17"/>
          <w:color w:val="auto"/>
        </w:rPr>
        <w:t>On December 8, 2024, the Company entered into a Settlement Agreement and General Release (the “Settlement Agreement”) with Mr. Arnold. Pursuant to the Settlement Agreement, Mr. Arnold will be permitted to retain 47,994 of the Non-Forfeited Options (the “Retained Options”), which have a value of $12.0 million, calculated using a price per share of $327.56, the closing price of the common stock of the</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Company on December 6, 2024 (the “Closing Stock Price”). Mr. Arnold will be permitted to exercise the Retained Options during the period beginning on December 16, 2024 and continuing through December 31, 2024. The remaining 98,432 Non-Forfeited Options will be forfeited.</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The Settlement Agreement contains a general release of claims by Mr. Arnold against the Company, as well as non-competition, non-disparagement and non-solicitation provisions. The non-competition and non-solicitation provisions will apply until September 30, 2025.</w:t>
      </w:r>
    </w:p>
    <w:p>
      <w:pPr>
        <w:spacing w:after="0" w:line="19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As previously disclosed, Mr. Arnold was not entitled to receive severance benefits pursuant to the Severance Plan, and all of Mr. Arnold’s equity awards under the Incentive Plans other than the Non-Forfeited Options were automatically forfeited upon his termination. The value of the Retained Options represents approximately 15% of the aggregate total value of the severance benefits and equity awards that he would have been entitled to receive or retain, as applicable, had he been terminated “Without Cause” or “For Good Reason” (each as defined under the Severance Plan and the Incentive Plans) on October 1, 2024. The aggregate total value referenced in the foregoing sentence was calculated by applying the Closing Stock Price, applying applicable proration of unvested equity awards under the Severance Plan and assuming vesting at target levels for any performance-based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1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LPL FINANCIAL HOLDINGS INC.</w:t>
      </w:r>
    </w:p>
    <w:p>
      <w:pPr>
        <w:spacing w:after="0" w:line="23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17780</wp:posOffset>
            </wp:positionV>
            <wp:extent cx="1705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Matthew J. Audette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 President and Chief</w:t>
      </w:r>
    </w:p>
    <w:p>
      <w:pPr>
        <w:ind w:left="446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2024</w:t>
      </w:r>
    </w:p>
    <w:sectPr>
      <w:pgSz w:w="11900" w:h="16838" w:orient="portrait"/>
      <w:cols w:equalWidth="0" w:num="1">
        <w:col w:w="11020"/>
      </w:cols>
      <w:pgMar w:left="320" w:top="9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2024-12-09T07:23:05Z</dcterms:created>
  <dcterms:modified xsi:type="dcterms:W3CDTF">2024-12-09T07:23:05Z</dcterms:modified>
</cp:coreProperties>
</file>