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4"/>
        <w:spacing w:after="0"/>
        <w:rPr>
          <w:sz w:val="20"/>
          <w:szCs w:val="20"/>
          <w:color w:val="auto"/>
        </w:rPr>
      </w:pPr>
      <w:r>
        <w:rPr>
          <w:rFonts w:ascii="Arial" w:cs="Arial" w:eastAsia="Arial" w:hAnsi="Arial"/>
          <w:sz w:val="22"/>
          <w:szCs w:val="22"/>
          <w:b w:val="1"/>
          <w:bCs w:val="1"/>
          <w:color w:val="252525"/>
        </w:rPr>
        <w:t>UNITED STATES</w:t>
      </w:r>
    </w:p>
    <w:p>
      <w:pPr>
        <w:spacing w:after="0" w:line="112" w:lineRule="exact"/>
        <w:rPr>
          <w:sz w:val="24"/>
          <w:szCs w:val="24"/>
          <w:color w:val="auto"/>
        </w:rPr>
      </w:pPr>
    </w:p>
    <w:p>
      <w:pPr>
        <w:jc w:val="center"/>
        <w:ind w:right="-84"/>
        <w:spacing w:after="0"/>
        <w:rPr>
          <w:sz w:val="20"/>
          <w:szCs w:val="20"/>
          <w:color w:val="auto"/>
        </w:rPr>
      </w:pPr>
      <w:r>
        <w:rPr>
          <w:rFonts w:ascii="Arial" w:cs="Arial" w:eastAsia="Arial" w:hAnsi="Arial"/>
          <w:sz w:val="21"/>
          <w:szCs w:val="21"/>
          <w:b w:val="1"/>
          <w:bCs w:val="1"/>
          <w:color w:val="252525"/>
        </w:rPr>
        <w:t>SECURITIES AND EXCHANGE COMMISSION</w:t>
      </w:r>
    </w:p>
    <w:p>
      <w:pPr>
        <w:spacing w:after="0" w:line="123" w:lineRule="exact"/>
        <w:rPr>
          <w:sz w:val="24"/>
          <w:szCs w:val="24"/>
          <w:color w:val="auto"/>
        </w:rPr>
      </w:pPr>
    </w:p>
    <w:p>
      <w:pPr>
        <w:jc w:val="center"/>
        <w:ind w:right="-144"/>
        <w:spacing w:after="0"/>
        <w:rPr>
          <w:sz w:val="20"/>
          <w:szCs w:val="20"/>
          <w:color w:val="auto"/>
        </w:rPr>
      </w:pPr>
      <w:r>
        <w:rPr>
          <w:rFonts w:ascii="Arial" w:cs="Arial" w:eastAsia="Arial" w:hAnsi="Arial"/>
          <w:sz w:val="22"/>
          <w:szCs w:val="22"/>
          <w:b w:val="1"/>
          <w:bCs w:val="1"/>
          <w:color w:val="252525"/>
        </w:rPr>
        <w:t>Washington, D.C. 20549</w:t>
      </w:r>
    </w:p>
    <w:p>
      <w:pPr>
        <w:spacing w:after="0" w:line="118" w:lineRule="exact"/>
        <w:rPr>
          <w:sz w:val="24"/>
          <w:szCs w:val="24"/>
          <w:color w:val="auto"/>
        </w:rPr>
      </w:pPr>
    </w:p>
    <w:p>
      <w:pPr>
        <w:jc w:val="center"/>
        <w:ind w:right="-144"/>
        <w:spacing w:after="0"/>
        <w:rPr>
          <w:sz w:val="20"/>
          <w:szCs w:val="20"/>
          <w:color w:val="auto"/>
        </w:rPr>
      </w:pPr>
      <w:r>
        <w:rPr>
          <w:rFonts w:ascii="Arial" w:cs="Arial" w:eastAsia="Arial" w:hAnsi="Arial"/>
          <w:sz w:val="29"/>
          <w:szCs w:val="29"/>
          <w:b w:val="1"/>
          <w:bCs w:val="1"/>
          <w:color w:val="252525"/>
        </w:rPr>
        <w:t>SCHEDULE 14A</w:t>
      </w:r>
    </w:p>
    <w:p>
      <w:pPr>
        <w:sectPr>
          <w:pgSz w:w="11900" w:h="16838" w:orient="portrait"/>
          <w:cols w:equalWidth="0" w:num="1">
            <w:col w:w="11225"/>
          </w:cols>
          <w:pgMar w:left="275" w:top="283" w:right="399" w:bottom="1440" w:gutter="0" w:footer="0" w:header="0"/>
        </w:sectPr>
      </w:pPr>
    </w:p>
    <w:p>
      <w:pPr>
        <w:spacing w:after="0" w:line="240" w:lineRule="exact"/>
        <w:rPr>
          <w:sz w:val="24"/>
          <w:szCs w:val="24"/>
          <w:color w:val="auto"/>
        </w:rPr>
      </w:pPr>
    </w:p>
    <w:p>
      <w:pPr>
        <w:ind w:left="2745" w:firstLine="721"/>
        <w:spacing w:after="0" w:line="272" w:lineRule="auto"/>
        <w:rPr>
          <w:sz w:val="20"/>
          <w:szCs w:val="20"/>
          <w:color w:val="auto"/>
        </w:rPr>
      </w:pPr>
      <w:r>
        <w:rPr>
          <w:rFonts w:ascii="Arial" w:cs="Arial" w:eastAsia="Arial" w:hAnsi="Arial"/>
          <w:sz w:val="21"/>
          <w:szCs w:val="21"/>
          <w:color w:val="252525"/>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22"/>
          <w:szCs w:val="22"/>
          <w:color w:val="252525"/>
        </w:rPr>
        <w:t>)</w:t>
      </w:r>
    </w:p>
    <w:p>
      <w:pPr>
        <w:spacing w:after="0" w:line="237" w:lineRule="exact"/>
        <w:rPr>
          <w:sz w:val="24"/>
          <w:szCs w:val="24"/>
          <w:color w:val="auto"/>
        </w:rPr>
      </w:pPr>
    </w:p>
    <w:p>
      <w:pPr>
        <w:sectPr>
          <w:pgSz w:w="11900" w:h="16838" w:orient="portrait"/>
          <w:cols w:equalWidth="0" w:num="2">
            <w:col w:w="7925" w:space="600"/>
            <w:col w:w="2700"/>
          </w:cols>
          <w:pgMar w:left="275" w:top="283" w:right="399" w:bottom="1440" w:gutter="0" w:footer="0" w:header="0"/>
          <w:type w:val="continuous"/>
        </w:sectPr>
      </w:pPr>
    </w:p>
    <w:p>
      <w:pPr>
        <w:spacing w:after="0" w:line="204"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the Registrant x</w:t>
      </w:r>
    </w:p>
    <w:p>
      <w:pPr>
        <w:spacing w:after="0" w:line="63"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pacing w:after="0" w:line="77"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225" w:hanging="225"/>
        <w:spacing w:after="0"/>
        <w:tabs>
          <w:tab w:leader="none" w:pos="22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63" w:lineRule="exact"/>
        <w:rPr>
          <w:rFonts w:ascii="Arial" w:cs="Arial" w:eastAsia="Arial" w:hAnsi="Arial"/>
          <w:sz w:val="18"/>
          <w:szCs w:val="18"/>
          <w:color w:val="auto"/>
        </w:rPr>
      </w:pPr>
    </w:p>
    <w:p>
      <w:pPr>
        <w:ind w:left="5" w:right="4640" w:hanging="5"/>
        <w:spacing w:after="0" w:line="305" w:lineRule="auto"/>
        <w:tabs>
          <w:tab w:leader="none" w:pos="23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 x Definitive Proxy Statement</w:t>
      </w:r>
    </w:p>
    <w:p>
      <w:pPr>
        <w:spacing w:after="0" w:line="14" w:lineRule="exact"/>
        <w:rPr>
          <w:rFonts w:ascii="Arial" w:cs="Arial" w:eastAsia="Arial" w:hAnsi="Arial"/>
          <w:sz w:val="18"/>
          <w:szCs w:val="18"/>
          <w:color w:val="auto"/>
        </w:rPr>
      </w:pPr>
    </w:p>
    <w:p>
      <w:pPr>
        <w:ind w:left="225" w:hanging="225"/>
        <w:spacing w:after="0"/>
        <w:tabs>
          <w:tab w:leader="none" w:pos="22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rFonts w:ascii="Arial" w:cs="Arial" w:eastAsia="Arial" w:hAnsi="Arial"/>
          <w:sz w:val="18"/>
          <w:szCs w:val="18"/>
          <w:color w:val="auto"/>
        </w:rPr>
      </w:pPr>
    </w:p>
    <w:p>
      <w:pPr>
        <w:ind w:left="225" w:hanging="225"/>
        <w:spacing w:after="0"/>
        <w:tabs>
          <w:tab w:leader="none" w:pos="225"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302" w:lineRule="exact"/>
        <w:rPr>
          <w:sz w:val="24"/>
          <w:szCs w:val="24"/>
          <w:color w:val="auto"/>
        </w:rPr>
      </w:pPr>
    </w:p>
    <w:p>
      <w:pPr>
        <w:jc w:val="center"/>
        <w:ind w:right="-124"/>
        <w:spacing w:after="0"/>
        <w:rPr>
          <w:sz w:val="20"/>
          <w:szCs w:val="20"/>
          <w:color w:val="auto"/>
        </w:rPr>
      </w:pPr>
      <w:r>
        <w:rPr>
          <w:rFonts w:ascii="Arial" w:cs="Arial" w:eastAsia="Arial" w:hAnsi="Arial"/>
          <w:sz w:val="22"/>
          <w:szCs w:val="22"/>
          <w:b w:val="1"/>
          <w:bCs w:val="1"/>
          <w:color w:val="auto"/>
        </w:rPr>
        <w:t>LPL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4"/>
          <w:szCs w:val="24"/>
          <w:color w:val="auto"/>
        </w:rPr>
      </w:pPr>
    </w:p>
    <w:p>
      <w:pPr>
        <w:jc w:val="center"/>
        <w:ind w:right="-124"/>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358140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ind w:right="-124"/>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55"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585" w:hanging="427"/>
        <w:spacing w:after="0"/>
        <w:tabs>
          <w:tab w:leader="none" w:pos="585"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585" w:hanging="427"/>
        <w:spacing w:after="0"/>
        <w:tabs>
          <w:tab w:leader="none" w:pos="58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49" w:lineRule="exact"/>
        <w:rPr>
          <w:rFonts w:ascii="Arial" w:cs="Arial" w:eastAsia="Arial" w:hAnsi="Arial"/>
          <w:sz w:val="18"/>
          <w:szCs w:val="18"/>
          <w:color w:val="auto"/>
        </w:rPr>
      </w:pPr>
    </w:p>
    <w:p>
      <w:pPr>
        <w:ind w:left="1145" w:hanging="564"/>
        <w:spacing w:after="0"/>
        <w:tabs>
          <w:tab w:leader="none" w:pos="1145" w:val="left"/>
        </w:tabs>
        <w:numPr>
          <w:ilvl w:val="2"/>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1145" w:hanging="564"/>
        <w:spacing w:after="0"/>
        <w:tabs>
          <w:tab w:leader="none" w:pos="1145" w:val="left"/>
        </w:tabs>
        <w:numPr>
          <w:ilvl w:val="2"/>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145" w:right="120" w:hanging="564"/>
        <w:spacing w:after="0" w:line="246" w:lineRule="auto"/>
        <w:tabs>
          <w:tab w:leader="none" w:pos="1145" w:val="left"/>
        </w:tabs>
        <w:numPr>
          <w:ilvl w:val="2"/>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48" w:lineRule="exact"/>
        <w:rPr>
          <w:rFonts w:ascii="Arial" w:cs="Arial" w:eastAsia="Arial" w:hAnsi="Arial"/>
          <w:sz w:val="18"/>
          <w:szCs w:val="18"/>
          <w:color w:val="auto"/>
        </w:rPr>
      </w:pPr>
    </w:p>
    <w:p>
      <w:pPr>
        <w:ind w:left="1145" w:hanging="564"/>
        <w:spacing w:after="0"/>
        <w:tabs>
          <w:tab w:leader="none" w:pos="1145" w:val="left"/>
        </w:tabs>
        <w:numPr>
          <w:ilvl w:val="2"/>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rFonts w:ascii="Arial" w:cs="Arial" w:eastAsia="Arial" w:hAnsi="Arial"/>
          <w:sz w:val="18"/>
          <w:szCs w:val="18"/>
          <w:color w:val="auto"/>
        </w:rPr>
      </w:pPr>
    </w:p>
    <w:p>
      <w:pPr>
        <w:ind w:left="1145" w:hanging="564"/>
        <w:spacing w:after="0"/>
        <w:tabs>
          <w:tab w:leader="none" w:pos="1145" w:val="left"/>
        </w:tabs>
        <w:numPr>
          <w:ilvl w:val="2"/>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rFonts w:ascii="Arial" w:cs="Arial" w:eastAsia="Arial" w:hAnsi="Arial"/>
          <w:sz w:val="18"/>
          <w:szCs w:val="18"/>
          <w:color w:val="auto"/>
        </w:rPr>
      </w:pPr>
    </w:p>
    <w:p>
      <w:pPr>
        <w:ind w:left="585" w:hanging="427"/>
        <w:spacing w:after="0"/>
        <w:tabs>
          <w:tab w:leader="none" w:pos="58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49" w:lineRule="exact"/>
        <w:rPr>
          <w:rFonts w:ascii="Arial" w:cs="Arial" w:eastAsia="Arial" w:hAnsi="Arial"/>
          <w:sz w:val="18"/>
          <w:szCs w:val="18"/>
          <w:color w:val="auto"/>
        </w:rPr>
      </w:pPr>
    </w:p>
    <w:p>
      <w:pPr>
        <w:ind w:left="585" w:hanging="427"/>
        <w:spacing w:after="0" w:line="186" w:lineRule="auto"/>
        <w:tabs>
          <w:tab w:leader="none" w:pos="585" w:val="left"/>
        </w:tabs>
        <w:numPr>
          <w:ilvl w:val="0"/>
          <w:numId w:val="3"/>
        </w:numPr>
        <w:rPr>
          <w:rFonts w:ascii="Arial" w:cs="Arial" w:eastAsia="Arial" w:hAnsi="Arial"/>
          <w:sz w:val="31"/>
          <w:szCs w:val="31"/>
          <w:color w:val="auto"/>
          <w:vertAlign w:val="subscript"/>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5" w:lineRule="exact"/>
        <w:rPr>
          <w:rFonts w:ascii="Arial" w:cs="Arial" w:eastAsia="Arial" w:hAnsi="Arial"/>
          <w:sz w:val="31"/>
          <w:szCs w:val="31"/>
          <w:color w:val="auto"/>
          <w:vertAlign w:val="subscript"/>
        </w:rPr>
      </w:pPr>
    </w:p>
    <w:p>
      <w:pPr>
        <w:ind w:left="1045" w:hanging="572"/>
        <w:spacing w:after="0"/>
        <w:tabs>
          <w:tab w:leader="none" w:pos="1045"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1045" w:hanging="572"/>
        <w:spacing w:after="0"/>
        <w:tabs>
          <w:tab w:leader="none" w:pos="1045"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045" w:hanging="572"/>
        <w:spacing w:after="0"/>
        <w:tabs>
          <w:tab w:leader="none" w:pos="1045"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045" w:hanging="572"/>
        <w:spacing w:after="0"/>
        <w:tabs>
          <w:tab w:leader="none" w:pos="1045"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wp:posOffset>
            </wp:positionH>
            <wp:positionV relativeFrom="paragraph">
              <wp:posOffset>-1219200</wp:posOffset>
            </wp:positionV>
            <wp:extent cx="6517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-1390650</wp:posOffset>
            </wp:positionV>
            <wp:extent cx="6517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-1562100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-1862455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-2033905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14605</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-156210</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-327660</wp:posOffset>
            </wp:positionV>
            <wp:extent cx="6586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-499110</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225"/>
          </w:cols>
          <w:pgMar w:left="275" w:top="283" w:right="39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1143635</wp:posOffset>
            </wp:positionH>
            <wp:positionV relativeFrom="page">
              <wp:posOffset>2078355</wp:posOffset>
            </wp:positionV>
            <wp:extent cx="5093970" cy="2229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93970"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2720"/>
        <w:spacing w:after="0" w:line="255" w:lineRule="auto"/>
        <w:rPr>
          <w:sz w:val="20"/>
          <w:szCs w:val="20"/>
          <w:color w:val="auto"/>
        </w:rPr>
      </w:pPr>
      <w:r>
        <w:rPr>
          <w:rFonts w:ascii="Arial" w:cs="Arial" w:eastAsia="Arial" w:hAnsi="Arial"/>
          <w:sz w:val="58"/>
          <w:szCs w:val="58"/>
          <w:b w:val="1"/>
          <w:bCs w:val="1"/>
          <w:color w:val="003B71"/>
        </w:rPr>
        <w:t>Notice of Annual Meeting of Stockholders &amp; 2017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003B71"/>
        </w:rPr>
        <w:t>Member FINRA/SIPC</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252525"/>
        </w:rPr>
        <w:drawing>
          <wp:anchor simplePos="0" relativeHeight="251657728" behindDoc="1" locked="0" layoutInCell="0" allowOverlap="1">
            <wp:simplePos x="0" y="0"/>
            <wp:positionH relativeFrom="page">
              <wp:posOffset>157480</wp:posOffset>
            </wp:positionH>
            <wp:positionV relativeFrom="page">
              <wp:posOffset>243205</wp:posOffset>
            </wp:positionV>
            <wp:extent cx="173228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32280" cy="308610"/>
                    </a:xfrm>
                    <a:prstGeom prst="rect">
                      <a:avLst/>
                    </a:prstGeom>
                    <a:noFill/>
                  </pic:spPr>
                </pic:pic>
              </a:graphicData>
            </a:graphic>
          </wp:anchor>
        </w:drawing>
        <w:t>75 State Street, Boston, MA 02109-1827</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April 11, 2017</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It is my pleasure to invite you to attend the 2017 Annual Meeting of Stockholders of LPL Financial Holdings Inc. The meeting will be held on Wednesday, May 17, 2017, at 12:00 p.m., local time, at our offices located at 75 State Street, Boston, Massachusetts 02109. Holders of record of our common stock as of March 20, 2017 are entitled to notice of and to vote at the 2017 Annual Meeting.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Notice of Annual Meeting of Stockholders and the proxy statement that follow describe the business to be conducted at the meeting.</w:t>
      </w:r>
    </w:p>
    <w:p>
      <w:pPr>
        <w:spacing w:after="0" w:line="117"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If you were a stockholder of record as of March 20, 2017, you will receive a printed copy of the proxy card by mail, and you may mark, date, sign, and mail the proxy card in the envelope provided, or vote over the Internet or by telephone. You will find voting instructions in the proxy statement and on the proxy card.</w:t>
      </w:r>
    </w:p>
    <w:p>
      <w:pPr>
        <w:spacing w:after="0" w:line="18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00467D"/>
        </w:rPr>
        <w:t>YOUR VOTE IS VERY IMPORTANT. PLEASE SUBMIT YOUR PROXY OR VOTING INSTRUCTIONS AS SOON AS POSSIBLE, WHETHER OR NOT YOU PLAN TO ATTEND THE ANNUAL MEETING.</w:t>
      </w:r>
    </w:p>
    <w:p>
      <w:pPr>
        <w:spacing w:after="0" w:line="283"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252525"/>
        </w:rPr>
        <w:t>You are welcome to attend the annual meeting. However, even if you plan to attend, please vote your shares promptly to ensure they are represented at the meeting. If you decide to attend the meeting and wish to change your proxy, you may do so automatically by voting in person at the meeting.</w:t>
      </w:r>
    </w:p>
    <w:p>
      <w:pPr>
        <w:spacing w:after="0" w:line="202"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252525"/>
        </w:rPr>
        <w:t>We ask you to RSVP if you intend to attend the annual meeting. Please refer to page 1 of the accompanying proxy statement for further information concerning attendance at the annual meeting.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252525"/>
        </w:rPr>
        <w:t>On behalf of the Board of Directors, I thank you for your continued support of LPL Financial Holdings Inc.</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100965</wp:posOffset>
            </wp:positionV>
            <wp:extent cx="1620520"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052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James S. Putnam</w:t>
      </w:r>
    </w:p>
    <w:p>
      <w:pPr>
        <w:ind w:left="6680"/>
        <w:spacing w:after="0"/>
        <w:rPr>
          <w:sz w:val="20"/>
          <w:szCs w:val="20"/>
          <w:color w:val="auto"/>
        </w:rPr>
      </w:pPr>
      <w:r>
        <w:rPr>
          <w:rFonts w:ascii="Arial" w:cs="Arial" w:eastAsia="Arial" w:hAnsi="Arial"/>
          <w:sz w:val="18"/>
          <w:szCs w:val="18"/>
          <w:i w:val="1"/>
          <w:iCs w:val="1"/>
          <w:color w:val="auto"/>
        </w:rPr>
        <w:t>Chair</w:t>
      </w:r>
    </w:p>
    <w:p>
      <w:pPr>
        <w:sectPr>
          <w:pgSz w:w="11900" w:h="16838" w:orient="portrait"/>
          <w:cols w:equalWidth="0" w:num="1">
            <w:col w:w="11360"/>
          </w:cols>
          <w:pgMar w:left="240" w:top="911" w:right="2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color w:val="252525"/>
        </w:rPr>
        <w:drawing>
          <wp:anchor simplePos="0" relativeHeight="251657728" behindDoc="1" locked="0" layoutInCell="0" allowOverlap="1">
            <wp:simplePos x="0" y="0"/>
            <wp:positionH relativeFrom="page">
              <wp:posOffset>2481580</wp:posOffset>
            </wp:positionH>
            <wp:positionV relativeFrom="page">
              <wp:posOffset>277495</wp:posOffset>
            </wp:positionV>
            <wp:extent cx="2607310"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607310" cy="462915"/>
                    </a:xfrm>
                    <a:prstGeom prst="rect">
                      <a:avLst/>
                    </a:prstGeom>
                    <a:noFill/>
                  </pic:spPr>
                </pic:pic>
              </a:graphicData>
            </a:graphic>
          </wp:anchor>
        </w:drawing>
        <w:t>75 State Street, Boston, MA 02109-1827</w:t>
      </w:r>
    </w:p>
    <w:p>
      <w:pPr>
        <w:spacing w:after="0" w:line="88" w:lineRule="exact"/>
        <w:rPr>
          <w:sz w:val="20"/>
          <w:szCs w:val="20"/>
          <w:color w:val="auto"/>
        </w:rPr>
      </w:pPr>
    </w:p>
    <w:p>
      <w:pPr>
        <w:jc w:val="center"/>
        <w:ind w:right="-79"/>
        <w:spacing w:after="0"/>
        <w:rPr>
          <w:sz w:val="20"/>
          <w:szCs w:val="20"/>
          <w:color w:val="auto"/>
        </w:rPr>
      </w:pPr>
      <w:r>
        <w:rPr>
          <w:rFonts w:ascii="Arial" w:cs="Arial" w:eastAsia="Arial" w:hAnsi="Arial"/>
          <w:sz w:val="23"/>
          <w:szCs w:val="23"/>
          <w:b w:val="1"/>
          <w:bCs w:val="1"/>
          <w:color w:val="336699"/>
        </w:rPr>
        <w:t>Notice of Annual Meeting of Stockholders</w:t>
      </w:r>
    </w:p>
    <w:p>
      <w:pPr>
        <w:spacing w:after="0" w:line="200" w:lineRule="exact"/>
        <w:rPr>
          <w:sz w:val="20"/>
          <w:szCs w:val="20"/>
          <w:color w:val="auto"/>
        </w:rPr>
      </w:pPr>
    </w:p>
    <w:p>
      <w:pPr>
        <w:spacing w:after="0" w:line="252"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8"/>
          <w:szCs w:val="18"/>
          <w:b w:val="1"/>
          <w:bCs w:val="1"/>
          <w:color w:val="336699"/>
        </w:rPr>
        <w:t>Time and Date</w:t>
      </w:r>
      <w:r>
        <w:rPr>
          <w:sz w:val="20"/>
          <w:szCs w:val="20"/>
          <w:color w:val="auto"/>
        </w:rPr>
        <w:tab/>
      </w:r>
      <w:r>
        <w:rPr>
          <w:rFonts w:ascii="Arial" w:cs="Arial" w:eastAsia="Arial" w:hAnsi="Arial"/>
          <w:sz w:val="17"/>
          <w:szCs w:val="17"/>
          <w:color w:val="auto"/>
        </w:rPr>
        <w:t>12:00 p.m., local time, on Wednesday, May 17, 2017</w:t>
      </w:r>
    </w:p>
    <w:p>
      <w:pPr>
        <w:spacing w:after="0" w:line="342"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8"/>
          <w:szCs w:val="18"/>
          <w:b w:val="1"/>
          <w:bCs w:val="1"/>
          <w:color w:val="336699"/>
        </w:rPr>
        <w:t>Location</w:t>
      </w:r>
      <w:r>
        <w:rPr>
          <w:sz w:val="20"/>
          <w:szCs w:val="20"/>
          <w:color w:val="auto"/>
        </w:rPr>
        <w:tab/>
      </w:r>
      <w:r>
        <w:rPr>
          <w:rFonts w:ascii="Arial" w:cs="Arial" w:eastAsia="Arial" w:hAnsi="Arial"/>
          <w:sz w:val="18"/>
          <w:szCs w:val="18"/>
          <w:color w:val="auto"/>
        </w:rPr>
        <w:t>LPL Financial Holdings Inc.</w:t>
      </w:r>
    </w:p>
    <w:p>
      <w:pPr>
        <w:spacing w:after="0" w:line="18"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75 State Street</w:t>
      </w:r>
    </w:p>
    <w:p>
      <w:pPr>
        <w:ind w:left="2840"/>
        <w:spacing w:after="0"/>
        <w:rPr>
          <w:sz w:val="20"/>
          <w:szCs w:val="20"/>
          <w:color w:val="auto"/>
        </w:rPr>
      </w:pPr>
      <w:r>
        <w:rPr>
          <w:rFonts w:ascii="Arial" w:cs="Arial" w:eastAsia="Arial" w:hAnsi="Arial"/>
          <w:sz w:val="18"/>
          <w:szCs w:val="18"/>
          <w:color w:val="auto"/>
        </w:rPr>
        <w:t>Boston, Massachusetts 02109</w:t>
      </w:r>
    </w:p>
    <w:p>
      <w:pPr>
        <w:sectPr>
          <w:pgSz w:w="11900" w:h="16838" w:orient="portrait"/>
          <w:cols w:equalWidth="0" w:num="1">
            <w:col w:w="11360"/>
          </w:cols>
          <w:pgMar w:left="240" w:top="1276" w:right="299" w:bottom="1440" w:gutter="0" w:footer="0" w:header="0"/>
        </w:sectPr>
      </w:pP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336699"/>
        </w:rPr>
        <w:t>Items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336699"/>
        </w:rPr>
        <w:t>Record Date</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320" w:right="560" w:hanging="316"/>
        <w:spacing w:after="0" w:line="246" w:lineRule="auto"/>
        <w:tabs>
          <w:tab w:leader="none" w:pos="266"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 the nine nominees named in the proxy statement to the Board of Directors of LPL Financial Holdings Inc. (the “Company”);</w:t>
      </w:r>
    </w:p>
    <w:p>
      <w:pPr>
        <w:spacing w:after="0" w:line="88" w:lineRule="exact"/>
        <w:rPr>
          <w:rFonts w:ascii="Arial" w:cs="Arial" w:eastAsia="Arial" w:hAnsi="Arial"/>
          <w:sz w:val="18"/>
          <w:szCs w:val="18"/>
          <w:color w:val="auto"/>
        </w:rPr>
      </w:pPr>
    </w:p>
    <w:p>
      <w:pPr>
        <w:ind w:left="320" w:right="120" w:hanging="316"/>
        <w:spacing w:after="0"/>
        <w:tabs>
          <w:tab w:leader="none" w:pos="266"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Ratify the appointment of Deloitte &amp; Touche LLP by the Audit Committee of the Board of Directors as the Company’s independent registered public accounting firm for the fiscal year ending December 31, 2017;</w:t>
      </w:r>
    </w:p>
    <w:p>
      <w:pPr>
        <w:spacing w:after="0" w:line="94" w:lineRule="exact"/>
        <w:rPr>
          <w:rFonts w:ascii="Arial" w:cs="Arial" w:eastAsia="Arial" w:hAnsi="Arial"/>
          <w:sz w:val="18"/>
          <w:szCs w:val="18"/>
          <w:color w:val="auto"/>
        </w:rPr>
      </w:pPr>
    </w:p>
    <w:p>
      <w:pPr>
        <w:ind w:left="280" w:hanging="276"/>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Hold an advisory vote on executive compensation;</w:t>
      </w:r>
    </w:p>
    <w:p>
      <w:pPr>
        <w:spacing w:after="0" w:line="103" w:lineRule="exact"/>
        <w:rPr>
          <w:rFonts w:ascii="Arial" w:cs="Arial" w:eastAsia="Arial" w:hAnsi="Arial"/>
          <w:sz w:val="18"/>
          <w:szCs w:val="18"/>
          <w:color w:val="auto"/>
        </w:rPr>
      </w:pPr>
    </w:p>
    <w:p>
      <w:pPr>
        <w:ind w:left="280" w:hanging="276"/>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Hold an advisory vote on the frequency of future executive compensation advisory votes; and</w:t>
      </w:r>
    </w:p>
    <w:p>
      <w:pPr>
        <w:spacing w:after="0" w:line="103" w:lineRule="exact"/>
        <w:rPr>
          <w:rFonts w:ascii="Arial" w:cs="Arial" w:eastAsia="Arial" w:hAnsi="Arial"/>
          <w:sz w:val="18"/>
          <w:szCs w:val="18"/>
          <w:color w:val="auto"/>
        </w:rPr>
      </w:pPr>
    </w:p>
    <w:p>
      <w:pPr>
        <w:ind w:left="320" w:right="760" w:hanging="316"/>
        <w:spacing w:after="0" w:line="246" w:lineRule="auto"/>
        <w:tabs>
          <w:tab w:leader="none" w:pos="266"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Consider and act upon any other business properly coming before the 2017 annual meeting of stockholders (the “Annual Meeting”) and at any adjournment or postponement thereof.</w:t>
      </w:r>
    </w:p>
    <w:p>
      <w:pPr>
        <w:spacing w:after="0" w:line="31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Stockholders of record as of 5:00 p.m. Eastern Time on March 20, 2017 (the “Record Date”) will be entitled to vote at the Annual Meeting and any postponements or adjournments thereof.</w:t>
      </w:r>
    </w:p>
    <w:p>
      <w:pPr>
        <w:spacing w:after="0" w:line="116" w:lineRule="exact"/>
        <w:rPr>
          <w:sz w:val="20"/>
          <w:szCs w:val="20"/>
          <w:color w:val="auto"/>
        </w:rPr>
      </w:pPr>
    </w:p>
    <w:p>
      <w:pPr>
        <w:sectPr>
          <w:pgSz w:w="11900" w:h="16838" w:orient="portrait"/>
          <w:cols w:equalWidth="0" w:num="2">
            <w:col w:w="2120" w:space="720"/>
            <w:col w:w="8520"/>
          </w:cols>
          <w:pgMar w:left="240" w:top="1276" w:right="299" w:bottom="1440" w:gutter="0" w:footer="0" w:header="0"/>
          <w:type w:val="continuous"/>
        </w:sectPr>
      </w:pPr>
    </w:p>
    <w:p>
      <w:pPr>
        <w:ind w:right="140"/>
        <w:spacing w:after="0" w:line="262" w:lineRule="auto"/>
        <w:rPr>
          <w:sz w:val="20"/>
          <w:szCs w:val="20"/>
          <w:color w:val="auto"/>
        </w:rPr>
      </w:pPr>
      <w:r>
        <w:rPr>
          <w:rFonts w:ascii="Arial" w:cs="Arial" w:eastAsia="Arial" w:hAnsi="Arial"/>
          <w:sz w:val="18"/>
          <w:szCs w:val="18"/>
          <w:color w:val="252525"/>
        </w:rPr>
        <w:t>Information relating to the matters to be considered and voted on at the Annual Meeting is set forth in the proxy statement accompanying this Notice.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252525"/>
        </w:rPr>
        <w:t>Cameras and electronic recording devices are not permitted at the Annual Meeting.</w:t>
      </w:r>
    </w:p>
    <w:p>
      <w:pPr>
        <w:spacing w:after="0" w:line="203"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YOUR VOTE IS IMPORTANT. WHETHER OR NOT YOU PLAN TO ATTEND THE MEETING, PLEASE SUBMIT YOUR PROXY BY FOLLOWING THE INSTRUCTIONS SET FORTH IN THE FOLLOWING MATERIALS. YOU MAY VOTE YOUR SHARES AND SUBMIT A PROXY THROUGH THE INTERNET OR BY TELEPHONE AS DESCRIBED HEREIN OR BY SIGNING AND RETURNING A PROXY CARD.</w:t>
      </w:r>
    </w:p>
    <w:p>
      <w:pPr>
        <w:spacing w:after="0" w:line="13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66040</wp:posOffset>
            </wp:positionV>
            <wp:extent cx="934720" cy="720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472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Gregory M. Woods</w:t>
      </w:r>
    </w:p>
    <w:p>
      <w:pPr>
        <w:ind w:left="7160"/>
        <w:spacing w:after="0"/>
        <w:rPr>
          <w:sz w:val="20"/>
          <w:szCs w:val="20"/>
          <w:color w:val="auto"/>
        </w:rPr>
      </w:pPr>
      <w:r>
        <w:rPr>
          <w:rFonts w:ascii="Arial" w:cs="Arial" w:eastAsia="Arial" w:hAnsi="Arial"/>
          <w:sz w:val="18"/>
          <w:szCs w:val="18"/>
          <w:i w:val="1"/>
          <w:iCs w:val="1"/>
          <w:color w:val="auto"/>
        </w:rPr>
        <w:t>Secretary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52525"/>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11, 2017</w:t>
      </w:r>
    </w:p>
    <w:p>
      <w:pPr>
        <w:spacing w:after="0" w:line="9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color w:val="auto"/>
        </w:rPr>
        <w:t>THE PROXY STATEMENT AND THE FORM OF PROXY ARE FIRST BEING SENT OR GIVEN TO STOCKHOLDERS ON OR ABOUT APRIL 17, 2017.</w:t>
      </w:r>
    </w:p>
    <w:p>
      <w:pPr>
        <w:spacing w:after="0" w:line="45"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MAY 17, 2017: THE PROXY STATEMENT, THE PROXY CARD, AND LPL FINANCIAL HOLDINGS INC.’S 2016 ANNUAL REPORT ON FORM 10-K ARE AVAILABLE AT WWW.LPL.COM.</w:t>
      </w:r>
    </w:p>
    <w:p>
      <w:pPr>
        <w:sectPr>
          <w:pgSz w:w="11900" w:h="16838" w:orient="portrait"/>
          <w:cols w:equalWidth="0" w:num="1">
            <w:col w:w="11360"/>
          </w:cols>
          <w:pgMar w:left="240" w:top="1276" w:right="29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3"/>
          <w:szCs w:val="23"/>
          <w:b w:val="1"/>
          <w:bCs w:val="1"/>
          <w:color w:val="336699"/>
        </w:rPr>
        <w:t>Proxy Statement Summary</w:t>
      </w:r>
    </w:p>
    <w:p>
      <w:pPr>
        <w:spacing w:after="0" w:line="11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of the information that you should consider, and you should read the entire proxy statement carefully before voting.</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336699"/>
        </w:rPr>
        <w:t>2017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780" w:type="dxa"/>
            <w:vAlign w:val="bottom"/>
          </w:tcPr>
          <w:p>
            <w:pPr>
              <w:ind w:left="40"/>
              <w:spacing w:after="0"/>
              <w:rPr>
                <w:sz w:val="20"/>
                <w:szCs w:val="20"/>
                <w:color w:val="auto"/>
              </w:rPr>
            </w:pPr>
            <w:r>
              <w:rPr>
                <w:rFonts w:ascii="Arial" w:cs="Arial" w:eastAsia="Arial" w:hAnsi="Arial"/>
                <w:sz w:val="18"/>
                <w:szCs w:val="18"/>
                <w:b w:val="1"/>
                <w:bCs w:val="1"/>
                <w:color w:val="336699"/>
              </w:rPr>
              <w:t>Time and Date</w:t>
            </w:r>
          </w:p>
        </w:tc>
        <w:tc>
          <w:tcPr>
            <w:tcW w:w="9640" w:type="dxa"/>
            <w:vAlign w:val="bottom"/>
          </w:tcPr>
          <w:p>
            <w:pPr>
              <w:ind w:left="540"/>
              <w:spacing w:after="0"/>
              <w:rPr>
                <w:sz w:val="20"/>
                <w:szCs w:val="20"/>
                <w:color w:val="auto"/>
              </w:rPr>
            </w:pPr>
            <w:r>
              <w:rPr>
                <w:rFonts w:ascii="Arial" w:cs="Arial" w:eastAsia="Arial" w:hAnsi="Arial"/>
                <w:sz w:val="18"/>
                <w:szCs w:val="18"/>
                <w:color w:val="auto"/>
              </w:rPr>
              <w:t>12:00 p.m., local time, on Wednesday, May 17, 2017</w:t>
            </w:r>
          </w:p>
        </w:tc>
      </w:tr>
      <w:tr>
        <w:trPr>
          <w:trHeight w:val="472"/>
        </w:trPr>
        <w:tc>
          <w:tcPr>
            <w:tcW w:w="1780" w:type="dxa"/>
            <w:vAlign w:val="bottom"/>
          </w:tcPr>
          <w:p>
            <w:pPr>
              <w:ind w:left="40"/>
              <w:spacing w:after="0"/>
              <w:rPr>
                <w:sz w:val="20"/>
                <w:szCs w:val="20"/>
                <w:color w:val="auto"/>
              </w:rPr>
            </w:pPr>
            <w:r>
              <w:rPr>
                <w:rFonts w:ascii="Arial" w:cs="Arial" w:eastAsia="Arial" w:hAnsi="Arial"/>
                <w:sz w:val="18"/>
                <w:szCs w:val="18"/>
                <w:b w:val="1"/>
                <w:bCs w:val="1"/>
                <w:color w:val="336699"/>
              </w:rPr>
              <w:t>Location</w:t>
            </w:r>
          </w:p>
        </w:tc>
        <w:tc>
          <w:tcPr>
            <w:tcW w:w="9640" w:type="dxa"/>
            <w:vAlign w:val="bottom"/>
          </w:tcPr>
          <w:p>
            <w:pPr>
              <w:ind w:left="540"/>
              <w:spacing w:after="0"/>
              <w:rPr>
                <w:sz w:val="20"/>
                <w:szCs w:val="20"/>
                <w:color w:val="auto"/>
              </w:rPr>
            </w:pPr>
            <w:r>
              <w:rPr>
                <w:rFonts w:ascii="Arial" w:cs="Arial" w:eastAsia="Arial" w:hAnsi="Arial"/>
                <w:sz w:val="18"/>
                <w:szCs w:val="18"/>
                <w:color w:val="252525"/>
              </w:rPr>
              <w:t>LPL Financial Holdings Inc. (the “Company”)</w:t>
            </w:r>
          </w:p>
        </w:tc>
      </w:tr>
      <w:tr>
        <w:trPr>
          <w:trHeight w:val="203"/>
        </w:trPr>
        <w:tc>
          <w:tcPr>
            <w:tcW w:w="1780" w:type="dxa"/>
            <w:vAlign w:val="bottom"/>
          </w:tcPr>
          <w:p>
            <w:pPr>
              <w:spacing w:after="0"/>
              <w:rPr>
                <w:sz w:val="17"/>
                <w:szCs w:val="17"/>
                <w:color w:val="auto"/>
              </w:rPr>
            </w:pPr>
          </w:p>
        </w:tc>
        <w:tc>
          <w:tcPr>
            <w:tcW w:w="9640" w:type="dxa"/>
            <w:vAlign w:val="bottom"/>
          </w:tcPr>
          <w:p>
            <w:pPr>
              <w:ind w:left="540"/>
              <w:spacing w:after="0" w:line="202" w:lineRule="exact"/>
              <w:rPr>
                <w:sz w:val="20"/>
                <w:szCs w:val="20"/>
                <w:color w:val="auto"/>
              </w:rPr>
            </w:pPr>
            <w:r>
              <w:rPr>
                <w:rFonts w:ascii="Arial" w:cs="Arial" w:eastAsia="Arial" w:hAnsi="Arial"/>
                <w:sz w:val="18"/>
                <w:szCs w:val="18"/>
                <w:color w:val="252525"/>
              </w:rPr>
              <w:t>75 State Street</w:t>
            </w:r>
          </w:p>
        </w:tc>
      </w:tr>
      <w:tr>
        <w:trPr>
          <w:trHeight w:val="217"/>
        </w:trPr>
        <w:tc>
          <w:tcPr>
            <w:tcW w:w="1780" w:type="dxa"/>
            <w:vAlign w:val="bottom"/>
          </w:tcPr>
          <w:p>
            <w:pPr>
              <w:spacing w:after="0"/>
              <w:rPr>
                <w:sz w:val="18"/>
                <w:szCs w:val="18"/>
                <w:color w:val="auto"/>
              </w:rPr>
            </w:pPr>
          </w:p>
        </w:tc>
        <w:tc>
          <w:tcPr>
            <w:tcW w:w="9640" w:type="dxa"/>
            <w:vAlign w:val="bottom"/>
          </w:tcPr>
          <w:p>
            <w:pPr>
              <w:ind w:left="540"/>
              <w:spacing w:after="0"/>
              <w:rPr>
                <w:sz w:val="20"/>
                <w:szCs w:val="20"/>
                <w:color w:val="auto"/>
              </w:rPr>
            </w:pPr>
            <w:r>
              <w:rPr>
                <w:rFonts w:ascii="Arial" w:cs="Arial" w:eastAsia="Arial" w:hAnsi="Arial"/>
                <w:sz w:val="18"/>
                <w:szCs w:val="18"/>
                <w:color w:val="252525"/>
              </w:rPr>
              <w:t>Boston, Massachusetts 02109</w:t>
            </w:r>
          </w:p>
        </w:tc>
      </w:tr>
      <w:tr>
        <w:trPr>
          <w:trHeight w:val="486"/>
        </w:trPr>
        <w:tc>
          <w:tcPr>
            <w:tcW w:w="1780" w:type="dxa"/>
            <w:vAlign w:val="bottom"/>
          </w:tcPr>
          <w:p>
            <w:pPr>
              <w:ind w:left="40"/>
              <w:spacing w:after="0"/>
              <w:rPr>
                <w:sz w:val="20"/>
                <w:szCs w:val="20"/>
                <w:color w:val="auto"/>
              </w:rPr>
            </w:pPr>
            <w:r>
              <w:rPr>
                <w:rFonts w:ascii="Arial" w:cs="Arial" w:eastAsia="Arial" w:hAnsi="Arial"/>
                <w:sz w:val="18"/>
                <w:szCs w:val="18"/>
                <w:b w:val="1"/>
                <w:bCs w:val="1"/>
                <w:color w:val="336699"/>
              </w:rPr>
              <w:t>Record Date</w:t>
            </w:r>
          </w:p>
        </w:tc>
        <w:tc>
          <w:tcPr>
            <w:tcW w:w="9640" w:type="dxa"/>
            <w:vAlign w:val="bottom"/>
          </w:tcPr>
          <w:p>
            <w:pPr>
              <w:ind w:left="540"/>
              <w:spacing w:after="0"/>
              <w:rPr>
                <w:sz w:val="20"/>
                <w:szCs w:val="20"/>
                <w:color w:val="auto"/>
              </w:rPr>
            </w:pPr>
            <w:r>
              <w:rPr>
                <w:rFonts w:ascii="Arial" w:cs="Arial" w:eastAsia="Arial" w:hAnsi="Arial"/>
                <w:sz w:val="18"/>
                <w:szCs w:val="18"/>
                <w:color w:val="auto"/>
              </w:rPr>
              <w:t>5:00 p.m. Eastern Time on March 20, 2017</w:t>
            </w:r>
          </w:p>
        </w:tc>
      </w:tr>
      <w:tr>
        <w:trPr>
          <w:trHeight w:val="472"/>
        </w:trPr>
        <w:tc>
          <w:tcPr>
            <w:tcW w:w="1780" w:type="dxa"/>
            <w:vAlign w:val="bottom"/>
          </w:tcPr>
          <w:p>
            <w:pPr>
              <w:ind w:left="40"/>
              <w:spacing w:after="0"/>
              <w:rPr>
                <w:sz w:val="20"/>
                <w:szCs w:val="20"/>
                <w:color w:val="auto"/>
              </w:rPr>
            </w:pPr>
            <w:r>
              <w:rPr>
                <w:rFonts w:ascii="Arial" w:cs="Arial" w:eastAsia="Arial" w:hAnsi="Arial"/>
                <w:sz w:val="18"/>
                <w:szCs w:val="18"/>
                <w:b w:val="1"/>
                <w:bCs w:val="1"/>
                <w:color w:val="336699"/>
              </w:rPr>
              <w:t>Voting</w:t>
            </w:r>
          </w:p>
        </w:tc>
        <w:tc>
          <w:tcPr>
            <w:tcW w:w="9640" w:type="dxa"/>
            <w:vAlign w:val="bottom"/>
          </w:tcPr>
          <w:p>
            <w:pPr>
              <w:ind w:left="540"/>
              <w:spacing w:after="0"/>
              <w:rPr>
                <w:sz w:val="20"/>
                <w:szCs w:val="20"/>
                <w:color w:val="auto"/>
              </w:rPr>
            </w:pPr>
            <w:r>
              <w:rPr>
                <w:rFonts w:ascii="Arial" w:cs="Arial" w:eastAsia="Arial" w:hAnsi="Arial"/>
                <w:sz w:val="18"/>
                <w:szCs w:val="18"/>
                <w:color w:val="252525"/>
              </w:rPr>
              <w:t>Shareholders as of the Record Date are entitled to one vote per share on each matter to be voted upon at the</w:t>
            </w:r>
          </w:p>
        </w:tc>
      </w:tr>
      <w:tr>
        <w:trPr>
          <w:trHeight w:val="217"/>
        </w:trPr>
        <w:tc>
          <w:tcPr>
            <w:tcW w:w="1780" w:type="dxa"/>
            <w:vAlign w:val="bottom"/>
          </w:tcPr>
          <w:p>
            <w:pPr>
              <w:spacing w:after="0"/>
              <w:rPr>
                <w:sz w:val="18"/>
                <w:szCs w:val="18"/>
                <w:color w:val="auto"/>
              </w:rPr>
            </w:pPr>
          </w:p>
        </w:tc>
        <w:tc>
          <w:tcPr>
            <w:tcW w:w="9640" w:type="dxa"/>
            <w:vAlign w:val="bottom"/>
          </w:tcPr>
          <w:p>
            <w:pPr>
              <w:ind w:left="540"/>
              <w:spacing w:after="0"/>
              <w:rPr>
                <w:sz w:val="20"/>
                <w:szCs w:val="20"/>
                <w:color w:val="auto"/>
              </w:rPr>
            </w:pPr>
            <w:r>
              <w:rPr>
                <w:rFonts w:ascii="Arial" w:cs="Arial" w:eastAsia="Arial" w:hAnsi="Arial"/>
                <w:sz w:val="18"/>
                <w:szCs w:val="18"/>
                <w:color w:val="252525"/>
              </w:rPr>
              <w:t>Annual Meeting.</w:t>
            </w:r>
          </w:p>
        </w:tc>
      </w:tr>
      <w:tr>
        <w:trPr>
          <w:trHeight w:val="472"/>
        </w:trPr>
        <w:tc>
          <w:tcPr>
            <w:tcW w:w="1780" w:type="dxa"/>
            <w:vAlign w:val="bottom"/>
          </w:tcPr>
          <w:p>
            <w:pPr>
              <w:ind w:left="40"/>
              <w:spacing w:after="0"/>
              <w:rPr>
                <w:sz w:val="20"/>
                <w:szCs w:val="20"/>
                <w:color w:val="auto"/>
              </w:rPr>
            </w:pPr>
            <w:r>
              <w:rPr>
                <w:rFonts w:ascii="Arial" w:cs="Arial" w:eastAsia="Arial" w:hAnsi="Arial"/>
                <w:sz w:val="18"/>
                <w:szCs w:val="18"/>
                <w:b w:val="1"/>
                <w:bCs w:val="1"/>
                <w:color w:val="336699"/>
              </w:rPr>
              <w:t>Entry</w:t>
            </w:r>
          </w:p>
        </w:tc>
        <w:tc>
          <w:tcPr>
            <w:tcW w:w="9640" w:type="dxa"/>
            <w:vAlign w:val="bottom"/>
          </w:tcPr>
          <w:p>
            <w:pPr>
              <w:ind w:left="540"/>
              <w:spacing w:after="0"/>
              <w:rPr>
                <w:sz w:val="20"/>
                <w:szCs w:val="20"/>
                <w:color w:val="auto"/>
              </w:rPr>
            </w:pPr>
            <w:r>
              <w:rPr>
                <w:rFonts w:ascii="Arial" w:cs="Arial" w:eastAsia="Arial" w:hAnsi="Arial"/>
                <w:sz w:val="18"/>
                <w:szCs w:val="18"/>
                <w:color w:val="252525"/>
              </w:rPr>
              <w:t>Everyone attending the Annual Meeting will be required to present both proof of ownership of the Company’s</w:t>
            </w:r>
          </w:p>
        </w:tc>
      </w:tr>
      <w:tr>
        <w:trPr>
          <w:trHeight w:val="203"/>
        </w:trPr>
        <w:tc>
          <w:tcPr>
            <w:tcW w:w="1780" w:type="dxa"/>
            <w:vAlign w:val="bottom"/>
          </w:tcPr>
          <w:p>
            <w:pPr>
              <w:spacing w:after="0"/>
              <w:rPr>
                <w:sz w:val="17"/>
                <w:szCs w:val="17"/>
                <w:color w:val="auto"/>
              </w:rPr>
            </w:pPr>
          </w:p>
        </w:tc>
        <w:tc>
          <w:tcPr>
            <w:tcW w:w="9640" w:type="dxa"/>
            <w:vAlign w:val="bottom"/>
          </w:tcPr>
          <w:p>
            <w:pPr>
              <w:ind w:left="540"/>
              <w:spacing w:after="0" w:line="202" w:lineRule="exact"/>
              <w:rPr>
                <w:sz w:val="20"/>
                <w:szCs w:val="20"/>
                <w:color w:val="auto"/>
              </w:rPr>
            </w:pPr>
            <w:r>
              <w:rPr>
                <w:rFonts w:ascii="Arial" w:cs="Arial" w:eastAsia="Arial" w:hAnsi="Arial"/>
                <w:sz w:val="18"/>
                <w:szCs w:val="18"/>
                <w:color w:val="252525"/>
              </w:rPr>
              <w:t>common stock and valid picture identification, such as a driver’s license or passport. If your shares are held in the</w:t>
            </w:r>
          </w:p>
        </w:tc>
      </w:tr>
      <w:tr>
        <w:trPr>
          <w:trHeight w:val="203"/>
        </w:trPr>
        <w:tc>
          <w:tcPr>
            <w:tcW w:w="1780" w:type="dxa"/>
            <w:vAlign w:val="bottom"/>
          </w:tcPr>
          <w:p>
            <w:pPr>
              <w:spacing w:after="0"/>
              <w:rPr>
                <w:sz w:val="17"/>
                <w:szCs w:val="17"/>
                <w:color w:val="auto"/>
              </w:rPr>
            </w:pPr>
          </w:p>
        </w:tc>
        <w:tc>
          <w:tcPr>
            <w:tcW w:w="9640" w:type="dxa"/>
            <w:vAlign w:val="bottom"/>
          </w:tcPr>
          <w:p>
            <w:pPr>
              <w:ind w:left="540"/>
              <w:spacing w:after="0" w:line="202" w:lineRule="exact"/>
              <w:rPr>
                <w:sz w:val="20"/>
                <w:szCs w:val="20"/>
                <w:color w:val="auto"/>
              </w:rPr>
            </w:pPr>
            <w:r>
              <w:rPr>
                <w:rFonts w:ascii="Arial" w:cs="Arial" w:eastAsia="Arial" w:hAnsi="Arial"/>
                <w:sz w:val="18"/>
                <w:szCs w:val="18"/>
                <w:color w:val="252525"/>
              </w:rPr>
              <w:t>name of a bank, broker, or other holder of record, you will need a recent brokerage account statement or letter</w:t>
            </w:r>
          </w:p>
        </w:tc>
      </w:tr>
      <w:tr>
        <w:trPr>
          <w:trHeight w:val="203"/>
        </w:trPr>
        <w:tc>
          <w:tcPr>
            <w:tcW w:w="1780" w:type="dxa"/>
            <w:vAlign w:val="bottom"/>
          </w:tcPr>
          <w:p>
            <w:pPr>
              <w:spacing w:after="0"/>
              <w:rPr>
                <w:sz w:val="17"/>
                <w:szCs w:val="17"/>
                <w:color w:val="auto"/>
              </w:rPr>
            </w:pPr>
          </w:p>
        </w:tc>
        <w:tc>
          <w:tcPr>
            <w:tcW w:w="9640" w:type="dxa"/>
            <w:vAlign w:val="bottom"/>
          </w:tcPr>
          <w:p>
            <w:pPr>
              <w:ind w:left="540"/>
              <w:spacing w:after="0" w:line="202" w:lineRule="exact"/>
              <w:rPr>
                <w:sz w:val="20"/>
                <w:szCs w:val="20"/>
                <w:color w:val="auto"/>
              </w:rPr>
            </w:pPr>
            <w:r>
              <w:rPr>
                <w:rFonts w:ascii="Arial" w:cs="Arial" w:eastAsia="Arial" w:hAnsi="Arial"/>
                <w:sz w:val="18"/>
                <w:szCs w:val="18"/>
                <w:color w:val="252525"/>
              </w:rPr>
              <w:t>from your bank, broker, or other holder reflecting stock ownership as of the Record Date. If you do not have both</w:t>
            </w:r>
          </w:p>
        </w:tc>
      </w:tr>
      <w:tr>
        <w:trPr>
          <w:trHeight w:val="203"/>
        </w:trPr>
        <w:tc>
          <w:tcPr>
            <w:tcW w:w="1780" w:type="dxa"/>
            <w:vAlign w:val="bottom"/>
          </w:tcPr>
          <w:p>
            <w:pPr>
              <w:spacing w:after="0"/>
              <w:rPr>
                <w:sz w:val="17"/>
                <w:szCs w:val="17"/>
                <w:color w:val="auto"/>
              </w:rPr>
            </w:pPr>
          </w:p>
        </w:tc>
        <w:tc>
          <w:tcPr>
            <w:tcW w:w="9640" w:type="dxa"/>
            <w:vAlign w:val="bottom"/>
          </w:tcPr>
          <w:p>
            <w:pPr>
              <w:ind w:left="540"/>
              <w:spacing w:after="0" w:line="202" w:lineRule="exact"/>
              <w:rPr>
                <w:sz w:val="20"/>
                <w:szCs w:val="20"/>
                <w:color w:val="auto"/>
              </w:rPr>
            </w:pPr>
            <w:r>
              <w:rPr>
                <w:rFonts w:ascii="Arial" w:cs="Arial" w:eastAsia="Arial" w:hAnsi="Arial"/>
                <w:sz w:val="18"/>
                <w:szCs w:val="18"/>
                <w:color w:val="252525"/>
              </w:rPr>
              <w:t>proof of ownership of the Company’s common stock and valid picture identification, you may not be admitted to</w:t>
            </w:r>
          </w:p>
        </w:tc>
      </w:tr>
      <w:tr>
        <w:trPr>
          <w:trHeight w:val="217"/>
        </w:trPr>
        <w:tc>
          <w:tcPr>
            <w:tcW w:w="1780" w:type="dxa"/>
            <w:vAlign w:val="bottom"/>
          </w:tcPr>
          <w:p>
            <w:pPr>
              <w:spacing w:after="0"/>
              <w:rPr>
                <w:sz w:val="18"/>
                <w:szCs w:val="18"/>
                <w:color w:val="auto"/>
              </w:rPr>
            </w:pPr>
          </w:p>
        </w:tc>
        <w:tc>
          <w:tcPr>
            <w:tcW w:w="9640" w:type="dxa"/>
            <w:vAlign w:val="bottom"/>
          </w:tcPr>
          <w:p>
            <w:pPr>
              <w:ind w:left="540"/>
              <w:spacing w:after="0"/>
              <w:rPr>
                <w:sz w:val="20"/>
                <w:szCs w:val="20"/>
                <w:color w:val="auto"/>
              </w:rPr>
            </w:pPr>
            <w:r>
              <w:rPr>
                <w:rFonts w:ascii="Arial" w:cs="Arial" w:eastAsia="Arial" w:hAnsi="Arial"/>
                <w:sz w:val="18"/>
                <w:szCs w:val="18"/>
                <w:color w:val="252525"/>
              </w:rPr>
              <w:t>the Annual Meeting.</w:t>
            </w:r>
          </w:p>
        </w:tc>
      </w:tr>
      <w:tr>
        <w:trPr>
          <w:trHeight w:val="135"/>
        </w:trPr>
        <w:tc>
          <w:tcPr>
            <w:tcW w:w="1780" w:type="dxa"/>
            <w:vAlign w:val="bottom"/>
            <w:tcBorders>
              <w:bottom w:val="single" w:sz="8" w:color="336699"/>
            </w:tcBorders>
          </w:tcPr>
          <w:p>
            <w:pPr>
              <w:spacing w:after="0"/>
              <w:rPr>
                <w:sz w:val="11"/>
                <w:szCs w:val="11"/>
                <w:color w:val="auto"/>
              </w:rPr>
            </w:pPr>
          </w:p>
        </w:tc>
        <w:tc>
          <w:tcPr>
            <w:tcW w:w="9640" w:type="dxa"/>
            <w:vAlign w:val="bottom"/>
            <w:tcBorders>
              <w:bottom w:val="single" w:sz="8" w:color="336699"/>
            </w:tcBorders>
          </w:tcPr>
          <w:p>
            <w:pPr>
              <w:spacing w:after="0"/>
              <w:rPr>
                <w:sz w:val="11"/>
                <w:szCs w:val="1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336699"/>
        </w:rPr>
        <w:t>Voting Proposals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6920" w:type="dxa"/>
            <w:vAlign w:val="bottom"/>
            <w:tcBorders>
              <w:bottom w:val="single" w:sz="8" w:color="003E7E"/>
            </w:tcBorders>
          </w:tcPr>
          <w:p>
            <w:pPr>
              <w:ind w:left="20"/>
              <w:spacing w:after="0"/>
              <w:rPr>
                <w:sz w:val="20"/>
                <w:szCs w:val="20"/>
                <w:color w:val="auto"/>
              </w:rPr>
            </w:pPr>
            <w:r>
              <w:rPr>
                <w:rFonts w:ascii="Arial" w:cs="Arial" w:eastAsia="Arial" w:hAnsi="Arial"/>
                <w:sz w:val="18"/>
                <w:szCs w:val="18"/>
                <w:b w:val="1"/>
                <w:bCs w:val="1"/>
                <w:color w:val="336699"/>
              </w:rPr>
              <w:t>Proposal</w:t>
            </w:r>
          </w:p>
        </w:tc>
        <w:tc>
          <w:tcPr>
            <w:tcW w:w="2640" w:type="dxa"/>
            <w:vAlign w:val="bottom"/>
            <w:tcBorders>
              <w:bottom w:val="single" w:sz="8" w:color="003E7E"/>
            </w:tcBorders>
          </w:tcPr>
          <w:p>
            <w:pPr>
              <w:jc w:val="center"/>
              <w:spacing w:after="0"/>
              <w:rPr>
                <w:sz w:val="20"/>
                <w:szCs w:val="20"/>
                <w:color w:val="auto"/>
              </w:rPr>
            </w:pPr>
            <w:r>
              <w:rPr>
                <w:rFonts w:ascii="Arial" w:cs="Arial" w:eastAsia="Arial" w:hAnsi="Arial"/>
                <w:sz w:val="18"/>
                <w:szCs w:val="18"/>
                <w:b w:val="1"/>
                <w:bCs w:val="1"/>
                <w:color w:val="336699"/>
                <w:w w:val="99"/>
              </w:rPr>
              <w:t>Board Recommendation</w:t>
            </w:r>
          </w:p>
        </w:tc>
        <w:tc>
          <w:tcPr>
            <w:tcW w:w="1820" w:type="dxa"/>
            <w:vAlign w:val="bottom"/>
            <w:tcBorders>
              <w:bottom w:val="single" w:sz="8" w:color="003E7E"/>
            </w:tcBorders>
          </w:tcPr>
          <w:p>
            <w:pPr>
              <w:ind w:left="240"/>
              <w:spacing w:after="0"/>
              <w:rPr>
                <w:sz w:val="20"/>
                <w:szCs w:val="20"/>
                <w:color w:val="auto"/>
              </w:rPr>
            </w:pPr>
            <w:r>
              <w:rPr>
                <w:rFonts w:ascii="Arial" w:cs="Arial" w:eastAsia="Arial" w:hAnsi="Arial"/>
                <w:sz w:val="18"/>
                <w:szCs w:val="18"/>
                <w:b w:val="1"/>
                <w:bCs w:val="1"/>
                <w:color w:val="336699"/>
              </w:rPr>
              <w:t>Page Reference</w:t>
            </w:r>
          </w:p>
        </w:tc>
        <w:tc>
          <w:tcPr>
            <w:tcW w:w="0" w:type="dxa"/>
            <w:vAlign w:val="bottom"/>
          </w:tcPr>
          <w:p>
            <w:pPr>
              <w:spacing w:after="0"/>
              <w:rPr>
                <w:sz w:val="1"/>
                <w:szCs w:val="1"/>
                <w:color w:val="auto"/>
              </w:rPr>
            </w:pPr>
          </w:p>
        </w:tc>
      </w:tr>
      <w:tr>
        <w:trPr>
          <w:trHeight w:val="369"/>
        </w:trPr>
        <w:tc>
          <w:tcPr>
            <w:tcW w:w="6920" w:type="dxa"/>
            <w:vAlign w:val="bottom"/>
            <w:shd w:val="clear" w:color="auto" w:fill="CCFFFF"/>
          </w:tcPr>
          <w:p>
            <w:pPr>
              <w:ind w:left="20"/>
              <w:spacing w:after="0"/>
              <w:rPr>
                <w:sz w:val="20"/>
                <w:szCs w:val="20"/>
                <w:color w:val="auto"/>
              </w:rPr>
            </w:pPr>
            <w:r>
              <w:rPr>
                <w:rFonts w:ascii="Arial" w:cs="Arial" w:eastAsia="Arial" w:hAnsi="Arial"/>
                <w:sz w:val="18"/>
                <w:szCs w:val="18"/>
                <w:color w:val="auto"/>
              </w:rPr>
              <w:t>Proposal 1: Election of Directors</w:t>
            </w:r>
          </w:p>
        </w:tc>
        <w:tc>
          <w:tcPr>
            <w:tcW w:w="2640" w:type="dxa"/>
            <w:vAlign w:val="bottom"/>
            <w:shd w:val="clear" w:color="auto" w:fill="CCFFFF"/>
          </w:tcPr>
          <w:p>
            <w:pPr>
              <w:jc w:val="center"/>
              <w:spacing w:after="0"/>
              <w:rPr>
                <w:sz w:val="20"/>
                <w:szCs w:val="20"/>
                <w:color w:val="auto"/>
              </w:rPr>
            </w:pPr>
            <w:r>
              <w:rPr>
                <w:rFonts w:ascii="Arial" w:cs="Arial" w:eastAsia="Arial" w:hAnsi="Arial"/>
                <w:sz w:val="18"/>
                <w:szCs w:val="18"/>
                <w:color w:val="auto"/>
                <w:w w:val="99"/>
              </w:rPr>
              <w:t>FOR all nominees</w:t>
            </w:r>
          </w:p>
        </w:tc>
        <w:tc>
          <w:tcPr>
            <w:tcW w:w="1820" w:type="dxa"/>
            <w:vAlign w:val="bottom"/>
            <w:shd w:val="clear" w:color="auto" w:fill="CCFFFF"/>
          </w:tcPr>
          <w:p>
            <w:pPr>
              <w:jc w:val="center"/>
              <w:spacing w:after="0"/>
              <w:rPr>
                <w:rFonts w:ascii="Arial" w:cs="Arial" w:eastAsia="Arial" w:hAnsi="Arial"/>
                <w:sz w:val="20"/>
                <w:szCs w:val="20"/>
                <w:color w:val="336699"/>
              </w:rPr>
            </w:pPr>
            <w:hyperlink w:anchor="page12">
              <w:r>
                <w:rPr>
                  <w:rFonts w:ascii="Arial" w:cs="Arial" w:eastAsia="Arial" w:hAnsi="Arial"/>
                  <w:sz w:val="20"/>
                  <w:szCs w:val="20"/>
                  <w:color w:val="336699"/>
                </w:rPr>
                <w:t>6</w:t>
              </w:r>
            </w:hyperlink>
          </w:p>
        </w:tc>
        <w:tc>
          <w:tcPr>
            <w:tcW w:w="0" w:type="dxa"/>
            <w:vAlign w:val="bottom"/>
          </w:tcPr>
          <w:p>
            <w:pPr>
              <w:spacing w:after="0"/>
              <w:rPr>
                <w:sz w:val="1"/>
                <w:szCs w:val="1"/>
                <w:color w:val="auto"/>
              </w:rPr>
            </w:pPr>
          </w:p>
        </w:tc>
      </w:tr>
      <w:tr>
        <w:trPr>
          <w:trHeight w:val="118"/>
        </w:trPr>
        <w:tc>
          <w:tcPr>
            <w:tcW w:w="6920" w:type="dxa"/>
            <w:vAlign w:val="bottom"/>
            <w:shd w:val="clear" w:color="auto" w:fill="CCFFFF"/>
          </w:tcPr>
          <w:p>
            <w:pPr>
              <w:spacing w:after="0"/>
              <w:rPr>
                <w:sz w:val="10"/>
                <w:szCs w:val="10"/>
                <w:color w:val="auto"/>
              </w:rPr>
            </w:pPr>
          </w:p>
        </w:tc>
        <w:tc>
          <w:tcPr>
            <w:tcW w:w="2640" w:type="dxa"/>
            <w:vAlign w:val="bottom"/>
            <w:shd w:val="clear" w:color="auto" w:fill="CCFFFF"/>
          </w:tcPr>
          <w:p>
            <w:pPr>
              <w:spacing w:after="0"/>
              <w:rPr>
                <w:sz w:val="10"/>
                <w:szCs w:val="10"/>
                <w:color w:val="auto"/>
              </w:rPr>
            </w:pPr>
          </w:p>
        </w:tc>
        <w:tc>
          <w:tcPr>
            <w:tcW w:w="1820" w:type="dxa"/>
            <w:vAlign w:val="bottom"/>
            <w:shd w:val="clear" w:color="auto" w:fill="CCFFFF"/>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6920" w:type="dxa"/>
            <w:vAlign w:val="bottom"/>
          </w:tcPr>
          <w:p>
            <w:pPr>
              <w:ind w:left="20"/>
              <w:spacing w:after="0"/>
              <w:rPr>
                <w:sz w:val="20"/>
                <w:szCs w:val="20"/>
                <w:color w:val="auto"/>
              </w:rPr>
            </w:pPr>
            <w:r>
              <w:rPr>
                <w:rFonts w:ascii="Arial" w:cs="Arial" w:eastAsia="Arial" w:hAnsi="Arial"/>
                <w:sz w:val="18"/>
                <w:szCs w:val="18"/>
                <w:color w:val="auto"/>
              </w:rPr>
              <w:t>Proposal 2: Ratification of the Appointment of Deloitte &amp; Touche LLP by the Audit</w:t>
            </w:r>
          </w:p>
        </w:tc>
        <w:tc>
          <w:tcPr>
            <w:tcW w:w="2640" w:type="dxa"/>
            <w:vAlign w:val="bottom"/>
          </w:tcPr>
          <w:p>
            <w:pPr>
              <w:spacing w:after="0"/>
              <w:rPr>
                <w:sz w:val="24"/>
                <w:szCs w:val="24"/>
                <w:color w:val="auto"/>
              </w:rPr>
            </w:pPr>
          </w:p>
        </w:tc>
        <w:tc>
          <w:tcPr>
            <w:tcW w:w="1820" w:type="dxa"/>
            <w:vAlign w:val="bottom"/>
            <w:vMerge w:val="restart"/>
          </w:tcPr>
          <w:p>
            <w:pPr>
              <w:jc w:val="center"/>
              <w:spacing w:after="0"/>
              <w:rPr>
                <w:rFonts w:ascii="Arial" w:cs="Arial" w:eastAsia="Arial" w:hAnsi="Arial"/>
                <w:sz w:val="20"/>
                <w:szCs w:val="20"/>
                <w:color w:val="336699"/>
                <w:w w:val="98"/>
              </w:rPr>
            </w:pPr>
            <w:hyperlink w:anchor="page63">
              <w:r>
                <w:rPr>
                  <w:rFonts w:ascii="Arial" w:cs="Arial" w:eastAsia="Arial" w:hAnsi="Arial"/>
                  <w:sz w:val="20"/>
                  <w:szCs w:val="20"/>
                  <w:color w:val="336699"/>
                  <w:w w:val="98"/>
                </w:rPr>
                <w:t>57</w:t>
              </w:r>
            </w:hyperlink>
          </w:p>
        </w:tc>
        <w:tc>
          <w:tcPr>
            <w:tcW w:w="0" w:type="dxa"/>
            <w:vAlign w:val="bottom"/>
          </w:tcPr>
          <w:p>
            <w:pPr>
              <w:spacing w:after="0"/>
              <w:rPr>
                <w:sz w:val="1"/>
                <w:szCs w:val="1"/>
                <w:color w:val="auto"/>
              </w:rPr>
            </w:pPr>
          </w:p>
        </w:tc>
      </w:tr>
      <w:tr>
        <w:trPr>
          <w:trHeight w:val="203"/>
        </w:trPr>
        <w:tc>
          <w:tcPr>
            <w:tcW w:w="6920" w:type="dxa"/>
            <w:vAlign w:val="bottom"/>
          </w:tcPr>
          <w:p>
            <w:pPr>
              <w:ind w:left="1000"/>
              <w:spacing w:after="0" w:line="202" w:lineRule="exact"/>
              <w:rPr>
                <w:sz w:val="20"/>
                <w:szCs w:val="20"/>
                <w:color w:val="auto"/>
              </w:rPr>
            </w:pPr>
            <w:r>
              <w:rPr>
                <w:rFonts w:ascii="Arial" w:cs="Arial" w:eastAsia="Arial" w:hAnsi="Arial"/>
                <w:sz w:val="18"/>
                <w:szCs w:val="18"/>
                <w:color w:val="auto"/>
              </w:rPr>
              <w:t>Committee of the Board of Directors as Our Independent Registered</w:t>
            </w:r>
          </w:p>
        </w:tc>
        <w:tc>
          <w:tcPr>
            <w:tcW w:w="2640" w:type="dxa"/>
            <w:vAlign w:val="bottom"/>
          </w:tcPr>
          <w:p>
            <w:pPr>
              <w:jc w:val="center"/>
              <w:spacing w:after="0" w:line="202" w:lineRule="exact"/>
              <w:rPr>
                <w:sz w:val="20"/>
                <w:szCs w:val="20"/>
                <w:color w:val="auto"/>
              </w:rPr>
            </w:pPr>
            <w:r>
              <w:rPr>
                <w:rFonts w:ascii="Arial" w:cs="Arial" w:eastAsia="Arial" w:hAnsi="Arial"/>
                <w:sz w:val="18"/>
                <w:szCs w:val="18"/>
                <w:color w:val="auto"/>
                <w:w w:val="99"/>
              </w:rPr>
              <w:t>FOR</w:t>
            </w:r>
          </w:p>
        </w:tc>
        <w:tc>
          <w:tcPr>
            <w:tcW w:w="1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920" w:type="dxa"/>
            <w:vAlign w:val="bottom"/>
          </w:tcPr>
          <w:p>
            <w:pPr>
              <w:ind w:left="1000"/>
              <w:spacing w:after="0"/>
              <w:rPr>
                <w:sz w:val="20"/>
                <w:szCs w:val="20"/>
                <w:color w:val="auto"/>
              </w:rPr>
            </w:pPr>
            <w:r>
              <w:rPr>
                <w:rFonts w:ascii="Arial" w:cs="Arial" w:eastAsia="Arial" w:hAnsi="Arial"/>
                <w:sz w:val="18"/>
                <w:szCs w:val="18"/>
                <w:color w:val="auto"/>
              </w:rPr>
              <w:t>Public Accounting Firm</w:t>
            </w:r>
          </w:p>
        </w:tc>
        <w:tc>
          <w:tcPr>
            <w:tcW w:w="2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9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9"/>
        </w:trPr>
        <w:tc>
          <w:tcPr>
            <w:tcW w:w="6920" w:type="dxa"/>
            <w:vAlign w:val="bottom"/>
            <w:shd w:val="clear" w:color="auto" w:fill="CCFFFF"/>
          </w:tcPr>
          <w:p>
            <w:pPr>
              <w:ind w:left="20"/>
              <w:spacing w:after="0"/>
              <w:rPr>
                <w:sz w:val="20"/>
                <w:szCs w:val="20"/>
                <w:color w:val="auto"/>
              </w:rPr>
            </w:pPr>
            <w:r>
              <w:rPr>
                <w:rFonts w:ascii="Arial" w:cs="Arial" w:eastAsia="Arial" w:hAnsi="Arial"/>
                <w:sz w:val="18"/>
                <w:szCs w:val="18"/>
                <w:color w:val="auto"/>
              </w:rPr>
              <w:t>Proposal 3: Advisory Vote on Executive Compensation</w:t>
            </w:r>
          </w:p>
        </w:tc>
        <w:tc>
          <w:tcPr>
            <w:tcW w:w="2640" w:type="dxa"/>
            <w:vAlign w:val="bottom"/>
            <w:shd w:val="clear" w:color="auto" w:fill="CCFFFF"/>
          </w:tcPr>
          <w:p>
            <w:pPr>
              <w:jc w:val="center"/>
              <w:spacing w:after="0"/>
              <w:rPr>
                <w:sz w:val="20"/>
                <w:szCs w:val="20"/>
                <w:color w:val="auto"/>
              </w:rPr>
            </w:pPr>
            <w:r>
              <w:rPr>
                <w:rFonts w:ascii="Arial" w:cs="Arial" w:eastAsia="Arial" w:hAnsi="Arial"/>
                <w:sz w:val="18"/>
                <w:szCs w:val="18"/>
                <w:color w:val="auto"/>
                <w:w w:val="99"/>
              </w:rPr>
              <w:t>FOR</w:t>
            </w:r>
          </w:p>
        </w:tc>
        <w:tc>
          <w:tcPr>
            <w:tcW w:w="1820" w:type="dxa"/>
            <w:vAlign w:val="bottom"/>
            <w:shd w:val="clear" w:color="auto" w:fill="CCFFFF"/>
          </w:tcPr>
          <w:p>
            <w:pPr>
              <w:jc w:val="center"/>
              <w:spacing w:after="0"/>
              <w:rPr>
                <w:rFonts w:ascii="Arial" w:cs="Arial" w:eastAsia="Arial" w:hAnsi="Arial"/>
                <w:sz w:val="20"/>
                <w:szCs w:val="20"/>
                <w:color w:val="336699"/>
                <w:w w:val="98"/>
              </w:rPr>
            </w:pPr>
            <w:hyperlink w:anchor="page66">
              <w:r>
                <w:rPr>
                  <w:rFonts w:ascii="Arial" w:cs="Arial" w:eastAsia="Arial" w:hAnsi="Arial"/>
                  <w:sz w:val="20"/>
                  <w:szCs w:val="20"/>
                  <w:color w:val="336699"/>
                  <w:w w:val="98"/>
                </w:rPr>
                <w:t>60</w:t>
              </w:r>
            </w:hyperlink>
          </w:p>
        </w:tc>
        <w:tc>
          <w:tcPr>
            <w:tcW w:w="0" w:type="dxa"/>
            <w:vAlign w:val="bottom"/>
          </w:tcPr>
          <w:p>
            <w:pPr>
              <w:spacing w:after="0"/>
              <w:rPr>
                <w:sz w:val="1"/>
                <w:szCs w:val="1"/>
                <w:color w:val="auto"/>
              </w:rPr>
            </w:pPr>
          </w:p>
        </w:tc>
      </w:tr>
      <w:tr>
        <w:trPr>
          <w:trHeight w:val="118"/>
        </w:trPr>
        <w:tc>
          <w:tcPr>
            <w:tcW w:w="6920" w:type="dxa"/>
            <w:vAlign w:val="bottom"/>
            <w:shd w:val="clear" w:color="auto" w:fill="CCFFFF"/>
          </w:tcPr>
          <w:p>
            <w:pPr>
              <w:spacing w:after="0"/>
              <w:rPr>
                <w:sz w:val="10"/>
                <w:szCs w:val="10"/>
                <w:color w:val="auto"/>
              </w:rPr>
            </w:pPr>
          </w:p>
        </w:tc>
        <w:tc>
          <w:tcPr>
            <w:tcW w:w="2640" w:type="dxa"/>
            <w:vAlign w:val="bottom"/>
            <w:shd w:val="clear" w:color="auto" w:fill="CCFFFF"/>
          </w:tcPr>
          <w:p>
            <w:pPr>
              <w:spacing w:after="0"/>
              <w:rPr>
                <w:sz w:val="10"/>
                <w:szCs w:val="10"/>
                <w:color w:val="auto"/>
              </w:rPr>
            </w:pPr>
          </w:p>
        </w:tc>
        <w:tc>
          <w:tcPr>
            <w:tcW w:w="1820" w:type="dxa"/>
            <w:vAlign w:val="bottom"/>
            <w:shd w:val="clear" w:color="auto" w:fill="CCFFFF"/>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6920" w:type="dxa"/>
            <w:vAlign w:val="bottom"/>
          </w:tcPr>
          <w:p>
            <w:pPr>
              <w:ind w:left="20"/>
              <w:spacing w:after="0"/>
              <w:rPr>
                <w:sz w:val="20"/>
                <w:szCs w:val="20"/>
                <w:color w:val="auto"/>
              </w:rPr>
            </w:pPr>
            <w:r>
              <w:rPr>
                <w:rFonts w:ascii="Arial" w:cs="Arial" w:eastAsia="Arial" w:hAnsi="Arial"/>
                <w:sz w:val="18"/>
                <w:szCs w:val="18"/>
                <w:color w:val="auto"/>
              </w:rPr>
              <w:t>Proposal 4: Advisory Vote on the Frequency of Future Advisory Votes on Executive</w:t>
            </w:r>
          </w:p>
        </w:tc>
        <w:tc>
          <w:tcPr>
            <w:tcW w:w="2640" w:type="dxa"/>
            <w:vAlign w:val="bottom"/>
            <w:vMerge w:val="restart"/>
          </w:tcPr>
          <w:p>
            <w:pPr>
              <w:jc w:val="center"/>
              <w:spacing w:after="0"/>
              <w:rPr>
                <w:sz w:val="20"/>
                <w:szCs w:val="20"/>
                <w:color w:val="auto"/>
              </w:rPr>
            </w:pPr>
            <w:r>
              <w:rPr>
                <w:rFonts w:ascii="Arial" w:cs="Arial" w:eastAsia="Arial" w:hAnsi="Arial"/>
                <w:sz w:val="18"/>
                <w:szCs w:val="18"/>
                <w:color w:val="auto"/>
                <w:w w:val="99"/>
              </w:rPr>
              <w:t>EVERY YEAR</w:t>
            </w:r>
          </w:p>
        </w:tc>
        <w:tc>
          <w:tcPr>
            <w:tcW w:w="1820" w:type="dxa"/>
            <w:vAlign w:val="bottom"/>
            <w:vMerge w:val="restart"/>
          </w:tcPr>
          <w:p>
            <w:pPr>
              <w:jc w:val="center"/>
              <w:spacing w:after="0"/>
              <w:rPr>
                <w:rFonts w:ascii="Arial" w:cs="Arial" w:eastAsia="Arial" w:hAnsi="Arial"/>
                <w:sz w:val="20"/>
                <w:szCs w:val="20"/>
                <w:color w:val="336699"/>
                <w:w w:val="98"/>
              </w:rPr>
            </w:pPr>
            <w:hyperlink w:anchor="page68">
              <w:r>
                <w:rPr>
                  <w:rFonts w:ascii="Arial" w:cs="Arial" w:eastAsia="Arial" w:hAnsi="Arial"/>
                  <w:sz w:val="20"/>
                  <w:szCs w:val="20"/>
                  <w:color w:val="336699"/>
                  <w:w w:val="98"/>
                </w:rPr>
                <w:t>62</w:t>
              </w:r>
            </w:hyperlink>
          </w:p>
        </w:tc>
        <w:tc>
          <w:tcPr>
            <w:tcW w:w="0" w:type="dxa"/>
            <w:vAlign w:val="bottom"/>
          </w:tcPr>
          <w:p>
            <w:pPr>
              <w:spacing w:after="0"/>
              <w:rPr>
                <w:sz w:val="1"/>
                <w:szCs w:val="1"/>
                <w:color w:val="auto"/>
              </w:rPr>
            </w:pPr>
          </w:p>
        </w:tc>
      </w:tr>
      <w:tr>
        <w:trPr>
          <w:trHeight w:val="126"/>
        </w:trPr>
        <w:tc>
          <w:tcPr>
            <w:tcW w:w="6920" w:type="dxa"/>
            <w:vAlign w:val="bottom"/>
            <w:vMerge w:val="restart"/>
          </w:tcPr>
          <w:p>
            <w:pPr>
              <w:ind w:left="1000"/>
              <w:spacing w:after="0"/>
              <w:rPr>
                <w:sz w:val="20"/>
                <w:szCs w:val="20"/>
                <w:color w:val="auto"/>
              </w:rPr>
            </w:pPr>
            <w:r>
              <w:rPr>
                <w:rFonts w:ascii="Arial" w:cs="Arial" w:eastAsia="Arial" w:hAnsi="Arial"/>
                <w:sz w:val="18"/>
                <w:szCs w:val="18"/>
                <w:color w:val="auto"/>
              </w:rPr>
              <w:t>Compensation</w:t>
            </w:r>
          </w:p>
        </w:tc>
        <w:tc>
          <w:tcPr>
            <w:tcW w:w="26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692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6920" w:type="dxa"/>
            <w:vAlign w:val="bottom"/>
            <w:tcBorders>
              <w:bottom w:val="single" w:sz="8" w:color="336699"/>
            </w:tcBorders>
          </w:tcPr>
          <w:p>
            <w:pPr>
              <w:spacing w:after="0"/>
              <w:rPr>
                <w:sz w:val="10"/>
                <w:szCs w:val="10"/>
                <w:color w:val="auto"/>
              </w:rPr>
            </w:pPr>
          </w:p>
        </w:tc>
        <w:tc>
          <w:tcPr>
            <w:tcW w:w="2640" w:type="dxa"/>
            <w:vAlign w:val="bottom"/>
            <w:tcBorders>
              <w:bottom w:val="single" w:sz="8" w:color="336699"/>
            </w:tcBorders>
          </w:tcPr>
          <w:p>
            <w:pPr>
              <w:spacing w:after="0"/>
              <w:rPr>
                <w:sz w:val="10"/>
                <w:szCs w:val="10"/>
                <w:color w:val="auto"/>
              </w:rPr>
            </w:pPr>
          </w:p>
        </w:tc>
        <w:tc>
          <w:tcPr>
            <w:tcW w:w="18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9" w:right="239" w:bottom="1440" w:gutter="0" w:footer="0" w:header="0"/>
        </w:sectPr>
      </w:pPr>
    </w:p>
    <w:bookmarkStart w:id="5" w:name="page6"/>
    <w:bookmarkEnd w:id="5"/>
    <w:p>
      <w:pPr>
        <w:jc w:val="right"/>
        <w:ind w:right="4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336699"/>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107315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436" w:right="25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spacing w:after="0"/>
        <w:rPr>
          <w:rFonts w:ascii="Arial" w:cs="Arial" w:eastAsia="Arial" w:hAnsi="Arial"/>
          <w:sz w:val="20"/>
          <w:szCs w:val="20"/>
          <w:color w:val="auto"/>
        </w:rPr>
      </w:pPr>
      <w:hyperlink w:anchor="page7">
        <w:r>
          <w:rPr>
            <w:rFonts w:ascii="Arial" w:cs="Arial" w:eastAsia="Arial" w:hAnsi="Arial"/>
            <w:sz w:val="20"/>
            <w:szCs w:val="20"/>
            <w:color w:val="auto"/>
          </w:rPr>
          <w:t>General Information</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General Information About Corporate Governance and the Board of Directors</w:t>
      </w:r>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12">
        <w:r>
          <w:rPr>
            <w:rFonts w:ascii="Arial" w:cs="Arial" w:eastAsia="Arial" w:hAnsi="Arial"/>
            <w:sz w:val="20"/>
            <w:szCs w:val="20"/>
            <w:color w:val="auto"/>
          </w:rPr>
          <w:t>Proposal 1: Election of Directors</w:t>
        </w:r>
      </w:hyperlink>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21">
        <w:r>
          <w:rPr>
            <w:rFonts w:ascii="Arial" w:cs="Arial" w:eastAsia="Arial" w:hAnsi="Arial"/>
            <w:sz w:val="20"/>
            <w:szCs w:val="20"/>
            <w:color w:val="auto"/>
          </w:rPr>
          <w:t>Information Regarding Board and Committee Structure</w:t>
        </w:r>
      </w:hyperlink>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27">
        <w:r>
          <w:rPr>
            <w:rFonts w:ascii="Arial" w:cs="Arial" w:eastAsia="Arial" w:hAnsi="Arial"/>
            <w:sz w:val="20"/>
            <w:szCs w:val="20"/>
            <w:color w:val="auto"/>
          </w:rPr>
          <w:t>Board of Director Compensation</w:t>
        </w:r>
      </w:hyperlink>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29">
        <w:r>
          <w:rPr>
            <w:rFonts w:ascii="Arial" w:cs="Arial" w:eastAsia="Arial" w:hAnsi="Arial"/>
            <w:sz w:val="20"/>
            <w:szCs w:val="20"/>
            <w:color w:val="auto"/>
          </w:rPr>
          <w:t>Compensation Discussion and Analysis</w:t>
        </w:r>
      </w:hyperlink>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47">
        <w:r>
          <w:rPr>
            <w:rFonts w:ascii="Arial" w:cs="Arial" w:eastAsia="Arial" w:hAnsi="Arial"/>
            <w:sz w:val="20"/>
            <w:szCs w:val="20"/>
            <w:color w:val="auto"/>
          </w:rPr>
          <w:t>Report of the Compensation and Human Resources Committee of the Board of Directors</w:t>
        </w:r>
      </w:hyperlink>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48">
        <w:r>
          <w:rPr>
            <w:rFonts w:ascii="Arial" w:cs="Arial" w:eastAsia="Arial" w:hAnsi="Arial"/>
            <w:sz w:val="20"/>
            <w:szCs w:val="20"/>
            <w:color w:val="auto"/>
          </w:rPr>
          <w:t>Compensation of Named Executive Officers</w:t>
        </w:r>
      </w:hyperlink>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59">
        <w:r>
          <w:rPr>
            <w:rFonts w:ascii="Arial" w:cs="Arial" w:eastAsia="Arial" w:hAnsi="Arial"/>
            <w:sz w:val="20"/>
            <w:szCs w:val="20"/>
            <w:color w:val="auto"/>
          </w:rPr>
          <w:t>Security Ownership of Certain Beneficial Owners and Management</w:t>
        </w:r>
      </w:hyperlink>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61">
        <w:r>
          <w:rPr>
            <w:rFonts w:ascii="Arial" w:cs="Arial" w:eastAsia="Arial" w:hAnsi="Arial"/>
            <w:sz w:val="20"/>
            <w:szCs w:val="20"/>
            <w:color w:val="auto"/>
          </w:rPr>
          <w:t>Section 16(a) Beneficial Ownership Reporting Compliance</w:t>
        </w:r>
      </w:hyperlink>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62">
        <w:r>
          <w:rPr>
            <w:rFonts w:ascii="Arial" w:cs="Arial" w:eastAsia="Arial" w:hAnsi="Arial"/>
            <w:sz w:val="20"/>
            <w:szCs w:val="20"/>
            <w:color w:val="auto"/>
          </w:rPr>
          <w:t xml:space="preserve">Certain Relationships and Related </w:t>
        </w:r>
      </w:hyperlink>
      <w:r>
        <w:rPr>
          <w:rFonts w:ascii="Arial" w:cs="Arial" w:eastAsia="Arial" w:hAnsi="Arial"/>
          <w:sz w:val="20"/>
          <w:szCs w:val="20"/>
          <w:color w:val="auto"/>
        </w:rPr>
        <w:t>Party Transactions</w:t>
      </w:r>
    </w:p>
    <w:p>
      <w:pPr>
        <w:spacing w:after="0" w:line="256" w:lineRule="exact"/>
        <w:rPr>
          <w:sz w:val="20"/>
          <w:szCs w:val="20"/>
          <w:color w:val="auto"/>
        </w:rPr>
      </w:pPr>
    </w:p>
    <w:p>
      <w:pPr>
        <w:spacing w:after="0" w:line="236" w:lineRule="auto"/>
        <w:rPr>
          <w:rFonts w:ascii="Arial" w:cs="Arial" w:eastAsia="Arial" w:hAnsi="Arial"/>
          <w:sz w:val="20"/>
          <w:szCs w:val="20"/>
          <w:color w:val="auto"/>
        </w:rPr>
      </w:pPr>
      <w:hyperlink w:anchor="page63">
        <w:r>
          <w:rPr>
            <w:rFonts w:ascii="Arial" w:cs="Arial" w:eastAsia="Arial" w:hAnsi="Arial"/>
            <w:sz w:val="20"/>
            <w:szCs w:val="20"/>
            <w:color w:val="auto"/>
          </w:rPr>
          <w:t>Proposal 2: Ratification of the Appointment of Deloitte &amp; Touche LLP by the Audit Committee of the Board of Directors as</w:t>
        </w:r>
      </w:hyperlink>
      <w:r>
        <w:rPr>
          <w:rFonts w:ascii="Arial" w:cs="Arial" w:eastAsia="Arial" w:hAnsi="Arial"/>
          <w:sz w:val="20"/>
          <w:szCs w:val="20"/>
          <w:color w:val="auto"/>
        </w:rPr>
        <w:t xml:space="preserve"> </w:t>
      </w:r>
      <w:hyperlink w:anchor="page63">
        <w:r>
          <w:rPr>
            <w:rFonts w:ascii="Arial" w:cs="Arial" w:eastAsia="Arial" w:hAnsi="Arial"/>
            <w:sz w:val="20"/>
            <w:szCs w:val="20"/>
            <w:color w:val="auto"/>
          </w:rPr>
          <w:t>Our Independent Registered Public Accounting Firm</w:t>
        </w:r>
      </w:hyperlink>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20"/>
          <w:szCs w:val="20"/>
          <w:color w:val="auto"/>
        </w:rPr>
      </w:pPr>
      <w:hyperlink w:anchor="page65">
        <w:r>
          <w:rPr>
            <w:rFonts w:ascii="Arial" w:cs="Arial" w:eastAsia="Arial" w:hAnsi="Arial"/>
            <w:sz w:val="20"/>
            <w:szCs w:val="20"/>
            <w:color w:val="auto"/>
          </w:rPr>
          <w:t>Report of the Audit Committee of the Board of Directors</w:t>
        </w:r>
      </w:hyperlink>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66">
        <w:r>
          <w:rPr>
            <w:rFonts w:ascii="Arial" w:cs="Arial" w:eastAsia="Arial" w:hAnsi="Arial"/>
            <w:sz w:val="20"/>
            <w:szCs w:val="20"/>
            <w:color w:val="auto"/>
          </w:rPr>
          <w:t>Proposal 3: Advisory Vote on Executive Compensation</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Proposal 4: Advisory Vote on the Frequency of Future Advisory Votes on Executive Compensation</w:t>
      </w:r>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69">
        <w:r>
          <w:rPr>
            <w:rFonts w:ascii="Arial" w:cs="Arial" w:eastAsia="Arial" w:hAnsi="Arial"/>
            <w:sz w:val="20"/>
            <w:szCs w:val="20"/>
            <w:color w:val="auto"/>
          </w:rPr>
          <w:t>Stockholder Proposals and Other Matters</w:t>
        </w:r>
      </w:hyperlink>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70">
        <w:r>
          <w:rPr>
            <w:rFonts w:ascii="Arial" w:cs="Arial" w:eastAsia="Arial" w:hAnsi="Arial"/>
            <w:sz w:val="20"/>
            <w:szCs w:val="20"/>
            <w:color w:val="auto"/>
          </w:rPr>
          <w:t>Other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250825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jc w:val="right"/>
        <w:spacing w:after="0"/>
        <w:rPr>
          <w:rFonts w:ascii="Arial" w:cs="Arial" w:eastAsia="Arial" w:hAnsi="Arial"/>
          <w:sz w:val="20"/>
          <w:szCs w:val="20"/>
          <w:color w:val="336699"/>
        </w:rPr>
      </w:pPr>
      <w:hyperlink w:anchor="page7">
        <w:r>
          <w:rPr>
            <w:rFonts w:ascii="Arial" w:cs="Arial" w:eastAsia="Arial" w:hAnsi="Arial"/>
            <w:sz w:val="20"/>
            <w:szCs w:val="20"/>
            <w:color w:val="336699"/>
          </w:rPr>
          <w:t>1</w:t>
        </w:r>
      </w:hyperlink>
    </w:p>
    <w:p>
      <w:pPr>
        <w:spacing w:after="0" w:line="200" w:lineRule="exact"/>
        <w:rPr>
          <w:sz w:val="20"/>
          <w:szCs w:val="20"/>
          <w:color w:val="auto"/>
        </w:rPr>
      </w:pPr>
    </w:p>
    <w:p>
      <w:pPr>
        <w:spacing w:after="0" w:line="272" w:lineRule="exact"/>
        <w:rPr>
          <w:sz w:val="20"/>
          <w:szCs w:val="20"/>
          <w:color w:val="auto"/>
        </w:rPr>
      </w:pPr>
    </w:p>
    <w:p>
      <w:pPr>
        <w:jc w:val="right"/>
        <w:spacing w:after="0"/>
        <w:rPr>
          <w:rFonts w:ascii="Arial" w:cs="Arial" w:eastAsia="Arial" w:hAnsi="Arial"/>
          <w:sz w:val="20"/>
          <w:szCs w:val="20"/>
          <w:color w:val="336699"/>
        </w:rPr>
      </w:pPr>
      <w:hyperlink w:anchor="page11">
        <w:r>
          <w:rPr>
            <w:rFonts w:ascii="Arial" w:cs="Arial" w:eastAsia="Arial" w:hAnsi="Arial"/>
            <w:sz w:val="20"/>
            <w:szCs w:val="20"/>
            <w:color w:val="336699"/>
          </w:rPr>
          <w:t>5</w:t>
        </w:r>
      </w:hyperlink>
    </w:p>
    <w:p>
      <w:pPr>
        <w:spacing w:after="0" w:line="200" w:lineRule="exact"/>
        <w:rPr>
          <w:sz w:val="20"/>
          <w:szCs w:val="20"/>
          <w:color w:val="auto"/>
        </w:rPr>
      </w:pPr>
    </w:p>
    <w:p>
      <w:pPr>
        <w:spacing w:after="0" w:line="272" w:lineRule="exact"/>
        <w:rPr>
          <w:sz w:val="20"/>
          <w:szCs w:val="20"/>
          <w:color w:val="auto"/>
        </w:rPr>
      </w:pPr>
    </w:p>
    <w:p>
      <w:pPr>
        <w:jc w:val="right"/>
        <w:spacing w:after="0"/>
        <w:rPr>
          <w:rFonts w:ascii="Arial" w:cs="Arial" w:eastAsia="Arial" w:hAnsi="Arial"/>
          <w:sz w:val="20"/>
          <w:szCs w:val="20"/>
          <w:color w:val="336699"/>
        </w:rPr>
      </w:pPr>
      <w:hyperlink w:anchor="page12">
        <w:r>
          <w:rPr>
            <w:rFonts w:ascii="Arial" w:cs="Arial" w:eastAsia="Arial" w:hAnsi="Arial"/>
            <w:sz w:val="20"/>
            <w:szCs w:val="20"/>
            <w:color w:val="336699"/>
          </w:rPr>
          <w:t>6</w:t>
        </w:r>
      </w:hyperlink>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19"/>
          <w:szCs w:val="19"/>
          <w:color w:val="336699"/>
        </w:rPr>
      </w:pPr>
      <w:hyperlink w:anchor="page21">
        <w:r>
          <w:rPr>
            <w:rFonts w:ascii="Arial" w:cs="Arial" w:eastAsia="Arial" w:hAnsi="Arial"/>
            <w:sz w:val="19"/>
            <w:szCs w:val="19"/>
            <w:color w:val="336699"/>
          </w:rPr>
          <w:t>15</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27">
        <w:r>
          <w:rPr>
            <w:rFonts w:ascii="Arial" w:cs="Arial" w:eastAsia="Arial" w:hAnsi="Arial"/>
            <w:sz w:val="19"/>
            <w:szCs w:val="19"/>
            <w:color w:val="336699"/>
          </w:rPr>
          <w:t>21</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29">
        <w:r>
          <w:rPr>
            <w:rFonts w:ascii="Arial" w:cs="Arial" w:eastAsia="Arial" w:hAnsi="Arial"/>
            <w:sz w:val="19"/>
            <w:szCs w:val="19"/>
            <w:color w:val="336699"/>
          </w:rPr>
          <w:t>23</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47">
        <w:r>
          <w:rPr>
            <w:rFonts w:ascii="Arial" w:cs="Arial" w:eastAsia="Arial" w:hAnsi="Arial"/>
            <w:sz w:val="19"/>
            <w:szCs w:val="19"/>
            <w:color w:val="336699"/>
          </w:rPr>
          <w:t>41</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48">
        <w:r>
          <w:rPr>
            <w:rFonts w:ascii="Arial" w:cs="Arial" w:eastAsia="Arial" w:hAnsi="Arial"/>
            <w:sz w:val="19"/>
            <w:szCs w:val="19"/>
            <w:color w:val="336699"/>
          </w:rPr>
          <w:t>42</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59">
        <w:r>
          <w:rPr>
            <w:rFonts w:ascii="Arial" w:cs="Arial" w:eastAsia="Arial" w:hAnsi="Arial"/>
            <w:sz w:val="19"/>
            <w:szCs w:val="19"/>
            <w:color w:val="336699"/>
          </w:rPr>
          <w:t>53</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61">
        <w:r>
          <w:rPr>
            <w:rFonts w:ascii="Arial" w:cs="Arial" w:eastAsia="Arial" w:hAnsi="Arial"/>
            <w:sz w:val="19"/>
            <w:szCs w:val="19"/>
            <w:color w:val="336699"/>
          </w:rPr>
          <w:t>55</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62">
        <w:r>
          <w:rPr>
            <w:rFonts w:ascii="Arial" w:cs="Arial" w:eastAsia="Arial" w:hAnsi="Arial"/>
            <w:sz w:val="19"/>
            <w:szCs w:val="19"/>
            <w:color w:val="336699"/>
          </w:rPr>
          <w:t>56</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63">
        <w:r>
          <w:rPr>
            <w:rFonts w:ascii="Arial" w:cs="Arial" w:eastAsia="Arial" w:hAnsi="Arial"/>
            <w:sz w:val="19"/>
            <w:szCs w:val="19"/>
            <w:color w:val="336699"/>
          </w:rPr>
          <w:t>57</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65">
        <w:r>
          <w:rPr>
            <w:rFonts w:ascii="Arial" w:cs="Arial" w:eastAsia="Arial" w:hAnsi="Arial"/>
            <w:sz w:val="19"/>
            <w:szCs w:val="19"/>
            <w:color w:val="336699"/>
          </w:rPr>
          <w:t>59</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66">
        <w:r>
          <w:rPr>
            <w:rFonts w:ascii="Arial" w:cs="Arial" w:eastAsia="Arial" w:hAnsi="Arial"/>
            <w:sz w:val="19"/>
            <w:szCs w:val="19"/>
            <w:color w:val="336699"/>
          </w:rPr>
          <w:t>60</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68">
        <w:r>
          <w:rPr>
            <w:rFonts w:ascii="Arial" w:cs="Arial" w:eastAsia="Arial" w:hAnsi="Arial"/>
            <w:sz w:val="19"/>
            <w:szCs w:val="19"/>
            <w:color w:val="336699"/>
          </w:rPr>
          <w:t>62</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69">
        <w:r>
          <w:rPr>
            <w:rFonts w:ascii="Arial" w:cs="Arial" w:eastAsia="Arial" w:hAnsi="Arial"/>
            <w:sz w:val="19"/>
            <w:szCs w:val="19"/>
            <w:color w:val="336699"/>
          </w:rPr>
          <w:t>63</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70">
        <w:r>
          <w:rPr>
            <w:rFonts w:ascii="Arial" w:cs="Arial" w:eastAsia="Arial" w:hAnsi="Arial"/>
            <w:sz w:val="19"/>
            <w:szCs w:val="19"/>
            <w:color w:val="336699"/>
          </w:rPr>
          <w:t>64</w:t>
        </w:r>
      </w:hyperlink>
    </w:p>
    <w:p>
      <w:pPr>
        <w:sectPr>
          <w:pgSz w:w="11900" w:h="16838" w:orient="portrait"/>
          <w:cols w:equalWidth="0" w:num="2">
            <w:col w:w="10560" w:space="580"/>
            <w:col w:w="220"/>
          </w:cols>
          <w:pgMar w:left="280" w:top="436" w:right="259" w:bottom="1440" w:gutter="0" w:footer="0" w:header="0"/>
          <w:type w:val="continuous"/>
        </w:sectPr>
      </w:pPr>
    </w:p>
    <w:bookmarkStart w:id="6" w:name="page7"/>
    <w:bookmarkEnd w:id="6"/>
    <w:p>
      <w:pPr>
        <w:jc w:val="right"/>
        <w:ind w:right="6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General Information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336699"/>
        </w:rPr>
        <w:t>LPL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336699"/>
        </w:rPr>
        <w:t>Proxy Statement</w:t>
      </w:r>
    </w:p>
    <w:p>
      <w:pPr>
        <w:jc w:val="center"/>
        <w:spacing w:after="0"/>
        <w:rPr>
          <w:sz w:val="20"/>
          <w:szCs w:val="20"/>
          <w:color w:val="auto"/>
        </w:rPr>
      </w:pPr>
      <w:r>
        <w:rPr>
          <w:rFonts w:ascii="Arial" w:cs="Arial" w:eastAsia="Arial" w:hAnsi="Arial"/>
          <w:sz w:val="20"/>
          <w:szCs w:val="20"/>
          <w:b w:val="1"/>
          <w:bCs w:val="1"/>
          <w:color w:val="336699"/>
        </w:rPr>
        <w:t>2017 Annual Meeting of Stockholders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336699"/>
        </w:rPr>
        <w:t>General Information</w:t>
      </w:r>
    </w:p>
    <w:p>
      <w:pPr>
        <w:spacing w:after="0" w:line="103" w:lineRule="exact"/>
        <w:rPr>
          <w:sz w:val="20"/>
          <w:szCs w:val="20"/>
          <w:color w:val="auto"/>
        </w:rPr>
      </w:pPr>
    </w:p>
    <w:p>
      <w:pPr>
        <w:spacing w:after="0"/>
        <w:tabs>
          <w:tab w:leader="none" w:pos="5920" w:val="left"/>
        </w:tabs>
        <w:rPr>
          <w:sz w:val="20"/>
          <w:szCs w:val="20"/>
          <w:color w:val="auto"/>
        </w:rPr>
      </w:pPr>
      <w:r>
        <w:rPr>
          <w:rFonts w:ascii="Arial" w:cs="Arial" w:eastAsia="Arial" w:hAnsi="Arial"/>
          <w:sz w:val="20"/>
          <w:szCs w:val="20"/>
          <w:b w:val="1"/>
          <w:bCs w:val="1"/>
          <w:color w:val="336699"/>
        </w:rPr>
        <w:t>Introduction</w:t>
      </w:r>
      <w:r>
        <w:rPr>
          <w:sz w:val="20"/>
          <w:szCs w:val="20"/>
          <w:color w:val="auto"/>
        </w:rPr>
        <w:tab/>
      </w:r>
      <w:r>
        <w:rPr>
          <w:rFonts w:ascii="Arial" w:cs="Arial" w:eastAsia="Arial" w:hAnsi="Arial"/>
          <w:sz w:val="20"/>
          <w:szCs w:val="20"/>
          <w:b w:val="1"/>
          <w:bCs w:val="1"/>
          <w:color w:val="336699"/>
        </w:rPr>
        <w:t>Record Date, Shares Outstanding, and Quorum</w:t>
      </w:r>
    </w:p>
    <w:p>
      <w:pPr>
        <w:sectPr>
          <w:pgSz w:w="11900" w:h="16838" w:orient="portrait"/>
          <w:cols w:equalWidth="0" w:num="1">
            <w:col w:w="11420"/>
          </w:cols>
          <w:pgMar w:left="240" w:top="436" w:right="239" w:bottom="1440" w:gutter="0" w:footer="0" w:header="0"/>
        </w:sectPr>
      </w:pPr>
    </w:p>
    <w:p>
      <w:pPr>
        <w:spacing w:after="0" w:line="13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 xml:space="preserve">This proxy statement and the accompanying Notice of Annual Meeting of Stockholders are being furnished to the holders of common stock, $0.001 par value per share (the “Common Stock”), of LPL </w:t>
      </w:r>
      <w:r>
        <w:rPr>
          <w:rFonts w:ascii="Arial" w:cs="Arial" w:eastAsia="Arial" w:hAnsi="Arial"/>
          <w:sz w:val="18"/>
          <w:szCs w:val="18"/>
          <w:color w:val="252525"/>
        </w:rPr>
        <w:t>Financial</w:t>
      </w:r>
      <w:r>
        <w:rPr>
          <w:rFonts w:ascii="Arial" w:cs="Arial" w:eastAsia="Arial" w:hAnsi="Arial"/>
          <w:sz w:val="18"/>
          <w:szCs w:val="18"/>
          <w:color w:val="auto"/>
        </w:rPr>
        <w:t xml:space="preserve"> Holdings Inc., a Delaware corporation (the “Company”), in connection with the solicitation of proxies on behalf of the board of directors of the Company (the “Board” or the “Board of Directors”) for use at the 2017 annual meeting of stockholders (the “Annual Meeting”) and any adjournment or postponement thereof. The Annual Meeting will be held on Wednesday, May 17, 2017, at the offices of LPL Financial Holdings Inc., 75 State Street, Boston, Massachusetts 02109 at 12:00 p.m., local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3336290" cy="5918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36290" cy="591820"/>
                    </a:xfrm>
                    <a:prstGeom prst="rect">
                      <a:avLst/>
                    </a:prstGeom>
                    <a:noFill/>
                  </pic:spPr>
                </pic:pic>
              </a:graphicData>
            </a:graphic>
          </wp:anchor>
        </w:drawing>
      </w:r>
    </w:p>
    <w:p>
      <w:pPr>
        <w:spacing w:after="0" w:line="251" w:lineRule="exact"/>
        <w:rPr>
          <w:sz w:val="20"/>
          <w:szCs w:val="20"/>
          <w:color w:val="auto"/>
        </w:rPr>
      </w:pPr>
    </w:p>
    <w:p>
      <w:pPr>
        <w:ind w:left="140" w:right="580"/>
        <w:spacing w:after="0" w:line="253" w:lineRule="auto"/>
        <w:rPr>
          <w:sz w:val="20"/>
          <w:szCs w:val="20"/>
          <w:color w:val="auto"/>
        </w:rPr>
      </w:pPr>
      <w:r>
        <w:rPr>
          <w:rFonts w:ascii="Arial" w:cs="Arial" w:eastAsia="Arial" w:hAnsi="Arial"/>
          <w:sz w:val="18"/>
          <w:szCs w:val="18"/>
          <w:b w:val="1"/>
          <w:bCs w:val="1"/>
          <w:i w:val="1"/>
          <w:iCs w:val="1"/>
          <w:color w:val="FFFFFF"/>
        </w:rPr>
        <w:t>Stockholders who wish to attend the Annual Meeting in person must follow the instructions under the section below entitled “Attending the Annual Meeting.”</w:t>
      </w:r>
    </w:p>
    <w:p>
      <w:pPr>
        <w:spacing w:after="0" w:line="13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expects to mail this proxy statement and the accompanying proxy to its stockholders on or about April 17, 2017. The Company's 2016 annual report on Form 10-K (the "Annual Report"), including financial statements audited by Deloitte &amp; Touche LLP, its independent registered public accounting firm, is being sent to each of the Company's stockholders simultaneously with this proxy statement. The notice of Annual Meeting, this proxy statement, the Annual Report and the proxy card are also available on the Internet at www.envisionreports.com/LPLA. This web site does not use "cookies" to track or identify visitors to the web site.</w:t>
      </w:r>
    </w:p>
    <w:p>
      <w:pPr>
        <w:spacing w:after="0" w:line="21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As a stockholder of the Company as of 5:00 p.m. Eastern Time on March 20, 2017 (the “Record Date”), you are invited to attend the Annual Meeting and are entitled to and requested to vote on the items of business described in this proxy statement.</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the Record Date, there were 90,846,421 outstanding shares of Common Stock. Only stockholders of record as of the Record Date will be entitled to vote at the Annual Meeting. A list of stockholders of record entitled to vote will be available at the meeting. In addition, you may contact our corporate secretary, at our address as set forth above, to make arrangements to review a copy of the stockholder list at our offices, for any purpose germane to the meeting, between the hours of 9:00 a.m. and 5:00 p.m., local time, on any business day from May 3, 2017 up to the time of the Annual Meeting.</w:t>
      </w:r>
    </w:p>
    <w:p>
      <w:pPr>
        <w:spacing w:after="0" w:line="21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presence in person or by proxy of a majority of shares of Common Stock outstanding and entitled to vote at the Annual Meeting will constitute a quorum at the Annual Meeting. Both abstentions and broker non-votes will be counted as present in determining the presence of a quorum. A “broker non-vote” is a proxy from a broker or other nominee indicating that such person has not received instructions from the beneficial owner on a particular matter with respect to which the broker or other nominee does not have discretionary voting power. Brokers have the discretion to vote their clients’ proxies only on routine matters. At our Annual Meeting, only the ratification of our auditors is a routine matter. Each share of Common Stock is entitled to one vote.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Attending the Annual Meeting</w:t>
      </w:r>
    </w:p>
    <w:p>
      <w:pPr>
        <w:spacing w:after="0" w:line="24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invite all stockholders to attend the Annual Meeting. If you are a record holder of our Common Stock, which means that your shares are represented by ledger entries in your own name directly registered with our transfer agent, Computershare Shareowner Services, you must bring valid picture identification with you to the Annual Meeting to allow us to verify your ownership. If your Common Stock is held in “street name,” which means that the shares are held for your benefit in the name of a broker, bank, or other intermediary, you must bring a brokerage account statement or letter from your broker, bank, or other intermediary reflecting stock ownership in order to be admitted to the Annual Meeting.</w:t>
      </w:r>
    </w:p>
    <w:p>
      <w:pPr>
        <w:spacing w:after="0" w:line="200" w:lineRule="exact"/>
        <w:rPr>
          <w:sz w:val="20"/>
          <w:szCs w:val="20"/>
          <w:color w:val="auto"/>
        </w:rPr>
      </w:pPr>
    </w:p>
    <w:p>
      <w:pPr>
        <w:sectPr>
          <w:pgSz w:w="11900" w:h="16838" w:orient="portrait"/>
          <w:cols w:equalWidth="0" w:num="2">
            <w:col w:w="5460" w:space="480"/>
            <w:col w:w="5480"/>
          </w:cols>
          <w:pgMar w:left="240" w:top="436" w:right="239" w:bottom="1440" w:gutter="0" w:footer="0" w:header="0"/>
          <w:type w:val="continuous"/>
        </w:sectPr>
      </w:pPr>
    </w:p>
    <w:p>
      <w:pPr>
        <w:spacing w:after="0" w:line="125" w:lineRule="exact"/>
        <w:rPr>
          <w:sz w:val="20"/>
          <w:szCs w:val="20"/>
          <w:color w:val="auto"/>
        </w:rPr>
      </w:pPr>
    </w:p>
    <w:p>
      <w:pPr>
        <w:ind w:left="9300"/>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1</w:t>
      </w:r>
    </w:p>
    <w:p>
      <w:pPr>
        <w:sectPr>
          <w:pgSz w:w="11900" w:h="16838" w:orient="portrait"/>
          <w:cols w:equalWidth="0" w:num="1">
            <w:col w:w="11420"/>
          </w:cols>
          <w:pgMar w:left="240" w:top="436" w:right="239" w:bottom="1440" w:gutter="0" w:footer="0" w:header="0"/>
          <w:type w:val="continuous"/>
        </w:sectPr>
      </w:pPr>
    </w:p>
    <w:bookmarkStart w:id="7" w:name="page8"/>
    <w:bookmarkEnd w:id="7"/>
    <w:p>
      <w:pPr>
        <w:ind w:left="948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General Information</w:t>
      </w:r>
    </w:p>
    <w:p>
      <w:pPr>
        <w:sectPr>
          <w:pgSz w:w="11900" w:h="16838" w:orient="portrait"/>
          <w:cols w:equalWidth="0" w:num="1">
            <w:col w:w="11360"/>
          </w:cols>
          <w:pgMar w:left="240" w:top="43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Please note that if you hold your Common Stock in street name, you may not vote your shares in person unless you obtain a legal proxy from your broker, giving you the right to vote the shares at the Annual Meeting.If you do not have both proof of ownership of Common Stock and valid picture identification, you may not be admitted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1981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9812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b w:val="1"/>
          <w:bCs w:val="1"/>
          <w:i w:val="1"/>
          <w:iCs w:val="1"/>
          <w:color w:val="FFFFFF"/>
        </w:rPr>
        <w:t>If you plan to attend the Annual Meeting, please be sure to RSVP via email to lplfinancialannualmeeting@lpl.com. Please include your name and phone number in your response. A confirmation, including driving directions and additional meeting information, will be emailed to registered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-882650</wp:posOffset>
            </wp:positionV>
            <wp:extent cx="3473450" cy="977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73450" cy="977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720"/>
            <w:col w:w="5180"/>
          </w:cols>
          <w:pgMar w:left="240" w:top="436" w:right="29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336699"/>
        </w:rPr>
        <w:t>Items of Business to be Voted upon at Annual Meeting</w:t>
      </w:r>
    </w:p>
    <w:p>
      <w:pPr>
        <w:sectPr>
          <w:pgSz w:w="11900" w:h="16838" w:orient="portrait"/>
          <w:cols w:equalWidth="0" w:num="1">
            <w:col w:w="11360"/>
          </w:cols>
          <w:pgMar w:left="240" w:top="436" w:right="299" w:bottom="1440" w:gutter="0" w:footer="0" w:header="0"/>
          <w:type w:val="continuous"/>
        </w:sect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7"/>
          <w:szCs w:val="7"/>
          <w:color w:val="auto"/>
        </w:rPr>
        <w:t>n</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7"/>
          <w:szCs w:val="7"/>
          <w:color w:val="auto"/>
        </w:rPr>
        <w:t>n</w:t>
      </w:r>
    </w:p>
    <w:p>
      <w:pPr>
        <w:spacing w:after="0" w:line="200" w:lineRule="exact"/>
        <w:rPr>
          <w:sz w:val="20"/>
          <w:szCs w:val="20"/>
          <w:color w:val="auto"/>
        </w:rPr>
      </w:pPr>
    </w:p>
    <w:p>
      <w:pPr>
        <w:spacing w:after="0" w:line="287" w:lineRule="exact"/>
        <w:rPr>
          <w:sz w:val="20"/>
          <w:szCs w:val="20"/>
          <w:color w:val="auto"/>
        </w:rPr>
      </w:pPr>
    </w:p>
    <w:p>
      <w:pPr>
        <w:ind w:left="380"/>
        <w:spacing w:after="0"/>
        <w:rPr>
          <w:sz w:val="20"/>
          <w:szCs w:val="20"/>
          <w:color w:val="auto"/>
        </w:rPr>
      </w:pPr>
      <w:r>
        <w:rPr>
          <w:rFonts w:ascii="Arial" w:cs="Arial" w:eastAsia="Arial" w:hAnsi="Arial"/>
          <w:sz w:val="7"/>
          <w:szCs w:val="7"/>
          <w:color w:val="auto"/>
        </w:rPr>
        <w:t>n</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7"/>
          <w:szCs w:val="7"/>
          <w:color w:val="auto"/>
        </w:rPr>
        <w:t>n</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7"/>
          <w:szCs w:val="7"/>
          <w:color w:val="auto"/>
        </w:rPr>
        <w:t>n</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221E1F"/>
        </w:rPr>
        <w:t xml:space="preserve">To elect all of </w:t>
      </w:r>
      <w:r>
        <w:rPr>
          <w:rFonts w:ascii="Arial" w:cs="Arial" w:eastAsia="Arial" w:hAnsi="Arial"/>
          <w:sz w:val="18"/>
          <w:szCs w:val="18"/>
          <w:color w:val="252525"/>
        </w:rPr>
        <w:t>the nine nominees named in this proxy statement to the Board of Directors for a one-year term</w:t>
      </w:r>
      <w:r>
        <w:rPr>
          <w:rFonts w:ascii="Arial" w:cs="Arial" w:eastAsia="Arial" w:hAnsi="Arial"/>
          <w:sz w:val="18"/>
          <w:szCs w:val="18"/>
          <w:color w:val="221E1F"/>
        </w:rPr>
        <w:t>;</w:t>
      </w:r>
    </w:p>
    <w:p>
      <w:pPr>
        <w:spacing w:after="0" w:line="158"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221E1F"/>
        </w:rPr>
        <w:t>To ratify the appointment of Deloitte &amp; Touche LLP by the Audit Committee of the Board of Directors as our independent registered public accounting firm for the fiscal year ending 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221E1F"/>
        </w:rPr>
        <w:t>To hold an advisory vote on 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221E1F"/>
        </w:rPr>
        <w:t>To hold an advisory vote on the frequency of future executive compensation advisory votes; and</w:t>
      </w:r>
    </w:p>
    <w:p>
      <w:pPr>
        <w:spacing w:after="0" w:line="158"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221E1F"/>
        </w:rPr>
        <w:t>To consider and act upon any other business properly coming before the Annual Meeting and at any adjournment or postponement thereof.</w:t>
      </w:r>
    </w:p>
    <w:p>
      <w:pPr>
        <w:spacing w:after="0" w:line="200" w:lineRule="exact"/>
        <w:rPr>
          <w:sz w:val="20"/>
          <w:szCs w:val="20"/>
          <w:color w:val="auto"/>
        </w:rPr>
      </w:pPr>
    </w:p>
    <w:p>
      <w:pPr>
        <w:sectPr>
          <w:pgSz w:w="11900" w:h="16838" w:orient="portrait"/>
          <w:cols w:equalWidth="0" w:num="2">
            <w:col w:w="420" w:space="200"/>
            <w:col w:w="10740"/>
          </w:cols>
          <w:pgMar w:left="240" w:top="436" w:right="29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Manner of Voting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record holder of our Common Stock, you may vote in one of the following ways:</w:t>
      </w:r>
    </w:p>
    <w:p>
      <w:pPr>
        <w:sectPr>
          <w:pgSz w:w="11900" w:h="16838" w:orient="portrait"/>
          <w:cols w:equalWidth="0" w:num="1">
            <w:col w:w="11360"/>
          </w:cols>
          <w:pgMar w:left="240" w:top="436" w:right="299"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Arial" w:cs="Arial" w:eastAsia="Arial" w:hAnsi="Arial"/>
          <w:sz w:val="29"/>
          <w:szCs w:val="29"/>
          <w:color w:val="003E7E"/>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color w:val="003E7E"/>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300"/>
        <w:spacing w:after="0" w:line="407" w:lineRule="auto"/>
        <w:rPr>
          <w:sz w:val="20"/>
          <w:szCs w:val="20"/>
          <w:color w:val="auto"/>
        </w:rPr>
      </w:pPr>
      <w:r>
        <w:rPr>
          <w:rFonts w:ascii="Arial" w:cs="Arial" w:eastAsia="Arial" w:hAnsi="Arial"/>
          <w:sz w:val="18"/>
          <w:szCs w:val="18"/>
          <w:i w:val="1"/>
          <w:iCs w:val="1"/>
          <w:color w:val="336699"/>
        </w:rPr>
        <w:t xml:space="preserve">By Internet: </w:t>
      </w:r>
      <w:r>
        <w:rPr>
          <w:rFonts w:ascii="Arial" w:cs="Arial" w:eastAsia="Arial" w:hAnsi="Arial"/>
          <w:sz w:val="18"/>
          <w:szCs w:val="18"/>
          <w:color w:val="000000"/>
        </w:rPr>
        <w:t>by following the Internet voting instructions</w:t>
      </w:r>
      <w:r>
        <w:rPr>
          <w:rFonts w:ascii="Arial" w:cs="Arial" w:eastAsia="Arial" w:hAnsi="Arial"/>
          <w:sz w:val="18"/>
          <w:szCs w:val="18"/>
          <w:i w:val="1"/>
          <w:iCs w:val="1"/>
          <w:color w:val="336699"/>
        </w:rPr>
        <w:t xml:space="preserve"> </w:t>
      </w:r>
      <w:r>
        <w:rPr>
          <w:rFonts w:ascii="Arial" w:cs="Arial" w:eastAsia="Arial" w:hAnsi="Arial"/>
          <w:sz w:val="18"/>
          <w:szCs w:val="18"/>
          <w:color w:val="000000"/>
        </w:rPr>
        <w:t>included in the proxy card at any time up until 11:59 p.m., Eastern Time, on May 16, 2017.</w:t>
      </w:r>
    </w:p>
    <w:p>
      <w:pPr>
        <w:spacing w:after="0" w:line="95" w:lineRule="exact"/>
        <w:rPr>
          <w:sz w:val="20"/>
          <w:szCs w:val="20"/>
          <w:color w:val="auto"/>
        </w:rPr>
      </w:pPr>
    </w:p>
    <w:p>
      <w:pPr>
        <w:spacing w:after="0" w:line="352" w:lineRule="auto"/>
        <w:rPr>
          <w:sz w:val="20"/>
          <w:szCs w:val="20"/>
          <w:color w:val="auto"/>
        </w:rPr>
      </w:pPr>
      <w:r>
        <w:rPr>
          <w:rFonts w:ascii="Arial" w:cs="Arial" w:eastAsia="Arial" w:hAnsi="Arial"/>
          <w:sz w:val="18"/>
          <w:szCs w:val="18"/>
          <w:i w:val="1"/>
          <w:iCs w:val="1"/>
          <w:color w:val="336699"/>
        </w:rPr>
        <w:t xml:space="preserve">By Mail: </w:t>
      </w:r>
      <w:r>
        <w:rPr>
          <w:rFonts w:ascii="Arial" w:cs="Arial" w:eastAsia="Arial" w:hAnsi="Arial"/>
          <w:sz w:val="18"/>
          <w:szCs w:val="18"/>
          <w:color w:val="000000"/>
        </w:rPr>
        <w:t>by marking, dating, and signing your printed proxy</w:t>
      </w:r>
      <w:r>
        <w:rPr>
          <w:rFonts w:ascii="Arial" w:cs="Arial" w:eastAsia="Arial" w:hAnsi="Arial"/>
          <w:sz w:val="18"/>
          <w:szCs w:val="18"/>
          <w:i w:val="1"/>
          <w:iCs w:val="1"/>
          <w:color w:val="336699"/>
        </w:rPr>
        <w:t xml:space="preserve"> </w:t>
      </w:r>
      <w:r>
        <w:rPr>
          <w:rFonts w:ascii="Arial" w:cs="Arial" w:eastAsia="Arial" w:hAnsi="Arial"/>
          <w:sz w:val="18"/>
          <w:szCs w:val="18"/>
          <w:color w:val="000000"/>
        </w:rPr>
        <w:t>card (if received by mail) in accordance with the instructions on it and returning it by mail in the pre-addressed reply envelope provided with the proxy materials for receipt prior to the Annual Meeting.</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color w:val="003E7E"/>
        </w:rPr>
        <w: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9"/>
          <w:szCs w:val="29"/>
          <w:color w:val="003E7E"/>
        </w:rPr>
        <w:t>I</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120"/>
        <w:spacing w:after="0" w:line="360" w:lineRule="auto"/>
        <w:rPr>
          <w:sz w:val="20"/>
          <w:szCs w:val="20"/>
          <w:color w:val="auto"/>
        </w:rPr>
      </w:pPr>
      <w:r>
        <w:rPr>
          <w:rFonts w:ascii="Arial" w:cs="Arial" w:eastAsia="Arial" w:hAnsi="Arial"/>
          <w:sz w:val="18"/>
          <w:szCs w:val="18"/>
          <w:i w:val="1"/>
          <w:iCs w:val="1"/>
          <w:color w:val="336699"/>
        </w:rPr>
        <w:t xml:space="preserve">By Telephone: </w:t>
      </w:r>
      <w:r>
        <w:rPr>
          <w:rFonts w:ascii="Arial" w:cs="Arial" w:eastAsia="Arial" w:hAnsi="Arial"/>
          <w:sz w:val="18"/>
          <w:szCs w:val="18"/>
          <w:color w:val="000000"/>
        </w:rPr>
        <w:t>by following the telephone voting instructions</w:t>
      </w:r>
      <w:r>
        <w:rPr>
          <w:rFonts w:ascii="Arial" w:cs="Arial" w:eastAsia="Arial" w:hAnsi="Arial"/>
          <w:sz w:val="18"/>
          <w:szCs w:val="18"/>
          <w:i w:val="1"/>
          <w:iCs w:val="1"/>
          <w:color w:val="336699"/>
        </w:rPr>
        <w:t xml:space="preserve"> </w:t>
      </w:r>
      <w:r>
        <w:rPr>
          <w:rFonts w:ascii="Arial" w:cs="Arial" w:eastAsia="Arial" w:hAnsi="Arial"/>
          <w:sz w:val="18"/>
          <w:szCs w:val="18"/>
          <w:color w:val="000000"/>
        </w:rPr>
        <w:t>included in the proxy card at any time up until 11:59 p.m., Eastern Time, on May 16, 2017.</w:t>
      </w:r>
    </w:p>
    <w:p>
      <w:pPr>
        <w:spacing w:after="0" w:line="149" w:lineRule="exact"/>
        <w:rPr>
          <w:sz w:val="20"/>
          <w:szCs w:val="20"/>
          <w:color w:val="auto"/>
        </w:rPr>
      </w:pPr>
    </w:p>
    <w:p>
      <w:pPr>
        <w:ind w:right="260"/>
        <w:spacing w:after="0" w:line="397" w:lineRule="auto"/>
        <w:rPr>
          <w:sz w:val="20"/>
          <w:szCs w:val="20"/>
          <w:color w:val="auto"/>
        </w:rPr>
      </w:pPr>
      <w:r>
        <w:rPr>
          <w:rFonts w:ascii="Arial" w:cs="Arial" w:eastAsia="Arial" w:hAnsi="Arial"/>
          <w:sz w:val="18"/>
          <w:szCs w:val="18"/>
          <w:i w:val="1"/>
          <w:iCs w:val="1"/>
          <w:color w:val="336699"/>
        </w:rPr>
        <w:t xml:space="preserve">In Person: </w:t>
      </w:r>
      <w:r>
        <w:rPr>
          <w:rFonts w:ascii="Arial" w:cs="Arial" w:eastAsia="Arial" w:hAnsi="Arial"/>
          <w:sz w:val="18"/>
          <w:szCs w:val="18"/>
          <w:color w:val="000000"/>
        </w:rPr>
        <w:t>by voting your shares in person at the Annual</w:t>
      </w:r>
      <w:r>
        <w:rPr>
          <w:rFonts w:ascii="Arial" w:cs="Arial" w:eastAsia="Arial" w:hAnsi="Arial"/>
          <w:sz w:val="18"/>
          <w:szCs w:val="18"/>
          <w:i w:val="1"/>
          <w:iCs w:val="1"/>
          <w:color w:val="336699"/>
        </w:rPr>
        <w:t xml:space="preserve"> </w:t>
      </w:r>
      <w:r>
        <w:rPr>
          <w:rFonts w:ascii="Arial" w:cs="Arial" w:eastAsia="Arial" w:hAnsi="Arial"/>
          <w:sz w:val="18"/>
          <w:szCs w:val="18"/>
          <w:color w:val="000000"/>
        </w:rPr>
        <w:t>Meeting (if you satisfy the admission requirements, as described above). Even if you plan to attend the Annual Meeting, we encourage you to vote in advance by Internet, telephone, or mail so that your vote will be counted in the event you later decide not to attend the Annual Meeting.</w:t>
      </w:r>
    </w:p>
    <w:p>
      <w:pPr>
        <w:spacing w:after="0" w:line="200" w:lineRule="exact"/>
        <w:rPr>
          <w:sz w:val="20"/>
          <w:szCs w:val="20"/>
          <w:color w:val="auto"/>
        </w:rPr>
      </w:pPr>
    </w:p>
    <w:p>
      <w:pPr>
        <w:sectPr>
          <w:pgSz w:w="11900" w:h="16838" w:orient="portrait"/>
          <w:cols w:equalWidth="0" w:num="4">
            <w:col w:w="160" w:space="340"/>
            <w:col w:w="4860" w:space="580"/>
            <w:col w:w="100" w:space="380"/>
            <w:col w:w="4940"/>
          </w:cols>
          <w:pgMar w:left="240" w:top="436" w:right="299" w:bottom="1440" w:gutter="0" w:footer="0" w:header="0"/>
          <w:type w:val="continuous"/>
        </w:sectPr>
      </w:pP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2 | </w:t>
      </w:r>
      <w:r>
        <w:rPr>
          <w:rFonts w:ascii="Arial" w:cs="Arial" w:eastAsia="Arial" w:hAnsi="Arial"/>
          <w:sz w:val="18"/>
          <w:szCs w:val="18"/>
          <w:b w:val="1"/>
          <w:bCs w:val="1"/>
          <w:color w:val="003B71"/>
        </w:rPr>
        <w:t>2017 Proxy Statement</w:t>
      </w:r>
    </w:p>
    <w:p>
      <w:pPr>
        <w:sectPr>
          <w:pgSz w:w="11900" w:h="16838" w:orient="portrait"/>
          <w:cols w:equalWidth="0" w:num="1">
            <w:col w:w="11360"/>
          </w:cols>
          <w:pgMar w:left="240" w:top="436" w:right="299" w:bottom="1440" w:gutter="0" w:footer="0" w:header="0"/>
          <w:type w:val="continuous"/>
        </w:sectPr>
      </w:pPr>
    </w:p>
    <w:bookmarkStart w:id="8" w:name="page9"/>
    <w:bookmarkEnd w:id="8"/>
    <w:p>
      <w:pPr>
        <w:ind w:left="948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General Information</w:t>
      </w:r>
    </w:p>
    <w:p>
      <w:pPr>
        <w:sectPr>
          <w:pgSz w:w="11900" w:h="16838" w:orient="portrait"/>
          <w:cols w:equalWidth="0" w:num="1">
            <w:col w:w="11420"/>
          </w:cols>
          <w:pgMar w:left="240" w:top="4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40" w:right="380"/>
        <w:spacing w:after="0" w:line="236" w:lineRule="auto"/>
        <w:rPr>
          <w:sz w:val="20"/>
          <w:szCs w:val="20"/>
          <w:color w:val="auto"/>
        </w:rPr>
      </w:pPr>
      <w:r>
        <w:rPr>
          <w:rFonts w:ascii="Arial" w:cs="Arial" w:eastAsia="Arial" w:hAnsi="Arial"/>
          <w:sz w:val="18"/>
          <w:szCs w:val="18"/>
          <w:color w:val="FFFFFF"/>
        </w:rPr>
        <w:t>If your shares are held in street name through a broker, bank, or other intermediary, your broker, bank, or other intermediary should give you instructions for voting your shares. In these cases, you may vote by Internet, telephone, or mail, as instructed by your broker, bank, or other intermediary. You may also vote in person if you obtain a legal proxy from your broker, giving you the right to vote the shares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-1135380</wp:posOffset>
            </wp:positionV>
            <wp:extent cx="3336290" cy="1303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36290" cy="1303655"/>
                    </a:xfrm>
                    <a:prstGeom prst="rect">
                      <a:avLst/>
                    </a:prstGeom>
                    <a:noFill/>
                  </pic:spPr>
                </pic:pic>
              </a:graphicData>
            </a:graphic>
          </wp:anchor>
        </w:drawing>
      </w:r>
    </w:p>
    <w:p>
      <w:pPr>
        <w:spacing w:after="0" w:line="3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Shares of Common Stock represented by properly executed proxy cards received by the Company in time for the meeting will be voted in accordance with the instructions specified in the proxies. If you submit a proxy but do not indicate any voting instructions, your shares will be voted </w:t>
      </w:r>
      <w:r>
        <w:rPr>
          <w:rFonts w:ascii="Arial" w:cs="Arial" w:eastAsia="Arial" w:hAnsi="Arial"/>
          <w:sz w:val="18"/>
          <w:szCs w:val="18"/>
          <w:b w:val="1"/>
          <w:bCs w:val="1"/>
          <w:color w:val="336699"/>
        </w:rPr>
        <w:t>“FOR”</w:t>
      </w:r>
      <w:r>
        <w:rPr>
          <w:rFonts w:ascii="Arial" w:cs="Arial" w:eastAsia="Arial" w:hAnsi="Arial"/>
          <w:sz w:val="18"/>
          <w:szCs w:val="18"/>
          <w:color w:val="auto"/>
        </w:rPr>
        <w:t xml:space="preserve"> the election as a director of each nominee named in this proxy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statement; </w:t>
      </w:r>
      <w:r>
        <w:rPr>
          <w:rFonts w:ascii="Arial" w:cs="Arial" w:eastAsia="Arial" w:hAnsi="Arial"/>
          <w:sz w:val="18"/>
          <w:szCs w:val="18"/>
          <w:b w:val="1"/>
          <w:bCs w:val="1"/>
          <w:color w:val="336699"/>
        </w:rPr>
        <w:t>“FOR”</w:t>
      </w:r>
      <w:r>
        <w:rPr>
          <w:rFonts w:ascii="Arial" w:cs="Arial" w:eastAsia="Arial" w:hAnsi="Arial"/>
          <w:sz w:val="18"/>
          <w:szCs w:val="18"/>
          <w:color w:val="auto"/>
        </w:rPr>
        <w:t xml:space="preserve"> the ratification of the appointment of Deloitte &amp; Touche LLP as our independent registered public accounting firm; </w:t>
      </w:r>
      <w:r>
        <w:rPr>
          <w:rFonts w:ascii="Arial" w:cs="Arial" w:eastAsia="Arial" w:hAnsi="Arial"/>
          <w:sz w:val="18"/>
          <w:szCs w:val="18"/>
          <w:b w:val="1"/>
          <w:bCs w:val="1"/>
          <w:color w:val="336699"/>
        </w:rPr>
        <w:t xml:space="preserve">“FOR” </w:t>
      </w:r>
      <w:r>
        <w:rPr>
          <w:rFonts w:ascii="Arial" w:cs="Arial" w:eastAsia="Arial" w:hAnsi="Arial"/>
          <w:sz w:val="18"/>
          <w:szCs w:val="18"/>
          <w:color w:val="000000"/>
        </w:rPr>
        <w:t>the proposal regarding an advisory vote on executive</w:t>
      </w:r>
      <w:r>
        <w:rPr>
          <w:rFonts w:ascii="Arial" w:cs="Arial" w:eastAsia="Arial" w:hAnsi="Arial"/>
          <w:sz w:val="18"/>
          <w:szCs w:val="18"/>
          <w:b w:val="1"/>
          <w:bCs w:val="1"/>
          <w:color w:val="336699"/>
        </w:rPr>
        <w:t xml:space="preserve"> </w:t>
      </w:r>
      <w:r>
        <w:rPr>
          <w:rFonts w:ascii="Arial" w:cs="Arial" w:eastAsia="Arial" w:hAnsi="Arial"/>
          <w:sz w:val="18"/>
          <w:szCs w:val="18"/>
          <w:color w:val="000000"/>
        </w:rPr>
        <w:t xml:space="preserve">compensation; and </w:t>
      </w:r>
      <w:r>
        <w:rPr>
          <w:rFonts w:ascii="Arial" w:cs="Arial" w:eastAsia="Arial" w:hAnsi="Arial"/>
          <w:sz w:val="18"/>
          <w:szCs w:val="18"/>
          <w:b w:val="1"/>
          <w:bCs w:val="1"/>
          <w:color w:val="336699"/>
        </w:rPr>
        <w:t>“EVERY YEAR</w:t>
      </w:r>
      <w:r>
        <w:rPr>
          <w:rFonts w:ascii="Arial" w:cs="Arial" w:eastAsia="Arial" w:hAnsi="Arial"/>
          <w:sz w:val="18"/>
          <w:szCs w:val="18"/>
          <w:b w:val="1"/>
          <w:bCs w:val="1"/>
          <w:color w:val="006EBF"/>
        </w:rPr>
        <w:t>”</w:t>
      </w:r>
      <w:r>
        <w:rPr>
          <w:rFonts w:ascii="Arial" w:cs="Arial" w:eastAsia="Arial" w:hAnsi="Arial"/>
          <w:sz w:val="18"/>
          <w:szCs w:val="18"/>
          <w:color w:val="000000"/>
        </w:rPr>
        <w:t xml:space="preserve"> for the advisory vote on the frequency of future executive compensation advisory votes.</w:t>
      </w:r>
    </w:p>
    <w:p>
      <w:pPr>
        <w:spacing w:after="0" w:line="31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management and Board of Directors know of no other matters to be brought before the Annual Meeting. If other matters are properly presented to the stockholders for action at the Annual Meeting or any adjournments or postponements thereof, it is the intention of the proxy holders named in the proxy card to vote in their discretion on all matters on which the shares of Common Stock represented by such proxy are entitled to vote.</w:t>
      </w:r>
    </w:p>
    <w:p>
      <w:pPr>
        <w:spacing w:after="0" w:line="765" w:lineRule="exact"/>
        <w:rPr>
          <w:sz w:val="20"/>
          <w:szCs w:val="20"/>
          <w:color w:val="auto"/>
        </w:rPr>
      </w:pPr>
    </w:p>
    <w:p>
      <w:pPr>
        <w:sectPr>
          <w:pgSz w:w="11900" w:h="16838" w:orient="portrait"/>
          <w:cols w:equalWidth="0" w:num="2">
            <w:col w:w="5420" w:space="520"/>
            <w:col w:w="5480"/>
          </w:cols>
          <w:pgMar w:left="240" w:top="436" w:right="239" w:bottom="1440" w:gutter="0" w:footer="0" w:header="0"/>
          <w:type w:val="continuous"/>
        </w:sectPr>
      </w:pP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Voting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27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27762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336699"/>
        </w:rPr>
        <w:t>Proposal One—Election of Directors</w:t>
      </w:r>
    </w:p>
    <w:p>
      <w:pPr>
        <w:spacing w:after="0" w:line="284" w:lineRule="exact"/>
        <w:rPr>
          <w:sz w:val="20"/>
          <w:szCs w:val="20"/>
          <w:color w:val="auto"/>
        </w:rPr>
      </w:pPr>
    </w:p>
    <w:p>
      <w:pPr>
        <w:ind w:left="380" w:right="240"/>
        <w:spacing w:after="0" w:line="239" w:lineRule="auto"/>
        <w:rPr>
          <w:sz w:val="20"/>
          <w:szCs w:val="20"/>
          <w:color w:val="auto"/>
        </w:rPr>
      </w:pPr>
      <w:r>
        <w:rPr>
          <w:rFonts w:ascii="Arial" w:cs="Arial" w:eastAsia="Arial" w:hAnsi="Arial"/>
          <w:sz w:val="18"/>
          <w:szCs w:val="18"/>
          <w:color w:val="auto"/>
        </w:rPr>
        <w:t>Our bylaws provide that a nominee for director will be elected if the number of votes properly cast “for” such nominee’s election exceeds the number of votes properly cast “against” such nominee’s election; however, if the number of persons properly nominated for election to the Board of Directors exceeds the number of directors to be elected, the directors will be elected by the plurality of the votes properly cast. A vote to abstain or a broker non-vote will have no direct effect on the outcome of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1080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336699"/>
        </w:rPr>
        <w:t>Proposal Two—Ratification of Appointment of Deloitte &amp; Touche LLP</w:t>
      </w:r>
    </w:p>
    <w:p>
      <w:pPr>
        <w:spacing w:after="0" w:line="284" w:lineRule="exact"/>
        <w:rPr>
          <w:sz w:val="20"/>
          <w:szCs w:val="20"/>
          <w:color w:val="auto"/>
        </w:rPr>
      </w:pPr>
    </w:p>
    <w:p>
      <w:pPr>
        <w:ind w:left="380" w:right="400"/>
        <w:spacing w:after="0"/>
        <w:rPr>
          <w:sz w:val="20"/>
          <w:szCs w:val="20"/>
          <w:color w:val="auto"/>
        </w:rPr>
      </w:pPr>
      <w:r>
        <w:rPr>
          <w:rFonts w:ascii="Arial" w:cs="Arial" w:eastAsia="Arial" w:hAnsi="Arial"/>
          <w:sz w:val="18"/>
          <w:szCs w:val="18"/>
          <w:color w:val="auto"/>
        </w:rPr>
        <w:t>The proposal to ratify the appointment of Deloitte &amp; Touche LLP will be determined by a majority of the votes cast on the matter affirmatively or negatively in person or by proxy at the Annual Meeting. A vote to abstain or a broker non-vote will have no direct effect on the outcome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406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336699"/>
        </w:rPr>
        <w:t>Proposal Three—Advisory Vote on Executive Compensation</w:t>
      </w:r>
    </w:p>
    <w:p>
      <w:pPr>
        <w:spacing w:after="0" w:line="284" w:lineRule="exact"/>
        <w:rPr>
          <w:sz w:val="20"/>
          <w:szCs w:val="20"/>
          <w:color w:val="auto"/>
        </w:rPr>
      </w:pPr>
    </w:p>
    <w:p>
      <w:pPr>
        <w:ind w:left="380" w:right="240"/>
        <w:spacing w:after="0" w:line="238" w:lineRule="auto"/>
        <w:rPr>
          <w:sz w:val="20"/>
          <w:szCs w:val="20"/>
          <w:color w:val="auto"/>
        </w:rPr>
      </w:pPr>
      <w:r>
        <w:rPr>
          <w:rFonts w:ascii="Arial" w:cs="Arial" w:eastAsia="Arial" w:hAnsi="Arial"/>
          <w:sz w:val="18"/>
          <w:szCs w:val="18"/>
          <w:color w:val="auto"/>
        </w:rPr>
        <w:t>Because the proposal to approve, on an advisory basis, the compensation awarded to named executive officers for the fiscal year ended December 31, 2016 is a non-binding, advisory vote, there is no required vote that would constitute approval. The vote is advisory and non-binding in nature but our Compensation and Human Resources Committee (the “Compensation Committee”) will take into account the outcome of the vote when considering future executive compensation arrangements. A vote to abstain or a broker non-vote will have no direct effect on the outcome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27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36699"/>
        </w:rPr>
        <w:t>Proposal Four—Advisory Vote on the Frequency of Future Advisory Votes on Executive Compensation</w:t>
      </w:r>
    </w:p>
    <w:p>
      <w:pPr>
        <w:spacing w:after="0" w:line="284" w:lineRule="exact"/>
        <w:rPr>
          <w:sz w:val="20"/>
          <w:szCs w:val="20"/>
          <w:color w:val="auto"/>
        </w:rPr>
      </w:pPr>
    </w:p>
    <w:p>
      <w:pPr>
        <w:ind w:left="260" w:right="540"/>
        <w:spacing w:after="0" w:line="239" w:lineRule="auto"/>
        <w:rPr>
          <w:sz w:val="20"/>
          <w:szCs w:val="20"/>
          <w:color w:val="auto"/>
        </w:rPr>
      </w:pPr>
      <w:r>
        <w:rPr>
          <w:rFonts w:ascii="Arial" w:cs="Arial" w:eastAsia="Arial" w:hAnsi="Arial"/>
          <w:sz w:val="18"/>
          <w:szCs w:val="18"/>
          <w:color w:val="auto"/>
        </w:rPr>
        <w:t>Because the proposal to approve, on an advisory basis, the frequency of future advisory votes on executive compensation is a non-binding, advisory vote, there is no required vote that would constitute approval. The vote is advisory and non-binding in nature but our Compensation Committee will take into account the outcome of the vote when determining the frequency of future advisory votes on executive compensation. A vote to abstain or a broker non-vote will have no direct effect on the outcome of the proposal.</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3</w:t>
      </w:r>
    </w:p>
    <w:p>
      <w:pPr>
        <w:sectPr>
          <w:pgSz w:w="11900" w:h="16838" w:orient="portrait"/>
          <w:cols w:equalWidth="0" w:num="1">
            <w:col w:w="11420"/>
          </w:cols>
          <w:pgMar w:left="240" w:top="436" w:right="239" w:bottom="1440" w:gutter="0" w:footer="0" w:header="0"/>
          <w:type w:val="continuous"/>
        </w:sectPr>
      </w:pPr>
    </w:p>
    <w:bookmarkStart w:id="9" w:name="page10"/>
    <w:bookmarkEnd w:id="9"/>
    <w:p>
      <w:pPr>
        <w:jc w:val="right"/>
        <w:ind w:right="4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General Information</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020" w:type="dxa"/>
            <w:vAlign w:val="bottom"/>
          </w:tcPr>
          <w:p>
            <w:pPr>
              <w:spacing w:after="0"/>
              <w:rPr>
                <w:sz w:val="20"/>
                <w:szCs w:val="20"/>
                <w:color w:val="auto"/>
              </w:rPr>
            </w:pPr>
            <w:r>
              <w:rPr>
                <w:rFonts w:ascii="Arial" w:cs="Arial" w:eastAsia="Arial" w:hAnsi="Arial"/>
                <w:sz w:val="20"/>
                <w:szCs w:val="20"/>
                <w:b w:val="1"/>
                <w:bCs w:val="1"/>
                <w:color w:val="336699"/>
              </w:rPr>
              <w:t>Revocation of Proxies</w:t>
            </w:r>
          </w:p>
        </w:tc>
        <w:tc>
          <w:tcPr>
            <w:tcW w:w="3240" w:type="dxa"/>
            <w:vAlign w:val="bottom"/>
            <w:vMerge w:val="restart"/>
          </w:tcPr>
          <w:p>
            <w:pPr>
              <w:ind w:left="1920"/>
              <w:spacing w:after="0"/>
              <w:rPr>
                <w:sz w:val="20"/>
                <w:szCs w:val="20"/>
                <w:color w:val="auto"/>
              </w:rPr>
            </w:pPr>
            <w:r>
              <w:rPr>
                <w:rFonts w:ascii="Arial" w:cs="Arial" w:eastAsia="Arial" w:hAnsi="Arial"/>
                <w:sz w:val="20"/>
                <w:szCs w:val="20"/>
                <w:b w:val="1"/>
                <w:bCs w:val="1"/>
                <w:color w:val="336699"/>
                <w:w w:val="97"/>
              </w:rPr>
              <w:t>Householding</w:t>
            </w:r>
          </w:p>
        </w:tc>
        <w:tc>
          <w:tcPr>
            <w:tcW w:w="0" w:type="dxa"/>
            <w:vAlign w:val="bottom"/>
          </w:tcPr>
          <w:p>
            <w:pPr>
              <w:spacing w:after="0"/>
              <w:rPr>
                <w:sz w:val="1"/>
                <w:szCs w:val="1"/>
                <w:color w:val="auto"/>
              </w:rPr>
            </w:pPr>
          </w:p>
        </w:tc>
      </w:tr>
      <w:tr>
        <w:trPr>
          <w:trHeight w:val="103"/>
        </w:trPr>
        <w:tc>
          <w:tcPr>
            <w:tcW w:w="4020" w:type="dxa"/>
            <w:vAlign w:val="bottom"/>
          </w:tcPr>
          <w:p>
            <w:pPr>
              <w:spacing w:after="0"/>
              <w:rPr>
                <w:sz w:val="8"/>
                <w:szCs w:val="8"/>
                <w:color w:val="auto"/>
              </w:rPr>
            </w:pPr>
          </w:p>
        </w:tc>
        <w:tc>
          <w:tcPr>
            <w:tcW w:w="3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00"/>
          </w:cols>
          <w:pgMar w:left="240" w:top="436" w:right="259" w:bottom="1440" w:gutter="0" w:footer="0" w:header="0"/>
        </w:sectPr>
      </w:pPr>
    </w:p>
    <w:p>
      <w:pPr>
        <w:spacing w:after="0" w:line="251" w:lineRule="auto"/>
        <w:rPr>
          <w:sz w:val="20"/>
          <w:szCs w:val="20"/>
          <w:color w:val="auto"/>
        </w:rPr>
      </w:pPr>
      <w:r>
        <w:rPr>
          <w:rFonts w:ascii="Arial" w:cs="Arial" w:eastAsia="Arial" w:hAnsi="Arial"/>
          <w:sz w:val="18"/>
          <w:szCs w:val="18"/>
          <w:color w:val="auto"/>
        </w:rPr>
        <w:t xml:space="preserve">If you submit a proxy, you are entitled to revoke your proxy at any time before it is exercised in one of the following ways: by attending the Annual Meeting and voting in person, by submitting a duly executed proxy bearing a later date, or by sending written notice of revocation to our corporate secretary at LPL Financial Holdings Inc., 75 State Street, Boston, </w:t>
      </w:r>
      <w:r>
        <w:rPr>
          <w:rFonts w:ascii="Arial" w:cs="Arial" w:eastAsia="Arial" w:hAnsi="Arial"/>
          <w:sz w:val="18"/>
          <w:szCs w:val="18"/>
          <w:color w:val="252525"/>
        </w:rPr>
        <w:t>Massachusetts</w:t>
      </w:r>
      <w:r>
        <w:rPr>
          <w:rFonts w:ascii="Arial" w:cs="Arial" w:eastAsia="Arial" w:hAnsi="Arial"/>
          <w:sz w:val="18"/>
          <w:szCs w:val="18"/>
          <w:color w:val="auto"/>
        </w:rPr>
        <w:t xml:space="preserve"> 02109. A stockholder of record who voted through the Internet or by telephone may also change his or her vote with a timely and valid later Internet or telephone vote, as the case may be. Any stockholder of record as of the Record Date attending the Annual Meeting may vote in person whether or not a proxy has previously been given, but the presence (without further action) of a stockholder at the Annual Meeting will not constitute revocation of a previously given proxy. If you hold your shares in street name and would like to change your voting instructions, please follow the instructions provided to you by your broker, bank, or other intermediary.</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Solicitation of Proxies</w:t>
      </w:r>
    </w:p>
    <w:p>
      <w:pPr>
        <w:spacing w:after="0" w:line="24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Board of Directors of LPL Financial Holdings Inc. is soliciting proxies. Copies of proxy materials and the Annual Report will be supplied to brokers, dealers, banks and voting trustees, or their nominees, for the purpose of soliciting proxies from beneficial owners, and we will reimburse such record holders for their reasonable expenses. Stockholders who elect to vote through the Internet or by telephone may incur costs such as telecommunication and internet access charges for which the stockholder is solely responsible. The telephone and Internet voting facilities for stockholders of record will close at 11:59 p.m. Eastern Time on May 16, 2017. The Company will otherwise pay the expenses of solicitation of proxies.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Only one copy of the proxy statement and Annual Report is being delivered to multiple stockholders sharing an address, unless we have received contrary instructions from one or more of the stockholders. We will undertake to deliver promptly, upon written or oral request, a separate copy of the proxy statement and/or Annual Report to a stockholder at a shared address to which single copies of the proxy statement and Annual Report were delivered. You may make a written or oral request by sending a written notification to our corporate secretary at LPL Financial Holdings Inc., 75 State Street, Boston, Massachusetts 02109, or by calling our offices at (617) 423-3644, extension 0, and providing your name, your shared address, and the address to which we should direct the additional copies of the proxy statement and Annual Report. Multiple stockholders sharing an address who have received one copy of the proxy statement and Annual Report and would prefer us to mail each stockholder a separate copy of future mailings should contact us at the address or telephone number above. Additionally, if current stockholders with a shared address received multiple copies of the proxy statement and Annual Report and would prefer us to mail one copy of future mailings to stockholders at the shared address, please notify us at the address or telephone number above.</w:t>
      </w:r>
    </w:p>
    <w:p>
      <w:pPr>
        <w:spacing w:after="0" w:line="2316" w:lineRule="exact"/>
        <w:rPr>
          <w:sz w:val="20"/>
          <w:szCs w:val="20"/>
          <w:color w:val="auto"/>
        </w:rPr>
      </w:pPr>
    </w:p>
    <w:p>
      <w:pPr>
        <w:sectPr>
          <w:pgSz w:w="11900" w:h="16838" w:orient="portrait"/>
          <w:cols w:equalWidth="0" w:num="2">
            <w:col w:w="5460" w:space="480"/>
            <w:col w:w="5460"/>
          </w:cols>
          <w:pgMar w:left="240" w:top="436" w:right="25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4 | </w:t>
      </w:r>
      <w:r>
        <w:rPr>
          <w:rFonts w:ascii="Arial" w:cs="Arial" w:eastAsia="Arial" w:hAnsi="Arial"/>
          <w:sz w:val="18"/>
          <w:szCs w:val="18"/>
          <w:b w:val="1"/>
          <w:bCs w:val="1"/>
          <w:color w:val="003B71"/>
        </w:rPr>
        <w:t>2017 Proxy Statement</w:t>
      </w:r>
    </w:p>
    <w:p>
      <w:pPr>
        <w:sectPr>
          <w:pgSz w:w="11900" w:h="16838" w:orient="portrait"/>
          <w:cols w:equalWidth="0" w:num="1">
            <w:col w:w="11400"/>
          </w:cols>
          <w:pgMar w:left="240" w:top="436" w:right="259" w:bottom="1440" w:gutter="0" w:footer="0" w:header="0"/>
          <w:type w:val="continuous"/>
        </w:sectPr>
      </w:pPr>
    </w:p>
    <w:bookmarkStart w:id="10" w:name="page11"/>
    <w:bookmarkEnd w:id="10"/>
    <w:p>
      <w:pPr>
        <w:jc w:val="right"/>
        <w:ind w:right="38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380365</wp:posOffset>
            </wp:positionH>
            <wp:positionV relativeFrom="page">
              <wp:posOffset>174625</wp:posOffset>
            </wp:positionV>
            <wp:extent cx="6809105" cy="3257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9105" cy="325755"/>
                    </a:xfrm>
                    <a:prstGeom prst="rect">
                      <a:avLst/>
                    </a:prstGeom>
                    <a:noFill/>
                  </pic:spPr>
                </pic:pic>
              </a:graphicData>
            </a:graphic>
          </wp:anchor>
        </w:drawing>
        <w:t>General Information About Corporate</w:t>
      </w:r>
    </w:p>
    <w:p>
      <w:pPr>
        <w:spacing w:after="0" w:line="10" w:lineRule="exact"/>
        <w:rPr>
          <w:sz w:val="20"/>
          <w:szCs w:val="20"/>
          <w:color w:val="auto"/>
        </w:rPr>
      </w:pPr>
    </w:p>
    <w:p>
      <w:pPr>
        <w:jc w:val="right"/>
        <w:ind w:right="380"/>
        <w:spacing w:after="0"/>
        <w:rPr>
          <w:sz w:val="20"/>
          <w:szCs w:val="20"/>
          <w:color w:val="auto"/>
        </w:rPr>
      </w:pPr>
      <w:r>
        <w:rPr>
          <w:rFonts w:ascii="Arial" w:cs="Arial" w:eastAsia="Arial" w:hAnsi="Arial"/>
          <w:sz w:val="20"/>
          <w:szCs w:val="20"/>
          <w:b w:val="1"/>
          <w:bCs w:val="1"/>
          <w:color w:val="003B71"/>
        </w:rPr>
        <w:t>Governance and the Board of Directors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336699"/>
        </w:rPr>
        <w:t>General Information About Corporate Governance and the Board of Directors</w:t>
      </w:r>
    </w:p>
    <w:p>
      <w:pPr>
        <w:spacing w:after="0" w:line="2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believe that good corporate governance is important to ensure that we are managed for the long-term benefit of our stockholders. In support of that philosophy, we have adopted many leading corporate governance practices, including those summarized below and elsewhere in this proxy statement.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20" w:type="dxa"/>
            <w:vAlign w:val="bottom"/>
          </w:tcPr>
          <w:p>
            <w:pPr>
              <w:spacing w:after="0"/>
              <w:rPr>
                <w:sz w:val="20"/>
                <w:szCs w:val="20"/>
                <w:color w:val="auto"/>
              </w:rPr>
            </w:pPr>
          </w:p>
        </w:tc>
        <w:tc>
          <w:tcPr>
            <w:tcW w:w="7960" w:type="dxa"/>
            <w:vAlign w:val="bottom"/>
          </w:tcPr>
          <w:p>
            <w:pPr>
              <w:ind w:left="1600"/>
              <w:spacing w:after="0"/>
              <w:rPr>
                <w:sz w:val="20"/>
                <w:szCs w:val="20"/>
                <w:color w:val="auto"/>
              </w:rPr>
            </w:pPr>
            <w:r>
              <w:rPr>
                <w:rFonts w:ascii="Arial" w:cs="Arial" w:eastAsia="Arial" w:hAnsi="Arial"/>
                <w:sz w:val="18"/>
                <w:szCs w:val="18"/>
                <w:b w:val="1"/>
                <w:bCs w:val="1"/>
                <w:color w:val="336699"/>
              </w:rPr>
              <w:t>BOARD PRACTICES</w:t>
            </w:r>
          </w:p>
        </w:tc>
      </w:tr>
      <w:tr>
        <w:trPr>
          <w:trHeight w:val="68"/>
        </w:trPr>
        <w:tc>
          <w:tcPr>
            <w:tcW w:w="3020" w:type="dxa"/>
            <w:vAlign w:val="bottom"/>
          </w:tcPr>
          <w:p>
            <w:pPr>
              <w:spacing w:after="0"/>
              <w:rPr>
                <w:sz w:val="5"/>
                <w:szCs w:val="5"/>
                <w:color w:val="auto"/>
              </w:rPr>
            </w:pPr>
          </w:p>
        </w:tc>
        <w:tc>
          <w:tcPr>
            <w:tcW w:w="7960" w:type="dxa"/>
            <w:vAlign w:val="bottom"/>
          </w:tcPr>
          <w:p>
            <w:pPr>
              <w:spacing w:after="0"/>
              <w:rPr>
                <w:sz w:val="5"/>
                <w:szCs w:val="5"/>
                <w:color w:val="auto"/>
              </w:rPr>
            </w:pPr>
          </w:p>
        </w:tc>
      </w:tr>
      <w:tr>
        <w:trPr>
          <w:trHeight w:val="283"/>
        </w:trPr>
        <w:tc>
          <w:tcPr>
            <w:tcW w:w="3020" w:type="dxa"/>
            <w:vAlign w:val="bottom"/>
            <w:shd w:val="clear" w:color="auto" w:fill="CCFFFF"/>
          </w:tcPr>
          <w:p>
            <w:pPr>
              <w:ind w:left="40"/>
              <w:spacing w:after="0"/>
              <w:rPr>
                <w:sz w:val="20"/>
                <w:szCs w:val="20"/>
                <w:color w:val="auto"/>
              </w:rPr>
            </w:pPr>
            <w:r>
              <w:rPr>
                <w:rFonts w:ascii="Arial" w:cs="Arial" w:eastAsia="Arial" w:hAnsi="Arial"/>
                <w:sz w:val="18"/>
                <w:szCs w:val="18"/>
                <w:color w:val="auto"/>
              </w:rPr>
              <w:t>Independence</w:t>
            </w: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A majority of our directors must be independent. Currently, all of our directors other than our</w:t>
            </w:r>
          </w:p>
        </w:tc>
      </w:tr>
      <w:tr>
        <w:trPr>
          <w:trHeight w:val="203"/>
        </w:trPr>
        <w:tc>
          <w:tcPr>
            <w:tcW w:w="3020" w:type="dxa"/>
            <w:vAlign w:val="bottom"/>
            <w:shd w:val="clear" w:color="auto" w:fill="CCFFFF"/>
          </w:tcPr>
          <w:p>
            <w:pPr>
              <w:spacing w:after="0"/>
              <w:rPr>
                <w:sz w:val="17"/>
                <w:szCs w:val="17"/>
                <w:color w:val="auto"/>
              </w:rPr>
            </w:pPr>
          </w:p>
        </w:tc>
        <w:tc>
          <w:tcPr>
            <w:tcW w:w="7960" w:type="dxa"/>
            <w:vAlign w:val="bottom"/>
            <w:shd w:val="clear" w:color="auto" w:fill="CCFFFF"/>
          </w:tcPr>
          <w:p>
            <w:pPr>
              <w:ind w:left="320"/>
              <w:spacing w:after="0" w:line="202" w:lineRule="exact"/>
              <w:rPr>
                <w:sz w:val="20"/>
                <w:szCs w:val="20"/>
                <w:color w:val="auto"/>
              </w:rPr>
            </w:pPr>
            <w:r>
              <w:rPr>
                <w:rFonts w:ascii="Arial" w:cs="Arial" w:eastAsia="Arial" w:hAnsi="Arial"/>
                <w:sz w:val="18"/>
                <w:szCs w:val="18"/>
                <w:color w:val="auto"/>
              </w:rPr>
              <w:t>chief executive officer are independent, and all of our committees consist exclusively of</w:t>
            </w:r>
          </w:p>
        </w:tc>
      </w:tr>
      <w:tr>
        <w:trPr>
          <w:trHeight w:val="217"/>
        </w:trPr>
        <w:tc>
          <w:tcPr>
            <w:tcW w:w="3020" w:type="dxa"/>
            <w:vAlign w:val="bottom"/>
            <w:shd w:val="clear" w:color="auto" w:fill="CCFFFF"/>
          </w:tcPr>
          <w:p>
            <w:pPr>
              <w:spacing w:after="0"/>
              <w:rPr>
                <w:sz w:val="18"/>
                <w:szCs w:val="18"/>
                <w:color w:val="auto"/>
              </w:rPr>
            </w:pP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independent directors.</w:t>
            </w:r>
          </w:p>
        </w:tc>
      </w:tr>
      <w:tr>
        <w:trPr>
          <w:trHeight w:val="68"/>
        </w:trPr>
        <w:tc>
          <w:tcPr>
            <w:tcW w:w="3020" w:type="dxa"/>
            <w:vAlign w:val="bottom"/>
            <w:shd w:val="clear" w:color="auto" w:fill="CCFFFF"/>
          </w:tcPr>
          <w:p>
            <w:pPr>
              <w:spacing w:after="0"/>
              <w:rPr>
                <w:sz w:val="5"/>
                <w:szCs w:val="5"/>
                <w:color w:val="auto"/>
              </w:rPr>
            </w:pPr>
          </w:p>
        </w:tc>
        <w:tc>
          <w:tcPr>
            <w:tcW w:w="7960" w:type="dxa"/>
            <w:vAlign w:val="bottom"/>
            <w:shd w:val="clear" w:color="auto" w:fill="CCFFFF"/>
          </w:tcPr>
          <w:p>
            <w:pPr>
              <w:spacing w:after="0"/>
              <w:rPr>
                <w:sz w:val="5"/>
                <w:szCs w:val="5"/>
                <w:color w:val="auto"/>
              </w:rPr>
            </w:pPr>
          </w:p>
        </w:tc>
      </w:tr>
      <w:tr>
        <w:trPr>
          <w:trHeight w:val="283"/>
        </w:trPr>
        <w:tc>
          <w:tcPr>
            <w:tcW w:w="3020" w:type="dxa"/>
            <w:vAlign w:val="bottom"/>
          </w:tcPr>
          <w:p>
            <w:pPr>
              <w:ind w:left="40"/>
              <w:spacing w:after="0"/>
              <w:rPr>
                <w:sz w:val="20"/>
                <w:szCs w:val="20"/>
                <w:color w:val="auto"/>
              </w:rPr>
            </w:pPr>
            <w:r>
              <w:rPr>
                <w:rFonts w:ascii="Arial" w:cs="Arial" w:eastAsia="Arial" w:hAnsi="Arial"/>
                <w:sz w:val="18"/>
                <w:szCs w:val="18"/>
                <w:color w:val="auto"/>
              </w:rPr>
              <w:t>Non-executive Chair</w:t>
            </w:r>
          </w:p>
        </w:tc>
        <w:tc>
          <w:tcPr>
            <w:tcW w:w="7960" w:type="dxa"/>
            <w:vAlign w:val="bottom"/>
          </w:tcPr>
          <w:p>
            <w:pPr>
              <w:ind w:left="320"/>
              <w:spacing w:after="0"/>
              <w:rPr>
                <w:sz w:val="20"/>
                <w:szCs w:val="20"/>
                <w:color w:val="auto"/>
              </w:rPr>
            </w:pPr>
            <w:r>
              <w:rPr>
                <w:rFonts w:ascii="Arial" w:cs="Arial" w:eastAsia="Arial" w:hAnsi="Arial"/>
                <w:sz w:val="18"/>
                <w:szCs w:val="18"/>
                <w:color w:val="auto"/>
              </w:rPr>
              <w:t>We currently separate the offices of chair of the Board and chief executive officer of the</w:t>
            </w:r>
          </w:p>
        </w:tc>
      </w:tr>
      <w:tr>
        <w:trPr>
          <w:trHeight w:val="217"/>
        </w:trPr>
        <w:tc>
          <w:tcPr>
            <w:tcW w:w="30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Company. The current chair of our Board, James S. Putnam, is an independent director.</w:t>
            </w:r>
          </w:p>
        </w:tc>
      </w:tr>
      <w:tr>
        <w:trPr>
          <w:trHeight w:val="68"/>
        </w:trPr>
        <w:tc>
          <w:tcPr>
            <w:tcW w:w="3020" w:type="dxa"/>
            <w:vAlign w:val="bottom"/>
          </w:tcPr>
          <w:p>
            <w:pPr>
              <w:spacing w:after="0"/>
              <w:rPr>
                <w:sz w:val="5"/>
                <w:szCs w:val="5"/>
                <w:color w:val="auto"/>
              </w:rPr>
            </w:pPr>
          </w:p>
        </w:tc>
        <w:tc>
          <w:tcPr>
            <w:tcW w:w="7960" w:type="dxa"/>
            <w:vAlign w:val="bottom"/>
          </w:tcPr>
          <w:p>
            <w:pPr>
              <w:spacing w:after="0"/>
              <w:rPr>
                <w:sz w:val="5"/>
                <w:szCs w:val="5"/>
                <w:color w:val="auto"/>
              </w:rPr>
            </w:pPr>
          </w:p>
        </w:tc>
      </w:tr>
      <w:tr>
        <w:trPr>
          <w:trHeight w:val="283"/>
        </w:trPr>
        <w:tc>
          <w:tcPr>
            <w:tcW w:w="3020" w:type="dxa"/>
            <w:vAlign w:val="bottom"/>
            <w:shd w:val="clear" w:color="auto" w:fill="CCFFFF"/>
          </w:tcPr>
          <w:p>
            <w:pPr>
              <w:ind w:left="40"/>
              <w:spacing w:after="0"/>
              <w:rPr>
                <w:sz w:val="20"/>
                <w:szCs w:val="20"/>
                <w:color w:val="auto"/>
              </w:rPr>
            </w:pPr>
            <w:r>
              <w:rPr>
                <w:rFonts w:ascii="Arial" w:cs="Arial" w:eastAsia="Arial" w:hAnsi="Arial"/>
                <w:sz w:val="18"/>
                <w:szCs w:val="18"/>
                <w:color w:val="auto"/>
              </w:rPr>
              <w:t>Director Tenure Policies</w:t>
            </w: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It is our policy that any director who begins service after January 1, 2014 and reaches the age</w:t>
            </w:r>
          </w:p>
        </w:tc>
      </w:tr>
      <w:tr>
        <w:trPr>
          <w:trHeight w:val="203"/>
        </w:trPr>
        <w:tc>
          <w:tcPr>
            <w:tcW w:w="3020" w:type="dxa"/>
            <w:vAlign w:val="bottom"/>
            <w:shd w:val="clear" w:color="auto" w:fill="CCFFFF"/>
          </w:tcPr>
          <w:p>
            <w:pPr>
              <w:spacing w:after="0"/>
              <w:rPr>
                <w:sz w:val="17"/>
                <w:szCs w:val="17"/>
                <w:color w:val="auto"/>
              </w:rPr>
            </w:pPr>
          </w:p>
        </w:tc>
        <w:tc>
          <w:tcPr>
            <w:tcW w:w="7960" w:type="dxa"/>
            <w:vAlign w:val="bottom"/>
            <w:shd w:val="clear" w:color="auto" w:fill="CCFFFF"/>
          </w:tcPr>
          <w:p>
            <w:pPr>
              <w:ind w:left="320"/>
              <w:spacing w:after="0" w:line="202" w:lineRule="exact"/>
              <w:rPr>
                <w:sz w:val="20"/>
                <w:szCs w:val="20"/>
                <w:color w:val="auto"/>
              </w:rPr>
            </w:pPr>
            <w:r>
              <w:rPr>
                <w:rFonts w:ascii="Arial" w:cs="Arial" w:eastAsia="Arial" w:hAnsi="Arial"/>
                <w:sz w:val="18"/>
                <w:szCs w:val="18"/>
                <w:color w:val="auto"/>
                <w:w w:val="99"/>
              </w:rPr>
              <w:t>of 75 will retire effective at the end of his or her term. In addition, a director is required to offer to</w:t>
            </w:r>
          </w:p>
        </w:tc>
      </w:tr>
      <w:tr>
        <w:trPr>
          <w:trHeight w:val="203"/>
        </w:trPr>
        <w:tc>
          <w:tcPr>
            <w:tcW w:w="3020" w:type="dxa"/>
            <w:vAlign w:val="bottom"/>
            <w:shd w:val="clear" w:color="auto" w:fill="CCFFFF"/>
          </w:tcPr>
          <w:p>
            <w:pPr>
              <w:spacing w:after="0"/>
              <w:rPr>
                <w:sz w:val="17"/>
                <w:szCs w:val="17"/>
                <w:color w:val="auto"/>
              </w:rPr>
            </w:pPr>
          </w:p>
        </w:tc>
        <w:tc>
          <w:tcPr>
            <w:tcW w:w="7960" w:type="dxa"/>
            <w:vAlign w:val="bottom"/>
            <w:shd w:val="clear" w:color="auto" w:fill="CCFFFF"/>
          </w:tcPr>
          <w:p>
            <w:pPr>
              <w:ind w:left="320"/>
              <w:spacing w:after="0" w:line="202" w:lineRule="exact"/>
              <w:rPr>
                <w:sz w:val="20"/>
                <w:szCs w:val="20"/>
                <w:color w:val="auto"/>
              </w:rPr>
            </w:pPr>
            <w:r>
              <w:rPr>
                <w:rFonts w:ascii="Arial" w:cs="Arial" w:eastAsia="Arial" w:hAnsi="Arial"/>
                <w:sz w:val="18"/>
                <w:szCs w:val="18"/>
                <w:color w:val="auto"/>
              </w:rPr>
              <w:t>tender his or her resignation for consideration by the Board upon retirement from or any change</w:t>
            </w:r>
          </w:p>
        </w:tc>
      </w:tr>
      <w:tr>
        <w:trPr>
          <w:trHeight w:val="203"/>
        </w:trPr>
        <w:tc>
          <w:tcPr>
            <w:tcW w:w="3020" w:type="dxa"/>
            <w:vAlign w:val="bottom"/>
            <w:shd w:val="clear" w:color="auto" w:fill="CCFFFF"/>
          </w:tcPr>
          <w:p>
            <w:pPr>
              <w:spacing w:after="0"/>
              <w:rPr>
                <w:sz w:val="17"/>
                <w:szCs w:val="17"/>
                <w:color w:val="auto"/>
              </w:rPr>
            </w:pPr>
          </w:p>
        </w:tc>
        <w:tc>
          <w:tcPr>
            <w:tcW w:w="7960" w:type="dxa"/>
            <w:vAlign w:val="bottom"/>
            <w:shd w:val="clear" w:color="auto" w:fill="CCFFFF"/>
          </w:tcPr>
          <w:p>
            <w:pPr>
              <w:ind w:left="320"/>
              <w:spacing w:after="0" w:line="202" w:lineRule="exact"/>
              <w:rPr>
                <w:sz w:val="20"/>
                <w:szCs w:val="20"/>
                <w:color w:val="auto"/>
              </w:rPr>
            </w:pPr>
            <w:r>
              <w:rPr>
                <w:rFonts w:ascii="Arial" w:cs="Arial" w:eastAsia="Arial" w:hAnsi="Arial"/>
                <w:sz w:val="18"/>
                <w:szCs w:val="18"/>
                <w:color w:val="auto"/>
              </w:rPr>
              <w:t>in the principal occupation or principal background association held when such director</w:t>
            </w:r>
          </w:p>
        </w:tc>
      </w:tr>
      <w:tr>
        <w:trPr>
          <w:trHeight w:val="217"/>
        </w:trPr>
        <w:tc>
          <w:tcPr>
            <w:tcW w:w="3020" w:type="dxa"/>
            <w:vAlign w:val="bottom"/>
            <w:shd w:val="clear" w:color="auto" w:fill="CCFFFF"/>
          </w:tcPr>
          <w:p>
            <w:pPr>
              <w:spacing w:after="0"/>
              <w:rPr>
                <w:sz w:val="18"/>
                <w:szCs w:val="18"/>
                <w:color w:val="auto"/>
              </w:rPr>
            </w:pP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originally joined the Board.</w:t>
            </w:r>
          </w:p>
        </w:tc>
      </w:tr>
      <w:tr>
        <w:trPr>
          <w:trHeight w:val="68"/>
        </w:trPr>
        <w:tc>
          <w:tcPr>
            <w:tcW w:w="3020" w:type="dxa"/>
            <w:vAlign w:val="bottom"/>
            <w:shd w:val="clear" w:color="auto" w:fill="CCFFFF"/>
          </w:tcPr>
          <w:p>
            <w:pPr>
              <w:spacing w:after="0"/>
              <w:rPr>
                <w:sz w:val="5"/>
                <w:szCs w:val="5"/>
                <w:color w:val="auto"/>
              </w:rPr>
            </w:pPr>
          </w:p>
        </w:tc>
        <w:tc>
          <w:tcPr>
            <w:tcW w:w="7960" w:type="dxa"/>
            <w:vAlign w:val="bottom"/>
            <w:shd w:val="clear" w:color="auto" w:fill="CCFFFF"/>
          </w:tcPr>
          <w:p>
            <w:pPr>
              <w:spacing w:after="0"/>
              <w:rPr>
                <w:sz w:val="5"/>
                <w:szCs w:val="5"/>
                <w:color w:val="auto"/>
              </w:rPr>
            </w:pPr>
          </w:p>
        </w:tc>
      </w:tr>
      <w:tr>
        <w:trPr>
          <w:trHeight w:val="283"/>
        </w:trPr>
        <w:tc>
          <w:tcPr>
            <w:tcW w:w="3020" w:type="dxa"/>
            <w:vAlign w:val="bottom"/>
          </w:tcPr>
          <w:p>
            <w:pPr>
              <w:ind w:left="40"/>
              <w:spacing w:after="0"/>
              <w:rPr>
                <w:sz w:val="20"/>
                <w:szCs w:val="20"/>
                <w:color w:val="auto"/>
              </w:rPr>
            </w:pPr>
            <w:r>
              <w:rPr>
                <w:rFonts w:ascii="Arial" w:cs="Arial" w:eastAsia="Arial" w:hAnsi="Arial"/>
                <w:sz w:val="18"/>
                <w:szCs w:val="18"/>
                <w:color w:val="auto"/>
              </w:rPr>
              <w:t>Director Overboarding Policy</w:t>
            </w:r>
          </w:p>
        </w:tc>
        <w:tc>
          <w:tcPr>
            <w:tcW w:w="7960" w:type="dxa"/>
            <w:vAlign w:val="bottom"/>
          </w:tcPr>
          <w:p>
            <w:pPr>
              <w:ind w:left="320"/>
              <w:spacing w:after="0"/>
              <w:rPr>
                <w:sz w:val="20"/>
                <w:szCs w:val="20"/>
                <w:color w:val="auto"/>
              </w:rPr>
            </w:pPr>
            <w:r>
              <w:rPr>
                <w:rFonts w:ascii="Arial" w:cs="Arial" w:eastAsia="Arial" w:hAnsi="Arial"/>
                <w:sz w:val="18"/>
                <w:szCs w:val="18"/>
                <w:color w:val="auto"/>
              </w:rPr>
              <w:t>Any director who is not serving as chief executive officer of a public company is expected to</w:t>
            </w:r>
          </w:p>
        </w:tc>
      </w:tr>
      <w:tr>
        <w:trPr>
          <w:trHeight w:val="203"/>
        </w:trPr>
        <w:tc>
          <w:tcPr>
            <w:tcW w:w="3020" w:type="dxa"/>
            <w:vAlign w:val="bottom"/>
          </w:tcPr>
          <w:p>
            <w:pPr>
              <w:spacing w:after="0"/>
              <w:rPr>
                <w:sz w:val="17"/>
                <w:szCs w:val="17"/>
                <w:color w:val="auto"/>
              </w:rPr>
            </w:pPr>
          </w:p>
        </w:tc>
        <w:tc>
          <w:tcPr>
            <w:tcW w:w="7960" w:type="dxa"/>
            <w:vAlign w:val="bottom"/>
          </w:tcPr>
          <w:p>
            <w:pPr>
              <w:ind w:left="320"/>
              <w:spacing w:after="0" w:line="202" w:lineRule="exact"/>
              <w:rPr>
                <w:sz w:val="20"/>
                <w:szCs w:val="20"/>
                <w:color w:val="auto"/>
              </w:rPr>
            </w:pPr>
            <w:r>
              <w:rPr>
                <w:rFonts w:ascii="Arial" w:cs="Arial" w:eastAsia="Arial" w:hAnsi="Arial"/>
                <w:sz w:val="18"/>
                <w:szCs w:val="18"/>
                <w:color w:val="auto"/>
              </w:rPr>
              <w:t>serve on no more than four public company boards (including our Board), and any director</w:t>
            </w:r>
          </w:p>
        </w:tc>
      </w:tr>
      <w:tr>
        <w:trPr>
          <w:trHeight w:val="203"/>
        </w:trPr>
        <w:tc>
          <w:tcPr>
            <w:tcW w:w="3020" w:type="dxa"/>
            <w:vAlign w:val="bottom"/>
          </w:tcPr>
          <w:p>
            <w:pPr>
              <w:spacing w:after="0"/>
              <w:rPr>
                <w:sz w:val="17"/>
                <w:szCs w:val="17"/>
                <w:color w:val="auto"/>
              </w:rPr>
            </w:pPr>
          </w:p>
        </w:tc>
        <w:tc>
          <w:tcPr>
            <w:tcW w:w="7960" w:type="dxa"/>
            <w:vAlign w:val="bottom"/>
          </w:tcPr>
          <w:p>
            <w:pPr>
              <w:ind w:left="320"/>
              <w:spacing w:after="0" w:line="202" w:lineRule="exact"/>
              <w:rPr>
                <w:sz w:val="20"/>
                <w:szCs w:val="20"/>
                <w:color w:val="auto"/>
              </w:rPr>
            </w:pPr>
            <w:r>
              <w:rPr>
                <w:rFonts w:ascii="Arial" w:cs="Arial" w:eastAsia="Arial" w:hAnsi="Arial"/>
                <w:sz w:val="18"/>
                <w:szCs w:val="18"/>
                <w:color w:val="auto"/>
              </w:rPr>
              <w:t>serving as chief executive officer of a public company is expected to serve on no more than</w:t>
            </w:r>
          </w:p>
        </w:tc>
      </w:tr>
      <w:tr>
        <w:trPr>
          <w:trHeight w:val="217"/>
        </w:trPr>
        <w:tc>
          <w:tcPr>
            <w:tcW w:w="30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three public company boards (including the board of his or her own company).</w:t>
            </w:r>
          </w:p>
        </w:tc>
      </w:tr>
      <w:tr>
        <w:trPr>
          <w:trHeight w:val="68"/>
        </w:trPr>
        <w:tc>
          <w:tcPr>
            <w:tcW w:w="3020" w:type="dxa"/>
            <w:vAlign w:val="bottom"/>
          </w:tcPr>
          <w:p>
            <w:pPr>
              <w:spacing w:after="0"/>
              <w:rPr>
                <w:sz w:val="5"/>
                <w:szCs w:val="5"/>
                <w:color w:val="auto"/>
              </w:rPr>
            </w:pPr>
          </w:p>
        </w:tc>
        <w:tc>
          <w:tcPr>
            <w:tcW w:w="7960" w:type="dxa"/>
            <w:vAlign w:val="bottom"/>
          </w:tcPr>
          <w:p>
            <w:pPr>
              <w:spacing w:after="0"/>
              <w:rPr>
                <w:sz w:val="5"/>
                <w:szCs w:val="5"/>
                <w:color w:val="auto"/>
              </w:rPr>
            </w:pPr>
          </w:p>
        </w:tc>
      </w:tr>
      <w:tr>
        <w:trPr>
          <w:trHeight w:val="283"/>
        </w:trPr>
        <w:tc>
          <w:tcPr>
            <w:tcW w:w="3020" w:type="dxa"/>
            <w:vAlign w:val="bottom"/>
            <w:shd w:val="clear" w:color="auto" w:fill="CCFFFF"/>
          </w:tcPr>
          <w:p>
            <w:pPr>
              <w:ind w:left="40"/>
              <w:spacing w:after="0"/>
              <w:rPr>
                <w:sz w:val="20"/>
                <w:szCs w:val="20"/>
                <w:color w:val="auto"/>
              </w:rPr>
            </w:pPr>
            <w:r>
              <w:rPr>
                <w:rFonts w:ascii="Arial" w:cs="Arial" w:eastAsia="Arial" w:hAnsi="Arial"/>
                <w:sz w:val="18"/>
                <w:szCs w:val="18"/>
                <w:color w:val="auto"/>
              </w:rPr>
              <w:t>Committee Membership</w:t>
            </w: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The Board appoints members of its committees on an annual basis, with the Nominating and</w:t>
            </w:r>
          </w:p>
        </w:tc>
      </w:tr>
      <w:tr>
        <w:trPr>
          <w:trHeight w:val="217"/>
        </w:trPr>
        <w:tc>
          <w:tcPr>
            <w:tcW w:w="3020" w:type="dxa"/>
            <w:vAlign w:val="bottom"/>
            <w:shd w:val="clear" w:color="auto" w:fill="CCFFFF"/>
          </w:tcPr>
          <w:p>
            <w:pPr>
              <w:spacing w:after="0"/>
              <w:rPr>
                <w:sz w:val="18"/>
                <w:szCs w:val="18"/>
                <w:color w:val="auto"/>
              </w:rPr>
            </w:pP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Governance Committee reviewing and recommending committee membership.</w:t>
            </w:r>
          </w:p>
        </w:tc>
      </w:tr>
      <w:tr>
        <w:trPr>
          <w:trHeight w:val="68"/>
        </w:trPr>
        <w:tc>
          <w:tcPr>
            <w:tcW w:w="3020" w:type="dxa"/>
            <w:vAlign w:val="bottom"/>
            <w:shd w:val="clear" w:color="auto" w:fill="CCFFFF"/>
          </w:tcPr>
          <w:p>
            <w:pPr>
              <w:spacing w:after="0"/>
              <w:rPr>
                <w:sz w:val="5"/>
                <w:szCs w:val="5"/>
                <w:color w:val="auto"/>
              </w:rPr>
            </w:pPr>
          </w:p>
        </w:tc>
        <w:tc>
          <w:tcPr>
            <w:tcW w:w="7960" w:type="dxa"/>
            <w:vAlign w:val="bottom"/>
            <w:shd w:val="clear" w:color="auto" w:fill="CCFFFF"/>
          </w:tcPr>
          <w:p>
            <w:pPr>
              <w:spacing w:after="0"/>
              <w:rPr>
                <w:sz w:val="5"/>
                <w:szCs w:val="5"/>
                <w:color w:val="auto"/>
              </w:rPr>
            </w:pPr>
          </w:p>
        </w:tc>
      </w:tr>
      <w:tr>
        <w:trPr>
          <w:trHeight w:val="283"/>
        </w:trPr>
        <w:tc>
          <w:tcPr>
            <w:tcW w:w="3020" w:type="dxa"/>
            <w:vAlign w:val="bottom"/>
          </w:tcPr>
          <w:p>
            <w:pPr>
              <w:ind w:left="40"/>
              <w:spacing w:after="0"/>
              <w:rPr>
                <w:sz w:val="20"/>
                <w:szCs w:val="20"/>
                <w:color w:val="auto"/>
              </w:rPr>
            </w:pPr>
            <w:r>
              <w:rPr>
                <w:rFonts w:ascii="Arial" w:cs="Arial" w:eastAsia="Arial" w:hAnsi="Arial"/>
                <w:sz w:val="18"/>
                <w:szCs w:val="18"/>
                <w:color w:val="auto"/>
              </w:rPr>
              <w:t>Board Self-evaluations</w:t>
            </w:r>
          </w:p>
        </w:tc>
        <w:tc>
          <w:tcPr>
            <w:tcW w:w="7960" w:type="dxa"/>
            <w:vAlign w:val="bottom"/>
          </w:tcPr>
          <w:p>
            <w:pPr>
              <w:ind w:left="320"/>
              <w:spacing w:after="0"/>
              <w:rPr>
                <w:sz w:val="20"/>
                <w:szCs w:val="20"/>
                <w:color w:val="auto"/>
              </w:rPr>
            </w:pPr>
            <w:r>
              <w:rPr>
                <w:rFonts w:ascii="Arial" w:cs="Arial" w:eastAsia="Arial" w:hAnsi="Arial"/>
                <w:sz w:val="18"/>
                <w:szCs w:val="18"/>
                <w:color w:val="auto"/>
              </w:rPr>
              <w:t>The Board conducts an annual of evaluation of its performance, operations, size and</w:t>
            </w:r>
          </w:p>
        </w:tc>
      </w:tr>
      <w:tr>
        <w:trPr>
          <w:trHeight w:val="203"/>
        </w:trPr>
        <w:tc>
          <w:tcPr>
            <w:tcW w:w="3020" w:type="dxa"/>
            <w:vAlign w:val="bottom"/>
          </w:tcPr>
          <w:p>
            <w:pPr>
              <w:spacing w:after="0"/>
              <w:rPr>
                <w:sz w:val="17"/>
                <w:szCs w:val="17"/>
                <w:color w:val="auto"/>
              </w:rPr>
            </w:pPr>
          </w:p>
        </w:tc>
        <w:tc>
          <w:tcPr>
            <w:tcW w:w="7960" w:type="dxa"/>
            <w:vAlign w:val="bottom"/>
          </w:tcPr>
          <w:p>
            <w:pPr>
              <w:ind w:left="320"/>
              <w:spacing w:after="0" w:line="202" w:lineRule="exact"/>
              <w:rPr>
                <w:sz w:val="20"/>
                <w:szCs w:val="20"/>
                <w:color w:val="auto"/>
              </w:rPr>
            </w:pPr>
            <w:r>
              <w:rPr>
                <w:rFonts w:ascii="Arial" w:cs="Arial" w:eastAsia="Arial" w:hAnsi="Arial"/>
                <w:sz w:val="18"/>
                <w:szCs w:val="18"/>
                <w:color w:val="auto"/>
              </w:rPr>
              <w:t>composition, with the Nominating and Governance Committee overseeing the evaluation</w:t>
            </w:r>
          </w:p>
        </w:tc>
      </w:tr>
      <w:tr>
        <w:trPr>
          <w:trHeight w:val="217"/>
        </w:trPr>
        <w:tc>
          <w:tcPr>
            <w:tcW w:w="30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process, which also encompasses the Board’s committees.</w:t>
            </w:r>
          </w:p>
        </w:tc>
      </w:tr>
      <w:tr>
        <w:trPr>
          <w:trHeight w:val="68"/>
        </w:trPr>
        <w:tc>
          <w:tcPr>
            <w:tcW w:w="3020" w:type="dxa"/>
            <w:vAlign w:val="bottom"/>
          </w:tcPr>
          <w:p>
            <w:pPr>
              <w:spacing w:after="0"/>
              <w:rPr>
                <w:sz w:val="5"/>
                <w:szCs w:val="5"/>
                <w:color w:val="auto"/>
              </w:rPr>
            </w:pPr>
          </w:p>
        </w:tc>
        <w:tc>
          <w:tcPr>
            <w:tcW w:w="7960" w:type="dxa"/>
            <w:vAlign w:val="bottom"/>
          </w:tcPr>
          <w:p>
            <w:pPr>
              <w:spacing w:after="0"/>
              <w:rPr>
                <w:sz w:val="5"/>
                <w:szCs w:val="5"/>
                <w:color w:val="auto"/>
              </w:rPr>
            </w:pPr>
          </w:p>
        </w:tc>
      </w:tr>
      <w:tr>
        <w:trPr>
          <w:trHeight w:val="283"/>
        </w:trPr>
        <w:tc>
          <w:tcPr>
            <w:tcW w:w="3020" w:type="dxa"/>
            <w:vAlign w:val="bottom"/>
            <w:shd w:val="clear" w:color="auto" w:fill="CCFFFF"/>
          </w:tcPr>
          <w:p>
            <w:pPr>
              <w:ind w:left="40"/>
              <w:spacing w:after="0"/>
              <w:rPr>
                <w:sz w:val="20"/>
                <w:szCs w:val="20"/>
                <w:color w:val="auto"/>
              </w:rPr>
            </w:pPr>
            <w:r>
              <w:rPr>
                <w:rFonts w:ascii="Arial" w:cs="Arial" w:eastAsia="Arial" w:hAnsi="Arial"/>
                <w:sz w:val="18"/>
                <w:szCs w:val="18"/>
                <w:color w:val="auto"/>
              </w:rPr>
              <w:t>Board Refreshment</w:t>
            </w: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Our Board’s composition represents a balanced approach to director tenure, allowing the Board</w:t>
            </w:r>
          </w:p>
        </w:tc>
      </w:tr>
      <w:tr>
        <w:trPr>
          <w:trHeight w:val="203"/>
        </w:trPr>
        <w:tc>
          <w:tcPr>
            <w:tcW w:w="3020" w:type="dxa"/>
            <w:vAlign w:val="bottom"/>
            <w:shd w:val="clear" w:color="auto" w:fill="CCFFFF"/>
          </w:tcPr>
          <w:p>
            <w:pPr>
              <w:spacing w:after="0"/>
              <w:rPr>
                <w:sz w:val="17"/>
                <w:szCs w:val="17"/>
                <w:color w:val="auto"/>
              </w:rPr>
            </w:pPr>
          </w:p>
        </w:tc>
        <w:tc>
          <w:tcPr>
            <w:tcW w:w="7960" w:type="dxa"/>
            <w:vAlign w:val="bottom"/>
            <w:shd w:val="clear" w:color="auto" w:fill="CCFFFF"/>
          </w:tcPr>
          <w:p>
            <w:pPr>
              <w:ind w:left="320"/>
              <w:spacing w:after="0" w:line="202" w:lineRule="exact"/>
              <w:rPr>
                <w:sz w:val="20"/>
                <w:szCs w:val="20"/>
                <w:color w:val="auto"/>
              </w:rPr>
            </w:pPr>
            <w:r>
              <w:rPr>
                <w:rFonts w:ascii="Arial" w:cs="Arial" w:eastAsia="Arial" w:hAnsi="Arial"/>
                <w:sz w:val="18"/>
                <w:szCs w:val="18"/>
                <w:color w:val="auto"/>
              </w:rPr>
              <w:t>to benefit from the experience of longer-serving directors combined with fresh perspectives</w:t>
            </w:r>
          </w:p>
        </w:tc>
      </w:tr>
      <w:tr>
        <w:trPr>
          <w:trHeight w:val="203"/>
        </w:trPr>
        <w:tc>
          <w:tcPr>
            <w:tcW w:w="3020" w:type="dxa"/>
            <w:vAlign w:val="bottom"/>
            <w:shd w:val="clear" w:color="auto" w:fill="CCFFFF"/>
          </w:tcPr>
          <w:p>
            <w:pPr>
              <w:spacing w:after="0"/>
              <w:rPr>
                <w:sz w:val="17"/>
                <w:szCs w:val="17"/>
                <w:color w:val="auto"/>
              </w:rPr>
            </w:pPr>
          </w:p>
        </w:tc>
        <w:tc>
          <w:tcPr>
            <w:tcW w:w="7960" w:type="dxa"/>
            <w:vAlign w:val="bottom"/>
            <w:shd w:val="clear" w:color="auto" w:fill="CCFFFF"/>
          </w:tcPr>
          <w:p>
            <w:pPr>
              <w:ind w:left="320"/>
              <w:spacing w:after="0" w:line="202" w:lineRule="exact"/>
              <w:rPr>
                <w:sz w:val="20"/>
                <w:szCs w:val="20"/>
                <w:color w:val="auto"/>
              </w:rPr>
            </w:pPr>
            <w:r>
              <w:rPr>
                <w:rFonts w:ascii="Arial" w:cs="Arial" w:eastAsia="Arial" w:hAnsi="Arial"/>
                <w:sz w:val="18"/>
                <w:szCs w:val="18"/>
                <w:color w:val="auto"/>
              </w:rPr>
              <w:t>from newer directors. We have added five independent directors since 2013, including the new</w:t>
            </w:r>
          </w:p>
        </w:tc>
      </w:tr>
      <w:tr>
        <w:trPr>
          <w:trHeight w:val="217"/>
        </w:trPr>
        <w:tc>
          <w:tcPr>
            <w:tcW w:w="3020" w:type="dxa"/>
            <w:vAlign w:val="bottom"/>
            <w:shd w:val="clear" w:color="auto" w:fill="CCFFFF"/>
          </w:tcPr>
          <w:p>
            <w:pPr>
              <w:spacing w:after="0"/>
              <w:rPr>
                <w:sz w:val="18"/>
                <w:szCs w:val="18"/>
                <w:color w:val="auto"/>
              </w:rPr>
            </w:pP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nominee we are recommending for election at the Annual Meeting.</w:t>
            </w:r>
          </w:p>
        </w:tc>
      </w:tr>
      <w:tr>
        <w:trPr>
          <w:trHeight w:val="68"/>
        </w:trPr>
        <w:tc>
          <w:tcPr>
            <w:tcW w:w="3020" w:type="dxa"/>
            <w:vAlign w:val="bottom"/>
            <w:shd w:val="clear" w:color="auto" w:fill="CCFFFF"/>
          </w:tcPr>
          <w:p>
            <w:pPr>
              <w:spacing w:after="0"/>
              <w:rPr>
                <w:sz w:val="5"/>
                <w:szCs w:val="5"/>
                <w:color w:val="auto"/>
              </w:rPr>
            </w:pPr>
          </w:p>
        </w:tc>
        <w:tc>
          <w:tcPr>
            <w:tcW w:w="7960" w:type="dxa"/>
            <w:vAlign w:val="bottom"/>
            <w:shd w:val="clear" w:color="auto" w:fill="CCFFFF"/>
          </w:tcPr>
          <w:p>
            <w:pPr>
              <w:spacing w:after="0"/>
              <w:rPr>
                <w:sz w:val="5"/>
                <w:szCs w:val="5"/>
                <w:color w:val="auto"/>
              </w:rPr>
            </w:pPr>
          </w:p>
        </w:tc>
      </w:tr>
      <w:tr>
        <w:trPr>
          <w:trHeight w:val="283"/>
        </w:trPr>
        <w:tc>
          <w:tcPr>
            <w:tcW w:w="3020" w:type="dxa"/>
            <w:vAlign w:val="bottom"/>
          </w:tcPr>
          <w:p>
            <w:pPr>
              <w:ind w:left="40"/>
              <w:spacing w:after="0"/>
              <w:rPr>
                <w:sz w:val="20"/>
                <w:szCs w:val="20"/>
                <w:color w:val="auto"/>
              </w:rPr>
            </w:pPr>
            <w:r>
              <w:rPr>
                <w:rFonts w:ascii="Arial" w:cs="Arial" w:eastAsia="Arial" w:hAnsi="Arial"/>
                <w:sz w:val="18"/>
                <w:szCs w:val="18"/>
                <w:color w:val="auto"/>
              </w:rPr>
              <w:t>Diversity of Relevant Experiences</w:t>
            </w:r>
          </w:p>
        </w:tc>
        <w:tc>
          <w:tcPr>
            <w:tcW w:w="7960" w:type="dxa"/>
            <w:vAlign w:val="bottom"/>
          </w:tcPr>
          <w:p>
            <w:pPr>
              <w:ind w:left="320"/>
              <w:spacing w:after="0"/>
              <w:rPr>
                <w:sz w:val="20"/>
                <w:szCs w:val="20"/>
                <w:color w:val="auto"/>
              </w:rPr>
            </w:pPr>
            <w:r>
              <w:rPr>
                <w:rFonts w:ascii="Arial" w:cs="Arial" w:eastAsia="Arial" w:hAnsi="Arial"/>
                <w:sz w:val="18"/>
                <w:szCs w:val="18"/>
                <w:color w:val="auto"/>
              </w:rPr>
              <w:t>Our goal is a balanced and diverse Board, with members whose skills, background and</w:t>
            </w:r>
          </w:p>
        </w:tc>
      </w:tr>
      <w:tr>
        <w:trPr>
          <w:trHeight w:val="203"/>
        </w:trPr>
        <w:tc>
          <w:tcPr>
            <w:tcW w:w="3020" w:type="dxa"/>
            <w:vAlign w:val="bottom"/>
          </w:tcPr>
          <w:p>
            <w:pPr>
              <w:spacing w:after="0"/>
              <w:rPr>
                <w:sz w:val="17"/>
                <w:szCs w:val="17"/>
                <w:color w:val="auto"/>
              </w:rPr>
            </w:pPr>
          </w:p>
        </w:tc>
        <w:tc>
          <w:tcPr>
            <w:tcW w:w="7960" w:type="dxa"/>
            <w:vAlign w:val="bottom"/>
          </w:tcPr>
          <w:p>
            <w:pPr>
              <w:ind w:left="320"/>
              <w:spacing w:after="0" w:line="202" w:lineRule="exact"/>
              <w:rPr>
                <w:sz w:val="20"/>
                <w:szCs w:val="20"/>
                <w:color w:val="auto"/>
              </w:rPr>
            </w:pPr>
            <w:r>
              <w:rPr>
                <w:rFonts w:ascii="Arial" w:cs="Arial" w:eastAsia="Arial" w:hAnsi="Arial"/>
                <w:sz w:val="18"/>
                <w:szCs w:val="18"/>
                <w:color w:val="auto"/>
              </w:rPr>
              <w:t>experience are complementary and, together, cover the spectrum of areas that impact our</w:t>
            </w:r>
          </w:p>
        </w:tc>
      </w:tr>
      <w:tr>
        <w:trPr>
          <w:trHeight w:val="217"/>
        </w:trPr>
        <w:tc>
          <w:tcPr>
            <w:tcW w:w="30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business.</w:t>
            </w:r>
          </w:p>
        </w:tc>
      </w:tr>
      <w:tr>
        <w:trPr>
          <w:trHeight w:val="68"/>
        </w:trPr>
        <w:tc>
          <w:tcPr>
            <w:tcW w:w="3020" w:type="dxa"/>
            <w:vAlign w:val="bottom"/>
          </w:tcPr>
          <w:p>
            <w:pPr>
              <w:spacing w:after="0"/>
              <w:rPr>
                <w:sz w:val="5"/>
                <w:szCs w:val="5"/>
                <w:color w:val="auto"/>
              </w:rPr>
            </w:pPr>
          </w:p>
        </w:tc>
        <w:tc>
          <w:tcPr>
            <w:tcW w:w="7960" w:type="dxa"/>
            <w:vAlign w:val="bottom"/>
          </w:tcPr>
          <w:p>
            <w:pPr>
              <w:spacing w:after="0"/>
              <w:rPr>
                <w:sz w:val="5"/>
                <w:szCs w:val="5"/>
                <w:color w:val="auto"/>
              </w:rPr>
            </w:pPr>
          </w:p>
        </w:tc>
      </w:tr>
      <w:tr>
        <w:trPr>
          <w:trHeight w:val="283"/>
        </w:trPr>
        <w:tc>
          <w:tcPr>
            <w:tcW w:w="3020" w:type="dxa"/>
            <w:vAlign w:val="bottom"/>
            <w:shd w:val="clear" w:color="auto" w:fill="CCFFFF"/>
          </w:tcPr>
          <w:p>
            <w:pPr>
              <w:ind w:left="40"/>
              <w:spacing w:after="0"/>
              <w:rPr>
                <w:sz w:val="20"/>
                <w:szCs w:val="20"/>
                <w:color w:val="auto"/>
              </w:rPr>
            </w:pPr>
            <w:r>
              <w:rPr>
                <w:rFonts w:ascii="Arial" w:cs="Arial" w:eastAsia="Arial" w:hAnsi="Arial"/>
                <w:sz w:val="18"/>
                <w:szCs w:val="18"/>
                <w:color w:val="auto"/>
              </w:rPr>
              <w:t>Annual Management Succession</w:t>
            </w: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Our Board and the Compensation Committee conduct an annual review of management</w:t>
            </w:r>
          </w:p>
        </w:tc>
      </w:tr>
      <w:tr>
        <w:trPr>
          <w:trHeight w:val="217"/>
        </w:trPr>
        <w:tc>
          <w:tcPr>
            <w:tcW w:w="3020" w:type="dxa"/>
            <w:vAlign w:val="bottom"/>
            <w:shd w:val="clear" w:color="auto" w:fill="CCFFFF"/>
          </w:tcPr>
          <w:p>
            <w:pPr>
              <w:ind w:left="40"/>
              <w:spacing w:after="0"/>
              <w:rPr>
                <w:sz w:val="20"/>
                <w:szCs w:val="20"/>
                <w:color w:val="auto"/>
              </w:rPr>
            </w:pPr>
            <w:r>
              <w:rPr>
                <w:rFonts w:ascii="Arial" w:cs="Arial" w:eastAsia="Arial" w:hAnsi="Arial"/>
                <w:sz w:val="18"/>
                <w:szCs w:val="18"/>
                <w:color w:val="auto"/>
              </w:rPr>
              <w:t>Planning Review</w:t>
            </w: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development and succession planning.</w:t>
            </w:r>
          </w:p>
        </w:tc>
      </w:tr>
      <w:tr>
        <w:trPr>
          <w:trHeight w:val="68"/>
        </w:trPr>
        <w:tc>
          <w:tcPr>
            <w:tcW w:w="3020" w:type="dxa"/>
            <w:vAlign w:val="bottom"/>
            <w:shd w:val="clear" w:color="auto" w:fill="CCFFFF"/>
          </w:tcPr>
          <w:p>
            <w:pPr>
              <w:spacing w:after="0"/>
              <w:rPr>
                <w:sz w:val="5"/>
                <w:szCs w:val="5"/>
                <w:color w:val="auto"/>
              </w:rPr>
            </w:pPr>
          </w:p>
        </w:tc>
        <w:tc>
          <w:tcPr>
            <w:tcW w:w="7960" w:type="dxa"/>
            <w:vAlign w:val="bottom"/>
            <w:shd w:val="clear" w:color="auto" w:fill="CCFFFF"/>
          </w:tcPr>
          <w:p>
            <w:pPr>
              <w:spacing w:after="0"/>
              <w:rPr>
                <w:sz w:val="5"/>
                <w:szCs w:val="5"/>
                <w:color w:val="auto"/>
              </w:rPr>
            </w:pPr>
          </w:p>
        </w:tc>
      </w:tr>
      <w:tr>
        <w:trPr>
          <w:trHeight w:val="297"/>
        </w:trPr>
        <w:tc>
          <w:tcPr>
            <w:tcW w:w="3020" w:type="dxa"/>
            <w:vAlign w:val="bottom"/>
          </w:tcPr>
          <w:p>
            <w:pPr>
              <w:spacing w:after="0"/>
              <w:rPr>
                <w:sz w:val="24"/>
                <w:szCs w:val="24"/>
                <w:color w:val="auto"/>
              </w:rPr>
            </w:pPr>
          </w:p>
        </w:tc>
        <w:tc>
          <w:tcPr>
            <w:tcW w:w="7960" w:type="dxa"/>
            <w:vAlign w:val="bottom"/>
          </w:tcPr>
          <w:p>
            <w:pPr>
              <w:ind w:left="1420"/>
              <w:spacing w:after="0"/>
              <w:rPr>
                <w:sz w:val="20"/>
                <w:szCs w:val="20"/>
                <w:color w:val="auto"/>
              </w:rPr>
            </w:pPr>
            <w:r>
              <w:rPr>
                <w:rFonts w:ascii="Arial" w:cs="Arial" w:eastAsia="Arial" w:hAnsi="Arial"/>
                <w:sz w:val="18"/>
                <w:szCs w:val="18"/>
                <w:b w:val="1"/>
                <w:bCs w:val="1"/>
                <w:color w:val="336699"/>
              </w:rPr>
              <w:t>STOCKHOLDER RIGHTS</w:t>
            </w:r>
          </w:p>
        </w:tc>
      </w:tr>
      <w:tr>
        <w:trPr>
          <w:trHeight w:val="68"/>
        </w:trPr>
        <w:tc>
          <w:tcPr>
            <w:tcW w:w="3020" w:type="dxa"/>
            <w:vAlign w:val="bottom"/>
          </w:tcPr>
          <w:p>
            <w:pPr>
              <w:spacing w:after="0"/>
              <w:rPr>
                <w:sz w:val="5"/>
                <w:szCs w:val="5"/>
                <w:color w:val="auto"/>
              </w:rPr>
            </w:pPr>
          </w:p>
        </w:tc>
        <w:tc>
          <w:tcPr>
            <w:tcW w:w="7960" w:type="dxa"/>
            <w:vAlign w:val="bottom"/>
          </w:tcPr>
          <w:p>
            <w:pPr>
              <w:spacing w:after="0"/>
              <w:rPr>
                <w:sz w:val="5"/>
                <w:szCs w:val="5"/>
                <w:color w:val="auto"/>
              </w:rPr>
            </w:pPr>
          </w:p>
        </w:tc>
      </w:tr>
      <w:tr>
        <w:trPr>
          <w:trHeight w:val="283"/>
        </w:trPr>
        <w:tc>
          <w:tcPr>
            <w:tcW w:w="3020" w:type="dxa"/>
            <w:vAlign w:val="bottom"/>
            <w:shd w:val="clear" w:color="auto" w:fill="CCFFFF"/>
          </w:tcPr>
          <w:p>
            <w:pPr>
              <w:ind w:left="40"/>
              <w:spacing w:after="0"/>
              <w:rPr>
                <w:sz w:val="20"/>
                <w:szCs w:val="20"/>
                <w:color w:val="auto"/>
              </w:rPr>
            </w:pPr>
            <w:r>
              <w:rPr>
                <w:rFonts w:ascii="Arial" w:cs="Arial" w:eastAsia="Arial" w:hAnsi="Arial"/>
                <w:sz w:val="18"/>
                <w:szCs w:val="18"/>
                <w:color w:val="auto"/>
              </w:rPr>
              <w:t>Annual Election of Directors</w:t>
            </w: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All directors are elected annually, which reinforces our Board’s accountability to our</w:t>
            </w:r>
          </w:p>
        </w:tc>
      </w:tr>
      <w:tr>
        <w:trPr>
          <w:trHeight w:val="217"/>
        </w:trPr>
        <w:tc>
          <w:tcPr>
            <w:tcW w:w="3020" w:type="dxa"/>
            <w:vAlign w:val="bottom"/>
            <w:shd w:val="clear" w:color="auto" w:fill="CCFFFF"/>
          </w:tcPr>
          <w:p>
            <w:pPr>
              <w:spacing w:after="0"/>
              <w:rPr>
                <w:sz w:val="18"/>
                <w:szCs w:val="18"/>
                <w:color w:val="auto"/>
              </w:rPr>
            </w:pP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stockholders.</w:t>
            </w:r>
          </w:p>
        </w:tc>
      </w:tr>
      <w:tr>
        <w:trPr>
          <w:trHeight w:val="68"/>
        </w:trPr>
        <w:tc>
          <w:tcPr>
            <w:tcW w:w="3020" w:type="dxa"/>
            <w:vAlign w:val="bottom"/>
            <w:shd w:val="clear" w:color="auto" w:fill="CCFFFF"/>
          </w:tcPr>
          <w:p>
            <w:pPr>
              <w:spacing w:after="0"/>
              <w:rPr>
                <w:sz w:val="5"/>
                <w:szCs w:val="5"/>
                <w:color w:val="auto"/>
              </w:rPr>
            </w:pPr>
          </w:p>
        </w:tc>
        <w:tc>
          <w:tcPr>
            <w:tcW w:w="7960" w:type="dxa"/>
            <w:vAlign w:val="bottom"/>
            <w:shd w:val="clear" w:color="auto" w:fill="CCFFFF"/>
          </w:tcPr>
          <w:p>
            <w:pPr>
              <w:spacing w:after="0"/>
              <w:rPr>
                <w:sz w:val="5"/>
                <w:szCs w:val="5"/>
                <w:color w:val="auto"/>
              </w:rPr>
            </w:pPr>
          </w:p>
        </w:tc>
      </w:tr>
    </w:tbl>
    <w:p>
      <w:pPr>
        <w:spacing w:after="0" w:line="80" w:lineRule="exact"/>
        <w:rPr>
          <w:sz w:val="20"/>
          <w:szCs w:val="20"/>
          <w:color w:val="auto"/>
        </w:rPr>
      </w:pPr>
    </w:p>
    <w:p>
      <w:pPr>
        <w:sectPr>
          <w:pgSz w:w="11900" w:h="16838" w:orient="portrait"/>
          <w:cols w:equalWidth="0" w:num="1">
            <w:col w:w="11420"/>
          </w:cols>
          <w:pgMar w:left="240" w:top="287" w:right="239" w:bottom="1440" w:gutter="0" w:footer="0" w:header="0"/>
        </w:sectPr>
      </w:pPr>
    </w:p>
    <w:p>
      <w:pPr>
        <w:ind w:left="40" w:right="360"/>
        <w:spacing w:after="0" w:line="371" w:lineRule="auto"/>
        <w:rPr>
          <w:sz w:val="20"/>
          <w:szCs w:val="20"/>
          <w:color w:val="auto"/>
        </w:rPr>
      </w:pPr>
      <w:r>
        <w:rPr>
          <w:rFonts w:ascii="Arial" w:cs="Arial" w:eastAsia="Arial" w:hAnsi="Arial"/>
          <w:sz w:val="18"/>
          <w:szCs w:val="18"/>
          <w:color w:val="auto"/>
        </w:rPr>
        <w:t>Majority Voting Standard for Director Elections</w:t>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Single Voting Class</w:t>
      </w: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 Leading Practices</w:t>
      </w:r>
    </w:p>
    <w:p>
      <w:pPr>
        <w:spacing w:after="0" w:line="20" w:lineRule="exact"/>
        <w:rPr>
          <w:sz w:val="20"/>
          <w:szCs w:val="20"/>
          <w:color w:val="auto"/>
        </w:rPr>
      </w:pPr>
      <w:r>
        <w:rPr>
          <w:sz w:val="20"/>
          <w:szCs w:val="20"/>
          <w:color w:val="auto"/>
        </w:rPr>
        <w:br w:type="column"/>
      </w:r>
    </w:p>
    <w:p>
      <w:pPr>
        <w:ind w:right="500"/>
        <w:spacing w:after="0" w:line="239" w:lineRule="auto"/>
        <w:rPr>
          <w:sz w:val="20"/>
          <w:szCs w:val="20"/>
          <w:color w:val="auto"/>
        </w:rPr>
      </w:pPr>
      <w:r>
        <w:rPr>
          <w:rFonts w:ascii="Arial" w:cs="Arial" w:eastAsia="Arial" w:hAnsi="Arial"/>
          <w:sz w:val="18"/>
          <w:szCs w:val="18"/>
          <w:color w:val="auto"/>
        </w:rPr>
        <w:t>Our bylaws mandate that directors be elected under a “majority voting” standard in uncontested elections. Any director who does not receive more votes “for” his or her election than votes “against” must tender his or her resignation and, if our Board accepts the resignation, step down from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43180</wp:posOffset>
            </wp:positionV>
            <wp:extent cx="6972300" cy="2317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72300" cy="23177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LPL Financial Holdings Inc.’s common stock is the only class of voting shares outstanding.</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336699"/>
        </w:rPr>
        <w:t>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62865</wp:posOffset>
            </wp:positionV>
            <wp:extent cx="6972300" cy="4889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72300" cy="488950"/>
                    </a:xfrm>
                    <a:prstGeom prst="rect">
                      <a:avLst/>
                    </a:prstGeom>
                    <a:noFill/>
                  </pic:spPr>
                </pic:pic>
              </a:graphicData>
            </a:graphic>
          </wp:anchor>
        </w:drawing>
      </w:r>
    </w:p>
    <w:p>
      <w:pPr>
        <w:spacing w:after="0" w:line="142" w:lineRule="exact"/>
        <w:rPr>
          <w:sz w:val="20"/>
          <w:szCs w:val="20"/>
          <w:color w:val="auto"/>
        </w:rPr>
      </w:pPr>
    </w:p>
    <w:p>
      <w:pPr>
        <w:ind w:right="600"/>
        <w:spacing w:after="0" w:line="251"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Compensation Discussion and Analysis—Compensation Policies and Practices</w:t>
      </w:r>
      <w:r>
        <w:rPr>
          <w:rFonts w:ascii="Arial" w:cs="Arial" w:eastAsia="Arial" w:hAnsi="Arial"/>
          <w:sz w:val="18"/>
          <w:szCs w:val="18"/>
          <w:color w:val="auto"/>
        </w:rPr>
        <w:t>.” Beginning in 2017, we have incorporated performance-based awards into our long term equity incentive program for executive officers.</w:t>
      </w:r>
    </w:p>
    <w:p>
      <w:pPr>
        <w:spacing w:after="0" w:line="200" w:lineRule="exact"/>
        <w:rPr>
          <w:sz w:val="20"/>
          <w:szCs w:val="20"/>
          <w:color w:val="auto"/>
        </w:rPr>
      </w:pPr>
    </w:p>
    <w:p>
      <w:pPr>
        <w:sectPr>
          <w:pgSz w:w="11900" w:h="16838" w:orient="portrait"/>
          <w:cols w:equalWidth="0" w:num="2">
            <w:col w:w="2620" w:space="720"/>
            <w:col w:w="8080"/>
          </w:cols>
          <w:pgMar w:left="240" w:top="287" w:right="239" w:bottom="1440" w:gutter="0" w:footer="0" w:header="0"/>
          <w:type w:val="continuous"/>
        </w:sectPr>
      </w:pPr>
    </w:p>
    <w:p>
      <w:pPr>
        <w:spacing w:after="0" w:line="78" w:lineRule="exact"/>
        <w:rPr>
          <w:sz w:val="20"/>
          <w:szCs w:val="20"/>
          <w:color w:val="auto"/>
        </w:rPr>
      </w:pPr>
    </w:p>
    <w:p>
      <w:pPr>
        <w:ind w:left="9300"/>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5</w:t>
      </w:r>
    </w:p>
    <w:p>
      <w:pPr>
        <w:sectPr>
          <w:pgSz w:w="11900" w:h="16838" w:orient="portrait"/>
          <w:cols w:equalWidth="0" w:num="1">
            <w:col w:w="11420"/>
          </w:cols>
          <w:pgMar w:left="240" w:top="287" w:right="239" w:bottom="1440" w:gutter="0" w:footer="0" w:header="0"/>
          <w:type w:val="continuous"/>
        </w:sectPr>
      </w:pPr>
    </w:p>
    <w:bookmarkStart w:id="11" w:name="page12"/>
    <w:bookmarkEnd w:id="11"/>
    <w:p>
      <w:pPr>
        <w:jc w:val="right"/>
        <w:ind w:right="4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336699"/>
        </w:rPr>
        <w:t>Proposal 1: Election of Directors</w:t>
      </w:r>
    </w:p>
    <w:p>
      <w:pPr>
        <w:sectPr>
          <w:pgSz w:w="11900" w:h="16838" w:orient="portrait"/>
          <w:cols w:equalWidth="0" w:num="1">
            <w:col w:w="11400"/>
          </w:cols>
          <w:pgMar w:left="240" w:top="436" w:right="259" w:bottom="1440" w:gutter="0" w:footer="0" w:header="0"/>
        </w:sectPr>
      </w:pPr>
    </w:p>
    <w:p>
      <w:pPr>
        <w:spacing w:after="0" w:line="303"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As of April 11, 2017, our Board of Directors consisted of nine directors: eight independent directors and our chief executive officer. One of our directors, John J. Brennan, requested that the Board not nominate him to stand for re-election at the Annual Meeting.</w:t>
      </w:r>
    </w:p>
    <w:p>
      <w:pPr>
        <w:spacing w:after="0" w:line="8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previously reported, Mark S. Casady retired as chair of the Board and a director effective March 3, 2017. The Board appointed James S. Putnam as chair of the Board effective upon Mr. Casady’s retirement. Our current chief executive officer, Dan H. Arnold, was appointed to the Board on January 3, 2017 upon Mr. Casady’s retirement as our chief executive officer.</w:t>
      </w:r>
    </w:p>
    <w:p>
      <w:pPr>
        <w:spacing w:after="0" w:line="1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Based on the recommendation of the nominating and governance committee of the Board (the “Nominating and Governance Committee”), our Board has selected William F. Glavin, Jr. as a new nominee to stand for election at the Annual Meeting. Accordingly, nine director nominees are standing for election at the Annual Meeting, each of whom has been nominated by our Board based on the recommendation of the Nominating and Governance Committee. Each director nominee would hold office until our annual meeting of stockholders in 2018 and until his or her respective successor has been elected.</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Nominating and Governance Committee conducts an annual evaluation of, among other things, the Board’s size, composition, and performance, in connection with our ongoing efforts to ensure that the Board has the appropriate mix of expertise, skills, perspectives, and competencies. In discussing these matters, the Board considered whether to nominate an additional director.</w:t>
      </w:r>
    </w:p>
    <w:p>
      <w:pPr>
        <w:spacing w:after="0" w:line="8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doing so, the Board evaluated candidates according to the principles set forth in the corporate governance guidelines applicable to the Company (the “Corporate Governance Guidelines”). The Board sought an individual with an established record of significant experience in our industry and accomplishments in areas relevant to our strategies. Further, the Board looked for a candidate with integrity, independence of thought and judgment, forthrightness, analytical skills, and a commitment to the Company and the interests of all stockholders. In addition, the Board expects any additional director to satisfy the equity ownership guidelines applicable to non-employee directors and to demonstrate the ability to devote significant time and attention to our Board.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6 | </w:t>
      </w:r>
      <w:r>
        <w:rPr>
          <w:rFonts w:ascii="Arial" w:cs="Arial" w:eastAsia="Arial" w:hAnsi="Arial"/>
          <w:sz w:val="18"/>
          <w:szCs w:val="18"/>
          <w:b w:val="1"/>
          <w:bCs w:val="1"/>
          <w:color w:val="003B71"/>
        </w:rPr>
        <w:t>2017 Proxy Statement</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part of the process of considering Mr. Glavin as a potential nominee to the Board, members of the Board met with Mr. Glavin both in person and telephonically. After the course of this evaluation process, the Nominating and Governance Committee determined that Mr. Glavin’s background, skills, and industry experience, among other factors, would make him a valuable addition to our Board.</w:t>
      </w:r>
    </w:p>
    <w:p>
      <w:pPr>
        <w:spacing w:after="0" w:line="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described in detail below, all our nominees have considerable professional and business expertise. The recommendation of our Board of Directors is based on its carefully considered judgment that the experience, qualifications, attributes, and skills of our nominees qualify them to serve on our Board of Directors.</w:t>
      </w:r>
    </w:p>
    <w:p>
      <w:pPr>
        <w:spacing w:after="0" w:line="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If any of our nominees is unable or unwilling to serve on our Board of Directors, the shares represented by your proxy will be voted for the election of such other person as may be nominated by our Board of Directors. In addition, in full compliance with all applicable state and federal laws and regulations, we will file an amended proxy statement and proxy card that, as applicable, (1) identifies the alternate nominee(s), (2) discloses that any such nominee has consented to being named in the revised proxy statement and to serve if elected, and (3) includes the disclosure required by Item 7 of Schedule 14A with respect to any such nominee. We know of no reason why any nominee would be unable or unwilling to serve. All nominees have consented to be named in this proxy statement and to serve if elected.</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Director Qualifications and Experience</w:t>
      </w:r>
    </w:p>
    <w:p>
      <w:pPr>
        <w:spacing w:after="0" w:line="24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seek a Board that, as a whole, possesses the experiences, skills, backgrounds, and qualifications appropriate to function effectively in light of the Company’s current and evolving business circumstances. It is the policy of the Board that directors should possess strong personal and professional ethics, integrity, and values; be business savvy and genuinely interested in the Company; and be committed to representing the long-term interests of our stockholders. Although we do not have a formal policy regarding diversity, our goal is a balanced and diverse Board, with members whose skills, background and experience are complementary and, together, cover the spectrum of areas that impact our business.</w:t>
      </w:r>
    </w:p>
    <w:p>
      <w:pPr>
        <w:sectPr>
          <w:pgSz w:w="11900" w:h="16838" w:orient="portrait"/>
          <w:cols w:equalWidth="0" w:num="2">
            <w:col w:w="5480" w:space="460"/>
            <w:col w:w="5460"/>
          </w:cols>
          <w:pgMar w:left="240" w:top="436" w:right="25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66"/>
        </w:trPr>
        <w:tc>
          <w:tcPr>
            <w:tcW w:w="40" w:type="dxa"/>
            <w:vAlign w:val="bottom"/>
          </w:tcPr>
          <w:p>
            <w:pPr>
              <w:spacing w:after="0"/>
              <w:rPr>
                <w:sz w:val="23"/>
                <w:szCs w:val="23"/>
                <w:color w:val="auto"/>
              </w:rPr>
            </w:pPr>
          </w:p>
        </w:tc>
        <w:tc>
          <w:tcPr>
            <w:tcW w:w="40" w:type="dxa"/>
            <w:vAlign w:val="bottom"/>
            <w:tcBorders>
              <w:bottom w:val="single" w:sz="8" w:color="003B71"/>
            </w:tcBorders>
          </w:tcPr>
          <w:p>
            <w:pPr>
              <w:spacing w:after="0"/>
              <w:rPr>
                <w:sz w:val="23"/>
                <w:szCs w:val="23"/>
                <w:color w:val="auto"/>
              </w:rPr>
            </w:pPr>
          </w:p>
        </w:tc>
        <w:tc>
          <w:tcPr>
            <w:tcW w:w="3160" w:type="dxa"/>
            <w:vAlign w:val="bottom"/>
            <w:tcBorders>
              <w:bottom w:val="single" w:sz="8" w:color="003B71"/>
            </w:tcBorders>
          </w:tcPr>
          <w:p>
            <w:pPr>
              <w:spacing w:after="0"/>
              <w:rPr>
                <w:sz w:val="23"/>
                <w:szCs w:val="23"/>
                <w:color w:val="auto"/>
              </w:rPr>
            </w:pPr>
          </w:p>
        </w:tc>
        <w:tc>
          <w:tcPr>
            <w:tcW w:w="2180" w:type="dxa"/>
            <w:vAlign w:val="bottom"/>
            <w:tcBorders>
              <w:bottom w:val="single" w:sz="8" w:color="003B71"/>
            </w:tcBorders>
          </w:tcPr>
          <w:p>
            <w:pPr>
              <w:spacing w:after="0"/>
              <w:rPr>
                <w:sz w:val="23"/>
                <w:szCs w:val="23"/>
                <w:color w:val="auto"/>
              </w:rPr>
            </w:pPr>
          </w:p>
        </w:tc>
        <w:tc>
          <w:tcPr>
            <w:tcW w:w="300" w:type="dxa"/>
            <w:vAlign w:val="bottom"/>
            <w:tcBorders>
              <w:bottom w:val="single" w:sz="8" w:color="003B71"/>
            </w:tcBorders>
          </w:tcPr>
          <w:p>
            <w:pPr>
              <w:spacing w:after="0"/>
              <w:rPr>
                <w:sz w:val="23"/>
                <w:szCs w:val="23"/>
                <w:color w:val="auto"/>
              </w:rPr>
            </w:pPr>
          </w:p>
        </w:tc>
        <w:tc>
          <w:tcPr>
            <w:tcW w:w="480" w:type="dxa"/>
            <w:vAlign w:val="bottom"/>
            <w:tcBorders>
              <w:bottom w:val="single" w:sz="8" w:color="003B71"/>
            </w:tcBorders>
          </w:tcPr>
          <w:p>
            <w:pPr>
              <w:spacing w:after="0"/>
              <w:rPr>
                <w:sz w:val="23"/>
                <w:szCs w:val="23"/>
                <w:color w:val="auto"/>
              </w:rPr>
            </w:pPr>
          </w:p>
        </w:tc>
        <w:tc>
          <w:tcPr>
            <w:tcW w:w="5200" w:type="dxa"/>
            <w:vAlign w:val="bottom"/>
            <w:tcBorders>
              <w:bottom w:val="single" w:sz="8" w:color="003B71"/>
            </w:tcBorders>
          </w:tcPr>
          <w:p>
            <w:pPr>
              <w:ind w:left="2100"/>
              <w:spacing w:after="0"/>
              <w:rPr>
                <w:sz w:val="20"/>
                <w:szCs w:val="20"/>
                <w:color w:val="auto"/>
              </w:rPr>
            </w:pPr>
            <w:r>
              <w:rPr>
                <w:rFonts w:ascii="Arial" w:cs="Arial" w:eastAsia="Arial" w:hAnsi="Arial"/>
                <w:sz w:val="20"/>
                <w:szCs w:val="20"/>
                <w:b w:val="1"/>
                <w:bCs w:val="1"/>
                <w:color w:val="003B71"/>
                <w:w w:val="99"/>
              </w:rPr>
              <w:t>Proposal 1: Election of Directors</w:t>
            </w:r>
          </w:p>
        </w:tc>
        <w:tc>
          <w:tcPr>
            <w:tcW w:w="0" w:type="dxa"/>
            <w:vAlign w:val="bottom"/>
          </w:tcPr>
          <w:p>
            <w:pPr>
              <w:spacing w:after="0"/>
              <w:rPr>
                <w:sz w:val="1"/>
                <w:szCs w:val="1"/>
                <w:color w:val="auto"/>
              </w:rPr>
            </w:pPr>
          </w:p>
        </w:tc>
      </w:tr>
      <w:tr>
        <w:trPr>
          <w:trHeight w:val="767"/>
        </w:trPr>
        <w:tc>
          <w:tcPr>
            <w:tcW w:w="5720" w:type="dxa"/>
            <w:vAlign w:val="bottom"/>
            <w:gridSpan w:val="5"/>
          </w:tcPr>
          <w:p>
            <w:pPr>
              <w:spacing w:after="0"/>
              <w:rPr>
                <w:sz w:val="20"/>
                <w:szCs w:val="20"/>
                <w:color w:val="auto"/>
              </w:rPr>
            </w:pPr>
            <w:r>
              <w:rPr>
                <w:rFonts w:ascii="Arial" w:cs="Arial" w:eastAsia="Arial" w:hAnsi="Arial"/>
                <w:sz w:val="18"/>
                <w:szCs w:val="18"/>
                <w:color w:val="auto"/>
              </w:rPr>
              <w:t>Since 2013, our Board of Directors will have added five new</w:t>
            </w:r>
          </w:p>
        </w:tc>
        <w:tc>
          <w:tcPr>
            <w:tcW w:w="5680" w:type="dxa"/>
            <w:vAlign w:val="bottom"/>
            <w:gridSpan w:val="2"/>
          </w:tcPr>
          <w:p>
            <w:pPr>
              <w:ind w:left="220"/>
              <w:spacing w:after="0"/>
              <w:rPr>
                <w:sz w:val="20"/>
                <w:szCs w:val="20"/>
                <w:color w:val="auto"/>
              </w:rPr>
            </w:pPr>
            <w:r>
              <w:rPr>
                <w:rFonts w:ascii="Arial" w:cs="Arial" w:eastAsia="Arial" w:hAnsi="Arial"/>
                <w:sz w:val="20"/>
                <w:szCs w:val="20"/>
                <w:b w:val="1"/>
                <w:bCs w:val="1"/>
                <w:color w:val="336699"/>
              </w:rPr>
              <w:t>Policy with Respect to the Consideration of Director</w:t>
            </w:r>
          </w:p>
        </w:tc>
        <w:tc>
          <w:tcPr>
            <w:tcW w:w="0" w:type="dxa"/>
            <w:vAlign w:val="bottom"/>
          </w:tcPr>
          <w:p>
            <w:pPr>
              <w:spacing w:after="0"/>
              <w:rPr>
                <w:sz w:val="1"/>
                <w:szCs w:val="1"/>
                <w:color w:val="auto"/>
              </w:rPr>
            </w:pPr>
          </w:p>
        </w:tc>
      </w:tr>
      <w:tr>
        <w:trPr>
          <w:trHeight w:val="229"/>
        </w:trPr>
        <w:tc>
          <w:tcPr>
            <w:tcW w:w="5720" w:type="dxa"/>
            <w:vAlign w:val="bottom"/>
            <w:gridSpan w:val="5"/>
          </w:tcPr>
          <w:p>
            <w:pPr>
              <w:spacing w:after="0"/>
              <w:rPr>
                <w:sz w:val="20"/>
                <w:szCs w:val="20"/>
                <w:color w:val="auto"/>
              </w:rPr>
            </w:pPr>
            <w:r>
              <w:rPr>
                <w:rFonts w:ascii="Arial" w:cs="Arial" w:eastAsia="Arial" w:hAnsi="Arial"/>
                <w:sz w:val="18"/>
                <w:szCs w:val="18"/>
                <w:color w:val="auto"/>
              </w:rPr>
              <w:t>independent directors: Anne M. Mulcahy, H. Paulett Eberhart, Viet D.</w:t>
            </w:r>
          </w:p>
        </w:tc>
        <w:tc>
          <w:tcPr>
            <w:tcW w:w="5680" w:type="dxa"/>
            <w:vAlign w:val="bottom"/>
            <w:gridSpan w:val="2"/>
          </w:tcPr>
          <w:p>
            <w:pPr>
              <w:ind w:left="220"/>
              <w:spacing w:after="0"/>
              <w:rPr>
                <w:sz w:val="20"/>
                <w:szCs w:val="20"/>
                <w:color w:val="auto"/>
              </w:rPr>
            </w:pPr>
            <w:r>
              <w:rPr>
                <w:rFonts w:ascii="Arial" w:cs="Arial" w:eastAsia="Arial" w:hAnsi="Arial"/>
                <w:sz w:val="20"/>
                <w:szCs w:val="20"/>
                <w:b w:val="1"/>
                <w:bCs w:val="1"/>
                <w:color w:val="336699"/>
                <w:w w:val="98"/>
              </w:rPr>
              <w:t>Candidates Recommended or Nominated by Stockholders</w:t>
            </w:r>
          </w:p>
        </w:tc>
        <w:tc>
          <w:tcPr>
            <w:tcW w:w="0" w:type="dxa"/>
            <w:vAlign w:val="bottom"/>
          </w:tcPr>
          <w:p>
            <w:pPr>
              <w:spacing w:after="0"/>
              <w:rPr>
                <w:sz w:val="1"/>
                <w:szCs w:val="1"/>
                <w:color w:val="auto"/>
              </w:rPr>
            </w:pPr>
          </w:p>
        </w:tc>
      </w:tr>
      <w:tr>
        <w:trPr>
          <w:trHeight w:val="216"/>
        </w:trPr>
        <w:tc>
          <w:tcPr>
            <w:tcW w:w="5720" w:type="dxa"/>
            <w:vAlign w:val="bottom"/>
            <w:gridSpan w:val="5"/>
          </w:tcPr>
          <w:p>
            <w:pPr>
              <w:spacing w:after="0"/>
              <w:rPr>
                <w:sz w:val="20"/>
                <w:szCs w:val="20"/>
                <w:color w:val="auto"/>
              </w:rPr>
            </w:pPr>
            <w:r>
              <w:rPr>
                <w:rFonts w:ascii="Arial" w:cs="Arial" w:eastAsia="Arial" w:hAnsi="Arial"/>
                <w:sz w:val="18"/>
                <w:szCs w:val="18"/>
                <w:color w:val="auto"/>
              </w:rPr>
              <w:t>Dinh, Marco (“Mick”) W. Hellman, and William F. Glavin, Jr., with Mr.</w:t>
            </w:r>
          </w:p>
        </w:tc>
        <w:tc>
          <w:tcPr>
            <w:tcW w:w="4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5"/>
          </w:tcPr>
          <w:p>
            <w:pPr>
              <w:spacing w:after="0"/>
              <w:rPr>
                <w:sz w:val="20"/>
                <w:szCs w:val="20"/>
                <w:color w:val="auto"/>
              </w:rPr>
            </w:pPr>
            <w:r>
              <w:rPr>
                <w:rFonts w:ascii="Arial" w:cs="Arial" w:eastAsia="Arial" w:hAnsi="Arial"/>
                <w:sz w:val="18"/>
                <w:szCs w:val="18"/>
                <w:color w:val="auto"/>
              </w:rPr>
              <w:t>Glavin being nominated for election at this Annual Meeting. Through</w:t>
            </w:r>
          </w:p>
        </w:tc>
        <w:tc>
          <w:tcPr>
            <w:tcW w:w="5680" w:type="dxa"/>
            <w:vAlign w:val="bottom"/>
            <w:gridSpan w:val="2"/>
          </w:tcPr>
          <w:p>
            <w:pPr>
              <w:ind w:left="220"/>
              <w:spacing w:after="0"/>
              <w:rPr>
                <w:sz w:val="20"/>
                <w:szCs w:val="20"/>
                <w:color w:val="auto"/>
              </w:rPr>
            </w:pPr>
            <w:r>
              <w:rPr>
                <w:rFonts w:ascii="Arial" w:cs="Arial" w:eastAsia="Arial" w:hAnsi="Arial"/>
                <w:sz w:val="18"/>
                <w:szCs w:val="18"/>
                <w:color w:val="auto"/>
              </w:rPr>
              <w:t>The Nominating and Governance Committee will consider director</w:t>
            </w:r>
          </w:p>
        </w:tc>
        <w:tc>
          <w:tcPr>
            <w:tcW w:w="0" w:type="dxa"/>
            <w:vAlign w:val="bottom"/>
          </w:tcPr>
          <w:p>
            <w:pPr>
              <w:spacing w:after="0"/>
              <w:rPr>
                <w:sz w:val="1"/>
                <w:szCs w:val="1"/>
                <w:color w:val="auto"/>
              </w:rPr>
            </w:pPr>
          </w:p>
        </w:tc>
      </w:tr>
      <w:tr>
        <w:trPr>
          <w:trHeight w:val="216"/>
        </w:trPr>
        <w:tc>
          <w:tcPr>
            <w:tcW w:w="5720" w:type="dxa"/>
            <w:vAlign w:val="bottom"/>
            <w:gridSpan w:val="5"/>
          </w:tcPr>
          <w:p>
            <w:pPr>
              <w:spacing w:after="0"/>
              <w:rPr>
                <w:sz w:val="20"/>
                <w:szCs w:val="20"/>
                <w:color w:val="auto"/>
              </w:rPr>
            </w:pPr>
            <w:r>
              <w:rPr>
                <w:rFonts w:ascii="Arial" w:cs="Arial" w:eastAsia="Arial" w:hAnsi="Arial"/>
                <w:sz w:val="18"/>
                <w:szCs w:val="18"/>
                <w:color w:val="auto"/>
              </w:rPr>
              <w:t>the addition of these directors, the Board of Directors gains</w:t>
            </w:r>
          </w:p>
        </w:tc>
        <w:tc>
          <w:tcPr>
            <w:tcW w:w="5680" w:type="dxa"/>
            <w:vAlign w:val="bottom"/>
            <w:gridSpan w:val="2"/>
          </w:tcPr>
          <w:p>
            <w:pPr>
              <w:ind w:left="220"/>
              <w:spacing w:after="0"/>
              <w:rPr>
                <w:sz w:val="20"/>
                <w:szCs w:val="20"/>
                <w:color w:val="auto"/>
              </w:rPr>
            </w:pPr>
            <w:r>
              <w:rPr>
                <w:rFonts w:ascii="Arial" w:cs="Arial" w:eastAsia="Arial" w:hAnsi="Arial"/>
                <w:sz w:val="18"/>
                <w:szCs w:val="18"/>
                <w:color w:val="auto"/>
              </w:rPr>
              <w:t>candidates recommended by stockholders in accordance with our</w:t>
            </w:r>
          </w:p>
        </w:tc>
        <w:tc>
          <w:tcPr>
            <w:tcW w:w="0" w:type="dxa"/>
            <w:vAlign w:val="bottom"/>
          </w:tcPr>
          <w:p>
            <w:pPr>
              <w:spacing w:after="0"/>
              <w:rPr>
                <w:sz w:val="1"/>
                <w:szCs w:val="1"/>
                <w:color w:val="auto"/>
              </w:rPr>
            </w:pPr>
          </w:p>
        </w:tc>
      </w:tr>
      <w:tr>
        <w:trPr>
          <w:trHeight w:val="216"/>
        </w:trPr>
        <w:tc>
          <w:tcPr>
            <w:tcW w:w="5720" w:type="dxa"/>
            <w:vAlign w:val="bottom"/>
            <w:gridSpan w:val="5"/>
          </w:tcPr>
          <w:p>
            <w:pPr>
              <w:spacing w:after="0"/>
              <w:rPr>
                <w:sz w:val="20"/>
                <w:szCs w:val="20"/>
                <w:color w:val="auto"/>
              </w:rPr>
            </w:pPr>
            <w:r>
              <w:rPr>
                <w:rFonts w:ascii="Arial" w:cs="Arial" w:eastAsia="Arial" w:hAnsi="Arial"/>
                <w:sz w:val="18"/>
                <w:szCs w:val="18"/>
                <w:color w:val="auto"/>
              </w:rPr>
              <w:t>seasoned leaders, as well as particularly relevant experience related</w:t>
            </w:r>
          </w:p>
        </w:tc>
        <w:tc>
          <w:tcPr>
            <w:tcW w:w="5680" w:type="dxa"/>
            <w:vAlign w:val="bottom"/>
            <w:gridSpan w:val="2"/>
          </w:tcPr>
          <w:p>
            <w:pPr>
              <w:ind w:left="220"/>
              <w:spacing w:after="0"/>
              <w:rPr>
                <w:sz w:val="20"/>
                <w:szCs w:val="20"/>
                <w:color w:val="auto"/>
              </w:rPr>
            </w:pPr>
            <w:r>
              <w:rPr>
                <w:rFonts w:ascii="Arial" w:cs="Arial" w:eastAsia="Arial" w:hAnsi="Arial"/>
                <w:sz w:val="18"/>
                <w:szCs w:val="18"/>
                <w:color w:val="auto"/>
              </w:rPr>
              <w:t>bylaws. For a stockholder to make any nomination for election to the</w:t>
            </w:r>
          </w:p>
        </w:tc>
        <w:tc>
          <w:tcPr>
            <w:tcW w:w="0" w:type="dxa"/>
            <w:vAlign w:val="bottom"/>
          </w:tcPr>
          <w:p>
            <w:pPr>
              <w:spacing w:after="0"/>
              <w:rPr>
                <w:sz w:val="1"/>
                <w:szCs w:val="1"/>
                <w:color w:val="auto"/>
              </w:rPr>
            </w:pPr>
          </w:p>
        </w:tc>
      </w:tr>
      <w:tr>
        <w:trPr>
          <w:trHeight w:val="216"/>
        </w:trPr>
        <w:tc>
          <w:tcPr>
            <w:tcW w:w="5720" w:type="dxa"/>
            <w:vAlign w:val="bottom"/>
            <w:gridSpan w:val="5"/>
          </w:tcPr>
          <w:p>
            <w:pPr>
              <w:spacing w:after="0"/>
              <w:rPr>
                <w:sz w:val="20"/>
                <w:szCs w:val="20"/>
                <w:color w:val="auto"/>
              </w:rPr>
            </w:pPr>
            <w:r>
              <w:rPr>
                <w:rFonts w:ascii="Arial" w:cs="Arial" w:eastAsia="Arial" w:hAnsi="Arial"/>
                <w:sz w:val="18"/>
                <w:szCs w:val="18"/>
                <w:color w:val="auto"/>
              </w:rPr>
              <w:t>to our industry, strategic planning, oversight and execution, business</w:t>
            </w:r>
          </w:p>
        </w:tc>
        <w:tc>
          <w:tcPr>
            <w:tcW w:w="5680" w:type="dxa"/>
            <w:vAlign w:val="bottom"/>
            <w:gridSpan w:val="2"/>
          </w:tcPr>
          <w:p>
            <w:pPr>
              <w:ind w:left="220"/>
              <w:spacing w:after="0"/>
              <w:rPr>
                <w:sz w:val="20"/>
                <w:szCs w:val="20"/>
                <w:color w:val="auto"/>
              </w:rPr>
            </w:pPr>
            <w:r>
              <w:rPr>
                <w:rFonts w:ascii="Arial" w:cs="Arial" w:eastAsia="Arial" w:hAnsi="Arial"/>
                <w:sz w:val="18"/>
                <w:szCs w:val="18"/>
                <w:color w:val="auto"/>
              </w:rPr>
              <w:t>Board of Directors at an annual meeting, the stockholder must</w:t>
            </w:r>
          </w:p>
        </w:tc>
        <w:tc>
          <w:tcPr>
            <w:tcW w:w="0" w:type="dxa"/>
            <w:vAlign w:val="bottom"/>
          </w:tcPr>
          <w:p>
            <w:pPr>
              <w:spacing w:after="0"/>
              <w:rPr>
                <w:sz w:val="1"/>
                <w:szCs w:val="1"/>
                <w:color w:val="auto"/>
              </w:rPr>
            </w:pPr>
          </w:p>
        </w:tc>
      </w:tr>
      <w:tr>
        <w:trPr>
          <w:trHeight w:val="216"/>
        </w:trPr>
        <w:tc>
          <w:tcPr>
            <w:tcW w:w="5720" w:type="dxa"/>
            <w:vAlign w:val="bottom"/>
            <w:gridSpan w:val="5"/>
          </w:tcPr>
          <w:p>
            <w:pPr>
              <w:spacing w:after="0"/>
              <w:rPr>
                <w:sz w:val="20"/>
                <w:szCs w:val="20"/>
                <w:color w:val="auto"/>
              </w:rPr>
            </w:pPr>
            <w:r>
              <w:rPr>
                <w:rFonts w:ascii="Arial" w:cs="Arial" w:eastAsia="Arial" w:hAnsi="Arial"/>
                <w:sz w:val="18"/>
                <w:szCs w:val="18"/>
                <w:color w:val="auto"/>
              </w:rPr>
              <w:t>innovation, technology, accounting, risk management, legal affairs,</w:t>
            </w:r>
          </w:p>
        </w:tc>
        <w:tc>
          <w:tcPr>
            <w:tcW w:w="5680" w:type="dxa"/>
            <w:vAlign w:val="bottom"/>
            <w:gridSpan w:val="2"/>
          </w:tcPr>
          <w:p>
            <w:pPr>
              <w:ind w:left="220"/>
              <w:spacing w:after="0"/>
              <w:rPr>
                <w:sz w:val="20"/>
                <w:szCs w:val="20"/>
                <w:color w:val="auto"/>
              </w:rPr>
            </w:pPr>
            <w:r>
              <w:rPr>
                <w:rFonts w:ascii="Arial" w:cs="Arial" w:eastAsia="Arial" w:hAnsi="Arial"/>
                <w:sz w:val="18"/>
                <w:szCs w:val="18"/>
                <w:color w:val="auto"/>
              </w:rPr>
              <w:t>provide notice and certain information about the recommending</w:t>
            </w:r>
          </w:p>
        </w:tc>
        <w:tc>
          <w:tcPr>
            <w:tcW w:w="0" w:type="dxa"/>
            <w:vAlign w:val="bottom"/>
          </w:tcPr>
          <w:p>
            <w:pPr>
              <w:spacing w:after="0"/>
              <w:rPr>
                <w:sz w:val="1"/>
                <w:szCs w:val="1"/>
                <w:color w:val="auto"/>
              </w:rPr>
            </w:pPr>
          </w:p>
        </w:tc>
      </w:tr>
      <w:tr>
        <w:trPr>
          <w:trHeight w:val="216"/>
        </w:trPr>
        <w:tc>
          <w:tcPr>
            <w:tcW w:w="5720" w:type="dxa"/>
            <w:vAlign w:val="bottom"/>
            <w:gridSpan w:val="5"/>
          </w:tcPr>
          <w:p>
            <w:pPr>
              <w:spacing w:after="0"/>
              <w:rPr>
                <w:sz w:val="20"/>
                <w:szCs w:val="20"/>
                <w:color w:val="auto"/>
              </w:rPr>
            </w:pPr>
            <w:r>
              <w:rPr>
                <w:rFonts w:ascii="Arial" w:cs="Arial" w:eastAsia="Arial" w:hAnsi="Arial"/>
                <w:sz w:val="18"/>
                <w:szCs w:val="18"/>
                <w:color w:val="auto"/>
              </w:rPr>
              <w:t>and government matters. The addition of these directors also</w:t>
            </w:r>
          </w:p>
        </w:tc>
        <w:tc>
          <w:tcPr>
            <w:tcW w:w="5680" w:type="dxa"/>
            <w:vAlign w:val="bottom"/>
            <w:gridSpan w:val="2"/>
          </w:tcPr>
          <w:p>
            <w:pPr>
              <w:ind w:left="220"/>
              <w:spacing w:after="0"/>
              <w:rPr>
                <w:sz w:val="20"/>
                <w:szCs w:val="20"/>
                <w:color w:val="auto"/>
              </w:rPr>
            </w:pPr>
            <w:r>
              <w:rPr>
                <w:rFonts w:ascii="Arial" w:cs="Arial" w:eastAsia="Arial" w:hAnsi="Arial"/>
                <w:sz w:val="18"/>
                <w:szCs w:val="18"/>
                <w:color w:val="auto"/>
              </w:rPr>
              <w:t>stockholder and the nominee to the Company, which notice must be</w:t>
            </w:r>
          </w:p>
        </w:tc>
        <w:tc>
          <w:tcPr>
            <w:tcW w:w="0" w:type="dxa"/>
            <w:vAlign w:val="bottom"/>
          </w:tcPr>
          <w:p>
            <w:pPr>
              <w:spacing w:after="0"/>
              <w:rPr>
                <w:sz w:val="1"/>
                <w:szCs w:val="1"/>
                <w:color w:val="auto"/>
              </w:rPr>
            </w:pPr>
          </w:p>
        </w:tc>
      </w:tr>
      <w:tr>
        <w:trPr>
          <w:trHeight w:val="216"/>
        </w:trPr>
        <w:tc>
          <w:tcPr>
            <w:tcW w:w="5720" w:type="dxa"/>
            <w:vAlign w:val="bottom"/>
            <w:gridSpan w:val="5"/>
          </w:tcPr>
          <w:p>
            <w:pPr>
              <w:spacing w:after="0"/>
              <w:rPr>
                <w:sz w:val="20"/>
                <w:szCs w:val="20"/>
                <w:color w:val="auto"/>
              </w:rPr>
            </w:pPr>
            <w:r>
              <w:rPr>
                <w:rFonts w:ascii="Arial" w:cs="Arial" w:eastAsia="Arial" w:hAnsi="Arial"/>
                <w:sz w:val="18"/>
                <w:szCs w:val="18"/>
                <w:color w:val="auto"/>
              </w:rPr>
              <w:t>reflects our balanced approach to director tenure, allowing the Board</w:t>
            </w:r>
          </w:p>
        </w:tc>
        <w:tc>
          <w:tcPr>
            <w:tcW w:w="5680" w:type="dxa"/>
            <w:vAlign w:val="bottom"/>
            <w:gridSpan w:val="2"/>
          </w:tcPr>
          <w:p>
            <w:pPr>
              <w:ind w:left="220"/>
              <w:spacing w:after="0"/>
              <w:rPr>
                <w:sz w:val="20"/>
                <w:szCs w:val="20"/>
                <w:color w:val="auto"/>
              </w:rPr>
            </w:pPr>
            <w:r>
              <w:rPr>
                <w:rFonts w:ascii="Arial" w:cs="Arial" w:eastAsia="Arial" w:hAnsi="Arial"/>
                <w:sz w:val="18"/>
                <w:szCs w:val="18"/>
                <w:color w:val="auto"/>
              </w:rPr>
              <w:t>delivered to, or mailed and received at, the Company’s principal</w:t>
            </w:r>
          </w:p>
        </w:tc>
        <w:tc>
          <w:tcPr>
            <w:tcW w:w="0" w:type="dxa"/>
            <w:vAlign w:val="bottom"/>
          </w:tcPr>
          <w:p>
            <w:pPr>
              <w:spacing w:after="0"/>
              <w:rPr>
                <w:sz w:val="1"/>
                <w:szCs w:val="1"/>
                <w:color w:val="auto"/>
              </w:rPr>
            </w:pPr>
          </w:p>
        </w:tc>
      </w:tr>
      <w:tr>
        <w:trPr>
          <w:trHeight w:val="216"/>
        </w:trPr>
        <w:tc>
          <w:tcPr>
            <w:tcW w:w="5720" w:type="dxa"/>
            <w:vAlign w:val="bottom"/>
            <w:gridSpan w:val="5"/>
          </w:tcPr>
          <w:p>
            <w:pPr>
              <w:spacing w:after="0"/>
              <w:rPr>
                <w:sz w:val="20"/>
                <w:szCs w:val="20"/>
                <w:color w:val="auto"/>
              </w:rPr>
            </w:pPr>
            <w:r>
              <w:rPr>
                <w:rFonts w:ascii="Arial" w:cs="Arial" w:eastAsia="Arial" w:hAnsi="Arial"/>
                <w:sz w:val="18"/>
                <w:szCs w:val="18"/>
                <w:color w:val="auto"/>
              </w:rPr>
              <w:t>to benefit from the experience of longer-serving directors as well as</w:t>
            </w:r>
          </w:p>
        </w:tc>
        <w:tc>
          <w:tcPr>
            <w:tcW w:w="5680" w:type="dxa"/>
            <w:vAlign w:val="bottom"/>
            <w:gridSpan w:val="2"/>
          </w:tcPr>
          <w:p>
            <w:pPr>
              <w:ind w:left="220"/>
              <w:spacing w:after="0"/>
              <w:rPr>
                <w:sz w:val="20"/>
                <w:szCs w:val="20"/>
                <w:color w:val="auto"/>
              </w:rPr>
            </w:pPr>
            <w:r>
              <w:rPr>
                <w:rFonts w:ascii="Arial" w:cs="Arial" w:eastAsia="Arial" w:hAnsi="Arial"/>
                <w:sz w:val="18"/>
                <w:szCs w:val="18"/>
                <w:color w:val="auto"/>
              </w:rPr>
              <w:t>executive offices:</w:t>
            </w:r>
          </w:p>
        </w:tc>
        <w:tc>
          <w:tcPr>
            <w:tcW w:w="0" w:type="dxa"/>
            <w:vAlign w:val="bottom"/>
          </w:tcPr>
          <w:p>
            <w:pPr>
              <w:spacing w:after="0"/>
              <w:rPr>
                <w:sz w:val="1"/>
                <w:szCs w:val="1"/>
                <w:color w:val="auto"/>
              </w:rPr>
            </w:pPr>
          </w:p>
        </w:tc>
      </w:tr>
      <w:tr>
        <w:trPr>
          <w:trHeight w:val="217"/>
        </w:trPr>
        <w:tc>
          <w:tcPr>
            <w:tcW w:w="3240" w:type="dxa"/>
            <w:vAlign w:val="bottom"/>
            <w:gridSpan w:val="3"/>
          </w:tcPr>
          <w:p>
            <w:pPr>
              <w:spacing w:after="0"/>
              <w:rPr>
                <w:sz w:val="20"/>
                <w:szCs w:val="20"/>
                <w:color w:val="auto"/>
              </w:rPr>
            </w:pPr>
            <w:r>
              <w:rPr>
                <w:rFonts w:ascii="Arial" w:cs="Arial" w:eastAsia="Arial" w:hAnsi="Arial"/>
                <w:sz w:val="18"/>
                <w:szCs w:val="18"/>
                <w:color w:val="auto"/>
              </w:rPr>
              <w:t>fresh perspectives from newer directors:</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vMerge w:val="restart"/>
          </w:tcPr>
          <w:p>
            <w:pPr>
              <w:ind w:left="220"/>
              <w:spacing w:after="0"/>
              <w:rPr>
                <w:sz w:val="20"/>
                <w:szCs w:val="20"/>
                <w:color w:val="auto"/>
              </w:rPr>
            </w:pPr>
            <w:r>
              <w:rPr>
                <w:rFonts w:ascii="Arial" w:cs="Arial" w:eastAsia="Arial" w:hAnsi="Arial"/>
                <w:sz w:val="18"/>
                <w:szCs w:val="18"/>
                <w:color w:val="auto"/>
              </w:rPr>
              <w:t>(i)</w:t>
            </w:r>
          </w:p>
        </w:tc>
        <w:tc>
          <w:tcPr>
            <w:tcW w:w="5200" w:type="dxa"/>
            <w:vAlign w:val="bottom"/>
            <w:vMerge w:val="restart"/>
          </w:tcPr>
          <w:p>
            <w:pPr>
              <w:ind w:left="60"/>
              <w:spacing w:after="0"/>
              <w:rPr>
                <w:sz w:val="20"/>
                <w:szCs w:val="20"/>
                <w:color w:val="auto"/>
              </w:rPr>
            </w:pPr>
            <w:r>
              <w:rPr>
                <w:rFonts w:ascii="Arial" w:cs="Arial" w:eastAsia="Arial" w:hAnsi="Arial"/>
                <w:sz w:val="18"/>
                <w:szCs w:val="18"/>
                <w:color w:val="auto"/>
              </w:rPr>
              <w:t>no later than the close of business on the 90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calendar day nor</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80" w:type="dxa"/>
            <w:vAlign w:val="bottom"/>
            <w:gridSpan w:val="2"/>
            <w:vMerge w:val="restart"/>
          </w:tcPr>
          <w:p>
            <w:pPr>
              <w:jc w:val="center"/>
              <w:ind w:right="860"/>
              <w:spacing w:after="0"/>
              <w:rPr>
                <w:sz w:val="20"/>
                <w:szCs w:val="20"/>
                <w:color w:val="auto"/>
              </w:rPr>
            </w:pPr>
            <w:r>
              <w:rPr>
                <w:rFonts w:ascii="Arial" w:cs="Arial" w:eastAsia="Arial" w:hAnsi="Arial"/>
                <w:sz w:val="18"/>
                <w:szCs w:val="18"/>
                <w:b w:val="1"/>
                <w:bCs w:val="1"/>
                <w:color w:val="336699"/>
                <w:w w:val="99"/>
              </w:rPr>
              <w:t>Number of</w:t>
            </w:r>
          </w:p>
        </w:tc>
        <w:tc>
          <w:tcPr>
            <w:tcW w:w="480" w:type="dxa"/>
            <w:vAlign w:val="bottom"/>
          </w:tcPr>
          <w:p>
            <w:pPr>
              <w:spacing w:after="0"/>
              <w:rPr>
                <w:sz w:val="18"/>
                <w:szCs w:val="18"/>
                <w:color w:val="auto"/>
              </w:rPr>
            </w:pPr>
          </w:p>
        </w:tc>
        <w:tc>
          <w:tcPr>
            <w:tcW w:w="5200" w:type="dxa"/>
            <w:vAlign w:val="bottom"/>
          </w:tcPr>
          <w:p>
            <w:pPr>
              <w:ind w:left="60"/>
              <w:spacing w:after="0" w:line="219" w:lineRule="exact"/>
              <w:rPr>
                <w:sz w:val="20"/>
                <w:szCs w:val="20"/>
                <w:color w:val="auto"/>
              </w:rPr>
            </w:pPr>
            <w:r>
              <w:rPr>
                <w:rFonts w:ascii="Arial" w:cs="Arial" w:eastAsia="Arial" w:hAnsi="Arial"/>
                <w:sz w:val="18"/>
                <w:szCs w:val="18"/>
                <w:color w:val="auto"/>
                <w:w w:val="98"/>
              </w:rPr>
              <w:t>earlier than the close of business on the 120</w:t>
            </w:r>
            <w:r>
              <w:rPr>
                <w:rFonts w:ascii="Arial" w:cs="Arial" w:eastAsia="Arial" w:hAnsi="Arial"/>
                <w:sz w:val="21"/>
                <w:szCs w:val="21"/>
                <w:color w:val="auto"/>
                <w:w w:val="98"/>
                <w:vertAlign w:val="superscript"/>
              </w:rPr>
              <w:t>th</w:t>
            </w:r>
            <w:r>
              <w:rPr>
                <w:rFonts w:ascii="Arial" w:cs="Arial" w:eastAsia="Arial" w:hAnsi="Arial"/>
                <w:sz w:val="18"/>
                <w:szCs w:val="18"/>
                <w:color w:val="auto"/>
                <w:w w:val="98"/>
              </w:rPr>
              <w:t xml:space="preserve"> calendar day, prior</w:t>
            </w: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48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5200" w:type="dxa"/>
            <w:vAlign w:val="bottom"/>
            <w:vMerge w:val="restart"/>
          </w:tcPr>
          <w:p>
            <w:pPr>
              <w:ind w:left="60"/>
              <w:spacing w:after="0"/>
              <w:rPr>
                <w:sz w:val="20"/>
                <w:szCs w:val="20"/>
                <w:color w:val="auto"/>
              </w:rPr>
            </w:pPr>
            <w:r>
              <w:rPr>
                <w:rFonts w:ascii="Arial" w:cs="Arial" w:eastAsia="Arial" w:hAnsi="Arial"/>
                <w:sz w:val="18"/>
                <w:szCs w:val="18"/>
                <w:color w:val="auto"/>
              </w:rPr>
              <w:t>to the anniversary date of the prior year’s annual meeting; or</w:t>
            </w: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60" w:type="dxa"/>
            <w:vAlign w:val="bottom"/>
            <w:vMerge w:val="restart"/>
          </w:tcPr>
          <w:p>
            <w:pPr>
              <w:ind w:left="40"/>
              <w:spacing w:after="0"/>
              <w:rPr>
                <w:sz w:val="20"/>
                <w:szCs w:val="20"/>
                <w:color w:val="auto"/>
              </w:rPr>
            </w:pPr>
            <w:r>
              <w:rPr>
                <w:rFonts w:ascii="Arial" w:cs="Arial" w:eastAsia="Arial" w:hAnsi="Arial"/>
                <w:sz w:val="18"/>
                <w:szCs w:val="18"/>
                <w:b w:val="1"/>
                <w:bCs w:val="1"/>
                <w:color w:val="336699"/>
              </w:rPr>
              <w:t>Tenure on Board</w:t>
            </w:r>
          </w:p>
        </w:tc>
        <w:tc>
          <w:tcPr>
            <w:tcW w:w="2480" w:type="dxa"/>
            <w:vAlign w:val="bottom"/>
            <w:gridSpan w:val="2"/>
            <w:vMerge w:val="restart"/>
          </w:tcPr>
          <w:p>
            <w:pPr>
              <w:jc w:val="center"/>
              <w:ind w:right="840"/>
              <w:spacing w:after="0"/>
              <w:rPr>
                <w:sz w:val="20"/>
                <w:szCs w:val="20"/>
                <w:color w:val="auto"/>
              </w:rPr>
            </w:pPr>
            <w:r>
              <w:rPr>
                <w:rFonts w:ascii="Arial" w:cs="Arial" w:eastAsia="Arial" w:hAnsi="Arial"/>
                <w:sz w:val="18"/>
                <w:szCs w:val="18"/>
                <w:b w:val="1"/>
                <w:bCs w:val="1"/>
                <w:color w:val="336699"/>
                <w:w w:val="99"/>
              </w:rPr>
              <w:t>Director Nominees</w:t>
            </w:r>
          </w:p>
        </w:tc>
        <w:tc>
          <w:tcPr>
            <w:tcW w:w="480" w:type="dxa"/>
            <w:vAlign w:val="bottom"/>
          </w:tcPr>
          <w:p>
            <w:pPr>
              <w:spacing w:after="0"/>
              <w:rPr>
                <w:sz w:val="10"/>
                <w:szCs w:val="10"/>
                <w:color w:val="auto"/>
              </w:rPr>
            </w:pPr>
          </w:p>
        </w:tc>
        <w:tc>
          <w:tcPr>
            <w:tcW w:w="5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160" w:type="dxa"/>
            <w:vAlign w:val="bottom"/>
            <w:vMerge w:val="continue"/>
          </w:tcPr>
          <w:p>
            <w:pPr>
              <w:spacing w:after="0"/>
              <w:rPr>
                <w:sz w:val="11"/>
                <w:szCs w:val="11"/>
                <w:color w:val="auto"/>
              </w:rPr>
            </w:pPr>
          </w:p>
        </w:tc>
        <w:tc>
          <w:tcPr>
            <w:tcW w:w="2480" w:type="dxa"/>
            <w:vAlign w:val="bottom"/>
            <w:gridSpan w:val="2"/>
            <w:vMerge w:val="continue"/>
          </w:tcPr>
          <w:p>
            <w:pPr>
              <w:spacing w:after="0"/>
              <w:rPr>
                <w:sz w:val="11"/>
                <w:szCs w:val="11"/>
                <w:color w:val="auto"/>
              </w:rPr>
            </w:pPr>
          </w:p>
        </w:tc>
        <w:tc>
          <w:tcPr>
            <w:tcW w:w="480" w:type="dxa"/>
            <w:vAlign w:val="bottom"/>
            <w:vMerge w:val="restart"/>
          </w:tcPr>
          <w:p>
            <w:pPr>
              <w:ind w:left="220"/>
              <w:spacing w:after="0"/>
              <w:rPr>
                <w:sz w:val="20"/>
                <w:szCs w:val="20"/>
                <w:color w:val="auto"/>
              </w:rPr>
            </w:pPr>
            <w:r>
              <w:rPr>
                <w:rFonts w:ascii="Arial" w:cs="Arial" w:eastAsia="Arial" w:hAnsi="Arial"/>
                <w:sz w:val="18"/>
                <w:szCs w:val="18"/>
                <w:color w:val="auto"/>
              </w:rPr>
              <w:t>(ii)</w:t>
            </w:r>
          </w:p>
        </w:tc>
        <w:tc>
          <w:tcPr>
            <w:tcW w:w="5200" w:type="dxa"/>
            <w:vAlign w:val="bottom"/>
            <w:vMerge w:val="restart"/>
          </w:tcPr>
          <w:p>
            <w:pPr>
              <w:ind w:left="60"/>
              <w:spacing w:after="0"/>
              <w:rPr>
                <w:sz w:val="20"/>
                <w:szCs w:val="20"/>
                <w:color w:val="auto"/>
              </w:rPr>
            </w:pPr>
            <w:r>
              <w:rPr>
                <w:rFonts w:ascii="Arial" w:cs="Arial" w:eastAsia="Arial" w:hAnsi="Arial"/>
                <w:sz w:val="18"/>
                <w:szCs w:val="18"/>
                <w:color w:val="auto"/>
              </w:rPr>
              <w:t>if there was no annual meeting in the prior year or if the date of</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160" w:type="dxa"/>
            <w:vAlign w:val="bottom"/>
            <w:tcBorders>
              <w:top w:val="single" w:sz="8" w:color="336699"/>
            </w:tcBorders>
            <w:vMerge w:val="restart"/>
            <w:shd w:val="clear" w:color="auto" w:fill="CCFFFF"/>
          </w:tcPr>
          <w:p>
            <w:pPr>
              <w:ind w:left="40"/>
              <w:spacing w:after="0"/>
              <w:rPr>
                <w:sz w:val="20"/>
                <w:szCs w:val="20"/>
                <w:color w:val="auto"/>
              </w:rPr>
            </w:pPr>
            <w:r>
              <w:rPr>
                <w:rFonts w:ascii="Arial" w:cs="Arial" w:eastAsia="Arial" w:hAnsi="Arial"/>
                <w:sz w:val="18"/>
                <w:szCs w:val="18"/>
                <w:color w:val="auto"/>
              </w:rPr>
              <w:t>More than 9 years</w:t>
            </w:r>
          </w:p>
        </w:tc>
        <w:tc>
          <w:tcPr>
            <w:tcW w:w="2180" w:type="dxa"/>
            <w:vAlign w:val="bottom"/>
            <w:tcBorders>
              <w:top w:val="single" w:sz="8" w:color="336699"/>
            </w:tcBorders>
            <w:vMerge w:val="restart"/>
            <w:shd w:val="clear" w:color="auto" w:fill="CCFFFF"/>
          </w:tcPr>
          <w:p>
            <w:pPr>
              <w:jc w:val="center"/>
              <w:ind w:right="470"/>
              <w:spacing w:after="0"/>
              <w:rPr>
                <w:sz w:val="20"/>
                <w:szCs w:val="20"/>
                <w:color w:val="auto"/>
              </w:rPr>
            </w:pPr>
            <w:r>
              <w:rPr>
                <w:rFonts w:ascii="Arial" w:cs="Arial" w:eastAsia="Arial" w:hAnsi="Arial"/>
                <w:sz w:val="18"/>
                <w:szCs w:val="18"/>
                <w:color w:val="auto"/>
                <w:w w:val="99"/>
              </w:rPr>
              <w:t>3</w:t>
            </w:r>
          </w:p>
        </w:tc>
        <w:tc>
          <w:tcPr>
            <w:tcW w:w="3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5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160" w:type="dxa"/>
            <w:vAlign w:val="bottom"/>
            <w:vMerge w:val="continue"/>
            <w:shd w:val="clear" w:color="auto" w:fill="CCFFFF"/>
          </w:tcPr>
          <w:p>
            <w:pPr>
              <w:spacing w:after="0"/>
              <w:rPr>
                <w:sz w:val="7"/>
                <w:szCs w:val="7"/>
                <w:color w:val="auto"/>
              </w:rPr>
            </w:pPr>
          </w:p>
        </w:tc>
        <w:tc>
          <w:tcPr>
            <w:tcW w:w="2180" w:type="dxa"/>
            <w:vAlign w:val="bottom"/>
            <w:vMerge w:val="continue"/>
            <w:shd w:val="clear" w:color="auto" w:fill="CCFFFF"/>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0" w:type="dxa"/>
            <w:vAlign w:val="bottom"/>
            <w:vMerge w:val="restart"/>
          </w:tcPr>
          <w:p>
            <w:pPr>
              <w:ind w:left="60"/>
              <w:spacing w:after="0"/>
              <w:rPr>
                <w:sz w:val="20"/>
                <w:szCs w:val="20"/>
                <w:color w:val="auto"/>
              </w:rPr>
            </w:pPr>
            <w:r>
              <w:rPr>
                <w:rFonts w:ascii="Arial" w:cs="Arial" w:eastAsia="Arial" w:hAnsi="Arial"/>
                <w:sz w:val="18"/>
                <w:szCs w:val="18"/>
                <w:color w:val="auto"/>
              </w:rPr>
              <w:t>the current year’s annual meeting is more than 30 days before</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160" w:type="dxa"/>
            <w:vAlign w:val="bottom"/>
            <w:vMerge w:val="restart"/>
          </w:tcPr>
          <w:p>
            <w:pPr>
              <w:ind w:left="40"/>
              <w:spacing w:after="0"/>
              <w:rPr>
                <w:sz w:val="20"/>
                <w:szCs w:val="20"/>
                <w:color w:val="auto"/>
              </w:rPr>
            </w:pPr>
            <w:r>
              <w:rPr>
                <w:rFonts w:ascii="Arial" w:cs="Arial" w:eastAsia="Arial" w:hAnsi="Arial"/>
                <w:sz w:val="18"/>
                <w:szCs w:val="18"/>
                <w:color w:val="auto"/>
              </w:rPr>
              <w:t>Less than 6 years</w:t>
            </w:r>
          </w:p>
        </w:tc>
        <w:tc>
          <w:tcPr>
            <w:tcW w:w="2180" w:type="dxa"/>
            <w:vAlign w:val="bottom"/>
            <w:vMerge w:val="restart"/>
          </w:tcPr>
          <w:p>
            <w:pPr>
              <w:jc w:val="center"/>
              <w:ind w:right="470"/>
              <w:spacing w:after="0"/>
              <w:rPr>
                <w:sz w:val="20"/>
                <w:szCs w:val="20"/>
                <w:color w:val="auto"/>
              </w:rPr>
            </w:pPr>
            <w:r>
              <w:rPr>
                <w:rFonts w:ascii="Arial" w:cs="Arial" w:eastAsia="Arial" w:hAnsi="Arial"/>
                <w:sz w:val="18"/>
                <w:szCs w:val="18"/>
                <w:color w:val="auto"/>
                <w:w w:val="99"/>
              </w:rPr>
              <w:t>6</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160" w:type="dxa"/>
            <w:vAlign w:val="bottom"/>
            <w:vMerge w:val="continue"/>
          </w:tcPr>
          <w:p>
            <w:pPr>
              <w:spacing w:after="0"/>
              <w:rPr>
                <w:sz w:val="9"/>
                <w:szCs w:val="9"/>
                <w:color w:val="auto"/>
              </w:rPr>
            </w:pPr>
          </w:p>
        </w:tc>
        <w:tc>
          <w:tcPr>
            <w:tcW w:w="21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0" w:type="dxa"/>
            <w:vAlign w:val="bottom"/>
            <w:vMerge w:val="restart"/>
          </w:tcPr>
          <w:p>
            <w:pPr>
              <w:ind w:left="60"/>
              <w:spacing w:after="0"/>
              <w:rPr>
                <w:sz w:val="20"/>
                <w:szCs w:val="20"/>
                <w:color w:val="auto"/>
              </w:rPr>
            </w:pPr>
            <w:r>
              <w:rPr>
                <w:rFonts w:ascii="Arial" w:cs="Arial" w:eastAsia="Arial" w:hAnsi="Arial"/>
                <w:sz w:val="18"/>
                <w:szCs w:val="18"/>
                <w:color w:val="auto"/>
              </w:rPr>
              <w:t>or after the anniversary date of the prior year’s annual meeting,</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720" w:type="dxa"/>
            <w:vAlign w:val="bottom"/>
            <w:gridSpan w:val="5"/>
          </w:tcPr>
          <w:p>
            <w:pPr>
              <w:spacing w:after="0"/>
              <w:rPr>
                <w:sz w:val="20"/>
                <w:szCs w:val="20"/>
                <w:color w:val="auto"/>
              </w:rPr>
            </w:pPr>
            <w:r>
              <w:rPr>
                <w:rFonts w:ascii="Arial" w:cs="Arial" w:eastAsia="Arial" w:hAnsi="Arial"/>
                <w:sz w:val="18"/>
                <w:szCs w:val="18"/>
                <w:color w:val="auto"/>
              </w:rPr>
              <w:t>The average tenure for our director nominees is five years.</w:t>
            </w:r>
          </w:p>
        </w:tc>
        <w:tc>
          <w:tcPr>
            <w:tcW w:w="480" w:type="dxa"/>
            <w:vAlign w:val="bottom"/>
          </w:tcPr>
          <w:p>
            <w:pPr>
              <w:spacing w:after="0"/>
              <w:rPr>
                <w:sz w:val="18"/>
                <w:szCs w:val="18"/>
                <w:color w:val="auto"/>
              </w:rPr>
            </w:pPr>
          </w:p>
        </w:tc>
        <w:tc>
          <w:tcPr>
            <w:tcW w:w="5200" w:type="dxa"/>
            <w:vAlign w:val="bottom"/>
          </w:tcPr>
          <w:p>
            <w:pPr>
              <w:ind w:left="60"/>
              <w:spacing w:after="0"/>
              <w:rPr>
                <w:sz w:val="20"/>
                <w:szCs w:val="20"/>
                <w:color w:val="auto"/>
              </w:rPr>
            </w:pPr>
            <w:r>
              <w:rPr>
                <w:rFonts w:ascii="Arial" w:cs="Arial" w:eastAsia="Arial" w:hAnsi="Arial"/>
                <w:sz w:val="18"/>
                <w:szCs w:val="18"/>
                <w:color w:val="auto"/>
              </w:rPr>
              <w:t>on or before 10 days after the day on which the date of the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0" w:type="dxa"/>
            <w:vAlign w:val="bottom"/>
          </w:tcPr>
          <w:p>
            <w:pPr>
              <w:ind w:left="60"/>
              <w:spacing w:after="0"/>
              <w:rPr>
                <w:sz w:val="20"/>
                <w:szCs w:val="20"/>
                <w:color w:val="auto"/>
              </w:rPr>
            </w:pPr>
            <w:r>
              <w:rPr>
                <w:rFonts w:ascii="Arial" w:cs="Arial" w:eastAsia="Arial" w:hAnsi="Arial"/>
                <w:sz w:val="18"/>
                <w:szCs w:val="18"/>
                <w:color w:val="auto"/>
              </w:rPr>
              <w:t>current year’s annual meeting is first disclosed in a public</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0" w:type="dxa"/>
            <w:vAlign w:val="bottom"/>
          </w:tcPr>
          <w:p>
            <w:pPr>
              <w:ind w:left="60"/>
              <w:spacing w:after="0"/>
              <w:rPr>
                <w:sz w:val="20"/>
                <w:szCs w:val="20"/>
                <w:color w:val="auto"/>
              </w:rPr>
            </w:pPr>
            <w:r>
              <w:rPr>
                <w:rFonts w:ascii="Arial" w:cs="Arial" w:eastAsia="Arial" w:hAnsi="Arial"/>
                <w:sz w:val="18"/>
                <w:szCs w:val="18"/>
                <w:color w:val="auto"/>
              </w:rPr>
              <w:t>announcement.</w:t>
            </w:r>
          </w:p>
        </w:tc>
        <w:tc>
          <w:tcPr>
            <w:tcW w:w="0" w:type="dxa"/>
            <w:vAlign w:val="bottom"/>
          </w:tcPr>
          <w:p>
            <w:pPr>
              <w:spacing w:after="0"/>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0585" cy="28321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Submissions must be in writing and addressed to the Nominating</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and Governance Committee, care of the Company’s corporate</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secretary. Electronic submissions will not be considered.</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7</w:t>
      </w:r>
    </w:p>
    <w:p>
      <w:pPr>
        <w:sectPr>
          <w:pgSz w:w="11900" w:h="16838" w:orient="portrait"/>
          <w:cols w:equalWidth="0" w:num="1">
            <w:col w:w="11420"/>
          </w:cols>
          <w:pgMar w:left="240" w:top="436"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Board of Director Nominees</w:t>
      </w:r>
    </w:p>
    <w:p>
      <w:pPr>
        <w:spacing w:after="0" w:line="24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name, age, and a description of the business experience, principal occupation, and past employment and directorships of each of the nominees during the last five years are set forth below. In addition, we have summarized the particular experience, qualifications, attributes, and skills that led the Board of Directors, including our Nominating and Governance Committee, to determine that each nominee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4982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982845"/>
                    </a:xfrm>
                    <a:prstGeom prst="rect">
                      <a:avLst/>
                    </a:prstGeom>
                    <a:noFill/>
                  </pic:spPr>
                </pic:pic>
              </a:graphicData>
            </a:graphic>
          </wp:anchor>
        </w:drawing>
      </w:r>
    </w:p>
    <w:p>
      <w:pPr>
        <w:sectPr>
          <w:pgSz w:w="11900" w:h="16838" w:orient="portrait"/>
          <w:cols w:equalWidth="0" w:num="1">
            <w:col w:w="11360"/>
          </w:cols>
          <w:pgMar w:left="240" w:top="43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9"/>
          <w:szCs w:val="19"/>
          <w:b w:val="1"/>
          <w:bCs w:val="1"/>
          <w:i w:val="1"/>
          <w:iCs w:val="1"/>
          <w:color w:val="336699"/>
        </w:rPr>
        <w:t>Dan H. Arnold</w:t>
      </w: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Age 52</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color w:val="auto"/>
        </w:rPr>
        <w:t>Director Since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BACKGROUND</w:t>
      </w:r>
    </w:p>
    <w:p>
      <w:pPr>
        <w:spacing w:after="0" w:line="367" w:lineRule="exact"/>
        <w:rPr>
          <w:sz w:val="20"/>
          <w:szCs w:val="20"/>
          <w:color w:val="auto"/>
        </w:rPr>
      </w:pPr>
    </w:p>
    <w:p>
      <w:pPr>
        <w:ind w:left="40" w:right="200"/>
        <w:spacing w:after="0" w:line="236" w:lineRule="auto"/>
        <w:rPr>
          <w:sz w:val="20"/>
          <w:szCs w:val="20"/>
          <w:color w:val="auto"/>
        </w:rPr>
      </w:pPr>
      <w:r>
        <w:rPr>
          <w:rFonts w:ascii="Arial" w:cs="Arial" w:eastAsia="Arial" w:hAnsi="Arial"/>
          <w:sz w:val="18"/>
          <w:szCs w:val="18"/>
          <w:color w:val="auto"/>
        </w:rPr>
        <w:t>Mr. Arnold has served as our chief executive officer and a director since January 2017. Mr. Arnold has served as our president since March 2015, with responsibility for our primary client-facing functions and long-term strategy for growth. Mr. Arnold served as our chief financial officer from November 2012 to March 2015 and was responsible for formulating financial policy, leading our capital management efforts, and ensuring the effectiveness of the organization’s financial functions. Prior to 2012, he was managing director, head of strategy, with responsibility for long-term strategic planning for the firm, product and platform development, and strategic investments, including acquisitions. He has also served as divisional president of our Institution Services business. Mr. Arnold joined the Company in January 2007 following our acquisition of UVEST Financial Services Group, Inc., a broker-dealer and investment adviser that provided services to banks, credit unions, and other financial institutions. Prior to joining us, Mr. Arnold worked at UVEST for 13 years, serving most recently as president and chief operating officer. Mr. Arnold earned a B.S. in electrical engineering from Auburn University and holds an M.B.A. in finance from Georgia State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QUALIFICATIONS</w:t>
      </w:r>
    </w:p>
    <w:p>
      <w:pPr>
        <w:spacing w:after="0" w:line="200" w:lineRule="exact"/>
        <w:rPr>
          <w:sz w:val="20"/>
          <w:szCs w:val="20"/>
          <w:color w:val="auto"/>
        </w:rPr>
      </w:pPr>
    </w:p>
    <w:p>
      <w:pPr>
        <w:spacing w:after="0" w:line="221" w:lineRule="exact"/>
        <w:rPr>
          <w:sz w:val="20"/>
          <w:szCs w:val="20"/>
          <w:color w:val="auto"/>
        </w:rPr>
      </w:pPr>
    </w:p>
    <w:p>
      <w:pPr>
        <w:ind w:left="40" w:right="200"/>
        <w:spacing w:after="0" w:line="255" w:lineRule="auto"/>
        <w:rPr>
          <w:sz w:val="20"/>
          <w:szCs w:val="20"/>
          <w:color w:val="auto"/>
        </w:rPr>
      </w:pPr>
      <w:r>
        <w:rPr>
          <w:rFonts w:ascii="Arial" w:cs="Arial" w:eastAsia="Arial" w:hAnsi="Arial"/>
          <w:sz w:val="17"/>
          <w:szCs w:val="17"/>
          <w:color w:val="auto"/>
        </w:rPr>
        <w:t>Mr. Arnold’s pertinent qualifications include his unique perspective and insights into our operations as our current president and chief executive officer, including knowledge of our business relationships, competitive and financial positioning, senior leadership, and strategic opportunities and challenges; operating, business and management experience as the chief financial officer, president, and now chief executive officer of a public company; and expertise in the financial industry and in particular brokerage and investment advisory services.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OTHER PUBLIC COMPANY BOARDS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240" w:type="dxa"/>
            <w:vAlign w:val="bottom"/>
            <w:shd w:val="clear" w:color="auto" w:fill="CCFFFF"/>
          </w:tcPr>
          <w:p>
            <w:pPr>
              <w:spacing w:after="0"/>
              <w:rPr>
                <w:sz w:val="11"/>
                <w:szCs w:val="11"/>
                <w:color w:val="auto"/>
              </w:rPr>
            </w:pPr>
          </w:p>
        </w:tc>
        <w:tc>
          <w:tcPr>
            <w:tcW w:w="4660" w:type="dxa"/>
            <w:vAlign w:val="bottom"/>
          </w:tcPr>
          <w:p>
            <w:pPr>
              <w:spacing w:after="0"/>
              <w:rPr>
                <w:sz w:val="11"/>
                <w:szCs w:val="11"/>
                <w:color w:val="auto"/>
              </w:rPr>
            </w:pPr>
          </w:p>
        </w:tc>
      </w:tr>
      <w:tr>
        <w:trPr>
          <w:trHeight w:val="297"/>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b w:val="1"/>
                <w:bCs w:val="1"/>
                <w:color w:val="auto"/>
                <w:w w:val="98"/>
              </w:rPr>
              <w:t>Current</w:t>
            </w:r>
          </w:p>
        </w:tc>
        <w:tc>
          <w:tcPr>
            <w:tcW w:w="4660" w:type="dxa"/>
            <w:vAlign w:val="bottom"/>
            <w:shd w:val="clear" w:color="auto" w:fill="CCFFFF"/>
          </w:tcPr>
          <w:p>
            <w:pPr>
              <w:jc w:val="center"/>
              <w:ind w:right="350"/>
              <w:spacing w:after="0"/>
              <w:rPr>
                <w:sz w:val="20"/>
                <w:szCs w:val="20"/>
                <w:color w:val="auto"/>
              </w:rPr>
            </w:pPr>
            <w:r>
              <w:rPr>
                <w:rFonts w:ascii="Arial" w:cs="Arial" w:eastAsia="Arial" w:hAnsi="Arial"/>
                <w:sz w:val="18"/>
                <w:szCs w:val="18"/>
                <w:b w:val="1"/>
                <w:bCs w:val="1"/>
                <w:color w:val="auto"/>
                <w:w w:val="98"/>
              </w:rPr>
              <w:t>Past 5 Years</w:t>
            </w:r>
          </w:p>
        </w:tc>
      </w:tr>
      <w:tr>
        <w:trPr>
          <w:trHeight w:val="311"/>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color w:val="auto"/>
              </w:rPr>
              <w:t>None</w:t>
            </w:r>
          </w:p>
        </w:tc>
        <w:tc>
          <w:tcPr>
            <w:tcW w:w="4660" w:type="dxa"/>
            <w:vAlign w:val="bottom"/>
            <w:shd w:val="clear" w:color="auto" w:fill="CCFFFF"/>
          </w:tcPr>
          <w:p>
            <w:pPr>
              <w:jc w:val="center"/>
              <w:ind w:right="370"/>
              <w:spacing w:after="0"/>
              <w:rPr>
                <w:sz w:val="20"/>
                <w:szCs w:val="20"/>
                <w:color w:val="auto"/>
              </w:rPr>
            </w:pPr>
            <w:r>
              <w:rPr>
                <w:rFonts w:ascii="Arial" w:cs="Arial" w:eastAsia="Arial" w:hAnsi="Arial"/>
                <w:sz w:val="18"/>
                <w:szCs w:val="18"/>
                <w:color w:val="auto"/>
                <w:w w:val="99"/>
              </w:rPr>
              <w:t>Optimum Fund Trust</w:t>
            </w:r>
          </w:p>
        </w:tc>
      </w:tr>
      <w:tr>
        <w:trPr>
          <w:trHeight w:val="297"/>
        </w:trPr>
        <w:tc>
          <w:tcPr>
            <w:tcW w:w="4240" w:type="dxa"/>
            <w:vAlign w:val="bottom"/>
            <w:shd w:val="clear" w:color="auto" w:fill="CCFFFF"/>
          </w:tcPr>
          <w:p>
            <w:pPr>
              <w:spacing w:after="0"/>
              <w:rPr>
                <w:sz w:val="24"/>
                <w:szCs w:val="24"/>
                <w:color w:val="auto"/>
              </w:rPr>
            </w:pPr>
          </w:p>
        </w:tc>
        <w:tc>
          <w:tcPr>
            <w:tcW w:w="4660" w:type="dxa"/>
            <w:vAlign w:val="bottom"/>
            <w:shd w:val="clear" w:color="auto" w:fill="CCFFFF"/>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1620" w:space="680"/>
            <w:col w:w="9060"/>
          </w:cols>
          <w:pgMar w:left="240" w:top="436" w:right="29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8 | </w:t>
      </w:r>
      <w:r>
        <w:rPr>
          <w:rFonts w:ascii="Arial" w:cs="Arial" w:eastAsia="Arial" w:hAnsi="Arial"/>
          <w:sz w:val="18"/>
          <w:szCs w:val="18"/>
          <w:b w:val="1"/>
          <w:bCs w:val="1"/>
          <w:color w:val="003B71"/>
        </w:rPr>
        <w:t>2017 Proxy Statement</w:t>
      </w:r>
    </w:p>
    <w:p>
      <w:pPr>
        <w:sectPr>
          <w:pgSz w:w="11900" w:h="16838" w:orient="portrait"/>
          <w:cols w:equalWidth="0" w:num="1">
            <w:col w:w="11360"/>
          </w:cols>
          <w:pgMar w:left="240" w:top="436" w:right="299" w:bottom="1440" w:gutter="0" w:footer="0" w:header="0"/>
          <w:type w:val="continuous"/>
        </w:sectPr>
      </w:pPr>
    </w:p>
    <w:bookmarkStart w:id="14" w:name="page15"/>
    <w:bookmarkEnd w:id="14"/>
    <w:p>
      <w:pPr>
        <w:ind w:left="8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453390</wp:posOffset>
            </wp:positionV>
            <wp:extent cx="7246620" cy="4493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493895"/>
                    </a:xfrm>
                    <a:prstGeom prst="rect">
                      <a:avLst/>
                    </a:prstGeom>
                    <a:noFill/>
                  </pic:spPr>
                </pic:pic>
              </a:graphicData>
            </a:graphic>
          </wp:anchor>
        </w:drawing>
      </w:r>
    </w:p>
    <w:p>
      <w:pPr>
        <w:sectPr>
          <w:pgSz w:w="11900" w:h="16838" w:orient="portrait"/>
          <w:cols w:equalWidth="0" w:num="1">
            <w:col w:w="11380"/>
          </w:cols>
          <w:pgMar w:left="280" w:top="4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336699"/>
        </w:rPr>
        <w:t>Viet D. Dinh</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Age 49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Nominating and Governance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336699"/>
        </w:rPr>
        <w:t>BACKGROUND</w:t>
      </w:r>
    </w:p>
    <w:p>
      <w:pPr>
        <w:spacing w:after="0" w:line="367"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Mr. Dinh is a partner of Kirkland &amp; Ellis LLP, a global law firm. From 2003 to September 2016, Mr. Dinh was a partner of Bancroft PLLC, a law and strategic consulting firm that he founded. He was appointed Associate Professor of Law in 1996, Professor of Law in 2001, and Professorial Lecturer in Law and Distinguished Lecturer in Government in 2014 at Georgetown University, where he specializes in corporations and constitutional law. In addition, he has acted as General Counsel and Corporate Secretary of Strayer Education, Inc., an education services holding company, since 2010 through Strayer’s engagement of Bancroft PLLC and Kirkland &amp; Ellis LLP. Mr. Dinh received his A.B. from Harvard College and his J.D. from Harvard Law School, where he was a Class Marshal and an Olin Research Fellow in Law and Economics.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b w:val="1"/>
          <w:bCs w:val="1"/>
          <w:color w:val="336699"/>
        </w:rPr>
        <w:t>QUALIFICATIONS</w:t>
      </w:r>
    </w:p>
    <w:p>
      <w:pPr>
        <w:spacing w:after="0" w:line="200" w:lineRule="exact"/>
        <w:rPr>
          <w:sz w:val="20"/>
          <w:szCs w:val="20"/>
          <w:color w:val="auto"/>
        </w:rPr>
      </w:pPr>
    </w:p>
    <w:p>
      <w:pPr>
        <w:spacing w:after="0" w:line="221"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color w:val="auto"/>
        </w:rPr>
        <w:t>Mr. Dinh’s pertinent qualifications include his legal expertise, particularly in matters of corporate law, and broad experience in counseling corporations and their leaders on a range of transactional, compliance and corporate governance issues; representation of numerous boards, committees and independent directors of public companies; strong ties to Washington, D.C. and contacts within the U.S. government, which are helpful in light of the highly regulated nature of our industry and our advocacy efforts; and corporate governance expertise, underscored by his current and former service on the boards and committees of other public companies.</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b w:val="1"/>
          <w:bCs w:val="1"/>
          <w:color w:val="336699"/>
        </w:rPr>
        <w:t>OTHER PUBLIC COMPANY BOARDS</w:t>
      </w:r>
    </w:p>
    <w:p>
      <w:pPr>
        <w:spacing w:after="0" w:line="345" w:lineRule="exact"/>
        <w:rPr>
          <w:sz w:val="20"/>
          <w:szCs w:val="20"/>
          <w:color w:val="auto"/>
        </w:rPr>
      </w:pPr>
    </w:p>
    <w:tbl>
      <w:tblPr>
        <w:tblLayout w:type="fixed"/>
        <w:tblInd w:w="1600" w:type="dxa"/>
        <w:tblCellMar>
          <w:top w:w="0" w:type="dxa"/>
          <w:left w:w="0" w:type="dxa"/>
          <w:bottom w:w="0" w:type="dxa"/>
          <w:right w:w="0" w:type="dxa"/>
        </w:tblCellMar>
      </w:tblPr>
      <w:tr>
        <w:trPr>
          <w:trHeight w:val="239"/>
        </w:trPr>
        <w:tc>
          <w:tcPr>
            <w:tcW w:w="2560" w:type="dxa"/>
            <w:vAlign w:val="bottom"/>
          </w:tcPr>
          <w:p>
            <w:pPr>
              <w:jc w:val="center"/>
              <w:ind w:right="1510"/>
              <w:spacing w:after="0"/>
              <w:rPr>
                <w:sz w:val="20"/>
                <w:szCs w:val="20"/>
                <w:color w:val="auto"/>
              </w:rPr>
            </w:pPr>
            <w:r>
              <w:rPr>
                <w:rFonts w:ascii="Arial" w:cs="Arial" w:eastAsia="Arial" w:hAnsi="Arial"/>
                <w:sz w:val="18"/>
                <w:szCs w:val="18"/>
                <w:b w:val="1"/>
                <w:bCs w:val="1"/>
                <w:color w:val="auto"/>
                <w:w w:val="98"/>
              </w:rPr>
              <w:t>Current</w:t>
            </w:r>
          </w:p>
        </w:tc>
        <w:tc>
          <w:tcPr>
            <w:tcW w:w="268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Past 5 Years</w:t>
            </w:r>
          </w:p>
        </w:tc>
      </w:tr>
      <w:tr>
        <w:trPr>
          <w:trHeight w:val="311"/>
        </w:trPr>
        <w:tc>
          <w:tcPr>
            <w:tcW w:w="2560" w:type="dxa"/>
            <w:vAlign w:val="bottom"/>
          </w:tcPr>
          <w:p>
            <w:pPr>
              <w:jc w:val="center"/>
              <w:ind w:right="1510"/>
              <w:spacing w:after="0"/>
              <w:rPr>
                <w:sz w:val="20"/>
                <w:szCs w:val="20"/>
                <w:color w:val="auto"/>
              </w:rPr>
            </w:pPr>
            <w:r>
              <w:rPr>
                <w:rFonts w:ascii="Arial" w:cs="Arial" w:eastAsia="Arial" w:hAnsi="Arial"/>
                <w:sz w:val="18"/>
                <w:szCs w:val="18"/>
                <w:color w:val="auto"/>
              </w:rPr>
              <w:t>Revlon, Inc.</w:t>
            </w:r>
          </w:p>
        </w:tc>
        <w:tc>
          <w:tcPr>
            <w:tcW w:w="2680" w:type="dxa"/>
            <w:vAlign w:val="bottom"/>
          </w:tcPr>
          <w:p>
            <w:pPr>
              <w:jc w:val="center"/>
              <w:ind w:left="1510"/>
              <w:spacing w:after="0"/>
              <w:rPr>
                <w:sz w:val="20"/>
                <w:szCs w:val="20"/>
                <w:color w:val="auto"/>
              </w:rPr>
            </w:pPr>
            <w:r>
              <w:rPr>
                <w:rFonts w:ascii="Arial" w:cs="Arial" w:eastAsia="Arial" w:hAnsi="Arial"/>
                <w:sz w:val="18"/>
                <w:szCs w:val="18"/>
                <w:color w:val="auto"/>
              </w:rPr>
              <w:t>None</w:t>
            </w:r>
          </w:p>
        </w:tc>
      </w:tr>
    </w:tbl>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Twenty-First Century Fox, Inc.</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9</w:t>
      </w:r>
    </w:p>
    <w:p>
      <w:pPr>
        <w:sectPr>
          <w:pgSz w:w="11900" w:h="16838" w:orient="portrait"/>
          <w:cols w:equalWidth="0" w:num="2">
            <w:col w:w="1900" w:space="400"/>
            <w:col w:w="9080"/>
          </w:cols>
          <w:pgMar w:left="280" w:top="436" w:right="239" w:bottom="1440" w:gutter="0" w:footer="0" w:header="0"/>
          <w:type w:val="continuous"/>
        </w:sectPr>
      </w:pPr>
    </w:p>
    <w:bookmarkStart w:id="15" w:name="page16"/>
    <w:bookmarkEnd w:id="15"/>
    <w:p>
      <w:pPr>
        <w:ind w:left="83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5213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5213985"/>
                    </a:xfrm>
                    <a:prstGeom prst="rect">
                      <a:avLst/>
                    </a:prstGeom>
                    <a:noFill/>
                  </pic:spPr>
                </pic:pic>
              </a:graphicData>
            </a:graphic>
          </wp:anchor>
        </w:drawing>
      </w:r>
    </w:p>
    <w:p>
      <w:pPr>
        <w:sectPr>
          <w:pgSz w:w="11900" w:h="16838" w:orient="portrait"/>
          <w:cols w:equalWidth="0" w:num="1">
            <w:col w:w="11360"/>
          </w:cols>
          <w:pgMar w:left="240" w:top="43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9"/>
          <w:szCs w:val="19"/>
          <w:b w:val="1"/>
          <w:bCs w:val="1"/>
          <w:i w:val="1"/>
          <w:iCs w:val="1"/>
          <w:color w:val="336699"/>
        </w:rPr>
        <w:t>H. Paulett Eberhart</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Age 63</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 Since 2014</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Independent</w:t>
      </w: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Committees</w:t>
      </w: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10 | </w:t>
      </w:r>
      <w:r>
        <w:rPr>
          <w:rFonts w:ascii="Arial" w:cs="Arial" w:eastAsia="Arial" w:hAnsi="Arial"/>
          <w:sz w:val="18"/>
          <w:szCs w:val="18"/>
          <w:b w:val="1"/>
          <w:bCs w:val="1"/>
          <w:color w:val="003B71"/>
        </w:rPr>
        <w:t>2017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BACKGROUND</w:t>
      </w:r>
    </w:p>
    <w:p>
      <w:pPr>
        <w:spacing w:after="0" w:line="200" w:lineRule="exact"/>
        <w:rPr>
          <w:sz w:val="20"/>
          <w:szCs w:val="20"/>
          <w:color w:val="auto"/>
        </w:rPr>
      </w:pPr>
    </w:p>
    <w:p>
      <w:pPr>
        <w:spacing w:after="0" w:line="221" w:lineRule="exact"/>
        <w:rPr>
          <w:sz w:val="20"/>
          <w:szCs w:val="20"/>
          <w:color w:val="auto"/>
        </w:rPr>
      </w:pPr>
    </w:p>
    <w:p>
      <w:pPr>
        <w:ind w:left="40" w:right="280"/>
        <w:spacing w:after="0" w:line="236" w:lineRule="auto"/>
        <w:rPr>
          <w:sz w:val="20"/>
          <w:szCs w:val="20"/>
          <w:color w:val="auto"/>
        </w:rPr>
      </w:pPr>
      <w:r>
        <w:rPr>
          <w:rFonts w:ascii="Arial" w:cs="Arial" w:eastAsia="Arial" w:hAnsi="Arial"/>
          <w:sz w:val="18"/>
          <w:szCs w:val="18"/>
          <w:color w:val="auto"/>
        </w:rPr>
        <w:t>Ms. Eberhart currently serves as chair and chief executive officer of HMS Ventures, a privately-held business involved with technology services and the acquisition and management of real estate. From January 2011 through March 2014, she served as president and chief executive officer of CDI Corp. (“CDI”), a provider of engineering and information technology outsourcing and professional staffing services, and served as an advisor to CDI until December 2014. Ms. Eberhart also served as chair and chief executive officer of HMS Ventures from January 2009 until January 2011. She served as president and chief executive officer of Invensys Process Systems, Inc. (“Invensys”), a process automation company, from January 2007 to January 2009. From 1978 to 2004, she was an employee of Electronic Data Systems Corporation (“EDS”), an information technology and business process outsourcing company, and held roles of increasing responsibility over time, including senior level financial and operating roles at the company, including as president of Americas of EDS from 2003 until March 2004 and senior vice president of EDS and president of solutions consulting from 2002 to 2003. She is a Certified Public Accountant and received her B.S. from Bowling Green State University.</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QUALIFICATIONS</w:t>
      </w:r>
    </w:p>
    <w:p>
      <w:pPr>
        <w:spacing w:after="0" w:line="200" w:lineRule="exact"/>
        <w:rPr>
          <w:sz w:val="20"/>
          <w:szCs w:val="20"/>
          <w:color w:val="auto"/>
        </w:rPr>
      </w:pPr>
    </w:p>
    <w:p>
      <w:pPr>
        <w:spacing w:after="0" w:line="221" w:lineRule="exact"/>
        <w:rPr>
          <w:sz w:val="20"/>
          <w:szCs w:val="20"/>
          <w:color w:val="auto"/>
        </w:rPr>
      </w:pPr>
    </w:p>
    <w:p>
      <w:pPr>
        <w:ind w:left="40" w:right="340"/>
        <w:spacing w:after="0" w:line="237" w:lineRule="auto"/>
        <w:rPr>
          <w:sz w:val="20"/>
          <w:szCs w:val="20"/>
          <w:color w:val="auto"/>
        </w:rPr>
      </w:pPr>
      <w:r>
        <w:rPr>
          <w:rFonts w:ascii="Arial" w:cs="Arial" w:eastAsia="Arial" w:hAnsi="Arial"/>
          <w:sz w:val="18"/>
          <w:szCs w:val="18"/>
          <w:color w:val="auto"/>
        </w:rPr>
        <w:t>Ms. Eberhart’s pertinent qualifications include her wealth of accounting and financial experience, as well as managerial experience, through her numerous years of service as an executive officer for EDS, Invensys and CDI, as well as various other operating and financial positions during her 26 years at EDS; strong knowledge of the intersection of technology, data and finance industries</w:t>
      </w:r>
      <w:r>
        <w:rPr>
          <w:rFonts w:ascii="Arial" w:cs="Arial" w:eastAsia="Arial" w:hAnsi="Arial"/>
          <w:sz w:val="18"/>
          <w:szCs w:val="18"/>
          <w:b w:val="1"/>
          <w:bCs w:val="1"/>
          <w:color w:val="auto"/>
        </w:rPr>
        <w:t>;</w:t>
      </w:r>
      <w:r>
        <w:rPr>
          <w:rFonts w:ascii="Arial" w:cs="Arial" w:eastAsia="Arial" w:hAnsi="Arial"/>
          <w:sz w:val="18"/>
          <w:szCs w:val="18"/>
          <w:color w:val="auto"/>
        </w:rPr>
        <w:t xml:space="preserve"> and knowledge and experience gained through her service on the boards of other public companies, including risk oversight experience in chairing the governance and risk committee of the board of directors of Anadarko Petroleum Corporation and financial oversight experience in chairing the audit committee of Ciber Corporation.</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OTHER PUBLIC COMPANY BOARDS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240" w:type="dxa"/>
            <w:vAlign w:val="bottom"/>
            <w:shd w:val="clear" w:color="auto" w:fill="CCFFFF"/>
          </w:tcPr>
          <w:p>
            <w:pPr>
              <w:spacing w:after="0"/>
              <w:rPr>
                <w:sz w:val="11"/>
                <w:szCs w:val="11"/>
                <w:color w:val="auto"/>
              </w:rPr>
            </w:pPr>
          </w:p>
        </w:tc>
        <w:tc>
          <w:tcPr>
            <w:tcW w:w="4660" w:type="dxa"/>
            <w:vAlign w:val="bottom"/>
          </w:tcPr>
          <w:p>
            <w:pPr>
              <w:spacing w:after="0"/>
              <w:rPr>
                <w:sz w:val="11"/>
                <w:szCs w:val="11"/>
                <w:color w:val="auto"/>
              </w:rPr>
            </w:pPr>
          </w:p>
        </w:tc>
      </w:tr>
      <w:tr>
        <w:trPr>
          <w:trHeight w:val="297"/>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b w:val="1"/>
                <w:bCs w:val="1"/>
                <w:color w:val="auto"/>
                <w:w w:val="98"/>
              </w:rPr>
              <w:t>Current</w:t>
            </w:r>
          </w:p>
        </w:tc>
        <w:tc>
          <w:tcPr>
            <w:tcW w:w="4660" w:type="dxa"/>
            <w:vAlign w:val="bottom"/>
            <w:shd w:val="clear" w:color="auto" w:fill="CCFFFF"/>
          </w:tcPr>
          <w:p>
            <w:pPr>
              <w:jc w:val="center"/>
              <w:ind w:right="350"/>
              <w:spacing w:after="0"/>
              <w:rPr>
                <w:sz w:val="20"/>
                <w:szCs w:val="20"/>
                <w:color w:val="auto"/>
              </w:rPr>
            </w:pPr>
            <w:r>
              <w:rPr>
                <w:rFonts w:ascii="Arial" w:cs="Arial" w:eastAsia="Arial" w:hAnsi="Arial"/>
                <w:sz w:val="18"/>
                <w:szCs w:val="18"/>
                <w:b w:val="1"/>
                <w:bCs w:val="1"/>
                <w:color w:val="auto"/>
                <w:w w:val="98"/>
              </w:rPr>
              <w:t>Past 5 Years</w:t>
            </w:r>
          </w:p>
        </w:tc>
      </w:tr>
      <w:tr>
        <w:trPr>
          <w:trHeight w:val="311"/>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color w:val="auto"/>
              </w:rPr>
              <w:t>Anadarko Petroleum Corporation</w:t>
            </w:r>
          </w:p>
        </w:tc>
        <w:tc>
          <w:tcPr>
            <w:tcW w:w="4660" w:type="dxa"/>
            <w:vAlign w:val="bottom"/>
            <w:shd w:val="clear" w:color="auto" w:fill="CCFFFF"/>
          </w:tcPr>
          <w:p>
            <w:pPr>
              <w:jc w:val="center"/>
              <w:ind w:right="350"/>
              <w:spacing w:after="0"/>
              <w:rPr>
                <w:sz w:val="20"/>
                <w:szCs w:val="20"/>
                <w:color w:val="auto"/>
              </w:rPr>
            </w:pPr>
            <w:r>
              <w:rPr>
                <w:rFonts w:ascii="Arial" w:cs="Arial" w:eastAsia="Arial" w:hAnsi="Arial"/>
                <w:sz w:val="18"/>
                <w:szCs w:val="18"/>
                <w:color w:val="auto"/>
              </w:rPr>
              <w:t>Cameron International Corporation</w:t>
            </w:r>
          </w:p>
        </w:tc>
      </w:tr>
      <w:tr>
        <w:trPr>
          <w:trHeight w:val="311"/>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color w:val="auto"/>
                <w:w w:val="99"/>
              </w:rPr>
              <w:t>Ciber Corporation</w:t>
            </w:r>
          </w:p>
        </w:tc>
        <w:tc>
          <w:tcPr>
            <w:tcW w:w="4660" w:type="dxa"/>
            <w:vAlign w:val="bottom"/>
            <w:shd w:val="clear" w:color="auto" w:fill="CCFFFF"/>
          </w:tcPr>
          <w:p>
            <w:pPr>
              <w:spacing w:after="0"/>
              <w:rPr>
                <w:sz w:val="24"/>
                <w:szCs w:val="24"/>
                <w:color w:val="auto"/>
              </w:rPr>
            </w:pPr>
          </w:p>
        </w:tc>
      </w:tr>
      <w:tr>
        <w:trPr>
          <w:trHeight w:val="311"/>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color w:val="auto"/>
                <w:w w:val="99"/>
              </w:rPr>
              <w:t>Valero Corporation</w:t>
            </w:r>
          </w:p>
        </w:tc>
        <w:tc>
          <w:tcPr>
            <w:tcW w:w="4660" w:type="dxa"/>
            <w:vAlign w:val="bottom"/>
            <w:shd w:val="clear" w:color="auto" w:fill="CCFFFF"/>
          </w:tcPr>
          <w:p>
            <w:pPr>
              <w:spacing w:after="0"/>
              <w:rPr>
                <w:sz w:val="24"/>
                <w:szCs w:val="24"/>
                <w:color w:val="auto"/>
              </w:rPr>
            </w:pPr>
          </w:p>
        </w:tc>
      </w:tr>
      <w:tr>
        <w:trPr>
          <w:trHeight w:val="297"/>
        </w:trPr>
        <w:tc>
          <w:tcPr>
            <w:tcW w:w="4240" w:type="dxa"/>
            <w:vAlign w:val="bottom"/>
            <w:shd w:val="clear" w:color="auto" w:fill="CCFFFF"/>
          </w:tcPr>
          <w:p>
            <w:pPr>
              <w:spacing w:after="0"/>
              <w:rPr>
                <w:sz w:val="24"/>
                <w:szCs w:val="24"/>
                <w:color w:val="auto"/>
              </w:rPr>
            </w:pPr>
          </w:p>
        </w:tc>
        <w:tc>
          <w:tcPr>
            <w:tcW w:w="4660" w:type="dxa"/>
            <w:vAlign w:val="bottom"/>
            <w:shd w:val="clear" w:color="auto" w:fill="CCFFFF"/>
          </w:tcPr>
          <w:p>
            <w:pPr>
              <w:spacing w:after="0"/>
              <w:rPr>
                <w:sz w:val="24"/>
                <w:szCs w:val="24"/>
                <w:color w:val="auto"/>
              </w:rPr>
            </w:pPr>
          </w:p>
        </w:tc>
      </w:tr>
    </w:tbl>
    <w:p>
      <w:pPr>
        <w:sectPr>
          <w:pgSz w:w="11900" w:h="16838" w:orient="portrait"/>
          <w:cols w:equalWidth="0" w:num="2">
            <w:col w:w="2220" w:space="80"/>
            <w:col w:w="9060"/>
          </w:cols>
          <w:pgMar w:left="240" w:top="436" w:right="299" w:bottom="1440" w:gutter="0" w:footer="0" w:header="0"/>
          <w:type w:val="continuous"/>
        </w:sectPr>
      </w:pPr>
    </w:p>
    <w:bookmarkStart w:id="16" w:name="page17"/>
    <w:bookmarkEnd w:id="16"/>
    <w:p>
      <w:pPr>
        <w:ind w:left="8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453390</wp:posOffset>
            </wp:positionV>
            <wp:extent cx="7246620" cy="47853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785360"/>
                    </a:xfrm>
                    <a:prstGeom prst="rect">
                      <a:avLst/>
                    </a:prstGeom>
                    <a:noFill/>
                  </pic:spPr>
                </pic:pic>
              </a:graphicData>
            </a:graphic>
          </wp:anchor>
        </w:drawing>
      </w:r>
    </w:p>
    <w:p>
      <w:pPr>
        <w:sectPr>
          <w:pgSz w:w="11900" w:h="16838" w:orient="portrait"/>
          <w:cols w:equalWidth="0" w:num="1">
            <w:col w:w="11380"/>
          </w:cols>
          <w:pgMar w:left="280" w:top="4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William F. Glavin Jr.</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Age 58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Director Nominee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BACKGROUND</w:t>
      </w:r>
    </w:p>
    <w:p>
      <w:pPr>
        <w:spacing w:after="0" w:line="313" w:lineRule="exact"/>
        <w:rPr>
          <w:sz w:val="20"/>
          <w:szCs w:val="20"/>
          <w:color w:val="auto"/>
        </w:rPr>
      </w:pPr>
    </w:p>
    <w:p>
      <w:pPr>
        <w:ind w:left="40" w:right="320"/>
        <w:spacing w:after="0" w:line="236" w:lineRule="auto"/>
        <w:rPr>
          <w:sz w:val="20"/>
          <w:szCs w:val="20"/>
          <w:color w:val="auto"/>
        </w:rPr>
      </w:pPr>
      <w:r>
        <w:rPr>
          <w:rFonts w:ascii="Arial" w:cs="Arial" w:eastAsia="Arial" w:hAnsi="Arial"/>
          <w:sz w:val="18"/>
          <w:szCs w:val="18"/>
          <w:color w:val="auto"/>
        </w:rPr>
        <w:t>Mr. Glavin served as chair of OppenheimerFunds, Inc., a global asset management firm (“OppenheimerFunds”), from 2009 until 2015, as chief executive officer from 2009 until 2014, and as president from 2009 until 2013. OppenheimerFunds is a majority owned subsidiary of MassMutual Financial Group (“MassMutual”), a mutual life insurance company, at which Mr. Glavin held several senior executive positions prior to joining OppenheimerFunds. He served as co-chief operating officer of MassMutual from 2007 to 2008, executive vice president, U.S. Insurance Group of MassMutual from 2006 to 2008, president and chief executive officer of Babson Capital Management LLC, an asset management firm and subsidiary of MassMutual, from 2005 until 2006 and chief operating officer of Babson from 2003 to 2005. Prior to joining MassMutual, Mr. Glavin was president and chief operating officer of Scudder Investments, an asset management firm, from 2000 to 2003. Mr. Glavin serves as a director of MM Asset Management Holding LLC and Barings LLC, which are subsidiaries of MassMutual. Mr. Glavin received his B.A. in Economics and Accounting from The College of Holy Cross.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QUALIFICATIONS</w:t>
      </w:r>
    </w:p>
    <w:p>
      <w:pPr>
        <w:spacing w:after="0" w:line="313" w:lineRule="exact"/>
        <w:rPr>
          <w:sz w:val="20"/>
          <w:szCs w:val="20"/>
          <w:color w:val="auto"/>
        </w:rPr>
      </w:pPr>
    </w:p>
    <w:p>
      <w:pPr>
        <w:ind w:left="40" w:right="360"/>
        <w:spacing w:after="0" w:line="237" w:lineRule="auto"/>
        <w:rPr>
          <w:sz w:val="20"/>
          <w:szCs w:val="20"/>
          <w:color w:val="auto"/>
        </w:rPr>
      </w:pPr>
      <w:r>
        <w:rPr>
          <w:rFonts w:ascii="Arial" w:cs="Arial" w:eastAsia="Arial" w:hAnsi="Arial"/>
          <w:sz w:val="18"/>
          <w:szCs w:val="18"/>
          <w:color w:val="auto"/>
        </w:rPr>
        <w:t>Mr. Glavin’s pertinent qualifications include his experience over the course of a 25-year career in the financial services industry, including as a chief executive officer and chief operating officer; extensive experience in strategic planning and talent management, in part based on his success in leading Oppenheimer through a period of significant market turbulence; a deep understanding of financial product distribution, compliance and operations, including technology demands in the financial services industry; and experience overseeing broker-dealers, including MassMutual's broker-dealer MML Investor Services, LLC.</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OTHER PUBLIC COMPANY BOARDS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240" w:type="dxa"/>
            <w:vAlign w:val="bottom"/>
            <w:shd w:val="clear" w:color="auto" w:fill="CCFFFF"/>
          </w:tcPr>
          <w:p>
            <w:pPr>
              <w:spacing w:after="0"/>
              <w:rPr>
                <w:sz w:val="11"/>
                <w:szCs w:val="11"/>
                <w:color w:val="auto"/>
              </w:rPr>
            </w:pPr>
          </w:p>
        </w:tc>
        <w:tc>
          <w:tcPr>
            <w:tcW w:w="4660" w:type="dxa"/>
            <w:vAlign w:val="bottom"/>
          </w:tcPr>
          <w:p>
            <w:pPr>
              <w:spacing w:after="0"/>
              <w:rPr>
                <w:sz w:val="11"/>
                <w:szCs w:val="11"/>
                <w:color w:val="auto"/>
              </w:rPr>
            </w:pPr>
          </w:p>
        </w:tc>
      </w:tr>
      <w:tr>
        <w:trPr>
          <w:trHeight w:val="297"/>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b w:val="1"/>
                <w:bCs w:val="1"/>
                <w:color w:val="auto"/>
                <w:w w:val="98"/>
              </w:rPr>
              <w:t>Current</w:t>
            </w:r>
          </w:p>
        </w:tc>
        <w:tc>
          <w:tcPr>
            <w:tcW w:w="4660" w:type="dxa"/>
            <w:vAlign w:val="bottom"/>
            <w:shd w:val="clear" w:color="auto" w:fill="CCFFFF"/>
          </w:tcPr>
          <w:p>
            <w:pPr>
              <w:jc w:val="center"/>
              <w:ind w:right="350"/>
              <w:spacing w:after="0"/>
              <w:rPr>
                <w:sz w:val="20"/>
                <w:szCs w:val="20"/>
                <w:color w:val="auto"/>
              </w:rPr>
            </w:pPr>
            <w:r>
              <w:rPr>
                <w:rFonts w:ascii="Arial" w:cs="Arial" w:eastAsia="Arial" w:hAnsi="Arial"/>
                <w:sz w:val="18"/>
                <w:szCs w:val="18"/>
                <w:b w:val="1"/>
                <w:bCs w:val="1"/>
                <w:color w:val="auto"/>
                <w:w w:val="98"/>
              </w:rPr>
              <w:t>Past 5 Years</w:t>
            </w:r>
          </w:p>
        </w:tc>
      </w:tr>
      <w:tr>
        <w:trPr>
          <w:trHeight w:val="311"/>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color w:val="auto"/>
              </w:rPr>
              <w:t>None</w:t>
            </w:r>
          </w:p>
        </w:tc>
        <w:tc>
          <w:tcPr>
            <w:tcW w:w="4660" w:type="dxa"/>
            <w:vAlign w:val="bottom"/>
            <w:shd w:val="clear" w:color="auto" w:fill="CCFFFF"/>
          </w:tcPr>
          <w:p>
            <w:pPr>
              <w:jc w:val="center"/>
              <w:ind w:right="370"/>
              <w:spacing w:after="0"/>
              <w:rPr>
                <w:sz w:val="20"/>
                <w:szCs w:val="20"/>
                <w:color w:val="auto"/>
              </w:rPr>
            </w:pPr>
            <w:r>
              <w:rPr>
                <w:rFonts w:ascii="Arial" w:cs="Arial" w:eastAsia="Arial" w:hAnsi="Arial"/>
                <w:sz w:val="18"/>
                <w:szCs w:val="18"/>
                <w:color w:val="auto"/>
              </w:rPr>
              <w:t>None</w:t>
            </w:r>
          </w:p>
        </w:tc>
      </w:tr>
      <w:tr>
        <w:trPr>
          <w:trHeight w:val="297"/>
        </w:trPr>
        <w:tc>
          <w:tcPr>
            <w:tcW w:w="4240" w:type="dxa"/>
            <w:vAlign w:val="bottom"/>
            <w:shd w:val="clear" w:color="auto" w:fill="CCFFFF"/>
          </w:tcPr>
          <w:p>
            <w:pPr>
              <w:spacing w:after="0"/>
              <w:rPr>
                <w:sz w:val="24"/>
                <w:szCs w:val="24"/>
                <w:color w:val="auto"/>
              </w:rPr>
            </w:pPr>
          </w:p>
        </w:tc>
        <w:tc>
          <w:tcPr>
            <w:tcW w:w="4660" w:type="dxa"/>
            <w:vAlign w:val="bottom"/>
            <w:shd w:val="clear" w:color="auto" w:fill="CCFFFF"/>
          </w:tcPr>
          <w:p>
            <w:pPr>
              <w:spacing w:after="0"/>
              <w:rPr>
                <w:sz w:val="24"/>
                <w:szCs w:val="24"/>
                <w:color w:val="auto"/>
              </w:rPr>
            </w:pPr>
          </w:p>
        </w:tc>
      </w:tr>
    </w:tbl>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11</w:t>
      </w:r>
    </w:p>
    <w:p>
      <w:pPr>
        <w:sectPr>
          <w:pgSz w:w="11900" w:h="16838" w:orient="portrait"/>
          <w:cols w:equalWidth="0" w:num="2">
            <w:col w:w="1760" w:space="500"/>
            <w:col w:w="9120"/>
          </w:cols>
          <w:pgMar w:left="280" w:top="436" w:right="2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66"/>
        </w:trPr>
        <w:tc>
          <w:tcPr>
            <w:tcW w:w="40" w:type="dxa"/>
            <w:vAlign w:val="bottom"/>
          </w:tcPr>
          <w:p>
            <w:pPr>
              <w:spacing w:after="0"/>
              <w:rPr>
                <w:sz w:val="23"/>
                <w:szCs w:val="23"/>
                <w:color w:val="auto"/>
              </w:rPr>
            </w:pPr>
          </w:p>
        </w:tc>
        <w:tc>
          <w:tcPr>
            <w:tcW w:w="2260" w:type="dxa"/>
            <w:vAlign w:val="bottom"/>
            <w:tcBorders>
              <w:bottom w:val="single" w:sz="8" w:color="003B71"/>
            </w:tcBorders>
          </w:tcPr>
          <w:p>
            <w:pPr>
              <w:spacing w:after="0"/>
              <w:rPr>
                <w:sz w:val="23"/>
                <w:szCs w:val="23"/>
                <w:color w:val="auto"/>
              </w:rPr>
            </w:pPr>
          </w:p>
        </w:tc>
        <w:tc>
          <w:tcPr>
            <w:tcW w:w="20" w:type="dxa"/>
            <w:vAlign w:val="bottom"/>
            <w:tcBorders>
              <w:bottom w:val="single" w:sz="8" w:color="003B71"/>
            </w:tcBorders>
          </w:tcPr>
          <w:p>
            <w:pPr>
              <w:spacing w:after="0"/>
              <w:rPr>
                <w:sz w:val="23"/>
                <w:szCs w:val="23"/>
                <w:color w:val="auto"/>
              </w:rPr>
            </w:pPr>
          </w:p>
        </w:tc>
        <w:tc>
          <w:tcPr>
            <w:tcW w:w="4220" w:type="dxa"/>
            <w:vAlign w:val="bottom"/>
            <w:tcBorders>
              <w:bottom w:val="single" w:sz="8" w:color="003B71"/>
            </w:tcBorders>
          </w:tcPr>
          <w:p>
            <w:pPr>
              <w:spacing w:after="0"/>
              <w:rPr>
                <w:sz w:val="23"/>
                <w:szCs w:val="23"/>
                <w:color w:val="auto"/>
              </w:rPr>
            </w:pPr>
          </w:p>
        </w:tc>
        <w:tc>
          <w:tcPr>
            <w:tcW w:w="4860" w:type="dxa"/>
            <w:vAlign w:val="bottom"/>
            <w:tcBorders>
              <w:bottom w:val="single" w:sz="8" w:color="003B71"/>
            </w:tcBorders>
            <w:gridSpan w:val="2"/>
          </w:tcPr>
          <w:p>
            <w:pPr>
              <w:ind w:left="1760"/>
              <w:spacing w:after="0"/>
              <w:rPr>
                <w:sz w:val="20"/>
                <w:szCs w:val="20"/>
                <w:color w:val="auto"/>
              </w:rPr>
            </w:pPr>
            <w:r>
              <w:rPr>
                <w:rFonts w:ascii="Arial" w:cs="Arial" w:eastAsia="Arial" w:hAnsi="Arial"/>
                <w:sz w:val="20"/>
                <w:szCs w:val="20"/>
                <w:b w:val="1"/>
                <w:bCs w:val="1"/>
                <w:color w:val="003B71"/>
                <w:w w:val="99"/>
              </w:rPr>
              <w:t>Proposal 1: Election of Directors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7"/>
        </w:trPr>
        <w:tc>
          <w:tcPr>
            <w:tcW w:w="2320" w:type="dxa"/>
            <w:vAlign w:val="bottom"/>
            <w:gridSpan w:val="3"/>
          </w:tcPr>
          <w:p>
            <w:pPr>
              <w:spacing w:after="0"/>
              <w:rPr>
                <w:sz w:val="24"/>
                <w:szCs w:val="24"/>
                <w:color w:val="auto"/>
              </w:rPr>
            </w:pPr>
          </w:p>
        </w:tc>
        <w:tc>
          <w:tcPr>
            <w:tcW w:w="42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00" w:type="dxa"/>
            <w:vAlign w:val="bottom"/>
            <w:gridSpan w:val="2"/>
            <w:vMerge w:val="restart"/>
            <w:shd w:val="clear" w:color="auto" w:fill="CCFFFF"/>
          </w:tcPr>
          <w:p>
            <w:pPr>
              <w:ind w:left="40"/>
              <w:spacing w:after="0"/>
              <w:rPr>
                <w:sz w:val="20"/>
                <w:szCs w:val="20"/>
                <w:color w:val="auto"/>
              </w:rPr>
            </w:pPr>
            <w:r>
              <w:rPr>
                <w:rFonts w:ascii="Arial" w:cs="Arial" w:eastAsia="Arial" w:hAnsi="Arial"/>
                <w:sz w:val="19"/>
                <w:szCs w:val="19"/>
                <w:b w:val="1"/>
                <w:bCs w:val="1"/>
                <w:i w:val="1"/>
                <w:iCs w:val="1"/>
                <w:color w:val="336699"/>
              </w:rPr>
              <w:t>Marco (Mick) W. Hellman</w:t>
            </w:r>
          </w:p>
        </w:tc>
        <w:tc>
          <w:tcPr>
            <w:tcW w:w="20" w:type="dxa"/>
            <w:vAlign w:val="bottom"/>
            <w:shd w:val="clear" w:color="auto" w:fill="CCFFFF"/>
          </w:tcPr>
          <w:p>
            <w:pPr>
              <w:spacing w:after="0"/>
              <w:rPr>
                <w:sz w:val="19"/>
                <w:szCs w:val="19"/>
                <w:color w:val="auto"/>
              </w:rPr>
            </w:pPr>
          </w:p>
        </w:tc>
        <w:tc>
          <w:tcPr>
            <w:tcW w:w="4220" w:type="dxa"/>
            <w:vAlign w:val="bottom"/>
            <w:vMerge w:val="restart"/>
            <w:shd w:val="clear" w:color="auto" w:fill="CCFFFF"/>
          </w:tcPr>
          <w:p>
            <w:pPr>
              <w:ind w:left="20"/>
              <w:spacing w:after="0"/>
              <w:rPr>
                <w:sz w:val="20"/>
                <w:szCs w:val="20"/>
                <w:color w:val="auto"/>
              </w:rPr>
            </w:pPr>
            <w:r>
              <w:rPr>
                <w:rFonts w:ascii="Arial" w:cs="Arial" w:eastAsia="Arial" w:hAnsi="Arial"/>
                <w:sz w:val="19"/>
                <w:szCs w:val="19"/>
                <w:b w:val="1"/>
                <w:bCs w:val="1"/>
                <w:color w:val="336699"/>
              </w:rPr>
              <w:t>BACKGROUND</w:t>
            </w:r>
          </w:p>
        </w:tc>
        <w:tc>
          <w:tcPr>
            <w:tcW w:w="4660" w:type="dxa"/>
            <w:vAlign w:val="bottom"/>
            <w:shd w:val="clear" w:color="auto" w:fill="CCFFFF"/>
          </w:tcPr>
          <w:p>
            <w:pPr>
              <w:spacing w:after="0"/>
              <w:rPr>
                <w:sz w:val="19"/>
                <w:szCs w:val="19"/>
                <w:color w:val="auto"/>
              </w:rPr>
            </w:pPr>
          </w:p>
        </w:tc>
        <w:tc>
          <w:tcPr>
            <w:tcW w:w="200" w:type="dxa"/>
            <w:vAlign w:val="bottom"/>
            <w:shd w:val="clear" w:color="auto" w:fill="CCFFFF"/>
          </w:tcPr>
          <w:p>
            <w:pPr>
              <w:spacing w:after="0"/>
              <w:rPr>
                <w:sz w:val="19"/>
                <w:szCs w:val="19"/>
                <w:color w:val="auto"/>
              </w:rPr>
            </w:pPr>
          </w:p>
        </w:tc>
        <w:tc>
          <w:tcPr>
            <w:tcW w:w="2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2300" w:type="dxa"/>
            <w:vAlign w:val="bottom"/>
            <w:gridSpan w:val="2"/>
            <w:vMerge w:val="continue"/>
            <w:shd w:val="clear" w:color="auto" w:fill="CCFFFF"/>
          </w:tcPr>
          <w:p>
            <w:pPr>
              <w:spacing w:after="0"/>
              <w:rPr>
                <w:sz w:val="24"/>
                <w:szCs w:val="24"/>
                <w:color w:val="auto"/>
              </w:rPr>
            </w:pPr>
          </w:p>
        </w:tc>
        <w:tc>
          <w:tcPr>
            <w:tcW w:w="20" w:type="dxa"/>
            <w:vAlign w:val="bottom"/>
            <w:shd w:val="clear" w:color="auto" w:fill="336699"/>
          </w:tcPr>
          <w:p>
            <w:pPr>
              <w:spacing w:after="0"/>
              <w:rPr>
                <w:sz w:val="24"/>
                <w:szCs w:val="24"/>
                <w:color w:val="auto"/>
              </w:rPr>
            </w:pPr>
          </w:p>
        </w:tc>
        <w:tc>
          <w:tcPr>
            <w:tcW w:w="4220" w:type="dxa"/>
            <w:vAlign w:val="bottom"/>
            <w:vMerge w:val="continue"/>
            <w:shd w:val="clear" w:color="auto" w:fill="CCFFFF"/>
          </w:tcPr>
          <w:p>
            <w:pPr>
              <w:spacing w:after="0"/>
              <w:rPr>
                <w:sz w:val="24"/>
                <w:szCs w:val="24"/>
                <w:color w:val="auto"/>
              </w:rPr>
            </w:pPr>
          </w:p>
        </w:tc>
        <w:tc>
          <w:tcPr>
            <w:tcW w:w="4660" w:type="dxa"/>
            <w:vAlign w:val="bottom"/>
            <w:shd w:val="clear" w:color="auto" w:fill="CCFFFF"/>
          </w:tcPr>
          <w:p>
            <w:pPr>
              <w:spacing w:after="0"/>
              <w:rPr>
                <w:sz w:val="24"/>
                <w:szCs w:val="24"/>
                <w:color w:val="auto"/>
              </w:rPr>
            </w:pPr>
          </w:p>
        </w:tc>
        <w:tc>
          <w:tcPr>
            <w:tcW w:w="200" w:type="dxa"/>
            <w:vAlign w:val="bottom"/>
            <w:shd w:val="clear" w:color="auto" w:fill="CCFFFF"/>
          </w:tcPr>
          <w:p>
            <w:pPr>
              <w:spacing w:after="0"/>
              <w:rPr>
                <w:sz w:val="24"/>
                <w:szCs w:val="24"/>
                <w:color w:val="auto"/>
              </w:rPr>
            </w:pPr>
          </w:p>
        </w:tc>
        <w:tc>
          <w:tcPr>
            <w:tcW w:w="2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300" w:type="dxa"/>
            <w:vAlign w:val="bottom"/>
            <w:tcBorders>
              <w:bottom w:val="single" w:sz="8" w:color="CCFFFF"/>
            </w:tcBorders>
            <w:gridSpan w:val="2"/>
            <w:vMerge w:val="restart"/>
            <w:shd w:val="clear" w:color="auto" w:fill="CCFFFF"/>
          </w:tcPr>
          <w:p>
            <w:pPr>
              <w:ind w:left="40"/>
              <w:spacing w:after="0"/>
              <w:rPr>
                <w:sz w:val="20"/>
                <w:szCs w:val="20"/>
                <w:color w:val="auto"/>
              </w:rPr>
            </w:pPr>
            <w:r>
              <w:rPr>
                <w:rFonts w:ascii="Arial" w:cs="Arial" w:eastAsia="Arial" w:hAnsi="Arial"/>
                <w:sz w:val="18"/>
                <w:szCs w:val="18"/>
                <w:color w:val="auto"/>
              </w:rPr>
              <w:t>Age 55</w:t>
            </w:r>
          </w:p>
        </w:tc>
        <w:tc>
          <w:tcPr>
            <w:tcW w:w="20" w:type="dxa"/>
            <w:vAlign w:val="bottom"/>
            <w:tcBorders>
              <w:bottom w:val="single" w:sz="8" w:color="336699"/>
            </w:tcBorders>
            <w:shd w:val="clear" w:color="auto" w:fill="336699"/>
          </w:tcPr>
          <w:p>
            <w:pPr>
              <w:spacing w:after="0"/>
              <w:rPr>
                <w:sz w:val="10"/>
                <w:szCs w:val="10"/>
                <w:color w:val="auto"/>
              </w:rPr>
            </w:pPr>
          </w:p>
        </w:tc>
        <w:tc>
          <w:tcPr>
            <w:tcW w:w="8880" w:type="dxa"/>
            <w:vAlign w:val="bottom"/>
            <w:tcBorders>
              <w:bottom w:val="single" w:sz="8" w:color="336699"/>
            </w:tcBorders>
            <w:gridSpan w:val="2"/>
            <w:shd w:val="clear" w:color="auto" w:fill="CCFFFF"/>
          </w:tcPr>
          <w:p>
            <w:pPr>
              <w:spacing w:after="0"/>
              <w:rPr>
                <w:sz w:val="10"/>
                <w:szCs w:val="10"/>
                <w:color w:val="auto"/>
              </w:rPr>
            </w:pPr>
          </w:p>
        </w:tc>
        <w:tc>
          <w:tcPr>
            <w:tcW w:w="200" w:type="dxa"/>
            <w:vAlign w:val="bottom"/>
            <w:tcBorders>
              <w:bottom w:val="single" w:sz="8" w:color="CCFFFF"/>
            </w:tcBorders>
            <w:shd w:val="clear" w:color="auto" w:fill="CCFFFF"/>
          </w:tcPr>
          <w:p>
            <w:pPr>
              <w:spacing w:after="0"/>
              <w:rPr>
                <w:sz w:val="10"/>
                <w:szCs w:val="10"/>
                <w:color w:val="auto"/>
              </w:rPr>
            </w:pPr>
          </w:p>
        </w:tc>
        <w:tc>
          <w:tcPr>
            <w:tcW w:w="20" w:type="dxa"/>
            <w:vAlign w:val="bottom"/>
            <w:tcBorders>
              <w:bottom w:val="single" w:sz="8" w:color="CCFFFF"/>
            </w:tcBorders>
            <w:shd w:val="clear" w:color="auto" w:fill="CCFFFF"/>
          </w:tcPr>
          <w:p>
            <w:pPr>
              <w:spacing w:after="0"/>
              <w:rPr>
                <w:sz w:val="10"/>
                <w:szCs w:val="10"/>
                <w:color w:val="auto"/>
              </w:rPr>
            </w:pPr>
          </w:p>
        </w:tc>
        <w:tc>
          <w:tcPr>
            <w:tcW w:w="0" w:type="dxa"/>
            <w:vAlign w:val="bottom"/>
          </w:tcPr>
          <w:p>
            <w:pPr>
              <w:spacing w:after="0"/>
              <w:rPr>
                <w:sz w:val="1"/>
                <w:szCs w:val="1"/>
                <w:color w:val="auto"/>
              </w:rPr>
            </w:pPr>
          </w:p>
        </w:tc>
      </w:tr>
      <w:tr>
        <w:trPr>
          <w:trHeight w:val="452"/>
        </w:trPr>
        <w:tc>
          <w:tcPr>
            <w:tcW w:w="2300" w:type="dxa"/>
            <w:vAlign w:val="bottom"/>
            <w:gridSpan w:val="2"/>
            <w:vMerge w:val="continue"/>
            <w:shd w:val="clear" w:color="auto" w:fill="CCFFFF"/>
          </w:tcPr>
          <w:p>
            <w:pPr>
              <w:spacing w:after="0"/>
              <w:rPr>
                <w:sz w:val="24"/>
                <w:szCs w:val="24"/>
                <w:color w:val="auto"/>
              </w:rPr>
            </w:pPr>
          </w:p>
        </w:tc>
        <w:tc>
          <w:tcPr>
            <w:tcW w:w="20" w:type="dxa"/>
            <w:vAlign w:val="bottom"/>
            <w:shd w:val="clear" w:color="auto" w:fill="336699"/>
          </w:tcPr>
          <w:p>
            <w:pPr>
              <w:spacing w:after="0"/>
              <w:rPr>
                <w:sz w:val="24"/>
                <w:szCs w:val="24"/>
                <w:color w:val="auto"/>
              </w:rPr>
            </w:pPr>
          </w:p>
        </w:tc>
        <w:tc>
          <w:tcPr>
            <w:tcW w:w="8880" w:type="dxa"/>
            <w:vAlign w:val="bottom"/>
            <w:gridSpan w:val="2"/>
            <w:shd w:val="clear" w:color="auto" w:fill="CCFFFF"/>
          </w:tcPr>
          <w:p>
            <w:pPr>
              <w:ind w:left="20"/>
              <w:spacing w:after="0"/>
              <w:rPr>
                <w:sz w:val="20"/>
                <w:szCs w:val="20"/>
                <w:color w:val="auto"/>
              </w:rPr>
            </w:pPr>
            <w:r>
              <w:rPr>
                <w:rFonts w:ascii="Arial" w:cs="Arial" w:eastAsia="Arial" w:hAnsi="Arial"/>
                <w:sz w:val="18"/>
                <w:szCs w:val="18"/>
                <w:color w:val="auto"/>
              </w:rPr>
              <w:t>Mr. Hellman is the managing member, founder and managing partner of HMI Capital, LLC (“HMI Capital”), a</w:t>
            </w:r>
          </w:p>
        </w:tc>
        <w:tc>
          <w:tcPr>
            <w:tcW w:w="200" w:type="dxa"/>
            <w:vAlign w:val="bottom"/>
            <w:shd w:val="clear" w:color="auto" w:fill="CCFFFF"/>
          </w:tcPr>
          <w:p>
            <w:pPr>
              <w:spacing w:after="0"/>
              <w:rPr>
                <w:sz w:val="24"/>
                <w:szCs w:val="24"/>
                <w:color w:val="auto"/>
              </w:rPr>
            </w:pPr>
          </w:p>
        </w:tc>
        <w:tc>
          <w:tcPr>
            <w:tcW w:w="2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300" w:type="dxa"/>
            <w:vAlign w:val="bottom"/>
            <w:gridSpan w:val="2"/>
            <w:shd w:val="clear" w:color="auto" w:fill="CCFFFF"/>
          </w:tcPr>
          <w:p>
            <w:pPr>
              <w:ind w:left="40"/>
              <w:spacing w:after="0"/>
              <w:rPr>
                <w:sz w:val="20"/>
                <w:szCs w:val="20"/>
                <w:color w:val="auto"/>
              </w:rPr>
            </w:pPr>
            <w:r>
              <w:rPr>
                <w:rFonts w:ascii="Arial" w:cs="Arial" w:eastAsia="Arial" w:hAnsi="Arial"/>
                <w:sz w:val="18"/>
                <w:szCs w:val="18"/>
                <w:color w:val="auto"/>
              </w:rPr>
              <w:t>Director Since 2016</w:t>
            </w:r>
          </w:p>
        </w:tc>
        <w:tc>
          <w:tcPr>
            <w:tcW w:w="20" w:type="dxa"/>
            <w:vAlign w:val="bottom"/>
            <w:shd w:val="clear" w:color="auto" w:fill="336699"/>
          </w:tcPr>
          <w:p>
            <w:pPr>
              <w:spacing w:after="0"/>
              <w:rPr>
                <w:sz w:val="18"/>
                <w:szCs w:val="18"/>
                <w:color w:val="auto"/>
              </w:rPr>
            </w:pPr>
          </w:p>
        </w:tc>
        <w:tc>
          <w:tcPr>
            <w:tcW w:w="8880" w:type="dxa"/>
            <w:vAlign w:val="bottom"/>
            <w:gridSpan w:val="2"/>
            <w:shd w:val="clear" w:color="auto" w:fill="CCFFFF"/>
          </w:tcPr>
          <w:p>
            <w:pPr>
              <w:ind w:left="20"/>
              <w:spacing w:after="0"/>
              <w:rPr>
                <w:sz w:val="20"/>
                <w:szCs w:val="20"/>
                <w:color w:val="auto"/>
              </w:rPr>
            </w:pPr>
            <w:r>
              <w:rPr>
                <w:rFonts w:ascii="Arial" w:cs="Arial" w:eastAsia="Arial" w:hAnsi="Arial"/>
                <w:sz w:val="18"/>
                <w:szCs w:val="18"/>
                <w:color w:val="auto"/>
              </w:rPr>
              <w:t>private investment firm. Mr. Hellman founded HMI Capital in November 2008. Since 2009, he has also served</w:t>
            </w:r>
          </w:p>
        </w:tc>
        <w:tc>
          <w:tcPr>
            <w:tcW w:w="20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300" w:type="dxa"/>
            <w:vAlign w:val="bottom"/>
            <w:gridSpan w:val="2"/>
            <w:vMerge w:val="restart"/>
            <w:shd w:val="clear" w:color="auto" w:fill="CCFFFF"/>
          </w:tcPr>
          <w:p>
            <w:pPr>
              <w:ind w:left="40"/>
              <w:spacing w:after="0"/>
              <w:rPr>
                <w:sz w:val="20"/>
                <w:szCs w:val="20"/>
                <w:color w:val="auto"/>
              </w:rPr>
            </w:pPr>
            <w:r>
              <w:rPr>
                <w:rFonts w:ascii="Arial" w:cs="Arial" w:eastAsia="Arial" w:hAnsi="Arial"/>
                <w:sz w:val="18"/>
                <w:szCs w:val="18"/>
                <w:color w:val="auto"/>
              </w:rPr>
              <w:t>Independent</w:t>
            </w:r>
          </w:p>
        </w:tc>
        <w:tc>
          <w:tcPr>
            <w:tcW w:w="20" w:type="dxa"/>
            <w:vAlign w:val="bottom"/>
            <w:shd w:val="clear" w:color="auto" w:fill="336699"/>
          </w:tcPr>
          <w:p>
            <w:pPr>
              <w:spacing w:after="0"/>
              <w:rPr>
                <w:sz w:val="16"/>
                <w:szCs w:val="16"/>
                <w:color w:val="auto"/>
              </w:rPr>
            </w:pPr>
          </w:p>
        </w:tc>
        <w:tc>
          <w:tcPr>
            <w:tcW w:w="8880" w:type="dxa"/>
            <w:vAlign w:val="bottom"/>
            <w:gridSpan w:val="2"/>
            <w:shd w:val="clear" w:color="auto" w:fill="CCFFFF"/>
          </w:tcPr>
          <w:p>
            <w:pPr>
              <w:ind w:left="20"/>
              <w:spacing w:after="0" w:line="189" w:lineRule="exact"/>
              <w:rPr>
                <w:sz w:val="20"/>
                <w:szCs w:val="20"/>
                <w:color w:val="auto"/>
              </w:rPr>
            </w:pPr>
            <w:r>
              <w:rPr>
                <w:rFonts w:ascii="Arial" w:cs="Arial" w:eastAsia="Arial" w:hAnsi="Arial"/>
                <w:sz w:val="18"/>
                <w:szCs w:val="18"/>
                <w:color w:val="auto"/>
                <w:w w:val="99"/>
              </w:rPr>
              <w:t>as a senior advisor to Hellman &amp; Friedman, a private equity firm. Previously, Mr. Hellman held various positions</w:t>
            </w:r>
          </w:p>
        </w:tc>
        <w:tc>
          <w:tcPr>
            <w:tcW w:w="200" w:type="dxa"/>
            <w:vAlign w:val="bottom"/>
            <w:shd w:val="clear" w:color="auto" w:fill="CCFFFF"/>
          </w:tcPr>
          <w:p>
            <w:pPr>
              <w:spacing w:after="0"/>
              <w:rPr>
                <w:sz w:val="16"/>
                <w:szCs w:val="16"/>
                <w:color w:val="auto"/>
              </w:rPr>
            </w:pPr>
          </w:p>
        </w:tc>
        <w:tc>
          <w:tcPr>
            <w:tcW w:w="20" w:type="dxa"/>
            <w:vAlign w:val="bottom"/>
            <w:shd w:val="clear" w:color="auto" w:fill="CC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gridSpan w:val="2"/>
            <w:vMerge w:val="continue"/>
            <w:shd w:val="clear" w:color="auto" w:fill="CCFFFF"/>
          </w:tcPr>
          <w:p>
            <w:pPr>
              <w:spacing w:after="0"/>
              <w:rPr>
                <w:sz w:val="17"/>
                <w:szCs w:val="17"/>
                <w:color w:val="auto"/>
              </w:rPr>
            </w:pPr>
          </w:p>
        </w:tc>
        <w:tc>
          <w:tcPr>
            <w:tcW w:w="20" w:type="dxa"/>
            <w:vAlign w:val="bottom"/>
            <w:shd w:val="clear" w:color="auto" w:fill="336699"/>
          </w:tcPr>
          <w:p>
            <w:pPr>
              <w:spacing w:after="0"/>
              <w:rPr>
                <w:sz w:val="17"/>
                <w:szCs w:val="17"/>
                <w:color w:val="auto"/>
              </w:rPr>
            </w:pPr>
          </w:p>
        </w:tc>
        <w:tc>
          <w:tcPr>
            <w:tcW w:w="8880" w:type="dxa"/>
            <w:vAlign w:val="bottom"/>
            <w:gridSpan w:val="2"/>
            <w:shd w:val="clear" w:color="auto" w:fill="CCFFFF"/>
          </w:tcPr>
          <w:p>
            <w:pPr>
              <w:ind w:left="20"/>
              <w:spacing w:after="0" w:line="202" w:lineRule="exact"/>
              <w:rPr>
                <w:sz w:val="20"/>
                <w:szCs w:val="20"/>
                <w:color w:val="auto"/>
              </w:rPr>
            </w:pPr>
            <w:r>
              <w:rPr>
                <w:rFonts w:ascii="Arial" w:cs="Arial" w:eastAsia="Arial" w:hAnsi="Arial"/>
                <w:sz w:val="18"/>
                <w:szCs w:val="18"/>
                <w:color w:val="auto"/>
              </w:rPr>
              <w:t>at Hellman &amp; Friedman, including managing director and member of the investment committee. Between 1999</w:t>
            </w:r>
          </w:p>
        </w:tc>
        <w:tc>
          <w:tcPr>
            <w:tcW w:w="200" w:type="dxa"/>
            <w:vAlign w:val="bottom"/>
            <w:shd w:val="clear" w:color="auto" w:fill="CCFFFF"/>
          </w:tcPr>
          <w:p>
            <w:pPr>
              <w:spacing w:after="0"/>
              <w:rPr>
                <w:sz w:val="17"/>
                <w:szCs w:val="17"/>
                <w:color w:val="auto"/>
              </w:rPr>
            </w:pPr>
          </w:p>
        </w:tc>
        <w:tc>
          <w:tcPr>
            <w:tcW w:w="2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FFFF"/>
          </w:tcPr>
          <w:p>
            <w:pPr>
              <w:spacing w:after="0"/>
              <w:rPr>
                <w:sz w:val="17"/>
                <w:szCs w:val="17"/>
                <w:color w:val="auto"/>
              </w:rPr>
            </w:pPr>
          </w:p>
        </w:tc>
        <w:tc>
          <w:tcPr>
            <w:tcW w:w="2260" w:type="dxa"/>
            <w:vAlign w:val="bottom"/>
            <w:shd w:val="clear" w:color="auto" w:fill="CCFFFF"/>
          </w:tcPr>
          <w:p>
            <w:pPr>
              <w:spacing w:after="0"/>
              <w:rPr>
                <w:sz w:val="17"/>
                <w:szCs w:val="17"/>
                <w:color w:val="auto"/>
              </w:rPr>
            </w:pPr>
          </w:p>
        </w:tc>
        <w:tc>
          <w:tcPr>
            <w:tcW w:w="20" w:type="dxa"/>
            <w:vAlign w:val="bottom"/>
            <w:shd w:val="clear" w:color="auto" w:fill="336699"/>
          </w:tcPr>
          <w:p>
            <w:pPr>
              <w:spacing w:after="0"/>
              <w:rPr>
                <w:sz w:val="17"/>
                <w:szCs w:val="17"/>
                <w:color w:val="auto"/>
              </w:rPr>
            </w:pPr>
          </w:p>
        </w:tc>
        <w:tc>
          <w:tcPr>
            <w:tcW w:w="8880" w:type="dxa"/>
            <w:vAlign w:val="bottom"/>
            <w:gridSpan w:val="2"/>
            <w:shd w:val="clear" w:color="auto" w:fill="CCFFFF"/>
          </w:tcPr>
          <w:p>
            <w:pPr>
              <w:ind w:left="20"/>
              <w:spacing w:after="0" w:line="202" w:lineRule="exact"/>
              <w:rPr>
                <w:sz w:val="20"/>
                <w:szCs w:val="20"/>
                <w:color w:val="auto"/>
              </w:rPr>
            </w:pPr>
            <w:r>
              <w:rPr>
                <w:rFonts w:ascii="Arial" w:cs="Arial" w:eastAsia="Arial" w:hAnsi="Arial"/>
                <w:sz w:val="18"/>
                <w:szCs w:val="18"/>
                <w:color w:val="auto"/>
              </w:rPr>
              <w:t>and 2009, Mr. Hellman served as chair of the board of directors of Blackbaud, Inc., a publicly traded software</w:t>
            </w:r>
          </w:p>
        </w:tc>
        <w:tc>
          <w:tcPr>
            <w:tcW w:w="200" w:type="dxa"/>
            <w:vAlign w:val="bottom"/>
            <w:shd w:val="clear" w:color="auto" w:fill="CCFFFF"/>
          </w:tcPr>
          <w:p>
            <w:pPr>
              <w:spacing w:after="0"/>
              <w:rPr>
                <w:sz w:val="17"/>
                <w:szCs w:val="17"/>
                <w:color w:val="auto"/>
              </w:rPr>
            </w:pPr>
          </w:p>
        </w:tc>
        <w:tc>
          <w:tcPr>
            <w:tcW w:w="2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FFFF"/>
          </w:tcPr>
          <w:p>
            <w:pPr>
              <w:spacing w:after="0"/>
              <w:rPr>
                <w:sz w:val="17"/>
                <w:szCs w:val="17"/>
                <w:color w:val="auto"/>
              </w:rPr>
            </w:pPr>
          </w:p>
        </w:tc>
        <w:tc>
          <w:tcPr>
            <w:tcW w:w="2260" w:type="dxa"/>
            <w:vAlign w:val="bottom"/>
            <w:shd w:val="clear" w:color="auto" w:fill="CCFFFF"/>
          </w:tcPr>
          <w:p>
            <w:pPr>
              <w:spacing w:after="0"/>
              <w:rPr>
                <w:sz w:val="17"/>
                <w:szCs w:val="17"/>
                <w:color w:val="auto"/>
              </w:rPr>
            </w:pPr>
          </w:p>
        </w:tc>
        <w:tc>
          <w:tcPr>
            <w:tcW w:w="20" w:type="dxa"/>
            <w:vAlign w:val="bottom"/>
            <w:shd w:val="clear" w:color="auto" w:fill="336699"/>
          </w:tcPr>
          <w:p>
            <w:pPr>
              <w:spacing w:after="0"/>
              <w:rPr>
                <w:sz w:val="17"/>
                <w:szCs w:val="17"/>
                <w:color w:val="auto"/>
              </w:rPr>
            </w:pPr>
          </w:p>
        </w:tc>
        <w:tc>
          <w:tcPr>
            <w:tcW w:w="8880" w:type="dxa"/>
            <w:vAlign w:val="bottom"/>
            <w:gridSpan w:val="2"/>
            <w:shd w:val="clear" w:color="auto" w:fill="CCFFFF"/>
          </w:tcPr>
          <w:p>
            <w:pPr>
              <w:ind w:left="20"/>
              <w:spacing w:after="0" w:line="202" w:lineRule="exact"/>
              <w:rPr>
                <w:sz w:val="20"/>
                <w:szCs w:val="20"/>
                <w:color w:val="auto"/>
              </w:rPr>
            </w:pPr>
            <w:r>
              <w:rPr>
                <w:rFonts w:ascii="Arial" w:cs="Arial" w:eastAsia="Arial" w:hAnsi="Arial"/>
                <w:sz w:val="18"/>
                <w:szCs w:val="18"/>
                <w:color w:val="auto"/>
              </w:rPr>
              <w:t>company listed on the NASDAQ. Mr. Hellman holds a B.A. from the University of California at Berkeley and an</w:t>
            </w:r>
          </w:p>
        </w:tc>
        <w:tc>
          <w:tcPr>
            <w:tcW w:w="200" w:type="dxa"/>
            <w:vAlign w:val="bottom"/>
            <w:shd w:val="clear" w:color="auto" w:fill="CCFFFF"/>
          </w:tcPr>
          <w:p>
            <w:pPr>
              <w:spacing w:after="0"/>
              <w:rPr>
                <w:sz w:val="17"/>
                <w:szCs w:val="17"/>
                <w:color w:val="auto"/>
              </w:rPr>
            </w:pPr>
          </w:p>
        </w:tc>
        <w:tc>
          <w:tcPr>
            <w:tcW w:w="2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 w:type="dxa"/>
            <w:vAlign w:val="bottom"/>
            <w:shd w:val="clear" w:color="auto" w:fill="CCFFFF"/>
          </w:tcPr>
          <w:p>
            <w:pPr>
              <w:spacing w:after="0"/>
              <w:rPr>
                <w:sz w:val="18"/>
                <w:szCs w:val="18"/>
                <w:color w:val="auto"/>
              </w:rPr>
            </w:pPr>
          </w:p>
        </w:tc>
        <w:tc>
          <w:tcPr>
            <w:tcW w:w="2260" w:type="dxa"/>
            <w:vAlign w:val="bottom"/>
            <w:shd w:val="clear" w:color="auto" w:fill="CCFFFF"/>
          </w:tcPr>
          <w:p>
            <w:pPr>
              <w:spacing w:after="0"/>
              <w:rPr>
                <w:sz w:val="18"/>
                <w:szCs w:val="18"/>
                <w:color w:val="auto"/>
              </w:rPr>
            </w:pPr>
          </w:p>
        </w:tc>
        <w:tc>
          <w:tcPr>
            <w:tcW w:w="20" w:type="dxa"/>
            <w:vAlign w:val="bottom"/>
            <w:shd w:val="clear" w:color="auto" w:fill="336699"/>
          </w:tcPr>
          <w:p>
            <w:pPr>
              <w:spacing w:after="0"/>
              <w:rPr>
                <w:sz w:val="18"/>
                <w:szCs w:val="18"/>
                <w:color w:val="auto"/>
              </w:rPr>
            </w:pPr>
          </w:p>
        </w:tc>
        <w:tc>
          <w:tcPr>
            <w:tcW w:w="4220" w:type="dxa"/>
            <w:vAlign w:val="bottom"/>
            <w:shd w:val="clear" w:color="auto" w:fill="CCFFFF"/>
          </w:tcPr>
          <w:p>
            <w:pPr>
              <w:ind w:left="20"/>
              <w:spacing w:after="0"/>
              <w:rPr>
                <w:sz w:val="20"/>
                <w:szCs w:val="20"/>
                <w:color w:val="auto"/>
              </w:rPr>
            </w:pPr>
            <w:r>
              <w:rPr>
                <w:rFonts w:ascii="Arial" w:cs="Arial" w:eastAsia="Arial" w:hAnsi="Arial"/>
                <w:sz w:val="18"/>
                <w:szCs w:val="18"/>
                <w:color w:val="auto"/>
              </w:rPr>
              <w:t>M.B.A. from Harvard University.</w:t>
            </w:r>
          </w:p>
        </w:tc>
        <w:tc>
          <w:tcPr>
            <w:tcW w:w="4660" w:type="dxa"/>
            <w:vAlign w:val="bottom"/>
            <w:shd w:val="clear" w:color="auto" w:fill="CCFFFF"/>
          </w:tcPr>
          <w:p>
            <w:pPr>
              <w:spacing w:after="0"/>
              <w:rPr>
                <w:sz w:val="18"/>
                <w:szCs w:val="18"/>
                <w:color w:val="auto"/>
              </w:rPr>
            </w:pPr>
          </w:p>
        </w:tc>
        <w:tc>
          <w:tcPr>
            <w:tcW w:w="20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947"/>
        </w:trPr>
        <w:tc>
          <w:tcPr>
            <w:tcW w:w="40" w:type="dxa"/>
            <w:vAlign w:val="bottom"/>
            <w:shd w:val="clear" w:color="auto" w:fill="CCFFFF"/>
          </w:tcPr>
          <w:p>
            <w:pPr>
              <w:spacing w:after="0"/>
              <w:rPr>
                <w:sz w:val="24"/>
                <w:szCs w:val="24"/>
                <w:color w:val="auto"/>
              </w:rPr>
            </w:pPr>
          </w:p>
        </w:tc>
        <w:tc>
          <w:tcPr>
            <w:tcW w:w="2260" w:type="dxa"/>
            <w:vAlign w:val="bottom"/>
            <w:shd w:val="clear" w:color="auto" w:fill="CCFFFF"/>
          </w:tcPr>
          <w:p>
            <w:pPr>
              <w:spacing w:after="0"/>
              <w:rPr>
                <w:sz w:val="24"/>
                <w:szCs w:val="24"/>
                <w:color w:val="auto"/>
              </w:rPr>
            </w:pPr>
          </w:p>
        </w:tc>
        <w:tc>
          <w:tcPr>
            <w:tcW w:w="20" w:type="dxa"/>
            <w:vAlign w:val="bottom"/>
            <w:shd w:val="clear" w:color="auto" w:fill="336699"/>
          </w:tcPr>
          <w:p>
            <w:pPr>
              <w:spacing w:after="0"/>
              <w:rPr>
                <w:sz w:val="24"/>
                <w:szCs w:val="24"/>
                <w:color w:val="auto"/>
              </w:rPr>
            </w:pPr>
          </w:p>
        </w:tc>
        <w:tc>
          <w:tcPr>
            <w:tcW w:w="4220" w:type="dxa"/>
            <w:vAlign w:val="bottom"/>
            <w:shd w:val="clear" w:color="auto" w:fill="CCFFFF"/>
          </w:tcPr>
          <w:p>
            <w:pPr>
              <w:ind w:left="20"/>
              <w:spacing w:after="0"/>
              <w:rPr>
                <w:sz w:val="20"/>
                <w:szCs w:val="20"/>
                <w:color w:val="auto"/>
              </w:rPr>
            </w:pPr>
            <w:r>
              <w:rPr>
                <w:rFonts w:ascii="Arial" w:cs="Arial" w:eastAsia="Arial" w:hAnsi="Arial"/>
                <w:sz w:val="19"/>
                <w:szCs w:val="19"/>
                <w:b w:val="1"/>
                <w:bCs w:val="1"/>
                <w:color w:val="336699"/>
              </w:rPr>
              <w:t>QUALIFICATIONS</w:t>
            </w:r>
          </w:p>
        </w:tc>
        <w:tc>
          <w:tcPr>
            <w:tcW w:w="4660" w:type="dxa"/>
            <w:vAlign w:val="bottom"/>
            <w:shd w:val="clear" w:color="auto" w:fill="CCFFFF"/>
          </w:tcPr>
          <w:p>
            <w:pPr>
              <w:spacing w:after="0"/>
              <w:rPr>
                <w:sz w:val="24"/>
                <w:szCs w:val="24"/>
                <w:color w:val="auto"/>
              </w:rPr>
            </w:pPr>
          </w:p>
        </w:tc>
        <w:tc>
          <w:tcPr>
            <w:tcW w:w="200" w:type="dxa"/>
            <w:vAlign w:val="bottom"/>
            <w:shd w:val="clear" w:color="auto" w:fill="CCFFFF"/>
          </w:tcPr>
          <w:p>
            <w:pPr>
              <w:spacing w:after="0"/>
              <w:rPr>
                <w:sz w:val="24"/>
                <w:szCs w:val="24"/>
                <w:color w:val="auto"/>
              </w:rPr>
            </w:pPr>
          </w:p>
        </w:tc>
        <w:tc>
          <w:tcPr>
            <w:tcW w:w="2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0" w:type="dxa"/>
            <w:vAlign w:val="bottom"/>
            <w:tcBorders>
              <w:bottom w:val="single" w:sz="8" w:color="CCFFFF"/>
            </w:tcBorders>
            <w:shd w:val="clear" w:color="auto" w:fill="CCFFFF"/>
          </w:tcPr>
          <w:p>
            <w:pPr>
              <w:spacing w:after="0"/>
              <w:rPr>
                <w:sz w:val="10"/>
                <w:szCs w:val="10"/>
                <w:color w:val="auto"/>
              </w:rPr>
            </w:pPr>
          </w:p>
        </w:tc>
        <w:tc>
          <w:tcPr>
            <w:tcW w:w="2260" w:type="dxa"/>
            <w:vAlign w:val="bottom"/>
            <w:tcBorders>
              <w:bottom w:val="single" w:sz="8" w:color="CCFFFF"/>
            </w:tcBorders>
            <w:shd w:val="clear" w:color="auto" w:fill="CCFFFF"/>
          </w:tcPr>
          <w:p>
            <w:pPr>
              <w:spacing w:after="0"/>
              <w:rPr>
                <w:sz w:val="10"/>
                <w:szCs w:val="10"/>
                <w:color w:val="auto"/>
              </w:rPr>
            </w:pPr>
          </w:p>
        </w:tc>
        <w:tc>
          <w:tcPr>
            <w:tcW w:w="20" w:type="dxa"/>
            <w:vAlign w:val="bottom"/>
            <w:tcBorders>
              <w:bottom w:val="single" w:sz="8" w:color="336699"/>
            </w:tcBorders>
            <w:shd w:val="clear" w:color="auto" w:fill="336699"/>
          </w:tcPr>
          <w:p>
            <w:pPr>
              <w:spacing w:after="0"/>
              <w:rPr>
                <w:sz w:val="10"/>
                <w:szCs w:val="10"/>
                <w:color w:val="auto"/>
              </w:rPr>
            </w:pPr>
          </w:p>
        </w:tc>
        <w:tc>
          <w:tcPr>
            <w:tcW w:w="8880" w:type="dxa"/>
            <w:vAlign w:val="bottom"/>
            <w:tcBorders>
              <w:bottom w:val="single" w:sz="8" w:color="336699"/>
            </w:tcBorders>
            <w:gridSpan w:val="2"/>
            <w:shd w:val="clear" w:color="auto" w:fill="CCFFFF"/>
          </w:tcPr>
          <w:p>
            <w:pPr>
              <w:spacing w:after="0"/>
              <w:rPr>
                <w:sz w:val="10"/>
                <w:szCs w:val="10"/>
                <w:color w:val="auto"/>
              </w:rPr>
            </w:pPr>
          </w:p>
        </w:tc>
        <w:tc>
          <w:tcPr>
            <w:tcW w:w="200" w:type="dxa"/>
            <w:vAlign w:val="bottom"/>
            <w:tcBorders>
              <w:bottom w:val="single" w:sz="8" w:color="CCFFFF"/>
            </w:tcBorders>
            <w:shd w:val="clear" w:color="auto" w:fill="CCFFFF"/>
          </w:tcPr>
          <w:p>
            <w:pPr>
              <w:spacing w:after="0"/>
              <w:rPr>
                <w:sz w:val="10"/>
                <w:szCs w:val="10"/>
                <w:color w:val="auto"/>
              </w:rPr>
            </w:pPr>
          </w:p>
        </w:tc>
        <w:tc>
          <w:tcPr>
            <w:tcW w:w="20" w:type="dxa"/>
            <w:vAlign w:val="bottom"/>
            <w:tcBorders>
              <w:bottom w:val="single" w:sz="8" w:color="CCFFFF"/>
            </w:tcBorders>
            <w:shd w:val="clear" w:color="auto" w:fill="CCFFFF"/>
          </w:tcPr>
          <w:p>
            <w:pPr>
              <w:spacing w:after="0"/>
              <w:rPr>
                <w:sz w:val="10"/>
                <w:szCs w:val="10"/>
                <w:color w:val="auto"/>
              </w:rPr>
            </w:pPr>
          </w:p>
        </w:tc>
        <w:tc>
          <w:tcPr>
            <w:tcW w:w="0" w:type="dxa"/>
            <w:vAlign w:val="bottom"/>
          </w:tcPr>
          <w:p>
            <w:pPr>
              <w:spacing w:after="0"/>
              <w:rPr>
                <w:sz w:val="1"/>
                <w:szCs w:val="1"/>
                <w:color w:val="auto"/>
              </w:rPr>
            </w:pPr>
          </w:p>
        </w:tc>
      </w:tr>
      <w:tr>
        <w:trPr>
          <w:trHeight w:val="398"/>
        </w:trPr>
        <w:tc>
          <w:tcPr>
            <w:tcW w:w="40" w:type="dxa"/>
            <w:vAlign w:val="bottom"/>
            <w:shd w:val="clear" w:color="auto" w:fill="CCFFFF"/>
          </w:tcPr>
          <w:p>
            <w:pPr>
              <w:spacing w:after="0"/>
              <w:rPr>
                <w:sz w:val="24"/>
                <w:szCs w:val="24"/>
                <w:color w:val="auto"/>
              </w:rPr>
            </w:pPr>
          </w:p>
        </w:tc>
        <w:tc>
          <w:tcPr>
            <w:tcW w:w="2260" w:type="dxa"/>
            <w:vAlign w:val="bottom"/>
            <w:shd w:val="clear" w:color="auto" w:fill="CCFFFF"/>
          </w:tcPr>
          <w:p>
            <w:pPr>
              <w:spacing w:after="0"/>
              <w:rPr>
                <w:sz w:val="24"/>
                <w:szCs w:val="24"/>
                <w:color w:val="auto"/>
              </w:rPr>
            </w:pPr>
          </w:p>
        </w:tc>
        <w:tc>
          <w:tcPr>
            <w:tcW w:w="20" w:type="dxa"/>
            <w:vAlign w:val="bottom"/>
            <w:shd w:val="clear" w:color="auto" w:fill="336699"/>
          </w:tcPr>
          <w:p>
            <w:pPr>
              <w:spacing w:after="0"/>
              <w:rPr>
                <w:sz w:val="24"/>
                <w:szCs w:val="24"/>
                <w:color w:val="auto"/>
              </w:rPr>
            </w:pPr>
          </w:p>
        </w:tc>
        <w:tc>
          <w:tcPr>
            <w:tcW w:w="8880" w:type="dxa"/>
            <w:vAlign w:val="bottom"/>
            <w:gridSpan w:val="2"/>
            <w:shd w:val="clear" w:color="auto" w:fill="CCFFFF"/>
          </w:tcPr>
          <w:p>
            <w:pPr>
              <w:ind w:left="20"/>
              <w:spacing w:after="0"/>
              <w:rPr>
                <w:sz w:val="20"/>
                <w:szCs w:val="20"/>
                <w:color w:val="auto"/>
              </w:rPr>
            </w:pPr>
            <w:r>
              <w:rPr>
                <w:rFonts w:ascii="Arial" w:cs="Arial" w:eastAsia="Arial" w:hAnsi="Arial"/>
                <w:sz w:val="18"/>
                <w:szCs w:val="18"/>
                <w:color w:val="auto"/>
              </w:rPr>
              <w:t>Mr. Hellman’s pertinent qualifications include his high level of financial literacy and investor orientation gained</w:t>
            </w:r>
          </w:p>
        </w:tc>
        <w:tc>
          <w:tcPr>
            <w:tcW w:w="200" w:type="dxa"/>
            <w:vAlign w:val="bottom"/>
            <w:shd w:val="clear" w:color="auto" w:fill="CCFFFF"/>
          </w:tcPr>
          <w:p>
            <w:pPr>
              <w:spacing w:after="0"/>
              <w:rPr>
                <w:sz w:val="24"/>
                <w:szCs w:val="24"/>
                <w:color w:val="auto"/>
              </w:rPr>
            </w:pPr>
          </w:p>
        </w:tc>
        <w:tc>
          <w:tcPr>
            <w:tcW w:w="2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FFFF"/>
          </w:tcPr>
          <w:p>
            <w:pPr>
              <w:spacing w:after="0"/>
              <w:rPr>
                <w:sz w:val="17"/>
                <w:szCs w:val="17"/>
                <w:color w:val="auto"/>
              </w:rPr>
            </w:pPr>
          </w:p>
        </w:tc>
        <w:tc>
          <w:tcPr>
            <w:tcW w:w="2260" w:type="dxa"/>
            <w:vAlign w:val="bottom"/>
            <w:shd w:val="clear" w:color="auto" w:fill="CCFFFF"/>
          </w:tcPr>
          <w:p>
            <w:pPr>
              <w:spacing w:after="0"/>
              <w:rPr>
                <w:sz w:val="17"/>
                <w:szCs w:val="17"/>
                <w:color w:val="auto"/>
              </w:rPr>
            </w:pPr>
          </w:p>
        </w:tc>
        <w:tc>
          <w:tcPr>
            <w:tcW w:w="20" w:type="dxa"/>
            <w:vAlign w:val="bottom"/>
            <w:shd w:val="clear" w:color="auto" w:fill="336699"/>
          </w:tcPr>
          <w:p>
            <w:pPr>
              <w:spacing w:after="0"/>
              <w:rPr>
                <w:sz w:val="17"/>
                <w:szCs w:val="17"/>
                <w:color w:val="auto"/>
              </w:rPr>
            </w:pPr>
          </w:p>
        </w:tc>
        <w:tc>
          <w:tcPr>
            <w:tcW w:w="8880" w:type="dxa"/>
            <w:vAlign w:val="bottom"/>
            <w:gridSpan w:val="2"/>
            <w:shd w:val="clear" w:color="auto" w:fill="CCFFFF"/>
          </w:tcPr>
          <w:p>
            <w:pPr>
              <w:ind w:left="20"/>
              <w:spacing w:after="0" w:line="202" w:lineRule="exact"/>
              <w:rPr>
                <w:sz w:val="20"/>
                <w:szCs w:val="20"/>
                <w:color w:val="auto"/>
              </w:rPr>
            </w:pPr>
            <w:r>
              <w:rPr>
                <w:rFonts w:ascii="Arial" w:cs="Arial" w:eastAsia="Arial" w:hAnsi="Arial"/>
                <w:sz w:val="18"/>
                <w:szCs w:val="18"/>
                <w:color w:val="auto"/>
              </w:rPr>
              <w:t>through his extensive investment experience, including his roles at HMI Capital and Hellman &amp; Friedman;</w:t>
            </w:r>
          </w:p>
        </w:tc>
        <w:tc>
          <w:tcPr>
            <w:tcW w:w="200" w:type="dxa"/>
            <w:vAlign w:val="bottom"/>
            <w:shd w:val="clear" w:color="auto" w:fill="CCFFFF"/>
          </w:tcPr>
          <w:p>
            <w:pPr>
              <w:spacing w:after="0"/>
              <w:rPr>
                <w:sz w:val="17"/>
                <w:szCs w:val="17"/>
                <w:color w:val="auto"/>
              </w:rPr>
            </w:pPr>
          </w:p>
        </w:tc>
        <w:tc>
          <w:tcPr>
            <w:tcW w:w="2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FFFF"/>
          </w:tcPr>
          <w:p>
            <w:pPr>
              <w:spacing w:after="0"/>
              <w:rPr>
                <w:sz w:val="17"/>
                <w:szCs w:val="17"/>
                <w:color w:val="auto"/>
              </w:rPr>
            </w:pPr>
          </w:p>
        </w:tc>
        <w:tc>
          <w:tcPr>
            <w:tcW w:w="2260" w:type="dxa"/>
            <w:vAlign w:val="bottom"/>
            <w:shd w:val="clear" w:color="auto" w:fill="CCFFFF"/>
          </w:tcPr>
          <w:p>
            <w:pPr>
              <w:spacing w:after="0"/>
              <w:rPr>
                <w:sz w:val="17"/>
                <w:szCs w:val="17"/>
                <w:color w:val="auto"/>
              </w:rPr>
            </w:pPr>
          </w:p>
        </w:tc>
        <w:tc>
          <w:tcPr>
            <w:tcW w:w="20" w:type="dxa"/>
            <w:vAlign w:val="bottom"/>
            <w:shd w:val="clear" w:color="auto" w:fill="336699"/>
          </w:tcPr>
          <w:p>
            <w:pPr>
              <w:spacing w:after="0"/>
              <w:rPr>
                <w:sz w:val="17"/>
                <w:szCs w:val="17"/>
                <w:color w:val="auto"/>
              </w:rPr>
            </w:pPr>
          </w:p>
        </w:tc>
        <w:tc>
          <w:tcPr>
            <w:tcW w:w="8880" w:type="dxa"/>
            <w:vAlign w:val="bottom"/>
            <w:gridSpan w:val="2"/>
            <w:shd w:val="clear" w:color="auto" w:fill="CCFFFF"/>
          </w:tcPr>
          <w:p>
            <w:pPr>
              <w:ind w:left="20"/>
              <w:spacing w:after="0" w:line="202" w:lineRule="exact"/>
              <w:rPr>
                <w:sz w:val="20"/>
                <w:szCs w:val="20"/>
                <w:color w:val="auto"/>
              </w:rPr>
            </w:pPr>
            <w:r>
              <w:rPr>
                <w:rFonts w:ascii="Arial" w:cs="Arial" w:eastAsia="Arial" w:hAnsi="Arial"/>
                <w:sz w:val="18"/>
                <w:szCs w:val="18"/>
                <w:color w:val="auto"/>
              </w:rPr>
              <w:t>knowledge and experience gained through his service on other boards; expertise in the financial services</w:t>
            </w:r>
          </w:p>
        </w:tc>
        <w:tc>
          <w:tcPr>
            <w:tcW w:w="200" w:type="dxa"/>
            <w:vAlign w:val="bottom"/>
            <w:shd w:val="clear" w:color="auto" w:fill="CCFFFF"/>
          </w:tcPr>
          <w:p>
            <w:pPr>
              <w:spacing w:after="0"/>
              <w:rPr>
                <w:sz w:val="17"/>
                <w:szCs w:val="17"/>
                <w:color w:val="auto"/>
              </w:rPr>
            </w:pPr>
          </w:p>
        </w:tc>
        <w:tc>
          <w:tcPr>
            <w:tcW w:w="2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FFFF"/>
          </w:tcPr>
          <w:p>
            <w:pPr>
              <w:spacing w:after="0"/>
              <w:rPr>
                <w:sz w:val="17"/>
                <w:szCs w:val="17"/>
                <w:color w:val="auto"/>
              </w:rPr>
            </w:pPr>
          </w:p>
        </w:tc>
        <w:tc>
          <w:tcPr>
            <w:tcW w:w="2260" w:type="dxa"/>
            <w:vAlign w:val="bottom"/>
            <w:shd w:val="clear" w:color="auto" w:fill="CCFFFF"/>
          </w:tcPr>
          <w:p>
            <w:pPr>
              <w:spacing w:after="0"/>
              <w:rPr>
                <w:sz w:val="17"/>
                <w:szCs w:val="17"/>
                <w:color w:val="auto"/>
              </w:rPr>
            </w:pPr>
          </w:p>
        </w:tc>
        <w:tc>
          <w:tcPr>
            <w:tcW w:w="20" w:type="dxa"/>
            <w:vAlign w:val="bottom"/>
            <w:shd w:val="clear" w:color="auto" w:fill="336699"/>
          </w:tcPr>
          <w:p>
            <w:pPr>
              <w:spacing w:after="0"/>
              <w:rPr>
                <w:sz w:val="17"/>
                <w:szCs w:val="17"/>
                <w:color w:val="auto"/>
              </w:rPr>
            </w:pPr>
          </w:p>
        </w:tc>
        <w:tc>
          <w:tcPr>
            <w:tcW w:w="8880" w:type="dxa"/>
            <w:vAlign w:val="bottom"/>
            <w:gridSpan w:val="2"/>
            <w:shd w:val="clear" w:color="auto" w:fill="CCFFFF"/>
          </w:tcPr>
          <w:p>
            <w:pPr>
              <w:ind w:left="20"/>
              <w:spacing w:after="0" w:line="202" w:lineRule="exact"/>
              <w:rPr>
                <w:sz w:val="20"/>
                <w:szCs w:val="20"/>
                <w:color w:val="auto"/>
              </w:rPr>
            </w:pPr>
            <w:r>
              <w:rPr>
                <w:rFonts w:ascii="Arial" w:cs="Arial" w:eastAsia="Arial" w:hAnsi="Arial"/>
                <w:sz w:val="18"/>
                <w:szCs w:val="18"/>
                <w:color w:val="auto"/>
              </w:rPr>
              <w:t>industry, based on his over 25 years of experience in the sector; and experience in the technology industry,</w:t>
            </w:r>
          </w:p>
        </w:tc>
        <w:tc>
          <w:tcPr>
            <w:tcW w:w="200" w:type="dxa"/>
            <w:vAlign w:val="bottom"/>
            <w:shd w:val="clear" w:color="auto" w:fill="CCFFFF"/>
          </w:tcPr>
          <w:p>
            <w:pPr>
              <w:spacing w:after="0"/>
              <w:rPr>
                <w:sz w:val="17"/>
                <w:szCs w:val="17"/>
                <w:color w:val="auto"/>
              </w:rPr>
            </w:pPr>
          </w:p>
        </w:tc>
        <w:tc>
          <w:tcPr>
            <w:tcW w:w="2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FFFF"/>
          </w:tcPr>
          <w:p>
            <w:pPr>
              <w:spacing w:after="0"/>
              <w:rPr>
                <w:sz w:val="17"/>
                <w:szCs w:val="17"/>
                <w:color w:val="auto"/>
              </w:rPr>
            </w:pPr>
          </w:p>
        </w:tc>
        <w:tc>
          <w:tcPr>
            <w:tcW w:w="2260" w:type="dxa"/>
            <w:vAlign w:val="bottom"/>
            <w:shd w:val="clear" w:color="auto" w:fill="CCFFFF"/>
          </w:tcPr>
          <w:p>
            <w:pPr>
              <w:spacing w:after="0"/>
              <w:rPr>
                <w:sz w:val="17"/>
                <w:szCs w:val="17"/>
                <w:color w:val="auto"/>
              </w:rPr>
            </w:pPr>
          </w:p>
        </w:tc>
        <w:tc>
          <w:tcPr>
            <w:tcW w:w="20" w:type="dxa"/>
            <w:vAlign w:val="bottom"/>
            <w:shd w:val="clear" w:color="auto" w:fill="336699"/>
          </w:tcPr>
          <w:p>
            <w:pPr>
              <w:spacing w:after="0"/>
              <w:rPr>
                <w:sz w:val="17"/>
                <w:szCs w:val="17"/>
                <w:color w:val="auto"/>
              </w:rPr>
            </w:pPr>
          </w:p>
        </w:tc>
        <w:tc>
          <w:tcPr>
            <w:tcW w:w="8880" w:type="dxa"/>
            <w:vAlign w:val="bottom"/>
            <w:gridSpan w:val="2"/>
            <w:shd w:val="clear" w:color="auto" w:fill="CCFFFF"/>
          </w:tcPr>
          <w:p>
            <w:pPr>
              <w:ind w:left="20"/>
              <w:spacing w:after="0" w:line="202" w:lineRule="exact"/>
              <w:rPr>
                <w:sz w:val="20"/>
                <w:szCs w:val="20"/>
                <w:color w:val="auto"/>
              </w:rPr>
            </w:pPr>
            <w:r>
              <w:rPr>
                <w:rFonts w:ascii="Arial" w:cs="Arial" w:eastAsia="Arial" w:hAnsi="Arial"/>
                <w:sz w:val="18"/>
                <w:szCs w:val="18"/>
                <w:color w:val="auto"/>
              </w:rPr>
              <w:t>based on his almost 20 years of experience in the sector and his time as board chair at Blackbaud, Inc., a</w:t>
            </w:r>
          </w:p>
        </w:tc>
        <w:tc>
          <w:tcPr>
            <w:tcW w:w="200" w:type="dxa"/>
            <w:vAlign w:val="bottom"/>
            <w:shd w:val="clear" w:color="auto" w:fill="CCFFFF"/>
          </w:tcPr>
          <w:p>
            <w:pPr>
              <w:spacing w:after="0"/>
              <w:rPr>
                <w:sz w:val="17"/>
                <w:szCs w:val="17"/>
                <w:color w:val="auto"/>
              </w:rPr>
            </w:pPr>
          </w:p>
        </w:tc>
        <w:tc>
          <w:tcPr>
            <w:tcW w:w="2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 w:type="dxa"/>
            <w:vAlign w:val="bottom"/>
            <w:shd w:val="clear" w:color="auto" w:fill="CCFFFF"/>
          </w:tcPr>
          <w:p>
            <w:pPr>
              <w:spacing w:after="0"/>
              <w:rPr>
                <w:sz w:val="18"/>
                <w:szCs w:val="18"/>
                <w:color w:val="auto"/>
              </w:rPr>
            </w:pPr>
          </w:p>
        </w:tc>
        <w:tc>
          <w:tcPr>
            <w:tcW w:w="2260" w:type="dxa"/>
            <w:vAlign w:val="bottom"/>
            <w:shd w:val="clear" w:color="auto" w:fill="CCFFFF"/>
          </w:tcPr>
          <w:p>
            <w:pPr>
              <w:spacing w:after="0"/>
              <w:rPr>
                <w:sz w:val="18"/>
                <w:szCs w:val="18"/>
                <w:color w:val="auto"/>
              </w:rPr>
            </w:pPr>
          </w:p>
        </w:tc>
        <w:tc>
          <w:tcPr>
            <w:tcW w:w="20" w:type="dxa"/>
            <w:vAlign w:val="bottom"/>
            <w:shd w:val="clear" w:color="auto" w:fill="336699"/>
          </w:tcPr>
          <w:p>
            <w:pPr>
              <w:spacing w:after="0"/>
              <w:rPr>
                <w:sz w:val="18"/>
                <w:szCs w:val="18"/>
                <w:color w:val="auto"/>
              </w:rPr>
            </w:pPr>
          </w:p>
        </w:tc>
        <w:tc>
          <w:tcPr>
            <w:tcW w:w="4220" w:type="dxa"/>
            <w:vAlign w:val="bottom"/>
            <w:shd w:val="clear" w:color="auto" w:fill="CCFFFF"/>
          </w:tcPr>
          <w:p>
            <w:pPr>
              <w:ind w:left="20"/>
              <w:spacing w:after="0"/>
              <w:rPr>
                <w:sz w:val="20"/>
                <w:szCs w:val="20"/>
                <w:color w:val="auto"/>
              </w:rPr>
            </w:pPr>
            <w:r>
              <w:rPr>
                <w:rFonts w:ascii="Arial" w:cs="Arial" w:eastAsia="Arial" w:hAnsi="Arial"/>
                <w:sz w:val="18"/>
                <w:szCs w:val="18"/>
                <w:color w:val="auto"/>
              </w:rPr>
              <w:t>publicly traded software company.</w:t>
            </w:r>
          </w:p>
        </w:tc>
        <w:tc>
          <w:tcPr>
            <w:tcW w:w="4660" w:type="dxa"/>
            <w:vAlign w:val="bottom"/>
            <w:shd w:val="clear" w:color="auto" w:fill="CCFFFF"/>
          </w:tcPr>
          <w:p>
            <w:pPr>
              <w:spacing w:after="0"/>
              <w:rPr>
                <w:sz w:val="18"/>
                <w:szCs w:val="18"/>
                <w:color w:val="auto"/>
              </w:rPr>
            </w:pPr>
          </w:p>
        </w:tc>
        <w:tc>
          <w:tcPr>
            <w:tcW w:w="20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40" w:type="dxa"/>
            <w:vAlign w:val="bottom"/>
            <w:shd w:val="clear" w:color="auto" w:fill="CCFFFF"/>
          </w:tcPr>
          <w:p>
            <w:pPr>
              <w:spacing w:after="0"/>
              <w:rPr>
                <w:sz w:val="24"/>
                <w:szCs w:val="24"/>
                <w:color w:val="auto"/>
              </w:rPr>
            </w:pPr>
          </w:p>
        </w:tc>
        <w:tc>
          <w:tcPr>
            <w:tcW w:w="2260" w:type="dxa"/>
            <w:vAlign w:val="bottom"/>
            <w:shd w:val="clear" w:color="auto" w:fill="CCFFFF"/>
          </w:tcPr>
          <w:p>
            <w:pPr>
              <w:spacing w:after="0"/>
              <w:rPr>
                <w:sz w:val="24"/>
                <w:szCs w:val="24"/>
                <w:color w:val="auto"/>
              </w:rPr>
            </w:pPr>
          </w:p>
        </w:tc>
        <w:tc>
          <w:tcPr>
            <w:tcW w:w="20" w:type="dxa"/>
            <w:vAlign w:val="bottom"/>
            <w:shd w:val="clear" w:color="auto" w:fill="336699"/>
          </w:tcPr>
          <w:p>
            <w:pPr>
              <w:spacing w:after="0"/>
              <w:rPr>
                <w:sz w:val="24"/>
                <w:szCs w:val="24"/>
                <w:color w:val="auto"/>
              </w:rPr>
            </w:pPr>
          </w:p>
        </w:tc>
        <w:tc>
          <w:tcPr>
            <w:tcW w:w="4220" w:type="dxa"/>
            <w:vAlign w:val="bottom"/>
            <w:shd w:val="clear" w:color="auto" w:fill="CCFFFF"/>
          </w:tcPr>
          <w:p>
            <w:pPr>
              <w:ind w:left="20"/>
              <w:spacing w:after="0"/>
              <w:rPr>
                <w:sz w:val="20"/>
                <w:szCs w:val="20"/>
                <w:color w:val="auto"/>
              </w:rPr>
            </w:pPr>
            <w:r>
              <w:rPr>
                <w:rFonts w:ascii="Arial" w:cs="Arial" w:eastAsia="Arial" w:hAnsi="Arial"/>
                <w:sz w:val="19"/>
                <w:szCs w:val="19"/>
                <w:b w:val="1"/>
                <w:bCs w:val="1"/>
                <w:color w:val="336699"/>
              </w:rPr>
              <w:t>OTHER PUBLIC COMPANY BOARDS</w:t>
            </w:r>
          </w:p>
        </w:tc>
        <w:tc>
          <w:tcPr>
            <w:tcW w:w="4660" w:type="dxa"/>
            <w:vAlign w:val="bottom"/>
            <w:shd w:val="clear" w:color="auto" w:fill="CCFFFF"/>
          </w:tcPr>
          <w:p>
            <w:pPr>
              <w:spacing w:after="0"/>
              <w:rPr>
                <w:sz w:val="24"/>
                <w:szCs w:val="24"/>
                <w:color w:val="auto"/>
              </w:rPr>
            </w:pPr>
          </w:p>
        </w:tc>
        <w:tc>
          <w:tcPr>
            <w:tcW w:w="200" w:type="dxa"/>
            <w:vAlign w:val="bottom"/>
            <w:shd w:val="clear" w:color="auto" w:fill="CCFFFF"/>
          </w:tcPr>
          <w:p>
            <w:pPr>
              <w:spacing w:after="0"/>
              <w:rPr>
                <w:sz w:val="24"/>
                <w:szCs w:val="24"/>
                <w:color w:val="auto"/>
              </w:rPr>
            </w:pPr>
          </w:p>
        </w:tc>
        <w:tc>
          <w:tcPr>
            <w:tcW w:w="2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0" w:type="dxa"/>
            <w:vAlign w:val="bottom"/>
            <w:tcBorders>
              <w:bottom w:val="single" w:sz="8" w:color="CCFFFF"/>
            </w:tcBorders>
            <w:shd w:val="clear" w:color="auto" w:fill="CCFFFF"/>
          </w:tcPr>
          <w:p>
            <w:pPr>
              <w:spacing w:after="0"/>
              <w:rPr>
                <w:sz w:val="10"/>
                <w:szCs w:val="10"/>
                <w:color w:val="auto"/>
              </w:rPr>
            </w:pPr>
          </w:p>
        </w:tc>
        <w:tc>
          <w:tcPr>
            <w:tcW w:w="2260" w:type="dxa"/>
            <w:vAlign w:val="bottom"/>
            <w:tcBorders>
              <w:bottom w:val="single" w:sz="8" w:color="CCFFFF"/>
            </w:tcBorders>
            <w:shd w:val="clear" w:color="auto" w:fill="CCFFFF"/>
          </w:tcPr>
          <w:p>
            <w:pPr>
              <w:spacing w:after="0"/>
              <w:rPr>
                <w:sz w:val="10"/>
                <w:szCs w:val="10"/>
                <w:color w:val="auto"/>
              </w:rPr>
            </w:pPr>
          </w:p>
        </w:tc>
        <w:tc>
          <w:tcPr>
            <w:tcW w:w="20" w:type="dxa"/>
            <w:vAlign w:val="bottom"/>
            <w:tcBorders>
              <w:bottom w:val="single" w:sz="8" w:color="336699"/>
            </w:tcBorders>
            <w:shd w:val="clear" w:color="auto" w:fill="336699"/>
          </w:tcPr>
          <w:p>
            <w:pPr>
              <w:spacing w:after="0"/>
              <w:rPr>
                <w:sz w:val="10"/>
                <w:szCs w:val="10"/>
                <w:color w:val="auto"/>
              </w:rPr>
            </w:pPr>
          </w:p>
        </w:tc>
        <w:tc>
          <w:tcPr>
            <w:tcW w:w="4220" w:type="dxa"/>
            <w:vAlign w:val="bottom"/>
            <w:tcBorders>
              <w:bottom w:val="single" w:sz="8" w:color="336699"/>
            </w:tcBorders>
            <w:shd w:val="clear" w:color="auto" w:fill="CCFFFF"/>
          </w:tcPr>
          <w:p>
            <w:pPr>
              <w:spacing w:after="0"/>
              <w:rPr>
                <w:sz w:val="10"/>
                <w:szCs w:val="10"/>
                <w:color w:val="auto"/>
              </w:rPr>
            </w:pPr>
          </w:p>
        </w:tc>
        <w:tc>
          <w:tcPr>
            <w:tcW w:w="4660" w:type="dxa"/>
            <w:vAlign w:val="bottom"/>
            <w:tcBorders>
              <w:bottom w:val="single" w:sz="8" w:color="336699"/>
            </w:tcBorders>
            <w:shd w:val="clear" w:color="auto" w:fill="CCFFFF"/>
          </w:tcPr>
          <w:p>
            <w:pPr>
              <w:spacing w:after="0"/>
              <w:rPr>
                <w:sz w:val="10"/>
                <w:szCs w:val="10"/>
                <w:color w:val="auto"/>
              </w:rPr>
            </w:pPr>
          </w:p>
        </w:tc>
        <w:tc>
          <w:tcPr>
            <w:tcW w:w="200" w:type="dxa"/>
            <w:vAlign w:val="bottom"/>
            <w:tcBorders>
              <w:bottom w:val="single" w:sz="8" w:color="CCFFFF"/>
            </w:tcBorders>
            <w:shd w:val="clear" w:color="auto" w:fill="CCFFFF"/>
          </w:tcPr>
          <w:p>
            <w:pPr>
              <w:spacing w:after="0"/>
              <w:rPr>
                <w:sz w:val="10"/>
                <w:szCs w:val="10"/>
                <w:color w:val="auto"/>
              </w:rPr>
            </w:pPr>
          </w:p>
        </w:tc>
        <w:tc>
          <w:tcPr>
            <w:tcW w:w="20" w:type="dxa"/>
            <w:vAlign w:val="bottom"/>
            <w:tcBorders>
              <w:bottom w:val="single" w:sz="8" w:color="CCFFFF"/>
            </w:tcBorders>
            <w:shd w:val="clear" w:color="auto" w:fill="CCFFFF"/>
          </w:tcPr>
          <w:p>
            <w:pPr>
              <w:spacing w:after="0"/>
              <w:rPr>
                <w:sz w:val="10"/>
                <w:szCs w:val="10"/>
                <w:color w:val="auto"/>
              </w:rPr>
            </w:pPr>
          </w:p>
        </w:tc>
        <w:tc>
          <w:tcPr>
            <w:tcW w:w="0" w:type="dxa"/>
            <w:vAlign w:val="bottom"/>
          </w:tcPr>
          <w:p>
            <w:pPr>
              <w:spacing w:after="0"/>
              <w:rPr>
                <w:sz w:val="1"/>
                <w:szCs w:val="1"/>
                <w:color w:val="auto"/>
              </w:rPr>
            </w:pPr>
          </w:p>
        </w:tc>
      </w:tr>
      <w:tr>
        <w:trPr>
          <w:trHeight w:val="412"/>
        </w:trPr>
        <w:tc>
          <w:tcPr>
            <w:tcW w:w="40" w:type="dxa"/>
            <w:vAlign w:val="bottom"/>
            <w:shd w:val="clear" w:color="auto" w:fill="CCFFFF"/>
          </w:tcPr>
          <w:p>
            <w:pPr>
              <w:spacing w:after="0"/>
              <w:rPr>
                <w:sz w:val="24"/>
                <w:szCs w:val="24"/>
                <w:color w:val="auto"/>
              </w:rPr>
            </w:pPr>
          </w:p>
        </w:tc>
        <w:tc>
          <w:tcPr>
            <w:tcW w:w="2260" w:type="dxa"/>
            <w:vAlign w:val="bottom"/>
            <w:shd w:val="clear" w:color="auto" w:fill="CCFFFF"/>
          </w:tcPr>
          <w:p>
            <w:pPr>
              <w:spacing w:after="0"/>
              <w:rPr>
                <w:sz w:val="24"/>
                <w:szCs w:val="24"/>
                <w:color w:val="auto"/>
              </w:rPr>
            </w:pPr>
          </w:p>
        </w:tc>
        <w:tc>
          <w:tcPr>
            <w:tcW w:w="20" w:type="dxa"/>
            <w:vAlign w:val="bottom"/>
            <w:shd w:val="clear" w:color="auto" w:fill="336699"/>
          </w:tcPr>
          <w:p>
            <w:pPr>
              <w:spacing w:after="0"/>
              <w:rPr>
                <w:sz w:val="24"/>
                <w:szCs w:val="24"/>
                <w:color w:val="auto"/>
              </w:rPr>
            </w:pPr>
          </w:p>
        </w:tc>
        <w:tc>
          <w:tcPr>
            <w:tcW w:w="4220" w:type="dxa"/>
            <w:vAlign w:val="bottom"/>
            <w:shd w:val="clear" w:color="auto" w:fill="CCFFFF"/>
          </w:tcPr>
          <w:p>
            <w:pPr>
              <w:ind w:left="1780"/>
              <w:spacing w:after="0"/>
              <w:rPr>
                <w:sz w:val="20"/>
                <w:szCs w:val="20"/>
                <w:color w:val="auto"/>
              </w:rPr>
            </w:pPr>
            <w:r>
              <w:rPr>
                <w:rFonts w:ascii="Arial" w:cs="Arial" w:eastAsia="Arial" w:hAnsi="Arial"/>
                <w:sz w:val="18"/>
                <w:szCs w:val="18"/>
                <w:b w:val="1"/>
                <w:bCs w:val="1"/>
                <w:color w:val="auto"/>
              </w:rPr>
              <w:t>Current</w:t>
            </w:r>
          </w:p>
        </w:tc>
        <w:tc>
          <w:tcPr>
            <w:tcW w:w="4660" w:type="dxa"/>
            <w:vAlign w:val="bottom"/>
            <w:shd w:val="clear" w:color="auto" w:fill="CCFFFF"/>
          </w:tcPr>
          <w:p>
            <w:pPr>
              <w:jc w:val="center"/>
              <w:ind w:right="347"/>
              <w:spacing w:after="0"/>
              <w:rPr>
                <w:sz w:val="20"/>
                <w:szCs w:val="20"/>
                <w:color w:val="auto"/>
              </w:rPr>
            </w:pPr>
            <w:r>
              <w:rPr>
                <w:rFonts w:ascii="Arial" w:cs="Arial" w:eastAsia="Arial" w:hAnsi="Arial"/>
                <w:sz w:val="18"/>
                <w:szCs w:val="18"/>
                <w:b w:val="1"/>
                <w:bCs w:val="1"/>
                <w:color w:val="auto"/>
                <w:w w:val="98"/>
              </w:rPr>
              <w:t>Past 5 Years</w:t>
            </w:r>
          </w:p>
        </w:tc>
        <w:tc>
          <w:tcPr>
            <w:tcW w:w="200" w:type="dxa"/>
            <w:vAlign w:val="bottom"/>
            <w:shd w:val="clear" w:color="auto" w:fill="CCFFFF"/>
          </w:tcPr>
          <w:p>
            <w:pPr>
              <w:spacing w:after="0"/>
              <w:rPr>
                <w:sz w:val="24"/>
                <w:szCs w:val="24"/>
                <w:color w:val="auto"/>
              </w:rPr>
            </w:pPr>
          </w:p>
        </w:tc>
        <w:tc>
          <w:tcPr>
            <w:tcW w:w="2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 w:type="dxa"/>
            <w:vAlign w:val="bottom"/>
            <w:shd w:val="clear" w:color="auto" w:fill="CCFFFF"/>
          </w:tcPr>
          <w:p>
            <w:pPr>
              <w:spacing w:after="0"/>
              <w:rPr>
                <w:sz w:val="24"/>
                <w:szCs w:val="24"/>
                <w:color w:val="auto"/>
              </w:rPr>
            </w:pPr>
          </w:p>
        </w:tc>
        <w:tc>
          <w:tcPr>
            <w:tcW w:w="2260" w:type="dxa"/>
            <w:vAlign w:val="bottom"/>
            <w:shd w:val="clear" w:color="auto" w:fill="CCFFFF"/>
          </w:tcPr>
          <w:p>
            <w:pPr>
              <w:spacing w:after="0"/>
              <w:rPr>
                <w:sz w:val="24"/>
                <w:szCs w:val="24"/>
                <w:color w:val="auto"/>
              </w:rPr>
            </w:pPr>
          </w:p>
        </w:tc>
        <w:tc>
          <w:tcPr>
            <w:tcW w:w="20" w:type="dxa"/>
            <w:vAlign w:val="bottom"/>
            <w:shd w:val="clear" w:color="auto" w:fill="336699"/>
          </w:tcPr>
          <w:p>
            <w:pPr>
              <w:spacing w:after="0"/>
              <w:rPr>
                <w:sz w:val="24"/>
                <w:szCs w:val="24"/>
                <w:color w:val="auto"/>
              </w:rPr>
            </w:pPr>
          </w:p>
        </w:tc>
        <w:tc>
          <w:tcPr>
            <w:tcW w:w="4220" w:type="dxa"/>
            <w:vAlign w:val="bottom"/>
            <w:shd w:val="clear" w:color="auto" w:fill="CCFFFF"/>
          </w:tcPr>
          <w:p>
            <w:pPr>
              <w:ind w:left="1880"/>
              <w:spacing w:after="0"/>
              <w:rPr>
                <w:sz w:val="20"/>
                <w:szCs w:val="20"/>
                <w:color w:val="auto"/>
              </w:rPr>
            </w:pPr>
            <w:r>
              <w:rPr>
                <w:rFonts w:ascii="Arial" w:cs="Arial" w:eastAsia="Arial" w:hAnsi="Arial"/>
                <w:sz w:val="18"/>
                <w:szCs w:val="18"/>
                <w:color w:val="auto"/>
              </w:rPr>
              <w:t>None</w:t>
            </w:r>
          </w:p>
        </w:tc>
        <w:tc>
          <w:tcPr>
            <w:tcW w:w="4660" w:type="dxa"/>
            <w:vAlign w:val="bottom"/>
            <w:shd w:val="clear" w:color="auto" w:fill="CCFFFF"/>
          </w:tcPr>
          <w:p>
            <w:pPr>
              <w:jc w:val="center"/>
              <w:ind w:right="367"/>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FFFF"/>
          </w:tcPr>
          <w:p>
            <w:pPr>
              <w:spacing w:after="0"/>
              <w:rPr>
                <w:sz w:val="24"/>
                <w:szCs w:val="24"/>
                <w:color w:val="auto"/>
              </w:rPr>
            </w:pPr>
          </w:p>
        </w:tc>
        <w:tc>
          <w:tcPr>
            <w:tcW w:w="2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 w:type="dxa"/>
            <w:vAlign w:val="bottom"/>
            <w:shd w:val="clear" w:color="auto" w:fill="CCFFFF"/>
          </w:tcPr>
          <w:p>
            <w:pPr>
              <w:spacing w:after="0"/>
              <w:rPr>
                <w:sz w:val="5"/>
                <w:szCs w:val="5"/>
                <w:color w:val="auto"/>
              </w:rPr>
            </w:pPr>
          </w:p>
        </w:tc>
        <w:tc>
          <w:tcPr>
            <w:tcW w:w="2260" w:type="dxa"/>
            <w:vAlign w:val="bottom"/>
            <w:shd w:val="clear" w:color="auto" w:fill="CCFFFF"/>
          </w:tcPr>
          <w:p>
            <w:pPr>
              <w:spacing w:after="0"/>
              <w:rPr>
                <w:sz w:val="5"/>
                <w:szCs w:val="5"/>
                <w:color w:val="auto"/>
              </w:rPr>
            </w:pPr>
          </w:p>
        </w:tc>
        <w:tc>
          <w:tcPr>
            <w:tcW w:w="20" w:type="dxa"/>
            <w:vAlign w:val="bottom"/>
            <w:shd w:val="clear" w:color="auto" w:fill="336699"/>
          </w:tcPr>
          <w:p>
            <w:pPr>
              <w:spacing w:after="0"/>
              <w:rPr>
                <w:sz w:val="5"/>
                <w:szCs w:val="5"/>
                <w:color w:val="auto"/>
              </w:rPr>
            </w:pPr>
          </w:p>
        </w:tc>
        <w:tc>
          <w:tcPr>
            <w:tcW w:w="4220" w:type="dxa"/>
            <w:vAlign w:val="bottom"/>
            <w:shd w:val="clear" w:color="auto" w:fill="CCFFFF"/>
          </w:tcPr>
          <w:p>
            <w:pPr>
              <w:spacing w:after="0"/>
              <w:rPr>
                <w:sz w:val="5"/>
                <w:szCs w:val="5"/>
                <w:color w:val="auto"/>
              </w:rPr>
            </w:pPr>
          </w:p>
        </w:tc>
        <w:tc>
          <w:tcPr>
            <w:tcW w:w="4660" w:type="dxa"/>
            <w:vAlign w:val="bottom"/>
            <w:shd w:val="clear" w:color="auto" w:fill="CCFFFF"/>
          </w:tcPr>
          <w:p>
            <w:pPr>
              <w:spacing w:after="0"/>
              <w:rPr>
                <w:sz w:val="5"/>
                <w:szCs w:val="5"/>
                <w:color w:val="auto"/>
              </w:rPr>
            </w:pPr>
          </w:p>
        </w:tc>
        <w:tc>
          <w:tcPr>
            <w:tcW w:w="200" w:type="dxa"/>
            <w:vAlign w:val="bottom"/>
            <w:shd w:val="clear" w:color="auto" w:fill="CCFFFF"/>
          </w:tcPr>
          <w:p>
            <w:pPr>
              <w:spacing w:after="0"/>
              <w:rPr>
                <w:sz w:val="5"/>
                <w:szCs w:val="5"/>
                <w:color w:val="auto"/>
              </w:rPr>
            </w:pPr>
          </w:p>
        </w:tc>
        <w:tc>
          <w:tcPr>
            <w:tcW w:w="20" w:type="dxa"/>
            <w:vAlign w:val="bottom"/>
            <w:shd w:val="clear" w:color="auto" w:fill="CCFF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FFFF"/>
          </w:tcPr>
          <w:p>
            <w:pPr>
              <w:spacing w:after="0"/>
              <w:rPr>
                <w:sz w:val="19"/>
                <w:szCs w:val="19"/>
                <w:color w:val="auto"/>
              </w:rPr>
            </w:pPr>
          </w:p>
        </w:tc>
        <w:tc>
          <w:tcPr>
            <w:tcW w:w="2260" w:type="dxa"/>
            <w:vAlign w:val="bottom"/>
            <w:shd w:val="clear" w:color="auto" w:fill="CCFFFF"/>
          </w:tcPr>
          <w:p>
            <w:pPr>
              <w:spacing w:after="0"/>
              <w:rPr>
                <w:sz w:val="19"/>
                <w:szCs w:val="19"/>
                <w:color w:val="auto"/>
              </w:rPr>
            </w:pPr>
          </w:p>
        </w:tc>
        <w:tc>
          <w:tcPr>
            <w:tcW w:w="20" w:type="dxa"/>
            <w:vAlign w:val="bottom"/>
            <w:shd w:val="clear" w:color="auto" w:fill="CCFFFF"/>
          </w:tcPr>
          <w:p>
            <w:pPr>
              <w:spacing w:after="0"/>
              <w:rPr>
                <w:sz w:val="19"/>
                <w:szCs w:val="19"/>
                <w:color w:val="auto"/>
              </w:rPr>
            </w:pPr>
          </w:p>
        </w:tc>
        <w:tc>
          <w:tcPr>
            <w:tcW w:w="4220" w:type="dxa"/>
            <w:vAlign w:val="bottom"/>
            <w:shd w:val="clear" w:color="auto" w:fill="CCFFFF"/>
          </w:tcPr>
          <w:p>
            <w:pPr>
              <w:spacing w:after="0"/>
              <w:rPr>
                <w:sz w:val="19"/>
                <w:szCs w:val="19"/>
                <w:color w:val="auto"/>
              </w:rPr>
            </w:pPr>
          </w:p>
        </w:tc>
        <w:tc>
          <w:tcPr>
            <w:tcW w:w="4660" w:type="dxa"/>
            <w:vAlign w:val="bottom"/>
            <w:shd w:val="clear" w:color="auto" w:fill="CCFFFF"/>
          </w:tcPr>
          <w:p>
            <w:pPr>
              <w:spacing w:after="0"/>
              <w:rPr>
                <w:sz w:val="19"/>
                <w:szCs w:val="19"/>
                <w:color w:val="auto"/>
              </w:rPr>
            </w:pPr>
          </w:p>
        </w:tc>
        <w:tc>
          <w:tcPr>
            <w:tcW w:w="200" w:type="dxa"/>
            <w:vAlign w:val="bottom"/>
            <w:shd w:val="clear" w:color="auto" w:fill="CCFFFF"/>
          </w:tcPr>
          <w:p>
            <w:pPr>
              <w:spacing w:after="0"/>
              <w:rPr>
                <w:sz w:val="19"/>
                <w:szCs w:val="19"/>
                <w:color w:val="auto"/>
              </w:rPr>
            </w:pPr>
          </w:p>
        </w:tc>
        <w:tc>
          <w:tcPr>
            <w:tcW w:w="2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FFFF"/>
          </w:tcPr>
          <w:p>
            <w:pPr>
              <w:spacing w:after="0"/>
              <w:rPr>
                <w:sz w:val="19"/>
                <w:szCs w:val="19"/>
                <w:color w:val="auto"/>
              </w:rPr>
            </w:pPr>
          </w:p>
        </w:tc>
        <w:tc>
          <w:tcPr>
            <w:tcW w:w="2260" w:type="dxa"/>
            <w:vAlign w:val="bottom"/>
            <w:shd w:val="clear" w:color="auto" w:fill="CCFFFF"/>
          </w:tcPr>
          <w:p>
            <w:pPr>
              <w:spacing w:after="0"/>
              <w:rPr>
                <w:sz w:val="19"/>
                <w:szCs w:val="19"/>
                <w:color w:val="auto"/>
              </w:rPr>
            </w:pPr>
          </w:p>
        </w:tc>
        <w:tc>
          <w:tcPr>
            <w:tcW w:w="20" w:type="dxa"/>
            <w:vAlign w:val="bottom"/>
            <w:shd w:val="clear" w:color="auto" w:fill="CCFFFF"/>
          </w:tcPr>
          <w:p>
            <w:pPr>
              <w:spacing w:after="0"/>
              <w:rPr>
                <w:sz w:val="19"/>
                <w:szCs w:val="19"/>
                <w:color w:val="auto"/>
              </w:rPr>
            </w:pPr>
          </w:p>
        </w:tc>
        <w:tc>
          <w:tcPr>
            <w:tcW w:w="4220" w:type="dxa"/>
            <w:vAlign w:val="bottom"/>
            <w:shd w:val="clear" w:color="auto" w:fill="CCFFFF"/>
          </w:tcPr>
          <w:p>
            <w:pPr>
              <w:spacing w:after="0"/>
              <w:rPr>
                <w:sz w:val="19"/>
                <w:szCs w:val="19"/>
                <w:color w:val="auto"/>
              </w:rPr>
            </w:pPr>
          </w:p>
        </w:tc>
        <w:tc>
          <w:tcPr>
            <w:tcW w:w="4660" w:type="dxa"/>
            <w:vAlign w:val="bottom"/>
            <w:shd w:val="clear" w:color="auto" w:fill="CCFFFF"/>
          </w:tcPr>
          <w:p>
            <w:pPr>
              <w:spacing w:after="0"/>
              <w:rPr>
                <w:sz w:val="19"/>
                <w:szCs w:val="19"/>
                <w:color w:val="auto"/>
              </w:rPr>
            </w:pPr>
          </w:p>
        </w:tc>
        <w:tc>
          <w:tcPr>
            <w:tcW w:w="200" w:type="dxa"/>
            <w:vAlign w:val="bottom"/>
            <w:shd w:val="clear" w:color="auto" w:fill="CCFFFF"/>
          </w:tcPr>
          <w:p>
            <w:pPr>
              <w:spacing w:after="0"/>
              <w:rPr>
                <w:sz w:val="19"/>
                <w:szCs w:val="19"/>
                <w:color w:val="auto"/>
              </w:rPr>
            </w:pPr>
          </w:p>
        </w:tc>
        <w:tc>
          <w:tcPr>
            <w:tcW w:w="2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058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45535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553585"/>
                    </a:xfrm>
                    <a:prstGeom prst="rect">
                      <a:avLst/>
                    </a:prstGeom>
                    <a:noFill/>
                  </pic:spPr>
                </pic:pic>
              </a:graphicData>
            </a:graphic>
          </wp:anchor>
        </w:drawing>
      </w:r>
    </w:p>
    <w:p>
      <w:pPr>
        <w:sectPr>
          <w:pgSz w:w="11900" w:h="16838" w:orient="portrait"/>
          <w:cols w:equalWidth="0" w:num="1">
            <w:col w:w="11420"/>
          </w:cols>
          <w:pgMar w:left="240" w:top="436" w:right="239" w:bottom="486" w:gutter="0" w:footer="0" w:header="0"/>
        </w:sectPr>
      </w:pPr>
    </w:p>
    <w:p>
      <w:pPr>
        <w:spacing w:after="0" w:line="118" w:lineRule="exact"/>
        <w:rPr>
          <w:sz w:val="20"/>
          <w:szCs w:val="20"/>
          <w:color w:val="auto"/>
        </w:rPr>
      </w:pPr>
    </w:p>
    <w:p>
      <w:pPr>
        <w:ind w:left="40"/>
        <w:spacing w:after="0"/>
        <w:rPr>
          <w:sz w:val="20"/>
          <w:szCs w:val="20"/>
          <w:color w:val="auto"/>
        </w:rPr>
      </w:pPr>
      <w:r>
        <w:rPr>
          <w:rFonts w:ascii="Arial" w:cs="Arial" w:eastAsia="Arial" w:hAnsi="Arial"/>
          <w:sz w:val="19"/>
          <w:szCs w:val="19"/>
          <w:b w:val="1"/>
          <w:bCs w:val="1"/>
          <w:i w:val="1"/>
          <w:iCs w:val="1"/>
          <w:color w:val="336699"/>
        </w:rPr>
        <w:t>Anne M. Mulcahy</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Age 64</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 Since 2013</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Independent</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Committees</w:t>
      </w:r>
    </w:p>
    <w:p>
      <w:pPr>
        <w:spacing w:after="0" w:line="234" w:lineRule="exact"/>
        <w:rPr>
          <w:sz w:val="20"/>
          <w:szCs w:val="20"/>
          <w:color w:val="auto"/>
        </w:rPr>
      </w:pPr>
    </w:p>
    <w:p>
      <w:pPr>
        <w:ind w:left="40"/>
        <w:spacing w:after="0" w:line="246" w:lineRule="auto"/>
        <w:rPr>
          <w:sz w:val="20"/>
          <w:szCs w:val="20"/>
          <w:color w:val="auto"/>
        </w:rPr>
      </w:pPr>
      <w:r>
        <w:rPr>
          <w:rFonts w:ascii="Arial" w:cs="Arial" w:eastAsia="Arial" w:hAnsi="Arial"/>
          <w:sz w:val="18"/>
          <w:szCs w:val="18"/>
          <w:color w:val="auto"/>
        </w:rPr>
        <w:t>Compensation Committee (Chair)</w:t>
      </w:r>
    </w:p>
    <w:p>
      <w:pPr>
        <w:spacing w:after="0" w:line="197" w:lineRule="exact"/>
        <w:rPr>
          <w:sz w:val="20"/>
          <w:szCs w:val="20"/>
          <w:color w:val="auto"/>
        </w:rPr>
      </w:pPr>
    </w:p>
    <w:p>
      <w:pPr>
        <w:ind w:left="40" w:right="180"/>
        <w:spacing w:after="0" w:line="275" w:lineRule="auto"/>
        <w:rPr>
          <w:sz w:val="20"/>
          <w:szCs w:val="20"/>
          <w:color w:val="auto"/>
        </w:rPr>
      </w:pPr>
      <w:r>
        <w:rPr>
          <w:rFonts w:ascii="Arial" w:cs="Arial" w:eastAsia="Arial" w:hAnsi="Arial"/>
          <w:sz w:val="17"/>
          <w:szCs w:val="17"/>
          <w:color w:val="auto"/>
        </w:rPr>
        <w:t>Nominating and Governance Committee</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BACKGROUND</w:t>
      </w:r>
    </w:p>
    <w:p>
      <w:pPr>
        <w:spacing w:after="0" w:line="367" w:lineRule="exact"/>
        <w:rPr>
          <w:sz w:val="20"/>
          <w:szCs w:val="20"/>
          <w:color w:val="auto"/>
        </w:rPr>
      </w:pPr>
    </w:p>
    <w:p>
      <w:pPr>
        <w:ind w:left="40" w:right="420"/>
        <w:spacing w:after="0" w:line="237" w:lineRule="auto"/>
        <w:rPr>
          <w:sz w:val="20"/>
          <w:szCs w:val="20"/>
          <w:color w:val="auto"/>
        </w:rPr>
      </w:pPr>
      <w:r>
        <w:rPr>
          <w:rFonts w:ascii="Arial" w:cs="Arial" w:eastAsia="Arial" w:hAnsi="Arial"/>
          <w:sz w:val="18"/>
          <w:szCs w:val="18"/>
          <w:color w:val="auto"/>
        </w:rPr>
        <w:t>Ms. Mulcahy served as chair of the board of trustees of Save The Children Federation, Inc., a non-profit organization dedicated to creating lasting change in the lives of children throughout the world, from March 2010 to February 2017. She previously served as chair of the board of Xerox Corporation (“Xerox”), a global business services and document technology provider, from January 2002 to May 2010, and chief executive officer of Xerox from August 2001 to July 2009. Prior to serving as a chief executive officer, Ms. Mulcahy was president and chief operating officer of Xerox. Ms. Mulcahy received a B.A. from Marymount College of Fordham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QUALIFICATIONS</w:t>
      </w:r>
    </w:p>
    <w:p>
      <w:pPr>
        <w:spacing w:after="0" w:line="200" w:lineRule="exact"/>
        <w:rPr>
          <w:sz w:val="20"/>
          <w:szCs w:val="20"/>
          <w:color w:val="auto"/>
        </w:rPr>
      </w:pPr>
    </w:p>
    <w:p>
      <w:pPr>
        <w:spacing w:after="0" w:line="221" w:lineRule="exact"/>
        <w:rPr>
          <w:sz w:val="20"/>
          <w:szCs w:val="20"/>
          <w:color w:val="auto"/>
        </w:rPr>
      </w:pPr>
    </w:p>
    <w:p>
      <w:pPr>
        <w:ind w:left="40" w:right="340"/>
        <w:spacing w:after="0" w:line="238" w:lineRule="auto"/>
        <w:rPr>
          <w:sz w:val="20"/>
          <w:szCs w:val="20"/>
          <w:color w:val="auto"/>
        </w:rPr>
      </w:pPr>
      <w:r>
        <w:rPr>
          <w:rFonts w:ascii="Arial" w:cs="Arial" w:eastAsia="Arial" w:hAnsi="Arial"/>
          <w:sz w:val="18"/>
          <w:szCs w:val="18"/>
          <w:color w:val="auto"/>
        </w:rPr>
        <w:t>Ms. Mulcahy’s pertinent qualifications include her extensive experience in all areas of business management and strategic execution as she led Xerox through a transformational turnaround; valuable insights into organizational and operational management issues, including business innovation, financial management and talent development; and leadership roles in business trade associations and public policy activities, which provide the Board of Directors with additional expertise in the area of organizational effectiveness.</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OTHER PUBLIC COMPANY BOARDS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240" w:type="dxa"/>
            <w:vAlign w:val="bottom"/>
            <w:shd w:val="clear" w:color="auto" w:fill="CCFFFF"/>
          </w:tcPr>
          <w:p>
            <w:pPr>
              <w:spacing w:after="0"/>
              <w:rPr>
                <w:sz w:val="11"/>
                <w:szCs w:val="11"/>
                <w:color w:val="auto"/>
              </w:rPr>
            </w:pPr>
          </w:p>
        </w:tc>
        <w:tc>
          <w:tcPr>
            <w:tcW w:w="4660" w:type="dxa"/>
            <w:vAlign w:val="bottom"/>
          </w:tcPr>
          <w:p>
            <w:pPr>
              <w:spacing w:after="0"/>
              <w:rPr>
                <w:sz w:val="11"/>
                <w:szCs w:val="11"/>
                <w:color w:val="auto"/>
              </w:rPr>
            </w:pPr>
          </w:p>
        </w:tc>
      </w:tr>
      <w:tr>
        <w:trPr>
          <w:trHeight w:val="229"/>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b w:val="1"/>
                <w:bCs w:val="1"/>
                <w:color w:val="auto"/>
                <w:w w:val="98"/>
              </w:rPr>
              <w:t>Current</w:t>
            </w:r>
          </w:p>
        </w:tc>
        <w:tc>
          <w:tcPr>
            <w:tcW w:w="4660" w:type="dxa"/>
            <w:vAlign w:val="bottom"/>
            <w:shd w:val="clear" w:color="auto" w:fill="CCFFFF"/>
          </w:tcPr>
          <w:p>
            <w:pPr>
              <w:jc w:val="center"/>
              <w:ind w:right="350"/>
              <w:spacing w:after="0"/>
              <w:rPr>
                <w:sz w:val="20"/>
                <w:szCs w:val="20"/>
                <w:color w:val="auto"/>
              </w:rPr>
            </w:pPr>
            <w:r>
              <w:rPr>
                <w:rFonts w:ascii="Arial" w:cs="Arial" w:eastAsia="Arial" w:hAnsi="Arial"/>
                <w:sz w:val="18"/>
                <w:szCs w:val="18"/>
                <w:b w:val="1"/>
                <w:bCs w:val="1"/>
                <w:color w:val="auto"/>
                <w:w w:val="98"/>
              </w:rPr>
              <w:t>Past 5 Years</w:t>
            </w:r>
          </w:p>
        </w:tc>
      </w:tr>
      <w:tr>
        <w:trPr>
          <w:trHeight w:val="203"/>
        </w:trPr>
        <w:tc>
          <w:tcPr>
            <w:tcW w:w="4240" w:type="dxa"/>
            <w:vAlign w:val="bottom"/>
            <w:shd w:val="clear" w:color="auto" w:fill="CCFFFF"/>
          </w:tcPr>
          <w:p>
            <w:pPr>
              <w:jc w:val="center"/>
              <w:spacing w:after="0" w:line="202" w:lineRule="exact"/>
              <w:rPr>
                <w:sz w:val="20"/>
                <w:szCs w:val="20"/>
                <w:color w:val="auto"/>
              </w:rPr>
            </w:pPr>
            <w:r>
              <w:rPr>
                <w:rFonts w:ascii="Arial" w:cs="Arial" w:eastAsia="Arial" w:hAnsi="Arial"/>
                <w:sz w:val="18"/>
                <w:szCs w:val="18"/>
                <w:color w:val="auto"/>
                <w:w w:val="99"/>
              </w:rPr>
              <w:t>Graham Holdings Company</w:t>
            </w:r>
          </w:p>
        </w:tc>
        <w:tc>
          <w:tcPr>
            <w:tcW w:w="4660" w:type="dxa"/>
            <w:vAlign w:val="bottom"/>
            <w:shd w:val="clear" w:color="auto" w:fill="CCFFFF"/>
          </w:tcPr>
          <w:p>
            <w:pPr>
              <w:jc w:val="center"/>
              <w:ind w:right="370"/>
              <w:spacing w:after="0" w:line="202" w:lineRule="exact"/>
              <w:rPr>
                <w:sz w:val="20"/>
                <w:szCs w:val="20"/>
                <w:color w:val="auto"/>
              </w:rPr>
            </w:pPr>
            <w:r>
              <w:rPr>
                <w:rFonts w:ascii="Arial" w:cs="Arial" w:eastAsia="Arial" w:hAnsi="Arial"/>
                <w:sz w:val="18"/>
                <w:szCs w:val="18"/>
                <w:color w:val="auto"/>
              </w:rPr>
              <w:t>None</w:t>
            </w:r>
          </w:p>
        </w:tc>
      </w:tr>
      <w:tr>
        <w:trPr>
          <w:trHeight w:val="203"/>
        </w:trPr>
        <w:tc>
          <w:tcPr>
            <w:tcW w:w="4240" w:type="dxa"/>
            <w:vAlign w:val="bottom"/>
            <w:shd w:val="clear" w:color="auto" w:fill="CCFFFF"/>
          </w:tcPr>
          <w:p>
            <w:pPr>
              <w:jc w:val="center"/>
              <w:spacing w:after="0" w:line="202" w:lineRule="exact"/>
              <w:rPr>
                <w:sz w:val="20"/>
                <w:szCs w:val="20"/>
                <w:color w:val="auto"/>
              </w:rPr>
            </w:pPr>
            <w:r>
              <w:rPr>
                <w:rFonts w:ascii="Arial" w:cs="Arial" w:eastAsia="Arial" w:hAnsi="Arial"/>
                <w:sz w:val="18"/>
                <w:szCs w:val="18"/>
                <w:color w:val="auto"/>
                <w:w w:val="97"/>
              </w:rPr>
              <w:t>Target Corporation</w:t>
            </w:r>
          </w:p>
        </w:tc>
        <w:tc>
          <w:tcPr>
            <w:tcW w:w="4660" w:type="dxa"/>
            <w:vAlign w:val="bottom"/>
            <w:shd w:val="clear" w:color="auto" w:fill="CCFFFF"/>
          </w:tcPr>
          <w:p>
            <w:pPr>
              <w:spacing w:after="0"/>
              <w:rPr>
                <w:sz w:val="17"/>
                <w:szCs w:val="17"/>
                <w:color w:val="auto"/>
              </w:rPr>
            </w:pPr>
          </w:p>
        </w:tc>
      </w:tr>
      <w:tr>
        <w:trPr>
          <w:trHeight w:val="217"/>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color w:val="auto"/>
                <w:w w:val="99"/>
              </w:rPr>
              <w:t>Johnson &amp; Johnson</w:t>
            </w:r>
          </w:p>
        </w:tc>
        <w:tc>
          <w:tcPr>
            <w:tcW w:w="4660" w:type="dxa"/>
            <w:vAlign w:val="bottom"/>
            <w:shd w:val="clear" w:color="auto" w:fill="CCFFFF"/>
          </w:tcPr>
          <w:p>
            <w:pPr>
              <w:spacing w:after="0"/>
              <w:rPr>
                <w:sz w:val="18"/>
                <w:szCs w:val="18"/>
                <w:color w:val="auto"/>
              </w:rPr>
            </w:pPr>
          </w:p>
        </w:tc>
      </w:tr>
      <w:tr>
        <w:trPr>
          <w:trHeight w:val="243"/>
        </w:trPr>
        <w:tc>
          <w:tcPr>
            <w:tcW w:w="4240" w:type="dxa"/>
            <w:vAlign w:val="bottom"/>
            <w:shd w:val="clear" w:color="auto" w:fill="CCFFFF"/>
          </w:tcPr>
          <w:p>
            <w:pPr>
              <w:spacing w:after="0"/>
              <w:rPr>
                <w:sz w:val="21"/>
                <w:szCs w:val="21"/>
                <w:color w:val="auto"/>
              </w:rPr>
            </w:pPr>
          </w:p>
        </w:tc>
        <w:tc>
          <w:tcPr>
            <w:tcW w:w="4660" w:type="dxa"/>
            <w:vAlign w:val="bottom"/>
            <w:shd w:val="clear" w:color="auto" w:fill="CCFF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2">
            <w:col w:w="2120" w:space="180"/>
            <w:col w:w="9120"/>
          </w:cols>
          <w:pgMar w:left="240" w:top="436" w:right="239" w:bottom="486"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12 | </w:t>
      </w:r>
      <w:r>
        <w:rPr>
          <w:rFonts w:ascii="Arial" w:cs="Arial" w:eastAsia="Arial" w:hAnsi="Arial"/>
          <w:sz w:val="18"/>
          <w:szCs w:val="18"/>
          <w:b w:val="1"/>
          <w:bCs w:val="1"/>
          <w:color w:val="003B71"/>
        </w:rPr>
        <w:t>2017 Proxy Statement</w:t>
      </w:r>
    </w:p>
    <w:p>
      <w:pPr>
        <w:sectPr>
          <w:pgSz w:w="11900" w:h="16838" w:orient="portrait"/>
          <w:cols w:equalWidth="0" w:num="1">
            <w:col w:w="11420"/>
          </w:cols>
          <w:pgMar w:left="240" w:top="436" w:right="239" w:bottom="486" w:gutter="0" w:footer="0" w:header="0"/>
          <w:type w:val="continuous"/>
        </w:sectPr>
      </w:pPr>
    </w:p>
    <w:bookmarkStart w:id="18" w:name="page19"/>
    <w:bookmarkEnd w:id="18"/>
    <w:p>
      <w:pPr>
        <w:ind w:left="8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453390</wp:posOffset>
            </wp:positionV>
            <wp:extent cx="7246620" cy="3713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713480"/>
                    </a:xfrm>
                    <a:prstGeom prst="rect">
                      <a:avLst/>
                    </a:prstGeom>
                    <a:noFill/>
                  </pic:spPr>
                </pic:pic>
              </a:graphicData>
            </a:graphic>
          </wp:anchor>
        </w:drawing>
      </w:r>
    </w:p>
    <w:p>
      <w:pPr>
        <w:sectPr>
          <w:pgSz w:w="11900" w:h="16838" w:orient="portrait"/>
          <w:cols w:equalWidth="0" w:num="1">
            <w:col w:w="11380"/>
          </w:cols>
          <w:pgMar w:left="280" w:top="4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336699"/>
        </w:rPr>
        <w:t>James S. Putnam</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Age 62</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2005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BACKGROUND</w:t>
      </w:r>
    </w:p>
    <w:p>
      <w:pPr>
        <w:spacing w:after="0" w:line="200" w:lineRule="exact"/>
        <w:rPr>
          <w:sz w:val="20"/>
          <w:szCs w:val="20"/>
          <w:color w:val="auto"/>
        </w:rPr>
      </w:pPr>
    </w:p>
    <w:p>
      <w:pPr>
        <w:spacing w:after="0" w:line="221" w:lineRule="exact"/>
        <w:rPr>
          <w:sz w:val="20"/>
          <w:szCs w:val="20"/>
          <w:color w:val="auto"/>
        </w:rPr>
      </w:pPr>
    </w:p>
    <w:p>
      <w:pPr>
        <w:ind w:left="40" w:right="340"/>
        <w:spacing w:after="0" w:line="236" w:lineRule="auto"/>
        <w:rPr>
          <w:sz w:val="20"/>
          <w:szCs w:val="20"/>
          <w:color w:val="auto"/>
        </w:rPr>
      </w:pPr>
      <w:r>
        <w:rPr>
          <w:rFonts w:ascii="Arial" w:cs="Arial" w:eastAsia="Arial" w:hAnsi="Arial"/>
          <w:sz w:val="18"/>
          <w:szCs w:val="18"/>
          <w:color w:val="auto"/>
        </w:rPr>
        <w:t>Mr. Putnam has served as chair of the Board of Directors since March 2017 and served as our lead director from June 2016 until March 2017. Mr. Putnam has been the chief executive officer of Global Portfolio Advisors (“GPA”), formerly a global brokerage clearing services provider that sold substantially all of its operations in 2014, since September of 2004. Mr. Putnam has served on the board of directors of GPA since 1998. Prior to his tenure with GPA, Mr. Putnam was employed by LPL Financial beginning in 1983 where he held several positions, culminating in managing director of national sales, responsible for branch development, attraction, retention, and management of LPL Financial advisors. He was also responsible for marketing and all product sales. Mr. Putnam received a B.A. from Western Illinois University.</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QUALIFICATIONS</w:t>
      </w:r>
    </w:p>
    <w:p>
      <w:pPr>
        <w:spacing w:after="0" w:line="200" w:lineRule="exact"/>
        <w:rPr>
          <w:sz w:val="20"/>
          <w:szCs w:val="20"/>
          <w:color w:val="auto"/>
        </w:rPr>
      </w:pPr>
    </w:p>
    <w:p>
      <w:pPr>
        <w:spacing w:after="0" w:line="221" w:lineRule="exact"/>
        <w:rPr>
          <w:sz w:val="20"/>
          <w:szCs w:val="20"/>
          <w:color w:val="auto"/>
        </w:rPr>
      </w:pPr>
    </w:p>
    <w:p>
      <w:pPr>
        <w:ind w:left="40" w:right="420"/>
        <w:spacing w:after="0" w:line="261" w:lineRule="auto"/>
        <w:rPr>
          <w:sz w:val="20"/>
          <w:szCs w:val="20"/>
          <w:color w:val="auto"/>
        </w:rPr>
      </w:pPr>
      <w:r>
        <w:rPr>
          <w:rFonts w:ascii="Arial" w:cs="Arial" w:eastAsia="Arial" w:hAnsi="Arial"/>
          <w:sz w:val="17"/>
          <w:szCs w:val="17"/>
          <w:color w:val="auto"/>
        </w:rPr>
        <w:t>Mr. Putnam’s pertinent qualifications include his unique historical perspective and insights into our operations as our former managing director of national sales; operating, business and management experience as the chief executive officer at GPA; and expertise in the financial industry and deep familiarity with our advisors.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OTHER PUBLIC COMPANY BOARDS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240" w:type="dxa"/>
            <w:vAlign w:val="bottom"/>
            <w:shd w:val="clear" w:color="auto" w:fill="CCFFFF"/>
          </w:tcPr>
          <w:p>
            <w:pPr>
              <w:spacing w:after="0"/>
              <w:rPr>
                <w:sz w:val="11"/>
                <w:szCs w:val="11"/>
                <w:color w:val="auto"/>
              </w:rPr>
            </w:pPr>
          </w:p>
        </w:tc>
        <w:tc>
          <w:tcPr>
            <w:tcW w:w="4660" w:type="dxa"/>
            <w:vAlign w:val="bottom"/>
          </w:tcPr>
          <w:p>
            <w:pPr>
              <w:spacing w:after="0"/>
              <w:rPr>
                <w:sz w:val="11"/>
                <w:szCs w:val="11"/>
                <w:color w:val="auto"/>
              </w:rPr>
            </w:pPr>
          </w:p>
        </w:tc>
      </w:tr>
      <w:tr>
        <w:trPr>
          <w:trHeight w:val="297"/>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b w:val="1"/>
                <w:bCs w:val="1"/>
                <w:color w:val="auto"/>
                <w:w w:val="98"/>
              </w:rPr>
              <w:t>Current</w:t>
            </w:r>
          </w:p>
        </w:tc>
        <w:tc>
          <w:tcPr>
            <w:tcW w:w="4660" w:type="dxa"/>
            <w:vAlign w:val="bottom"/>
            <w:shd w:val="clear" w:color="auto" w:fill="CCFFFF"/>
          </w:tcPr>
          <w:p>
            <w:pPr>
              <w:jc w:val="center"/>
              <w:ind w:right="350"/>
              <w:spacing w:after="0"/>
              <w:rPr>
                <w:sz w:val="20"/>
                <w:szCs w:val="20"/>
                <w:color w:val="auto"/>
              </w:rPr>
            </w:pPr>
            <w:r>
              <w:rPr>
                <w:rFonts w:ascii="Arial" w:cs="Arial" w:eastAsia="Arial" w:hAnsi="Arial"/>
                <w:sz w:val="18"/>
                <w:szCs w:val="18"/>
                <w:b w:val="1"/>
                <w:bCs w:val="1"/>
                <w:color w:val="auto"/>
                <w:w w:val="98"/>
              </w:rPr>
              <w:t>Past 5 Years</w:t>
            </w:r>
          </w:p>
        </w:tc>
      </w:tr>
      <w:tr>
        <w:trPr>
          <w:trHeight w:val="311"/>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color w:val="auto"/>
              </w:rPr>
              <w:t>None</w:t>
            </w:r>
          </w:p>
        </w:tc>
        <w:tc>
          <w:tcPr>
            <w:tcW w:w="4660" w:type="dxa"/>
            <w:vAlign w:val="bottom"/>
            <w:shd w:val="clear" w:color="auto" w:fill="CCFFFF"/>
          </w:tcPr>
          <w:p>
            <w:pPr>
              <w:jc w:val="center"/>
              <w:ind w:right="370"/>
              <w:spacing w:after="0"/>
              <w:rPr>
                <w:sz w:val="20"/>
                <w:szCs w:val="20"/>
                <w:color w:val="auto"/>
              </w:rPr>
            </w:pPr>
            <w:r>
              <w:rPr>
                <w:rFonts w:ascii="Arial" w:cs="Arial" w:eastAsia="Arial" w:hAnsi="Arial"/>
                <w:sz w:val="18"/>
                <w:szCs w:val="18"/>
                <w:color w:val="auto"/>
              </w:rPr>
              <w:t>None</w:t>
            </w:r>
          </w:p>
        </w:tc>
      </w:tr>
      <w:tr>
        <w:trPr>
          <w:trHeight w:val="297"/>
        </w:trPr>
        <w:tc>
          <w:tcPr>
            <w:tcW w:w="4240" w:type="dxa"/>
            <w:vAlign w:val="bottom"/>
            <w:shd w:val="clear" w:color="auto" w:fill="CCFFFF"/>
          </w:tcPr>
          <w:p>
            <w:pPr>
              <w:spacing w:after="0"/>
              <w:rPr>
                <w:sz w:val="24"/>
                <w:szCs w:val="24"/>
                <w:color w:val="auto"/>
              </w:rPr>
            </w:pPr>
          </w:p>
        </w:tc>
        <w:tc>
          <w:tcPr>
            <w:tcW w:w="4660" w:type="dxa"/>
            <w:vAlign w:val="bottom"/>
            <w:shd w:val="clear" w:color="auto" w:fill="CCFF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154305</wp:posOffset>
            </wp:positionV>
            <wp:extent cx="7246620" cy="43053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05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680"/>
            <w:col w:w="9120"/>
          </w:cols>
          <w:pgMar w:left="280" w:top="436" w:right="239" w:bottom="1440" w:gutter="0" w:footer="0" w:header="0"/>
          <w:type w:val="continuous"/>
        </w:sectPr>
      </w:pPr>
    </w:p>
    <w:p>
      <w:pPr>
        <w:spacing w:after="0" w:line="39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336699"/>
        </w:rPr>
        <w:t>James S. Riepe</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Age 73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Compensation Committee</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BACKGROUND</w:t>
      </w:r>
    </w:p>
    <w:p>
      <w:pPr>
        <w:spacing w:after="0" w:line="200" w:lineRule="exact"/>
        <w:rPr>
          <w:sz w:val="20"/>
          <w:szCs w:val="20"/>
          <w:color w:val="auto"/>
        </w:rPr>
      </w:pPr>
    </w:p>
    <w:p>
      <w:pPr>
        <w:spacing w:after="0" w:line="221" w:lineRule="exact"/>
        <w:rPr>
          <w:sz w:val="20"/>
          <w:szCs w:val="20"/>
          <w:color w:val="auto"/>
        </w:rPr>
      </w:pPr>
    </w:p>
    <w:p>
      <w:pPr>
        <w:ind w:left="40" w:right="280"/>
        <w:spacing w:after="0" w:line="236" w:lineRule="auto"/>
        <w:rPr>
          <w:sz w:val="20"/>
          <w:szCs w:val="20"/>
          <w:color w:val="auto"/>
        </w:rPr>
      </w:pPr>
      <w:r>
        <w:rPr>
          <w:rFonts w:ascii="Arial" w:cs="Arial" w:eastAsia="Arial" w:hAnsi="Arial"/>
          <w:sz w:val="18"/>
          <w:szCs w:val="18"/>
          <w:color w:val="auto"/>
        </w:rPr>
        <w:t>Mr. Riepe served as our lead director from February 2014 to June 2016. Mr. Riepe is a senior advisor and retired vice chair of the board of directors of T. Rowe Price Group, Inc. (“TRP”), a global investment management firm, where he worked for nearly 25 years. Previously, he served on TRP’s management committee, oversaw TRP’s mutual fund activities and served as chair of the T. Rowe Price Mutual Funds. He served as chair of the board of governors of the Investment Company Institute and was a member of the board of governors of the National Association of Securities Dealers (now FINRA) and chaired its Investment Companies Committee. Mr. Riepe is a member of the board of directors of UTI Asset Management Company of India and the Baltimore Equitable Society. He also served as chair of the board of trustees of the University of Pennsylvania from which he earned a B.S. and an M.B.A.</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QUALIFICATIONS</w:t>
      </w:r>
    </w:p>
    <w:p>
      <w:pPr>
        <w:spacing w:after="0" w:line="200" w:lineRule="exact"/>
        <w:rPr>
          <w:sz w:val="20"/>
          <w:szCs w:val="20"/>
          <w:color w:val="auto"/>
        </w:rPr>
      </w:pPr>
    </w:p>
    <w:p>
      <w:pPr>
        <w:spacing w:after="0" w:line="221" w:lineRule="exact"/>
        <w:rPr>
          <w:sz w:val="20"/>
          <w:szCs w:val="20"/>
          <w:color w:val="auto"/>
        </w:rPr>
      </w:pPr>
    </w:p>
    <w:p>
      <w:pPr>
        <w:ind w:left="40" w:right="440"/>
        <w:spacing w:after="0" w:line="237" w:lineRule="auto"/>
        <w:rPr>
          <w:sz w:val="20"/>
          <w:szCs w:val="20"/>
          <w:color w:val="auto"/>
        </w:rPr>
      </w:pPr>
      <w:r>
        <w:rPr>
          <w:rFonts w:ascii="Arial" w:cs="Arial" w:eastAsia="Arial" w:hAnsi="Arial"/>
          <w:sz w:val="18"/>
          <w:szCs w:val="18"/>
          <w:color w:val="auto"/>
        </w:rPr>
        <w:t>Mr. Riepe’s pertinent qualifications include his high level of financial literacy and operating and management experience, gained through his executive management positions and role as vice chair of the board of directors of TRP; expertise in the financial industry, underscored by his over 35 years of experience in investment management and his prior roles as a member of the board of governors of FINRA and as chair of the board of governors of the Investment Company Institute; and knowledge and experience gained through service on the board of other public companies.</w:t>
      </w:r>
    </w:p>
    <w:p>
      <w:pPr>
        <w:spacing w:after="0" w:line="24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OTHER PUBLIC COMPANY BOARDS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240" w:type="dxa"/>
            <w:vAlign w:val="bottom"/>
            <w:shd w:val="clear" w:color="auto" w:fill="CCFFFF"/>
          </w:tcPr>
          <w:p>
            <w:pPr>
              <w:spacing w:after="0"/>
              <w:rPr>
                <w:sz w:val="11"/>
                <w:szCs w:val="11"/>
                <w:color w:val="auto"/>
              </w:rPr>
            </w:pPr>
          </w:p>
        </w:tc>
        <w:tc>
          <w:tcPr>
            <w:tcW w:w="4660" w:type="dxa"/>
            <w:vAlign w:val="bottom"/>
          </w:tcPr>
          <w:p>
            <w:pPr>
              <w:spacing w:after="0"/>
              <w:rPr>
                <w:sz w:val="11"/>
                <w:szCs w:val="11"/>
                <w:color w:val="auto"/>
              </w:rPr>
            </w:pPr>
          </w:p>
        </w:tc>
      </w:tr>
      <w:tr>
        <w:trPr>
          <w:trHeight w:val="297"/>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b w:val="1"/>
                <w:bCs w:val="1"/>
                <w:color w:val="auto"/>
                <w:w w:val="98"/>
              </w:rPr>
              <w:t>Current</w:t>
            </w:r>
          </w:p>
        </w:tc>
        <w:tc>
          <w:tcPr>
            <w:tcW w:w="4660" w:type="dxa"/>
            <w:vAlign w:val="bottom"/>
            <w:shd w:val="clear" w:color="auto" w:fill="CCFFFF"/>
          </w:tcPr>
          <w:p>
            <w:pPr>
              <w:jc w:val="center"/>
              <w:ind w:right="350"/>
              <w:spacing w:after="0"/>
              <w:rPr>
                <w:sz w:val="20"/>
                <w:szCs w:val="20"/>
                <w:color w:val="auto"/>
              </w:rPr>
            </w:pPr>
            <w:r>
              <w:rPr>
                <w:rFonts w:ascii="Arial" w:cs="Arial" w:eastAsia="Arial" w:hAnsi="Arial"/>
                <w:sz w:val="18"/>
                <w:szCs w:val="18"/>
                <w:b w:val="1"/>
                <w:bCs w:val="1"/>
                <w:color w:val="auto"/>
                <w:w w:val="98"/>
              </w:rPr>
              <w:t>Past 5 Years</w:t>
            </w:r>
          </w:p>
        </w:tc>
      </w:tr>
      <w:tr>
        <w:trPr>
          <w:trHeight w:val="311"/>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color w:val="auto"/>
                <w:w w:val="99"/>
              </w:rPr>
              <w:t>Genworth Financial Inc.</w:t>
            </w:r>
          </w:p>
        </w:tc>
        <w:tc>
          <w:tcPr>
            <w:tcW w:w="4660" w:type="dxa"/>
            <w:vAlign w:val="bottom"/>
            <w:shd w:val="clear" w:color="auto" w:fill="CCFFFF"/>
          </w:tcPr>
          <w:p>
            <w:pPr>
              <w:jc w:val="center"/>
              <w:ind w:right="370"/>
              <w:spacing w:after="0"/>
              <w:rPr>
                <w:sz w:val="20"/>
                <w:szCs w:val="20"/>
                <w:color w:val="auto"/>
              </w:rPr>
            </w:pPr>
            <w:r>
              <w:rPr>
                <w:rFonts w:ascii="Arial" w:cs="Arial" w:eastAsia="Arial" w:hAnsi="Arial"/>
                <w:sz w:val="18"/>
                <w:szCs w:val="18"/>
                <w:color w:val="auto"/>
                <w:w w:val="99"/>
              </w:rPr>
              <w:t>The NASDAQ OMX Group, Inc.</w:t>
            </w:r>
          </w:p>
        </w:tc>
      </w:tr>
      <w:tr>
        <w:trPr>
          <w:trHeight w:val="297"/>
        </w:trPr>
        <w:tc>
          <w:tcPr>
            <w:tcW w:w="4240" w:type="dxa"/>
            <w:vAlign w:val="bottom"/>
            <w:shd w:val="clear" w:color="auto" w:fill="CCFFFF"/>
          </w:tcPr>
          <w:p>
            <w:pPr>
              <w:spacing w:after="0"/>
              <w:rPr>
                <w:sz w:val="24"/>
                <w:szCs w:val="24"/>
                <w:color w:val="auto"/>
              </w:rPr>
            </w:pPr>
          </w:p>
        </w:tc>
        <w:tc>
          <w:tcPr>
            <w:tcW w:w="4660" w:type="dxa"/>
            <w:vAlign w:val="bottom"/>
            <w:shd w:val="clear" w:color="auto" w:fill="CCFFFF"/>
          </w:tcPr>
          <w:p>
            <w:pPr>
              <w:spacing w:after="0"/>
              <w:rPr>
                <w:sz w:val="24"/>
                <w:szCs w:val="24"/>
                <w:color w:val="auto"/>
              </w:rPr>
            </w:pPr>
          </w:p>
        </w:tc>
      </w:tr>
    </w:tbl>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13</w:t>
      </w:r>
    </w:p>
    <w:p>
      <w:pPr>
        <w:sectPr>
          <w:pgSz w:w="11900" w:h="16838" w:orient="portrait"/>
          <w:cols w:equalWidth="0" w:num="2">
            <w:col w:w="2080" w:space="180"/>
            <w:col w:w="9120"/>
          </w:cols>
          <w:pgMar w:left="280" w:top="436" w:right="239" w:bottom="1440" w:gutter="0" w:footer="0" w:header="0"/>
          <w:type w:val="continuous"/>
        </w:sectPr>
      </w:pPr>
    </w:p>
    <w:bookmarkStart w:id="19" w:name="page20"/>
    <w:bookmarkEnd w:id="19"/>
    <w:p>
      <w:pPr>
        <w:ind w:left="83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3841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841750"/>
                    </a:xfrm>
                    <a:prstGeom prst="rect">
                      <a:avLst/>
                    </a:prstGeom>
                    <a:noFill/>
                  </pic:spPr>
                </pic:pic>
              </a:graphicData>
            </a:graphic>
          </wp:anchor>
        </w:drawing>
      </w:r>
    </w:p>
    <w:p>
      <w:pPr>
        <w:sectPr>
          <w:pgSz w:w="11900" w:h="16838" w:orient="portrait"/>
          <w:cols w:equalWidth="0" w:num="1">
            <w:col w:w="11360"/>
          </w:cols>
          <w:pgMar w:left="240" w:top="43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9"/>
          <w:szCs w:val="19"/>
          <w:b w:val="1"/>
          <w:bCs w:val="1"/>
          <w:i w:val="1"/>
          <w:iCs w:val="1"/>
          <w:color w:val="336699"/>
        </w:rPr>
        <w:t>Richard P. Schifter</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Age 64</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 Since 2005</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Independent</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Committees</w:t>
      </w:r>
    </w:p>
    <w:p>
      <w:pPr>
        <w:spacing w:after="0" w:line="126" w:lineRule="exact"/>
        <w:rPr>
          <w:sz w:val="20"/>
          <w:szCs w:val="20"/>
          <w:color w:val="auto"/>
        </w:rPr>
      </w:pPr>
    </w:p>
    <w:p>
      <w:pPr>
        <w:ind w:left="40"/>
        <w:spacing w:after="0" w:line="275" w:lineRule="auto"/>
        <w:rPr>
          <w:sz w:val="20"/>
          <w:szCs w:val="20"/>
          <w:color w:val="auto"/>
        </w:rPr>
      </w:pPr>
      <w:r>
        <w:rPr>
          <w:rFonts w:ascii="Arial" w:cs="Arial" w:eastAsia="Arial" w:hAnsi="Arial"/>
          <w:sz w:val="17"/>
          <w:szCs w:val="17"/>
          <w:color w:val="auto"/>
        </w:rPr>
        <w:t>Nominating and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BACKGROUND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right="260"/>
        <w:spacing w:after="0" w:line="237" w:lineRule="auto"/>
        <w:rPr>
          <w:sz w:val="20"/>
          <w:szCs w:val="20"/>
          <w:color w:val="auto"/>
        </w:rPr>
      </w:pPr>
      <w:r>
        <w:rPr>
          <w:rFonts w:ascii="Arial" w:cs="Arial" w:eastAsia="Arial" w:hAnsi="Arial"/>
          <w:sz w:val="18"/>
          <w:szCs w:val="18"/>
          <w:color w:val="auto"/>
        </w:rPr>
        <w:t>Mr. Schifter is a senior advisor of TPG, a leading global private investment firm. He was a partner at TPG from 1994 through 2013. Prior to joining TPG, Mr. Schifter was a partner at the law firm of Arnold &amp; Porter in Washington, D.C., where he specialized in bankruptcy law and corporate restructuring. He joined Arnold &amp; Porter in 1979 and was a partner from 1986 through 1994. Mr. Schifter currently serves on the board of overseers of the University of Pennsylvania Law School. Mr. Schifter received a B.A. with distinction from George Washington University and a J.D. cum laude from the University of Pennsylvania Law School in 1978.</w:t>
      </w:r>
    </w:p>
    <w:p>
      <w:pPr>
        <w:spacing w:after="0" w:line="24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QUALIFICATIONS</w:t>
      </w:r>
    </w:p>
    <w:p>
      <w:pPr>
        <w:spacing w:after="0" w:line="200" w:lineRule="exact"/>
        <w:rPr>
          <w:sz w:val="20"/>
          <w:szCs w:val="20"/>
          <w:color w:val="auto"/>
        </w:rPr>
      </w:pPr>
    </w:p>
    <w:p>
      <w:pPr>
        <w:spacing w:after="0" w:line="221" w:lineRule="exact"/>
        <w:rPr>
          <w:sz w:val="20"/>
          <w:szCs w:val="20"/>
          <w:color w:val="auto"/>
        </w:rPr>
      </w:pPr>
    </w:p>
    <w:p>
      <w:pPr>
        <w:ind w:left="40" w:right="440"/>
        <w:spacing w:after="0"/>
        <w:rPr>
          <w:sz w:val="20"/>
          <w:szCs w:val="20"/>
          <w:color w:val="auto"/>
        </w:rPr>
      </w:pPr>
      <w:r>
        <w:rPr>
          <w:rFonts w:ascii="Arial" w:cs="Arial" w:eastAsia="Arial" w:hAnsi="Arial"/>
          <w:sz w:val="18"/>
          <w:szCs w:val="18"/>
          <w:color w:val="auto"/>
        </w:rPr>
        <w:t>Mr. Schifter’s pertinent qualifications include his high level of financial literacy gained through his investment experience as a TPG partner; experience on other company boards and board committees; and nearly 15 years of experience as a corporate attorney with an internationally-recognized law firm.</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OTHER PUBLIC COMPANY BOARDS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240" w:type="dxa"/>
            <w:vAlign w:val="bottom"/>
            <w:shd w:val="clear" w:color="auto" w:fill="CCFFFF"/>
          </w:tcPr>
          <w:p>
            <w:pPr>
              <w:spacing w:after="0"/>
              <w:rPr>
                <w:sz w:val="11"/>
                <w:szCs w:val="11"/>
                <w:color w:val="auto"/>
              </w:rPr>
            </w:pPr>
          </w:p>
        </w:tc>
        <w:tc>
          <w:tcPr>
            <w:tcW w:w="4660" w:type="dxa"/>
            <w:vAlign w:val="bottom"/>
          </w:tcPr>
          <w:p>
            <w:pPr>
              <w:spacing w:after="0"/>
              <w:rPr>
                <w:sz w:val="11"/>
                <w:szCs w:val="11"/>
                <w:color w:val="auto"/>
              </w:rPr>
            </w:pPr>
          </w:p>
        </w:tc>
      </w:tr>
      <w:tr>
        <w:trPr>
          <w:trHeight w:val="297"/>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b w:val="1"/>
                <w:bCs w:val="1"/>
                <w:color w:val="auto"/>
                <w:w w:val="98"/>
              </w:rPr>
              <w:t>Current</w:t>
            </w:r>
          </w:p>
        </w:tc>
        <w:tc>
          <w:tcPr>
            <w:tcW w:w="4660" w:type="dxa"/>
            <w:vAlign w:val="bottom"/>
            <w:shd w:val="clear" w:color="auto" w:fill="CCFFFF"/>
          </w:tcPr>
          <w:p>
            <w:pPr>
              <w:jc w:val="center"/>
              <w:ind w:right="350"/>
              <w:spacing w:after="0"/>
              <w:rPr>
                <w:sz w:val="20"/>
                <w:szCs w:val="20"/>
                <w:color w:val="auto"/>
              </w:rPr>
            </w:pPr>
            <w:r>
              <w:rPr>
                <w:rFonts w:ascii="Arial" w:cs="Arial" w:eastAsia="Arial" w:hAnsi="Arial"/>
                <w:sz w:val="18"/>
                <w:szCs w:val="18"/>
                <w:b w:val="1"/>
                <w:bCs w:val="1"/>
                <w:color w:val="auto"/>
                <w:w w:val="98"/>
              </w:rPr>
              <w:t>Past 5 Years</w:t>
            </w:r>
          </w:p>
        </w:tc>
      </w:tr>
      <w:tr>
        <w:trPr>
          <w:trHeight w:val="311"/>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color w:val="auto"/>
              </w:rPr>
              <w:t>American Airlines Group</w:t>
            </w:r>
          </w:p>
        </w:tc>
        <w:tc>
          <w:tcPr>
            <w:tcW w:w="4660" w:type="dxa"/>
            <w:vAlign w:val="bottom"/>
            <w:shd w:val="clear" w:color="auto" w:fill="CCFFFF"/>
          </w:tcPr>
          <w:p>
            <w:pPr>
              <w:jc w:val="center"/>
              <w:ind w:right="370"/>
              <w:spacing w:after="0"/>
              <w:rPr>
                <w:sz w:val="20"/>
                <w:szCs w:val="20"/>
                <w:color w:val="auto"/>
              </w:rPr>
            </w:pPr>
            <w:r>
              <w:rPr>
                <w:rFonts w:ascii="Arial" w:cs="Arial" w:eastAsia="Arial" w:hAnsi="Arial"/>
                <w:sz w:val="18"/>
                <w:szCs w:val="18"/>
                <w:color w:val="auto"/>
                <w:w w:val="99"/>
              </w:rPr>
              <w:t>Republic Airways Holdings, Inc.</w:t>
            </w:r>
          </w:p>
        </w:tc>
      </w:tr>
      <w:tr>
        <w:trPr>
          <w:trHeight w:val="311"/>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color w:val="auto"/>
                <w:w w:val="99"/>
              </w:rPr>
              <w:t>EverBank Financial Corp.</w:t>
            </w:r>
          </w:p>
        </w:tc>
        <w:tc>
          <w:tcPr>
            <w:tcW w:w="4660" w:type="dxa"/>
            <w:vAlign w:val="bottom"/>
            <w:shd w:val="clear" w:color="auto" w:fill="CCFFFF"/>
          </w:tcPr>
          <w:p>
            <w:pPr>
              <w:jc w:val="center"/>
              <w:ind w:right="370"/>
              <w:spacing w:after="0"/>
              <w:rPr>
                <w:sz w:val="20"/>
                <w:szCs w:val="20"/>
                <w:color w:val="auto"/>
              </w:rPr>
            </w:pPr>
            <w:r>
              <w:rPr>
                <w:rFonts w:ascii="Arial" w:cs="Arial" w:eastAsia="Arial" w:hAnsi="Arial"/>
                <w:sz w:val="18"/>
                <w:szCs w:val="18"/>
                <w:color w:val="auto"/>
              </w:rPr>
              <w:t>American Beacon Advisors, Inc.</w:t>
            </w:r>
          </w:p>
        </w:tc>
      </w:tr>
      <w:tr>
        <w:trPr>
          <w:trHeight w:val="297"/>
        </w:trPr>
        <w:tc>
          <w:tcPr>
            <w:tcW w:w="4240" w:type="dxa"/>
            <w:vAlign w:val="bottom"/>
            <w:shd w:val="clear" w:color="auto" w:fill="CCFFFF"/>
          </w:tcPr>
          <w:p>
            <w:pPr>
              <w:spacing w:after="0"/>
              <w:rPr>
                <w:sz w:val="24"/>
                <w:szCs w:val="24"/>
                <w:color w:val="auto"/>
              </w:rPr>
            </w:pPr>
          </w:p>
        </w:tc>
        <w:tc>
          <w:tcPr>
            <w:tcW w:w="4660" w:type="dxa"/>
            <w:vAlign w:val="bottom"/>
            <w:shd w:val="clear" w:color="auto" w:fill="CCFFFF"/>
          </w:tcPr>
          <w:p>
            <w:pPr>
              <w:spacing w:after="0"/>
              <w:rPr>
                <w:sz w:val="24"/>
                <w:szCs w:val="24"/>
                <w:color w:val="auto"/>
              </w:rPr>
            </w:pPr>
          </w:p>
        </w:tc>
      </w:tr>
    </w:tbl>
    <w:p>
      <w:pPr>
        <w:spacing w:after="0" w:line="107" w:lineRule="exact"/>
        <w:rPr>
          <w:sz w:val="20"/>
          <w:szCs w:val="20"/>
          <w:color w:val="auto"/>
        </w:rPr>
      </w:pPr>
    </w:p>
    <w:p>
      <w:pPr>
        <w:sectPr>
          <w:pgSz w:w="11900" w:h="16838" w:orient="portrait"/>
          <w:cols w:equalWidth="0" w:num="2">
            <w:col w:w="1940" w:space="360"/>
            <w:col w:w="9060"/>
          </w:cols>
          <w:pgMar w:left="240" w:top="436" w:right="299" w:bottom="1440" w:gutter="0" w:footer="0" w:header="0"/>
          <w:type w:val="continuous"/>
        </w:sectPr>
      </w:pPr>
    </w:p>
    <w:p>
      <w:pPr>
        <w:spacing w:after="0"/>
        <w:rPr>
          <w:sz w:val="20"/>
          <w:szCs w:val="20"/>
          <w:color w:val="auto"/>
        </w:rPr>
      </w:pPr>
      <w:r>
        <w:rPr>
          <w:rFonts w:ascii="Arial" w:cs="Arial" w:eastAsia="Arial" w:hAnsi="Arial"/>
          <w:sz w:val="18"/>
          <w:szCs w:val="18"/>
          <w:color w:val="auto"/>
        </w:rPr>
        <w:t>In the vote on the election of the director nominees, stockholders may:</w:t>
      </w:r>
    </w:p>
    <w:p>
      <w:pPr>
        <w:spacing w:after="0" w:line="10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2"/>
          <w:szCs w:val="22"/>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336699"/>
        </w:rPr>
        <w:t>FOR</w:t>
      </w:r>
      <w:r>
        <w:rPr>
          <w:rFonts w:ascii="Arial" w:cs="Arial" w:eastAsia="Arial" w:hAnsi="Arial"/>
          <w:sz w:val="18"/>
          <w:szCs w:val="18"/>
          <w:color w:val="auto"/>
        </w:rPr>
        <w:t xml:space="preserve"> any of the nominees;</w:t>
      </w:r>
    </w:p>
    <w:p>
      <w:pPr>
        <w:spacing w:after="0" w:line="23" w:lineRule="exact"/>
        <w:rPr>
          <w:rFonts w:ascii="Arial" w:cs="Arial" w:eastAsia="Arial" w:hAnsi="Arial"/>
          <w:sz w:val="22"/>
          <w:szCs w:val="22"/>
          <w:color w:val="auto"/>
        </w:rPr>
      </w:pPr>
    </w:p>
    <w:p>
      <w:pPr>
        <w:ind w:left="340" w:hanging="332"/>
        <w:spacing w:after="0" w:line="221"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336699"/>
        </w:rPr>
        <w:t>AGAINST</w:t>
      </w:r>
      <w:r>
        <w:rPr>
          <w:rFonts w:ascii="Arial" w:cs="Arial" w:eastAsia="Arial" w:hAnsi="Arial"/>
          <w:sz w:val="18"/>
          <w:szCs w:val="18"/>
          <w:color w:val="auto"/>
        </w:rPr>
        <w:t xml:space="preserve"> any of the nominees; or</w:t>
      </w:r>
    </w:p>
    <w:p>
      <w:pPr>
        <w:spacing w:after="0" w:line="23" w:lineRule="exact"/>
        <w:rPr>
          <w:rFonts w:ascii="Arial" w:cs="Arial" w:eastAsia="Arial" w:hAnsi="Arial"/>
          <w:sz w:val="22"/>
          <w:szCs w:val="22"/>
          <w:color w:val="auto"/>
        </w:rPr>
      </w:pPr>
    </w:p>
    <w:p>
      <w:pPr>
        <w:ind w:left="340" w:hanging="332"/>
        <w:spacing w:after="0" w:line="221"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18"/>
          <w:szCs w:val="18"/>
          <w:b w:val="1"/>
          <w:bCs w:val="1"/>
          <w:color w:val="336699"/>
        </w:rPr>
        <w:t xml:space="preserve">ABSTAIN </w:t>
      </w:r>
      <w:r>
        <w:rPr>
          <w:rFonts w:ascii="Arial" w:cs="Arial" w:eastAsia="Arial" w:hAnsi="Arial"/>
          <w:sz w:val="18"/>
          <w:szCs w:val="18"/>
          <w:color w:val="000000"/>
        </w:rPr>
        <w:t>from voting as to any of the nominees.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336699"/>
        </w:rPr>
        <w:t>THE BOARD OF DIRECTORS RECOMMENDS A VOTE “FOR” THE ELECTION OF</w:t>
      </w:r>
    </w:p>
    <w:p>
      <w:pPr>
        <w:spacing w:after="0" w:line="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336699"/>
        </w:rPr>
        <w:t>EACH OF THE ABOVE-NAMED NOMINEES AS A DIRECTOR.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14 | </w:t>
      </w:r>
      <w:r>
        <w:rPr>
          <w:rFonts w:ascii="Arial" w:cs="Arial" w:eastAsia="Arial" w:hAnsi="Arial"/>
          <w:sz w:val="18"/>
          <w:szCs w:val="18"/>
          <w:b w:val="1"/>
          <w:bCs w:val="1"/>
          <w:color w:val="003B71"/>
        </w:rPr>
        <w:t>2017 Proxy Statement</w:t>
      </w:r>
    </w:p>
    <w:p>
      <w:pPr>
        <w:sectPr>
          <w:pgSz w:w="11900" w:h="16838" w:orient="portrait"/>
          <w:cols w:equalWidth="0" w:num="1">
            <w:col w:w="11360"/>
          </w:cols>
          <w:pgMar w:left="240" w:top="436" w:right="299" w:bottom="1440" w:gutter="0" w:footer="0" w:header="0"/>
          <w:type w:val="continuous"/>
        </w:sectPr>
      </w:pPr>
    </w:p>
    <w:bookmarkStart w:id="20" w:name="page21"/>
    <w:bookmarkEnd w:id="20"/>
    <w:p>
      <w:pPr>
        <w:jc w:val="right"/>
        <w:ind w:right="6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Information Regarding Board and Committee Structure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336699"/>
        </w:rPr>
        <w:t>Information Regarding Board and Committee Structure</w:t>
      </w:r>
    </w:p>
    <w:p>
      <w:pPr>
        <w:sectPr>
          <w:pgSz w:w="11900" w:h="16838" w:orient="portrait"/>
          <w:cols w:equalWidth="0" w:num="1">
            <w:col w:w="11420"/>
          </w:cols>
          <w:pgMar w:left="240" w:top="436" w:right="239" w:bottom="1440" w:gutter="0" w:footer="0" w:header="0"/>
        </w:sectPr>
      </w:pPr>
    </w:p>
    <w:p>
      <w:pPr>
        <w:spacing w:after="0" w:line="19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During 2016, the Board of Directors held 14 meetings, of which nine were held by conference call. Each of our incumbent directors, other than Mr. Schifter, attended at least 75% of the aggregate of (i) the total number of meetings of the Board of Directors during 2016 and</w:t>
      </w:r>
    </w:p>
    <w:p>
      <w:pPr>
        <w:spacing w:after="0" w:line="2" w:lineRule="exact"/>
        <w:rPr>
          <w:sz w:val="20"/>
          <w:szCs w:val="20"/>
          <w:color w:val="auto"/>
        </w:rPr>
      </w:pPr>
    </w:p>
    <w:p>
      <w:pPr>
        <w:ind w:right="20" w:firstLine="8"/>
        <w:spacing w:after="0" w:line="251" w:lineRule="auto"/>
        <w:tabs>
          <w:tab w:leader="none" w:pos="25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total number of meetings held by all committees of the Board on which the director served during 2016. Mr. Schifter did not attend at least 75% of such meetings as a result of his recusal, at the Board’s request, from certain meetings during the year. Excluding these meetings, Mr. Schifter attended more than 75% of the aggregate total number of meetings of the Board of Directors and Board committees on which he served that were held in 2016. In light of the circumstances relating to Mr. Schifter’s meeting attendance in 2016, and the absence of any attendance issues in prior years, the Board does not have any concerns regarding Mr. Schifter’s future attendance at the Board and Board committee meetings.</w:t>
      </w:r>
    </w:p>
    <w:p>
      <w:pPr>
        <w:spacing w:after="0" w:line="21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Corporate Governance Guidelines provide that each director who is nominated for election is expected to attend the Annual Meeting. Eight out of the nine directors who served on the Board at the time of the 2016 annual meeting of stockholders attended such meeting.</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200"/>
        <w:spacing w:after="0" w:line="272" w:lineRule="auto"/>
        <w:rPr>
          <w:sz w:val="20"/>
          <w:szCs w:val="20"/>
          <w:color w:val="auto"/>
        </w:rPr>
      </w:pPr>
      <w:r>
        <w:rPr>
          <w:rFonts w:ascii="Arial" w:cs="Arial" w:eastAsia="Arial" w:hAnsi="Arial"/>
          <w:sz w:val="20"/>
          <w:szCs w:val="20"/>
          <w:b w:val="1"/>
          <w:bCs w:val="1"/>
          <w:color w:val="336699"/>
        </w:rPr>
        <w:t>Corporate Governance Guidelines, Committee Charters, and Code of Conduct</w:t>
      </w:r>
    </w:p>
    <w:p>
      <w:pPr>
        <w:spacing w:after="0" w:line="181" w:lineRule="exact"/>
        <w:rPr>
          <w:sz w:val="20"/>
          <w:szCs w:val="20"/>
          <w:color w:val="auto"/>
        </w:rPr>
      </w:pPr>
    </w:p>
    <w:p>
      <w:pPr>
        <w:jc w:val="both"/>
        <w:ind w:right="120"/>
        <w:spacing w:after="0" w:line="265" w:lineRule="auto"/>
        <w:rPr>
          <w:sz w:val="20"/>
          <w:szCs w:val="20"/>
          <w:color w:val="auto"/>
        </w:rPr>
      </w:pPr>
      <w:r>
        <w:rPr>
          <w:rFonts w:ascii="Arial" w:cs="Arial" w:eastAsia="Arial" w:hAnsi="Arial"/>
          <w:sz w:val="17"/>
          <w:szCs w:val="17"/>
          <w:color w:val="auto"/>
        </w:rPr>
        <w:t>We believe that good corporate governance is important to ensure that we are managed for the long-term benefit of our stockholders. Our Board of Directors has adopted a set of Corporate Governance Guidelines to set clear parameters for the operation of our Board.</w:t>
      </w:r>
    </w:p>
    <w:p>
      <w:pPr>
        <w:spacing w:after="0" w:line="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Our Board of Directors has also adopted charters for its audit committee (the “Audit Committee”), Nominating and Governance Committee, and Compensation Committee. We have adopted a Code of Conduct that applies to, among others, our principal executive officer, principal financial officer, and principal accounting officer or controller, or persons performing similar functions.</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Copies of our Annual Report, committee charters, Corporate Governance Guidelines, and Code of Conduct are available, free of charge, by writing to us at the following address: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36699"/>
        </w:rPr>
        <w:t>LPL Financial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36699"/>
        </w:rPr>
        <w:t>75 State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36699"/>
        </w:rPr>
        <w:t>Boston, MA 02109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36699"/>
        </w:rPr>
        <w:t>Attn: Investor Relations</w:t>
      </w:r>
    </w:p>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Annual Report, committee charters, Corporate Governance Guidelines, and Code of Conduct are also available on our website at www.lpl.com. If we make substantive amendments to, or grant waivers from, the Code of Conduct for certain of our executive officers, we will disclose the nature of such amendment or waiver on our website or in a current report on Form 8-K.</w:t>
      </w:r>
    </w:p>
    <w:p>
      <w:pPr>
        <w:spacing w:after="0" w:line="200" w:lineRule="exact"/>
        <w:rPr>
          <w:sz w:val="20"/>
          <w:szCs w:val="20"/>
          <w:color w:val="auto"/>
        </w:rPr>
      </w:pPr>
    </w:p>
    <w:p>
      <w:pPr>
        <w:sectPr>
          <w:pgSz w:w="11900" w:h="16838" w:orient="portrait"/>
          <w:cols w:equalWidth="0" w:num="2">
            <w:col w:w="5440" w:space="500"/>
            <w:col w:w="5480"/>
          </w:cols>
          <w:pgMar w:left="240" w:top="436" w:right="239" w:bottom="1440" w:gutter="0" w:footer="0" w:header="0"/>
          <w:type w:val="continuous"/>
        </w:sectPr>
      </w:pPr>
    </w:p>
    <w:p>
      <w:pPr>
        <w:spacing w:after="0" w:line="149"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15</w:t>
      </w:r>
    </w:p>
    <w:p>
      <w:pPr>
        <w:sectPr>
          <w:pgSz w:w="11900" w:h="16838" w:orient="portrait"/>
          <w:cols w:equalWidth="0" w:num="1">
            <w:col w:w="11420"/>
          </w:cols>
          <w:pgMar w:left="240" w:top="436" w:right="239" w:bottom="1440" w:gutter="0" w:footer="0" w:header="0"/>
          <w:type w:val="continuous"/>
        </w:sectPr>
      </w:pPr>
    </w:p>
    <w:bookmarkStart w:id="21" w:name="page22"/>
    <w:bookmarkEnd w:id="21"/>
    <w:p>
      <w:pPr>
        <w:jc w:val="right"/>
        <w:ind w:right="4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46620" cy="3841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84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336699"/>
        </w:rPr>
        <w:t>Corporate Governance Highlights</w:t>
      </w:r>
    </w:p>
    <w:p>
      <w:pPr>
        <w:spacing w:after="0" w:line="310" w:lineRule="exact"/>
        <w:rPr>
          <w:sz w:val="20"/>
          <w:szCs w:val="20"/>
          <w:color w:val="auto"/>
        </w:rPr>
      </w:pPr>
    </w:p>
    <w:p>
      <w:pPr>
        <w:ind w:left="260" w:right="660"/>
        <w:spacing w:after="0" w:line="246" w:lineRule="auto"/>
        <w:rPr>
          <w:sz w:val="20"/>
          <w:szCs w:val="20"/>
          <w:color w:val="auto"/>
        </w:rPr>
      </w:pPr>
      <w:r>
        <w:rPr>
          <w:rFonts w:ascii="Arial" w:cs="Arial" w:eastAsia="Arial" w:hAnsi="Arial"/>
          <w:sz w:val="18"/>
          <w:szCs w:val="18"/>
          <w:color w:val="auto"/>
        </w:rPr>
        <w:t>In the course of our regular review of our corporate governance policies and compensation practices, we have implemented several important measures that are designed to promote long-term shareholder value:</w:t>
      </w:r>
    </w:p>
    <w:p>
      <w:pPr>
        <w:sectPr>
          <w:pgSz w:w="11900" w:h="16838" w:orient="portrait"/>
          <w:cols w:equalWidth="0" w:num="1">
            <w:col w:w="11400"/>
          </w:cols>
          <w:pgMar w:left="240" w:top="436" w:right="259" w:bottom="1440" w:gutter="0" w:footer="0" w:header="0"/>
        </w:sectPr>
      </w:pPr>
    </w:p>
    <w:p>
      <w:pPr>
        <w:spacing w:after="0" w:line="87" w:lineRule="exact"/>
        <w:rPr>
          <w:sz w:val="20"/>
          <w:szCs w:val="20"/>
          <w:color w:val="auto"/>
        </w:rPr>
      </w:pPr>
    </w:p>
    <w:p>
      <w:pPr>
        <w:ind w:left="260"/>
        <w:spacing w:after="0"/>
        <w:rPr>
          <w:sz w:val="20"/>
          <w:szCs w:val="20"/>
          <w:color w:val="auto"/>
        </w:rPr>
      </w:pPr>
      <w:r>
        <w:rPr>
          <w:rFonts w:ascii="Arial" w:cs="Arial" w:eastAsia="Arial" w:hAnsi="Arial"/>
          <w:sz w:val="7"/>
          <w:szCs w:val="7"/>
          <w:color w:val="auto"/>
        </w:rPr>
        <w:t>n</w:t>
      </w:r>
    </w:p>
    <w:p>
      <w:pPr>
        <w:spacing w:after="0" w:line="200" w:lineRule="exact"/>
        <w:rPr>
          <w:sz w:val="20"/>
          <w:szCs w:val="20"/>
          <w:color w:val="auto"/>
        </w:rPr>
      </w:pPr>
    </w:p>
    <w:p>
      <w:pPr>
        <w:spacing w:after="0" w:line="381" w:lineRule="exact"/>
        <w:rPr>
          <w:sz w:val="20"/>
          <w:szCs w:val="20"/>
          <w:color w:val="auto"/>
        </w:rPr>
      </w:pPr>
    </w:p>
    <w:p>
      <w:pPr>
        <w:ind w:left="260"/>
        <w:spacing w:after="0"/>
        <w:rPr>
          <w:sz w:val="20"/>
          <w:szCs w:val="20"/>
          <w:color w:val="auto"/>
        </w:rPr>
      </w:pPr>
      <w:r>
        <w:rPr>
          <w:rFonts w:ascii="Arial" w:cs="Arial" w:eastAsia="Arial" w:hAnsi="Arial"/>
          <w:sz w:val="7"/>
          <w:szCs w:val="7"/>
          <w:color w:val="auto"/>
        </w:rPr>
        <w:t>n</w:t>
      </w:r>
    </w:p>
    <w:p>
      <w:pPr>
        <w:spacing w:after="0" w:line="200" w:lineRule="exact"/>
        <w:rPr>
          <w:sz w:val="20"/>
          <w:szCs w:val="20"/>
          <w:color w:val="auto"/>
        </w:rPr>
      </w:pPr>
    </w:p>
    <w:p>
      <w:pPr>
        <w:spacing w:after="0" w:line="381" w:lineRule="exact"/>
        <w:rPr>
          <w:sz w:val="20"/>
          <w:szCs w:val="20"/>
          <w:color w:val="auto"/>
        </w:rPr>
      </w:pPr>
    </w:p>
    <w:p>
      <w:pPr>
        <w:ind w:left="260"/>
        <w:spacing w:after="0"/>
        <w:rPr>
          <w:sz w:val="20"/>
          <w:szCs w:val="20"/>
          <w:color w:val="auto"/>
        </w:rPr>
      </w:pPr>
      <w:r>
        <w:rPr>
          <w:rFonts w:ascii="Arial" w:cs="Arial" w:eastAsia="Arial" w:hAnsi="Arial"/>
          <w:sz w:val="7"/>
          <w:szCs w:val="7"/>
          <w:color w:val="auto"/>
        </w:rPr>
        <w:t>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60"/>
        <w:spacing w:after="0"/>
        <w:rPr>
          <w:sz w:val="20"/>
          <w:szCs w:val="20"/>
          <w:color w:val="auto"/>
        </w:rPr>
      </w:pPr>
      <w:r>
        <w:rPr>
          <w:rFonts w:ascii="Arial" w:cs="Arial" w:eastAsia="Arial" w:hAnsi="Arial"/>
          <w:sz w:val="7"/>
          <w:szCs w:val="7"/>
          <w:color w:val="auto"/>
        </w:rPr>
        <w:t>n</w:t>
      </w:r>
    </w:p>
    <w:p>
      <w:pPr>
        <w:spacing w:after="0" w:line="379" w:lineRule="exact"/>
        <w:rPr>
          <w:sz w:val="20"/>
          <w:szCs w:val="20"/>
          <w:color w:val="auto"/>
        </w:rPr>
      </w:pPr>
    </w:p>
    <w:p>
      <w:pPr>
        <w:ind w:left="260"/>
        <w:spacing w:after="0"/>
        <w:rPr>
          <w:sz w:val="20"/>
          <w:szCs w:val="20"/>
          <w:color w:val="auto"/>
        </w:rPr>
      </w:pPr>
      <w:r>
        <w:rPr>
          <w:rFonts w:ascii="Arial" w:cs="Arial" w:eastAsia="Arial" w:hAnsi="Arial"/>
          <w:sz w:val="7"/>
          <w:szCs w:val="7"/>
          <w:color w:val="auto"/>
        </w:rPr>
        <w:t>n</w:t>
      </w:r>
    </w:p>
    <w:p>
      <w:pPr>
        <w:spacing w:after="0" w:line="200" w:lineRule="exact"/>
        <w:rPr>
          <w:sz w:val="20"/>
          <w:szCs w:val="20"/>
          <w:color w:val="auto"/>
        </w:rPr>
      </w:pPr>
    </w:p>
    <w:p>
      <w:pPr>
        <w:spacing w:after="0" w:line="381" w:lineRule="exact"/>
        <w:rPr>
          <w:sz w:val="20"/>
          <w:szCs w:val="20"/>
          <w:color w:val="auto"/>
        </w:rPr>
      </w:pPr>
    </w:p>
    <w:p>
      <w:pPr>
        <w:ind w:left="260"/>
        <w:spacing w:after="0"/>
        <w:rPr>
          <w:sz w:val="20"/>
          <w:szCs w:val="20"/>
          <w:color w:val="auto"/>
        </w:rPr>
      </w:pPr>
      <w:r>
        <w:rPr>
          <w:rFonts w:ascii="Arial" w:cs="Arial" w:eastAsia="Arial" w:hAnsi="Arial"/>
          <w:sz w:val="7"/>
          <w:szCs w:val="7"/>
          <w:color w:val="auto"/>
        </w:rPr>
        <w:t>n</w:t>
      </w:r>
    </w:p>
    <w:p>
      <w:pPr>
        <w:spacing w:after="0" w:line="200" w:lineRule="exact"/>
        <w:rPr>
          <w:sz w:val="20"/>
          <w:szCs w:val="20"/>
          <w:color w:val="auto"/>
        </w:rPr>
      </w:pPr>
    </w:p>
    <w:p>
      <w:pPr>
        <w:spacing w:after="0" w:line="381" w:lineRule="exact"/>
        <w:rPr>
          <w:sz w:val="20"/>
          <w:szCs w:val="20"/>
          <w:color w:val="auto"/>
        </w:rPr>
      </w:pPr>
    </w:p>
    <w:p>
      <w:pPr>
        <w:ind w:left="260"/>
        <w:spacing w:after="0"/>
        <w:rPr>
          <w:sz w:val="20"/>
          <w:szCs w:val="20"/>
          <w:color w:val="auto"/>
        </w:rPr>
      </w:pPr>
      <w:r>
        <w:rPr>
          <w:rFonts w:ascii="Arial" w:cs="Arial" w:eastAsia="Arial" w:hAnsi="Arial"/>
          <w:sz w:val="7"/>
          <w:szCs w:val="7"/>
          <w:color w:val="auto"/>
        </w:rPr>
        <w:t>n</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ind w:right="340"/>
        <w:spacing w:after="0"/>
        <w:rPr>
          <w:sz w:val="20"/>
          <w:szCs w:val="20"/>
          <w:color w:val="auto"/>
        </w:rPr>
      </w:pPr>
      <w:r>
        <w:rPr>
          <w:rFonts w:ascii="Arial" w:cs="Arial" w:eastAsia="Arial" w:hAnsi="Arial"/>
          <w:sz w:val="18"/>
          <w:szCs w:val="18"/>
          <w:color w:val="auto"/>
        </w:rPr>
        <w:t>Our Board consists of a single class of directors elected on an annual basis who may be removed with or without cause. Accordingly, our stockholders are able to register their views on the performance of all directors on an annual basis, enhancing the accountability of our Board to our stockholders.</w:t>
      </w:r>
    </w:p>
    <w:p>
      <w:pPr>
        <w:spacing w:after="0" w:line="41"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We currently separate the offices of the chair of the Board and chief executive officer of the Company, although the Board maintains the flexibility to select the chair of the Board and its leadership structure, from time to time, based on the criteria that it deems to be in the best interests of the Company and its stockholders.</w:t>
      </w:r>
    </w:p>
    <w:p>
      <w:pPr>
        <w:spacing w:after="0" w:line="41"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Our bylaws provide for a majority voting standard in uncontested director elections. We also have adopted a director resignation policy in our Corporate Governance Guidelines pursuant to which a director who does not receive support from holders of a majority of shares voted in an uncontested election must tender his or her resignation and, if our Board accepts the resignation, step down from our Board. This makes director elections more meaningful for our stockholders and promotes accountability.</w:t>
      </w:r>
    </w:p>
    <w:p>
      <w:pPr>
        <w:spacing w:after="0" w:line="40" w:lineRule="exact"/>
        <w:rPr>
          <w:sz w:val="20"/>
          <w:szCs w:val="20"/>
          <w:color w:val="auto"/>
        </w:rPr>
      </w:pPr>
    </w:p>
    <w:p>
      <w:pPr>
        <w:ind w:right="860"/>
        <w:spacing w:after="0" w:line="246" w:lineRule="auto"/>
        <w:rPr>
          <w:sz w:val="20"/>
          <w:szCs w:val="20"/>
          <w:color w:val="auto"/>
        </w:rPr>
      </w:pPr>
      <w:r>
        <w:rPr>
          <w:rFonts w:ascii="Arial" w:cs="Arial" w:eastAsia="Arial" w:hAnsi="Arial"/>
          <w:sz w:val="18"/>
          <w:szCs w:val="18"/>
          <w:color w:val="auto"/>
        </w:rPr>
        <w:t>We seek an advisory vote on our compensation practices annually, which underscores the careful consideration we give to our stockholders’ views on our compensation practices.</w:t>
      </w:r>
    </w:p>
    <w:p>
      <w:pPr>
        <w:spacing w:after="0" w:line="35" w:lineRule="exact"/>
        <w:rPr>
          <w:sz w:val="20"/>
          <w:szCs w:val="20"/>
          <w:color w:val="auto"/>
        </w:rPr>
      </w:pPr>
    </w:p>
    <w:p>
      <w:pPr>
        <w:jc w:val="both"/>
        <w:ind w:right="580"/>
        <w:spacing w:after="0"/>
        <w:rPr>
          <w:sz w:val="20"/>
          <w:szCs w:val="20"/>
          <w:color w:val="auto"/>
        </w:rPr>
      </w:pPr>
      <w:r>
        <w:rPr>
          <w:rFonts w:ascii="Arial" w:cs="Arial" w:eastAsia="Arial" w:hAnsi="Arial"/>
          <w:sz w:val="18"/>
          <w:szCs w:val="18"/>
          <w:color w:val="auto"/>
        </w:rPr>
        <w:t>We have established a compensation claw-back policy that provides for the recoupment of incentive compensation in the event of certain financial restatements and stock ownership guidelines for executive officers that set minimum ownership requirements at a multiple of base salary.</w:t>
      </w:r>
    </w:p>
    <w:p>
      <w:pPr>
        <w:spacing w:after="0" w:line="41"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We have adopted robust stock ownership guidelines for directors, which provide that within five years of the date of his or her election to the Board, each non-employee director must maintain ownership of shares of Common Stock equal to five times the cash portion of the annual base retainer then in effect for our non-employee directors.</w:t>
      </w:r>
    </w:p>
    <w:p>
      <w:pPr>
        <w:spacing w:after="0" w:line="41"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Our Insider Trading Policy prohibits our executives from pledging and hedging our Common Stock, in order to further the alignment between stockholders and our executives that our equity awards are designed to create.</w:t>
      </w:r>
    </w:p>
    <w:p>
      <w:pPr>
        <w:spacing w:after="0" w:line="200" w:lineRule="exact"/>
        <w:rPr>
          <w:sz w:val="20"/>
          <w:szCs w:val="20"/>
          <w:color w:val="auto"/>
        </w:rPr>
      </w:pPr>
    </w:p>
    <w:p>
      <w:pPr>
        <w:sectPr>
          <w:pgSz w:w="11900" w:h="16838" w:orient="portrait"/>
          <w:cols w:equalWidth="0" w:num="2">
            <w:col w:w="300" w:space="200"/>
            <w:col w:w="10900"/>
          </w:cols>
          <w:pgMar w:left="240" w:top="436" w:right="25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Director Independence</w:t>
      </w:r>
    </w:p>
    <w:p>
      <w:pPr>
        <w:spacing w:after="0" w:line="24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listing standards of The NASDAQ Global Select Market (“NASDAQ”) require that, subject to specified exceptions, each member of a listed company’s audit, nominating and governance, and compensation and human resources committees be independent. Rule 5605(a)(2) of the listing rules of NASDAQ further provides that a director will only qualify as an “independent director” if, in the opinion of that company’s board of directors, that person does not have a relationship that would interfere with the exercise of independent judgment in carrying out the responsibilities of a director. Audit committee members must also satisfy the independence criteria set forth in Rule 10A-3 under the Securities Exchange Act of 1934, as amended (the “Exchange Act”), and compensation committee members are also subject to heightened independence criteria under NASDAQ rules.</w:t>
      </w:r>
    </w:p>
    <w:p>
      <w:pPr>
        <w:spacing w:after="0" w:line="10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After its evaluation of director independence, the Board of Directors has affirmatively determined that Messrs. Brennan, Dinh, Hellman, Putnam, Riepe, and Schifter and Mses. Eberhart and Mulcahy are independent directors under the applicable rules of NASDAQ, and Mr. Glavin will qualify as an independent director if elected. Messrs. Brennan,</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Putnam, and Riepe and Ms. Eberhart are independent directors as such term is defined in Rule 10A-3(b)(1) under the Exchange Act, and Messrs. Brennan and Riepe and Ms. Mulcahy are independent under the heightened criteria applicable to compensation committee members. In accordance with listing standards of NASDAQ, a majority of our directors are independent.</w:t>
      </w:r>
    </w:p>
    <w:p>
      <w:pPr>
        <w:spacing w:after="0" w:line="74" w:lineRule="exact"/>
        <w:rPr>
          <w:sz w:val="20"/>
          <w:szCs w:val="20"/>
          <w:color w:val="auto"/>
        </w:rPr>
      </w:pPr>
    </w:p>
    <w:p>
      <w:pPr>
        <w:ind w:right="580"/>
        <w:spacing w:after="0" w:line="272" w:lineRule="auto"/>
        <w:rPr>
          <w:sz w:val="20"/>
          <w:szCs w:val="20"/>
          <w:color w:val="auto"/>
        </w:rPr>
      </w:pPr>
      <w:r>
        <w:rPr>
          <w:rFonts w:ascii="Arial" w:cs="Arial" w:eastAsia="Arial" w:hAnsi="Arial"/>
          <w:sz w:val="20"/>
          <w:szCs w:val="20"/>
          <w:b w:val="1"/>
          <w:bCs w:val="1"/>
          <w:color w:val="336699"/>
        </w:rPr>
        <w:t>Board Composition and Leadership Structure of the Board of Directors</w:t>
      </w:r>
    </w:p>
    <w:p>
      <w:pPr>
        <w:spacing w:after="0" w:line="18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business and affairs are managed under the direction of the Board of Directors. As of April 11, 2017, our Board of Directors was composed of nine directors. Under our Amended and Restated Certificate of Incorporation, the number of directors shall not be fewer than three or more than 15. The authorized number of directors may be changed only by resolution of the Board of Directors.</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Board does not have a fixed policy regarding the separation of the offices of chair of the Board and chief executive officer and believes that it should maintain the flexibility to select the chair of the Board and its Board leadership structure, from time to time, based on the criteria that it deems to be in the best interests of the Company and its stockholders. At this</w:t>
      </w:r>
    </w:p>
    <w:p>
      <w:pPr>
        <w:spacing w:after="0" w:line="200" w:lineRule="exact"/>
        <w:rPr>
          <w:sz w:val="20"/>
          <w:szCs w:val="20"/>
          <w:color w:val="auto"/>
        </w:rPr>
      </w:pPr>
    </w:p>
    <w:p>
      <w:pPr>
        <w:sectPr>
          <w:pgSz w:w="11900" w:h="16838" w:orient="portrait"/>
          <w:cols w:equalWidth="0" w:num="2">
            <w:col w:w="5440" w:space="500"/>
            <w:col w:w="5460"/>
          </w:cols>
          <w:pgMar w:left="240" w:top="436" w:right="259"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16 | </w:t>
      </w:r>
      <w:r>
        <w:rPr>
          <w:rFonts w:ascii="Arial" w:cs="Arial" w:eastAsia="Arial" w:hAnsi="Arial"/>
          <w:sz w:val="18"/>
          <w:szCs w:val="18"/>
          <w:b w:val="1"/>
          <w:bCs w:val="1"/>
          <w:color w:val="003B71"/>
        </w:rPr>
        <w:t>2017 Proxy Statement</w:t>
      </w:r>
    </w:p>
    <w:p>
      <w:pPr>
        <w:sectPr>
          <w:pgSz w:w="11900" w:h="16838" w:orient="portrait"/>
          <w:cols w:equalWidth="0" w:num="1">
            <w:col w:w="11400"/>
          </w:cols>
          <w:pgMar w:left="240" w:top="436" w:right="259" w:bottom="1440" w:gutter="0" w:footer="0" w:header="0"/>
          <w:type w:val="continuous"/>
        </w:sectPr>
      </w:pPr>
    </w:p>
    <w:bookmarkStart w:id="22" w:name="page23"/>
    <w:bookmarkEnd w:id="22"/>
    <w:p>
      <w:pPr>
        <w:ind w:left="62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Information Regarding Board and Committee Structure</w:t>
      </w:r>
    </w:p>
    <w:p>
      <w:pPr>
        <w:sectPr>
          <w:pgSz w:w="11900" w:h="16838" w:orient="portrait"/>
          <w:cols w:equalWidth="0" w:num="1">
            <w:col w:w="11420"/>
          </w:cols>
          <w:pgMar w:left="240" w:top="4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time, the offices of the chair of the Board and the chief executive officer are separated, with Mr. Putnam having succeeded Mr. Casady as chair effective upon Mr. Casady’s retirement on March 3, 2017. Prior to having appointed an independent chair, the Board of Directors had established the position of lead director, with responsibilities for performing many of the functions that an independent chair would perform for the Company. Mr. Riepe served as lead director from February 2014 to June 2016, and Mr. Putnam served as lead director from June 2016 until his appointment as non-executive chair on March 3, 2017.</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At this time, the Company believes that having a separate chief executive officer and chair allows Mr. Arnold to focus on his role as president and chief executive officer and increases the Board’s independence from management, leading to effective monitoring and oversight. As non-executive chair, Mr. Putnam serves as a key source of communication between the independent directors and the chief executive officer, establishes the agenda for each meeting of the Board and coordinates the agenda for and leads meetings of the independent directors.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Board Committees</w:t>
      </w:r>
    </w:p>
    <w:p>
      <w:pPr>
        <w:spacing w:after="0" w:line="24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current standing committees of the Board of Directors are the Audit Committee, the Nominating and Governance Committee, and the Compensation Committee, each with the composition and responsibilities described below. The members of each committee were recommended by the Nominating and Governance Committee, appointed by the Board of Directors, and will serve until their successors are elected and qualified, unless they are removed earlier or resign. In addition, from time to time, special committees may be established under the direction of the Board of Directors when necessary to address specific issues. Each of the standing committees of our Board is chaired by an independent director. Our Nominating and Governance Committee intends to reassess the composition of the standing committees of the Board in connection with the election of directors at the Annual Meeting.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Audit Committee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 is composed of the following members: John 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Brennan, H. Paulett Eberhart, James S. Putnam, and James 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Riepe. Mr. Brennan serves as the Chair of the Audit Committee.</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Each of our Audit Committee members is independent under the listing standards of NASDAQ and under Rule 10A-3 of the Exchange Act. None of our Audit Committee members is an employee of ours or any of our subsidiaries, nor simultaneously serves on the audit committees of more than three public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companies, including ours. All of our Audit Committee members meet the requirements for financial literacy and are able to read and understand fundamental financial statements, including the Company’s balance sheet, income statement, and cash flow statement. Our Board has affirmatively determined that Mr. Brennan and Ms. Eberhart qualify as audit committee financial experts under the applicable rules and regulations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123825</wp:posOffset>
            </wp:positionV>
            <wp:extent cx="3464560" cy="2332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64560" cy="2332355"/>
                    </a:xfrm>
                    <a:prstGeom prst="rect">
                      <a:avLst/>
                    </a:prstGeom>
                    <a:noFill/>
                  </pic:spPr>
                </pic:pic>
              </a:graphicData>
            </a:graphic>
          </wp:anchor>
        </w:drawing>
      </w:r>
    </w:p>
    <w:p>
      <w:pPr>
        <w:spacing w:after="0" w:line="390" w:lineRule="exact"/>
        <w:rPr>
          <w:sz w:val="20"/>
          <w:szCs w:val="20"/>
          <w:color w:val="auto"/>
        </w:rPr>
      </w:pPr>
    </w:p>
    <w:p>
      <w:pPr>
        <w:ind w:left="160" w:right="560"/>
        <w:spacing w:after="0" w:line="261" w:lineRule="auto"/>
        <w:rPr>
          <w:sz w:val="20"/>
          <w:szCs w:val="20"/>
          <w:color w:val="auto"/>
        </w:rPr>
      </w:pPr>
      <w:r>
        <w:rPr>
          <w:rFonts w:ascii="Arial" w:cs="Arial" w:eastAsia="Arial" w:hAnsi="Arial"/>
          <w:sz w:val="17"/>
          <w:szCs w:val="17"/>
          <w:color w:val="FFFFFF"/>
        </w:rPr>
        <w:t>Our Audit Committee is responsible for, among other things, appointing, overseeing, and replacing, if necessary, the independent auditor and assisting the Board in overseeing:</w:t>
      </w:r>
    </w:p>
    <w:p>
      <w:pPr>
        <w:spacing w:after="0" w:line="132" w:lineRule="exact"/>
        <w:rPr>
          <w:sz w:val="20"/>
          <w:szCs w:val="20"/>
          <w:color w:val="auto"/>
        </w:rPr>
      </w:pPr>
    </w:p>
    <w:p>
      <w:pPr>
        <w:ind w:left="420" w:hanging="269"/>
        <w:spacing w:after="0"/>
        <w:tabs>
          <w:tab w:leader="none" w:pos="420" w:val="left"/>
        </w:tabs>
        <w:numPr>
          <w:ilvl w:val="0"/>
          <w:numId w:val="8"/>
        </w:numPr>
        <w:rPr>
          <w:rFonts w:ascii="Arial" w:cs="Arial" w:eastAsia="Arial" w:hAnsi="Arial"/>
          <w:sz w:val="7"/>
          <w:szCs w:val="7"/>
          <w:color w:val="FFFFFF"/>
        </w:rPr>
      </w:pPr>
      <w:r>
        <w:rPr>
          <w:rFonts w:ascii="Arial" w:cs="Arial" w:eastAsia="Arial" w:hAnsi="Arial"/>
          <w:sz w:val="18"/>
          <w:szCs w:val="18"/>
          <w:color w:val="FFFFFF"/>
        </w:rPr>
        <w:t>the integrity of the Company’s financial statements;</w:t>
      </w:r>
    </w:p>
    <w:p>
      <w:pPr>
        <w:spacing w:after="0" w:line="157" w:lineRule="exact"/>
        <w:rPr>
          <w:rFonts w:ascii="Arial" w:cs="Arial" w:eastAsia="Arial" w:hAnsi="Arial"/>
          <w:sz w:val="7"/>
          <w:szCs w:val="7"/>
          <w:color w:val="FFFFFF"/>
        </w:rPr>
      </w:pPr>
    </w:p>
    <w:p>
      <w:pPr>
        <w:ind w:left="420" w:right="880" w:hanging="269"/>
        <w:spacing w:after="0" w:line="246" w:lineRule="auto"/>
        <w:tabs>
          <w:tab w:leader="none" w:pos="420" w:val="left"/>
        </w:tabs>
        <w:numPr>
          <w:ilvl w:val="0"/>
          <w:numId w:val="8"/>
        </w:numPr>
        <w:rPr>
          <w:rFonts w:ascii="Arial" w:cs="Arial" w:eastAsia="Arial" w:hAnsi="Arial"/>
          <w:sz w:val="7"/>
          <w:szCs w:val="7"/>
          <w:color w:val="FFFFFF"/>
        </w:rPr>
      </w:pPr>
      <w:r>
        <w:rPr>
          <w:rFonts w:ascii="Arial" w:cs="Arial" w:eastAsia="Arial" w:hAnsi="Arial"/>
          <w:sz w:val="18"/>
          <w:szCs w:val="18"/>
          <w:color w:val="FFFFFF"/>
        </w:rPr>
        <w:t>the integrity of the accounting and financial reporting processes of the Company;</w:t>
      </w:r>
    </w:p>
    <w:p>
      <w:pPr>
        <w:spacing w:after="0" w:line="142" w:lineRule="exact"/>
        <w:rPr>
          <w:rFonts w:ascii="Arial" w:cs="Arial" w:eastAsia="Arial" w:hAnsi="Arial"/>
          <w:sz w:val="7"/>
          <w:szCs w:val="7"/>
          <w:color w:val="FFFFFF"/>
        </w:rPr>
      </w:pPr>
    </w:p>
    <w:p>
      <w:pPr>
        <w:ind w:left="420" w:right="780" w:hanging="269"/>
        <w:spacing w:after="0" w:line="275" w:lineRule="auto"/>
        <w:tabs>
          <w:tab w:leader="none" w:pos="420" w:val="left"/>
        </w:tabs>
        <w:numPr>
          <w:ilvl w:val="0"/>
          <w:numId w:val="8"/>
        </w:numPr>
        <w:rPr>
          <w:rFonts w:ascii="Arial" w:cs="Arial" w:eastAsia="Arial" w:hAnsi="Arial"/>
          <w:sz w:val="7"/>
          <w:szCs w:val="7"/>
          <w:color w:val="FFFFFF"/>
        </w:rPr>
      </w:pPr>
      <w:r>
        <w:rPr>
          <w:rFonts w:ascii="Arial" w:cs="Arial" w:eastAsia="Arial" w:hAnsi="Arial"/>
          <w:sz w:val="17"/>
          <w:szCs w:val="17"/>
          <w:color w:val="FFFFFF"/>
        </w:rPr>
        <w:t>enterprise risk management, including the Company’s compliance with legal and regulatory requirements;</w:t>
      </w:r>
    </w:p>
    <w:p>
      <w:pPr>
        <w:spacing w:after="0" w:line="119" w:lineRule="exact"/>
        <w:rPr>
          <w:rFonts w:ascii="Arial" w:cs="Arial" w:eastAsia="Arial" w:hAnsi="Arial"/>
          <w:sz w:val="7"/>
          <w:szCs w:val="7"/>
          <w:color w:val="FFFFFF"/>
        </w:rPr>
      </w:pPr>
    </w:p>
    <w:p>
      <w:pPr>
        <w:ind w:left="420" w:right="640" w:hanging="269"/>
        <w:spacing w:after="0" w:line="246" w:lineRule="auto"/>
        <w:tabs>
          <w:tab w:leader="none" w:pos="420" w:val="left"/>
        </w:tabs>
        <w:numPr>
          <w:ilvl w:val="0"/>
          <w:numId w:val="8"/>
        </w:numPr>
        <w:rPr>
          <w:rFonts w:ascii="Arial" w:cs="Arial" w:eastAsia="Arial" w:hAnsi="Arial"/>
          <w:sz w:val="7"/>
          <w:szCs w:val="7"/>
          <w:color w:val="FFFFFF"/>
        </w:rPr>
      </w:pPr>
      <w:r>
        <w:rPr>
          <w:rFonts w:ascii="Arial" w:cs="Arial" w:eastAsia="Arial" w:hAnsi="Arial"/>
          <w:sz w:val="18"/>
          <w:szCs w:val="18"/>
          <w:color w:val="FFFFFF"/>
        </w:rPr>
        <w:t>the Company’s independent auditor’s qualifications and independence; and</w:t>
      </w:r>
    </w:p>
    <w:p>
      <w:pPr>
        <w:spacing w:after="0" w:line="142" w:lineRule="exact"/>
        <w:rPr>
          <w:rFonts w:ascii="Arial" w:cs="Arial" w:eastAsia="Arial" w:hAnsi="Arial"/>
          <w:sz w:val="7"/>
          <w:szCs w:val="7"/>
          <w:color w:val="FFFFFF"/>
        </w:rPr>
      </w:pPr>
    </w:p>
    <w:p>
      <w:pPr>
        <w:ind w:left="420" w:right="300" w:hanging="269"/>
        <w:spacing w:after="0" w:line="246" w:lineRule="auto"/>
        <w:tabs>
          <w:tab w:leader="none" w:pos="420" w:val="left"/>
        </w:tabs>
        <w:numPr>
          <w:ilvl w:val="0"/>
          <w:numId w:val="8"/>
        </w:numPr>
        <w:rPr>
          <w:rFonts w:ascii="Arial" w:cs="Arial" w:eastAsia="Arial" w:hAnsi="Arial"/>
          <w:sz w:val="7"/>
          <w:szCs w:val="7"/>
          <w:color w:val="FFFFFF"/>
        </w:rPr>
      </w:pPr>
      <w:r>
        <w:rPr>
          <w:rFonts w:ascii="Arial" w:cs="Arial" w:eastAsia="Arial" w:hAnsi="Arial"/>
          <w:sz w:val="18"/>
          <w:szCs w:val="18"/>
          <w:color w:val="FFFFFF"/>
        </w:rPr>
        <w:t>the performance of the Company’s independent auditor and internal audit function.</w:t>
      </w:r>
    </w:p>
    <w:p>
      <w:pPr>
        <w:spacing w:after="0" w:line="200" w:lineRule="exact"/>
        <w:rPr>
          <w:sz w:val="20"/>
          <w:szCs w:val="20"/>
          <w:color w:val="auto"/>
        </w:rPr>
      </w:pPr>
    </w:p>
    <w:p>
      <w:pPr>
        <w:spacing w:after="0" w:line="21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Audit Committee reviews and discusses our annual and quarterly financial statements, our disclosures in the “Management’s Discussion and Analysis of Financial Condition and Results of Operations” in our annual and quarterly reports filed with the SEC, and our earnings announcements prior to their release. The Audit Committee also reviews matters related to the Company’s related party transaction policy, the operations of the Company’s Business Technology Services department and the Company’s whistle-blower policy. For additional information on the Audit Committee’s role in our enterprise risk management framework, please see “</w:t>
      </w:r>
      <w:r>
        <w:rPr>
          <w:rFonts w:ascii="Arial" w:cs="Arial" w:eastAsia="Arial" w:hAnsi="Arial"/>
          <w:sz w:val="18"/>
          <w:szCs w:val="18"/>
          <w:i w:val="1"/>
          <w:iCs w:val="1"/>
          <w:color w:val="auto"/>
        </w:rPr>
        <w:t>— Risk</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and Compensation Policies and Practices</w:t>
      </w:r>
      <w:r>
        <w:rPr>
          <w:rFonts w:ascii="Arial" w:cs="Arial" w:eastAsia="Arial" w:hAnsi="Arial"/>
          <w:sz w:val="18"/>
          <w:szCs w:val="18"/>
          <w:color w:val="auto"/>
        </w:rPr>
        <w:t>.”</w:t>
      </w:r>
    </w:p>
    <w:p>
      <w:pPr>
        <w:spacing w:after="0" w:line="21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Audit Committee has authority under its charter to obtain advice and assistance from outside legal counsel, accounting, or other outside advisors as deemed appropriate to perform its duties and responsibilities.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 met eight times during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17</w:t>
      </w:r>
    </w:p>
    <w:p>
      <w:pPr>
        <w:sectPr>
          <w:pgSz w:w="11900" w:h="16838" w:orient="portrait"/>
          <w:cols w:equalWidth="0" w:num="2">
            <w:col w:w="5480" w:space="460"/>
            <w:col w:w="5480"/>
          </w:cols>
          <w:pgMar w:left="240" w:top="436" w:right="239" w:bottom="1440" w:gutter="0" w:footer="0" w:header="0"/>
          <w:type w:val="continuous"/>
        </w:sectPr>
      </w:pPr>
    </w:p>
    <w:bookmarkStart w:id="23" w:name="page24"/>
    <w:bookmarkEnd w:id="23"/>
    <w:p>
      <w:pPr>
        <w:ind w:left="62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Information Regarding Board and Committee Structure</w:t>
      </w:r>
    </w:p>
    <w:p>
      <w:pPr>
        <w:sectPr>
          <w:pgSz w:w="11900" w:h="16838" w:orient="portrait"/>
          <w:cols w:equalWidth="0" w:num="1">
            <w:col w:w="11380"/>
          </w:cols>
          <w:pgMar w:left="240" w:top="436" w:right="27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Nominating and Governance Committee</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Nominating and Governance Committee is composed of the following members: John J. Brennan, Viet D. Dinh, Anne M. Mulcahy, and Richard P. Schifter. Mr. Dinh serves as chair of the Nominating and Governance Committee, which recommended individuals for election as directors of the Company at the Annual Meeting. Each member of our Nominating and Governance Committee is independent under the listing standards of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3464560" cy="22383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64560" cy="2238375"/>
                    </a:xfrm>
                    <a:prstGeom prst="rect">
                      <a:avLst/>
                    </a:prstGeom>
                    <a:noFill/>
                  </pic:spPr>
                </pic:pic>
              </a:graphicData>
            </a:graphic>
          </wp:anchor>
        </w:drawing>
      </w:r>
    </w:p>
    <w:p>
      <w:pPr>
        <w:spacing w:after="0" w:line="376" w:lineRule="exact"/>
        <w:rPr>
          <w:sz w:val="20"/>
          <w:szCs w:val="20"/>
          <w:color w:val="auto"/>
        </w:rPr>
      </w:pPr>
    </w:p>
    <w:p>
      <w:pPr>
        <w:ind w:left="160"/>
        <w:spacing w:after="0"/>
        <w:rPr>
          <w:sz w:val="20"/>
          <w:szCs w:val="20"/>
          <w:color w:val="auto"/>
        </w:rPr>
      </w:pPr>
      <w:r>
        <w:rPr>
          <w:rFonts w:ascii="Arial" w:cs="Arial" w:eastAsia="Arial" w:hAnsi="Arial"/>
          <w:sz w:val="18"/>
          <w:szCs w:val="18"/>
          <w:color w:val="FFFFFF"/>
        </w:rPr>
        <w:t>The Nominating and Governance Committee is responsible for:</w:t>
      </w:r>
    </w:p>
    <w:p>
      <w:pPr>
        <w:spacing w:after="0" w:line="158" w:lineRule="exact"/>
        <w:rPr>
          <w:sz w:val="20"/>
          <w:szCs w:val="20"/>
          <w:color w:val="auto"/>
        </w:rPr>
      </w:pPr>
    </w:p>
    <w:p>
      <w:pPr>
        <w:ind w:left="420" w:right="520" w:hanging="263"/>
        <w:spacing w:after="0" w:line="246" w:lineRule="auto"/>
        <w:tabs>
          <w:tab w:leader="none" w:pos="420" w:val="left"/>
        </w:tabs>
        <w:numPr>
          <w:ilvl w:val="0"/>
          <w:numId w:val="9"/>
        </w:numPr>
        <w:rPr>
          <w:rFonts w:ascii="Arial" w:cs="Arial" w:eastAsia="Arial" w:hAnsi="Arial"/>
          <w:sz w:val="7"/>
          <w:szCs w:val="7"/>
          <w:color w:val="FFFFFF"/>
        </w:rPr>
      </w:pPr>
      <w:r>
        <w:rPr>
          <w:rFonts w:ascii="Arial" w:cs="Arial" w:eastAsia="Arial" w:hAnsi="Arial"/>
          <w:sz w:val="18"/>
          <w:szCs w:val="18"/>
          <w:color w:val="FFFFFF"/>
        </w:rPr>
        <w:t>identifying, evaluating, and recruiting qualified persons to serve on our Board of Directors;</w:t>
      </w:r>
    </w:p>
    <w:p>
      <w:pPr>
        <w:spacing w:after="0" w:line="142" w:lineRule="exact"/>
        <w:rPr>
          <w:rFonts w:ascii="Arial" w:cs="Arial" w:eastAsia="Arial" w:hAnsi="Arial"/>
          <w:sz w:val="7"/>
          <w:szCs w:val="7"/>
          <w:color w:val="FFFFFF"/>
        </w:rPr>
      </w:pPr>
    </w:p>
    <w:p>
      <w:pPr>
        <w:ind w:left="420" w:right="740" w:hanging="263"/>
        <w:spacing w:after="0" w:line="246" w:lineRule="auto"/>
        <w:tabs>
          <w:tab w:leader="none" w:pos="420" w:val="left"/>
        </w:tabs>
        <w:numPr>
          <w:ilvl w:val="0"/>
          <w:numId w:val="9"/>
        </w:numPr>
        <w:rPr>
          <w:rFonts w:ascii="Arial" w:cs="Arial" w:eastAsia="Arial" w:hAnsi="Arial"/>
          <w:sz w:val="7"/>
          <w:szCs w:val="7"/>
          <w:color w:val="FFFFFF"/>
        </w:rPr>
      </w:pPr>
      <w:r>
        <w:rPr>
          <w:rFonts w:ascii="Arial" w:cs="Arial" w:eastAsia="Arial" w:hAnsi="Arial"/>
          <w:sz w:val="18"/>
          <w:szCs w:val="18"/>
          <w:color w:val="FFFFFF"/>
        </w:rPr>
        <w:t>selecting, or recommending to the Board for selection, nominees for election as directors;</w:t>
      </w:r>
    </w:p>
    <w:p>
      <w:pPr>
        <w:spacing w:after="0" w:line="142" w:lineRule="exact"/>
        <w:rPr>
          <w:rFonts w:ascii="Arial" w:cs="Arial" w:eastAsia="Arial" w:hAnsi="Arial"/>
          <w:sz w:val="7"/>
          <w:szCs w:val="7"/>
          <w:color w:val="FFFFFF"/>
        </w:rPr>
      </w:pPr>
    </w:p>
    <w:p>
      <w:pPr>
        <w:ind w:left="420" w:right="240" w:hanging="263"/>
        <w:spacing w:after="0" w:line="246" w:lineRule="auto"/>
        <w:tabs>
          <w:tab w:leader="none" w:pos="420" w:val="left"/>
        </w:tabs>
        <w:numPr>
          <w:ilvl w:val="0"/>
          <w:numId w:val="9"/>
        </w:numPr>
        <w:rPr>
          <w:rFonts w:ascii="Arial" w:cs="Arial" w:eastAsia="Arial" w:hAnsi="Arial"/>
          <w:sz w:val="7"/>
          <w:szCs w:val="7"/>
          <w:color w:val="FFFFFF"/>
        </w:rPr>
      </w:pPr>
      <w:r>
        <w:rPr>
          <w:rFonts w:ascii="Arial" w:cs="Arial" w:eastAsia="Arial" w:hAnsi="Arial"/>
          <w:sz w:val="18"/>
          <w:szCs w:val="18"/>
          <w:color w:val="FFFFFF"/>
        </w:rPr>
        <w:t>reviewing and recommending the composition of the Board’s standing committees;</w:t>
      </w:r>
    </w:p>
    <w:p>
      <w:pPr>
        <w:spacing w:after="0" w:line="142" w:lineRule="exact"/>
        <w:rPr>
          <w:rFonts w:ascii="Arial" w:cs="Arial" w:eastAsia="Arial" w:hAnsi="Arial"/>
          <w:sz w:val="7"/>
          <w:szCs w:val="7"/>
          <w:color w:val="FFFFFF"/>
        </w:rPr>
      </w:pPr>
    </w:p>
    <w:p>
      <w:pPr>
        <w:ind w:left="420" w:right="1040" w:hanging="263"/>
        <w:spacing w:after="0" w:line="246" w:lineRule="auto"/>
        <w:tabs>
          <w:tab w:leader="none" w:pos="420" w:val="left"/>
        </w:tabs>
        <w:numPr>
          <w:ilvl w:val="0"/>
          <w:numId w:val="9"/>
        </w:numPr>
        <w:rPr>
          <w:rFonts w:ascii="Arial" w:cs="Arial" w:eastAsia="Arial" w:hAnsi="Arial"/>
          <w:sz w:val="7"/>
          <w:szCs w:val="7"/>
          <w:color w:val="FFFFFF"/>
        </w:rPr>
      </w:pPr>
      <w:r>
        <w:rPr>
          <w:rFonts w:ascii="Arial" w:cs="Arial" w:eastAsia="Arial" w:hAnsi="Arial"/>
          <w:sz w:val="18"/>
          <w:szCs w:val="18"/>
          <w:color w:val="FFFFFF"/>
        </w:rPr>
        <w:t>reviewing and assessing the Company’s corporate governance guidelines; and</w:t>
      </w:r>
    </w:p>
    <w:p>
      <w:pPr>
        <w:spacing w:after="0" w:line="142" w:lineRule="exact"/>
        <w:rPr>
          <w:rFonts w:ascii="Arial" w:cs="Arial" w:eastAsia="Arial" w:hAnsi="Arial"/>
          <w:sz w:val="7"/>
          <w:szCs w:val="7"/>
          <w:color w:val="FFFFFF"/>
        </w:rPr>
      </w:pPr>
    </w:p>
    <w:p>
      <w:pPr>
        <w:ind w:left="420" w:right="1120" w:hanging="263"/>
        <w:spacing w:after="0" w:line="246" w:lineRule="auto"/>
        <w:tabs>
          <w:tab w:leader="none" w:pos="420" w:val="left"/>
        </w:tabs>
        <w:numPr>
          <w:ilvl w:val="0"/>
          <w:numId w:val="9"/>
        </w:numPr>
        <w:rPr>
          <w:rFonts w:ascii="Arial" w:cs="Arial" w:eastAsia="Arial" w:hAnsi="Arial"/>
          <w:sz w:val="7"/>
          <w:szCs w:val="7"/>
          <w:color w:val="FFFFFF"/>
        </w:rPr>
      </w:pPr>
      <w:r>
        <w:rPr>
          <w:rFonts w:ascii="Arial" w:cs="Arial" w:eastAsia="Arial" w:hAnsi="Arial"/>
          <w:sz w:val="18"/>
          <w:szCs w:val="18"/>
          <w:color w:val="FFFFFF"/>
        </w:rPr>
        <w:t>evaluating the performance, operations, size, and composition of our Board of Directors.</w:t>
      </w:r>
    </w:p>
    <w:p>
      <w:pPr>
        <w:spacing w:after="0" w:line="25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Nominating and Governance Committee has authority under its charter to engage such independent legal, accounting and other advisors as it deems necessary or appropriate to carry out its responsibilities. In 2016, Russell Reynolds Associates, a director search firm, assisted the Nominating and Governance Committee in identifying, evaluating, and recruiting potential director candidates.</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Nominating and Governance Committee met seven times during 2016. Our Board as a whole also considered the identification, recruitment and nomination of director candidates.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Compensation and Human Resources Committee</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Compensation and Human Resources Committee (“Compensation Committee”) is composed of the following members: John J. Brennan, Anne M. Mulcahy, and James S. Riepe. Ms. Mulcahy serves as the chair of the Compensation Committee. Each member of our Compensation Committee is independent under the listing standards of NASDAQ, including the heightened standards that apply to compensation committee members. The Compensation Committee is composed entirely of “outside directors” within the meaning of Section 162(m) of the Internal Revenue Code and “non-employee directors” within the meaning of Rule 16b-3 under the Exchange Act.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18 | </w:t>
      </w:r>
      <w:r>
        <w:rPr>
          <w:rFonts w:ascii="Arial" w:cs="Arial" w:eastAsia="Arial" w:hAnsi="Arial"/>
          <w:sz w:val="18"/>
          <w:szCs w:val="18"/>
          <w:b w:val="1"/>
          <w:bCs w:val="1"/>
          <w:color w:val="003B71"/>
        </w:rPr>
        <w:t>2017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60"/>
        <w:spacing w:after="0"/>
        <w:rPr>
          <w:sz w:val="20"/>
          <w:szCs w:val="20"/>
          <w:color w:val="auto"/>
        </w:rPr>
      </w:pPr>
      <w:r>
        <w:rPr>
          <w:rFonts w:ascii="Arial" w:cs="Arial" w:eastAsia="Arial" w:hAnsi="Arial"/>
          <w:sz w:val="18"/>
          <w:szCs w:val="18"/>
          <w:color w:val="FFFFFF"/>
        </w:rPr>
        <w:t>The Compensation Committee is responsible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3464560" cy="36017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64560" cy="3601720"/>
                    </a:xfrm>
                    <a:prstGeom prst="rect">
                      <a:avLst/>
                    </a:prstGeom>
                    <a:noFill/>
                  </pic:spPr>
                </pic:pic>
              </a:graphicData>
            </a:graphic>
          </wp:anchor>
        </w:drawing>
      </w:r>
    </w:p>
    <w:p>
      <w:pPr>
        <w:spacing w:after="0" w:line="138" w:lineRule="exact"/>
        <w:rPr>
          <w:sz w:val="20"/>
          <w:szCs w:val="20"/>
          <w:color w:val="auto"/>
        </w:rPr>
      </w:pPr>
    </w:p>
    <w:p>
      <w:pPr>
        <w:ind w:left="420" w:right="280" w:hanging="269"/>
        <w:spacing w:after="0" w:line="239" w:lineRule="auto"/>
        <w:tabs>
          <w:tab w:leader="none" w:pos="420" w:val="left"/>
        </w:tabs>
        <w:numPr>
          <w:ilvl w:val="0"/>
          <w:numId w:val="10"/>
        </w:numPr>
        <w:rPr>
          <w:rFonts w:ascii="Arial" w:cs="Arial" w:eastAsia="Arial" w:hAnsi="Arial"/>
          <w:sz w:val="7"/>
          <w:szCs w:val="7"/>
          <w:color w:val="FFFFFF"/>
        </w:rPr>
      </w:pPr>
      <w:r>
        <w:rPr>
          <w:rFonts w:ascii="Arial" w:cs="Arial" w:eastAsia="Arial" w:hAnsi="Arial"/>
          <w:sz w:val="18"/>
          <w:szCs w:val="18"/>
          <w:color w:val="FFFFFF"/>
        </w:rPr>
        <w:t>reviewing and approving goals and objectives relevant to executive officer compensation and evaluating the performance of executive officers in light of those goals and objectives;</w:t>
      </w:r>
    </w:p>
    <w:p>
      <w:pPr>
        <w:spacing w:after="0" w:line="147" w:lineRule="exact"/>
        <w:rPr>
          <w:rFonts w:ascii="Arial" w:cs="Arial" w:eastAsia="Arial" w:hAnsi="Arial"/>
          <w:sz w:val="7"/>
          <w:szCs w:val="7"/>
          <w:color w:val="FFFFFF"/>
        </w:rPr>
      </w:pPr>
    </w:p>
    <w:p>
      <w:pPr>
        <w:ind w:left="420" w:hanging="269"/>
        <w:spacing w:after="0"/>
        <w:tabs>
          <w:tab w:leader="none" w:pos="420" w:val="left"/>
        </w:tabs>
        <w:numPr>
          <w:ilvl w:val="0"/>
          <w:numId w:val="10"/>
        </w:numPr>
        <w:rPr>
          <w:rFonts w:ascii="Arial" w:cs="Arial" w:eastAsia="Arial" w:hAnsi="Arial"/>
          <w:sz w:val="7"/>
          <w:szCs w:val="7"/>
          <w:color w:val="FFFFFF"/>
        </w:rPr>
      </w:pPr>
      <w:r>
        <w:rPr>
          <w:rFonts w:ascii="Arial" w:cs="Arial" w:eastAsia="Arial" w:hAnsi="Arial"/>
          <w:sz w:val="18"/>
          <w:szCs w:val="18"/>
          <w:color w:val="FFFFFF"/>
        </w:rPr>
        <w:t>reviewing and approving executive officer compensation;</w:t>
      </w:r>
    </w:p>
    <w:p>
      <w:pPr>
        <w:spacing w:after="0" w:line="157" w:lineRule="exact"/>
        <w:rPr>
          <w:rFonts w:ascii="Arial" w:cs="Arial" w:eastAsia="Arial" w:hAnsi="Arial"/>
          <w:sz w:val="7"/>
          <w:szCs w:val="7"/>
          <w:color w:val="FFFFFF"/>
        </w:rPr>
      </w:pPr>
    </w:p>
    <w:p>
      <w:pPr>
        <w:ind w:left="420" w:right="340" w:hanging="269"/>
        <w:spacing w:after="0"/>
        <w:tabs>
          <w:tab w:leader="none" w:pos="420" w:val="left"/>
        </w:tabs>
        <w:numPr>
          <w:ilvl w:val="0"/>
          <w:numId w:val="10"/>
        </w:numPr>
        <w:rPr>
          <w:rFonts w:ascii="Arial" w:cs="Arial" w:eastAsia="Arial" w:hAnsi="Arial"/>
          <w:sz w:val="7"/>
          <w:szCs w:val="7"/>
          <w:color w:val="FFFFFF"/>
        </w:rPr>
      </w:pPr>
      <w:r>
        <w:rPr>
          <w:rFonts w:ascii="Arial" w:cs="Arial" w:eastAsia="Arial" w:hAnsi="Arial"/>
          <w:sz w:val="18"/>
          <w:szCs w:val="18"/>
          <w:color w:val="FFFFFF"/>
        </w:rPr>
        <w:t>reviewing and approving the chief executive officer’s compensation based upon the Compensation Committee’s evaluation of the chief executive officer’s performance;</w:t>
      </w:r>
    </w:p>
    <w:p>
      <w:pPr>
        <w:spacing w:after="0" w:line="148" w:lineRule="exact"/>
        <w:rPr>
          <w:rFonts w:ascii="Arial" w:cs="Arial" w:eastAsia="Arial" w:hAnsi="Arial"/>
          <w:sz w:val="7"/>
          <w:szCs w:val="7"/>
          <w:color w:val="FFFFFF"/>
        </w:rPr>
      </w:pPr>
    </w:p>
    <w:p>
      <w:pPr>
        <w:ind w:left="420" w:right="160" w:hanging="269"/>
        <w:spacing w:after="0" w:line="239" w:lineRule="auto"/>
        <w:tabs>
          <w:tab w:leader="none" w:pos="420" w:val="left"/>
        </w:tabs>
        <w:numPr>
          <w:ilvl w:val="0"/>
          <w:numId w:val="10"/>
        </w:numPr>
        <w:rPr>
          <w:rFonts w:ascii="Arial" w:cs="Arial" w:eastAsia="Arial" w:hAnsi="Arial"/>
          <w:sz w:val="7"/>
          <w:szCs w:val="7"/>
          <w:color w:val="FFFFFF"/>
        </w:rPr>
      </w:pPr>
      <w:r>
        <w:rPr>
          <w:rFonts w:ascii="Arial" w:cs="Arial" w:eastAsia="Arial" w:hAnsi="Arial"/>
          <w:sz w:val="18"/>
          <w:szCs w:val="18"/>
          <w:color w:val="FFFFFF"/>
        </w:rPr>
        <w:t>making recommendations to the Board regarding the adoption of new incentive compensation and equity-based plans, and administering our existing incentive compensation and equity-based plans;</w:t>
      </w:r>
    </w:p>
    <w:p>
      <w:pPr>
        <w:spacing w:after="0" w:line="147" w:lineRule="exact"/>
        <w:rPr>
          <w:rFonts w:ascii="Arial" w:cs="Arial" w:eastAsia="Arial" w:hAnsi="Arial"/>
          <w:sz w:val="7"/>
          <w:szCs w:val="7"/>
          <w:color w:val="FFFFFF"/>
        </w:rPr>
      </w:pPr>
    </w:p>
    <w:p>
      <w:pPr>
        <w:ind w:left="420" w:right="1120" w:hanging="269"/>
        <w:spacing w:after="0" w:line="246" w:lineRule="auto"/>
        <w:tabs>
          <w:tab w:leader="none" w:pos="420" w:val="left"/>
        </w:tabs>
        <w:numPr>
          <w:ilvl w:val="0"/>
          <w:numId w:val="10"/>
        </w:numPr>
        <w:rPr>
          <w:rFonts w:ascii="Arial" w:cs="Arial" w:eastAsia="Arial" w:hAnsi="Arial"/>
          <w:sz w:val="7"/>
          <w:szCs w:val="7"/>
          <w:color w:val="FFFFFF"/>
        </w:rPr>
      </w:pPr>
      <w:r>
        <w:rPr>
          <w:rFonts w:ascii="Arial" w:cs="Arial" w:eastAsia="Arial" w:hAnsi="Arial"/>
          <w:sz w:val="18"/>
          <w:szCs w:val="18"/>
          <w:color w:val="FFFFFF"/>
        </w:rPr>
        <w:t>making recommendations to the Board regarding compensation of our directors;</w:t>
      </w:r>
    </w:p>
    <w:p>
      <w:pPr>
        <w:spacing w:after="0" w:line="142" w:lineRule="exact"/>
        <w:rPr>
          <w:rFonts w:ascii="Arial" w:cs="Arial" w:eastAsia="Arial" w:hAnsi="Arial"/>
          <w:sz w:val="7"/>
          <w:szCs w:val="7"/>
          <w:color w:val="FFFFFF"/>
        </w:rPr>
      </w:pPr>
    </w:p>
    <w:p>
      <w:pPr>
        <w:ind w:left="420" w:right="140" w:hanging="269"/>
        <w:spacing w:after="0"/>
        <w:tabs>
          <w:tab w:leader="none" w:pos="420" w:val="left"/>
        </w:tabs>
        <w:numPr>
          <w:ilvl w:val="0"/>
          <w:numId w:val="10"/>
        </w:numPr>
        <w:rPr>
          <w:rFonts w:ascii="Arial" w:cs="Arial" w:eastAsia="Arial" w:hAnsi="Arial"/>
          <w:sz w:val="7"/>
          <w:szCs w:val="7"/>
          <w:color w:val="FFFFFF"/>
        </w:rPr>
      </w:pPr>
      <w:r>
        <w:rPr>
          <w:rFonts w:ascii="Arial" w:cs="Arial" w:eastAsia="Arial" w:hAnsi="Arial"/>
          <w:sz w:val="18"/>
          <w:szCs w:val="18"/>
          <w:color w:val="FFFFFF"/>
        </w:rPr>
        <w:t>reviewing and approving the general design and terms of any significant non-executive compensation and benefits plans; and</w:t>
      </w:r>
    </w:p>
    <w:p>
      <w:pPr>
        <w:spacing w:after="0" w:line="148" w:lineRule="exact"/>
        <w:rPr>
          <w:rFonts w:ascii="Arial" w:cs="Arial" w:eastAsia="Arial" w:hAnsi="Arial"/>
          <w:sz w:val="7"/>
          <w:szCs w:val="7"/>
          <w:color w:val="FFFFFF"/>
        </w:rPr>
      </w:pPr>
    </w:p>
    <w:p>
      <w:pPr>
        <w:ind w:left="420" w:right="280" w:hanging="269"/>
        <w:spacing w:after="0" w:line="246" w:lineRule="auto"/>
        <w:tabs>
          <w:tab w:leader="none" w:pos="420" w:val="left"/>
        </w:tabs>
        <w:numPr>
          <w:ilvl w:val="0"/>
          <w:numId w:val="10"/>
        </w:numPr>
        <w:rPr>
          <w:rFonts w:ascii="Arial" w:cs="Arial" w:eastAsia="Arial" w:hAnsi="Arial"/>
          <w:sz w:val="7"/>
          <w:szCs w:val="7"/>
          <w:color w:val="FFFFFF"/>
        </w:rPr>
      </w:pPr>
      <w:r>
        <w:rPr>
          <w:rFonts w:ascii="Arial" w:cs="Arial" w:eastAsia="Arial" w:hAnsi="Arial"/>
          <w:sz w:val="18"/>
          <w:szCs w:val="18"/>
          <w:color w:val="FFFFFF"/>
        </w:rPr>
        <w:t>reviewing our significant policies, practices, and procedures concerning human resource-related matters.</w:t>
      </w:r>
    </w:p>
    <w:p>
      <w:pPr>
        <w:spacing w:after="0" w:line="30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Compensation Committee has authority under its charter to access such internal and external resources, including retaining legal, financial, or other advisors, as the Compensation Committee deems necessary or appropriate to fulfill its responsibilities. In 2016, the Compensation Committee engaged an independent compensation consultant, Meridian Compensation Partners, LLC (the “Compensation Consultant”), to advise on compensation matters and provide experiential guidance on what is considered fair and competitive practice in our industry, primarily with respect to the compensation of our executive officers.</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Compensation Committee has the authority to delegate to subcommittees of the Compensation Committee any responsibilities of the full committee. The Compensation Committee may also delegate to a committee of one or more directors, or one or more of our executive officers, subject to certain restrictions, the power to grant stock options, restricted stock units, or other equity awards, and amend the terms of such awards, pursuant to our equity plans. References to the Compensation Committee in this proxy statement also refer to its subcommittees and its delegates, where applicable.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Committee met five times during 2016.</w:t>
      </w:r>
    </w:p>
    <w:p>
      <w:pPr>
        <w:sectPr>
          <w:pgSz w:w="11900" w:h="16838" w:orient="portrait"/>
          <w:cols w:equalWidth="0" w:num="2">
            <w:col w:w="5480" w:space="460"/>
            <w:col w:w="5440"/>
          </w:cols>
          <w:pgMar w:left="240" w:top="436" w:right="27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66"/>
        </w:trPr>
        <w:tc>
          <w:tcPr>
            <w:tcW w:w="40" w:type="dxa"/>
            <w:vAlign w:val="bottom"/>
          </w:tcPr>
          <w:p>
            <w:pPr>
              <w:spacing w:after="0"/>
              <w:rPr>
                <w:sz w:val="23"/>
                <w:szCs w:val="23"/>
                <w:color w:val="auto"/>
              </w:rPr>
            </w:pPr>
          </w:p>
        </w:tc>
        <w:tc>
          <w:tcPr>
            <w:tcW w:w="5680" w:type="dxa"/>
            <w:vAlign w:val="bottom"/>
            <w:tcBorders>
              <w:bottom w:val="single" w:sz="8" w:color="003B71"/>
            </w:tcBorders>
          </w:tcPr>
          <w:p>
            <w:pPr>
              <w:spacing w:after="0"/>
              <w:rPr>
                <w:sz w:val="23"/>
                <w:szCs w:val="23"/>
                <w:color w:val="auto"/>
              </w:rPr>
            </w:pPr>
          </w:p>
        </w:tc>
        <w:tc>
          <w:tcPr>
            <w:tcW w:w="5680" w:type="dxa"/>
            <w:vAlign w:val="bottom"/>
            <w:tcBorders>
              <w:bottom w:val="single" w:sz="8" w:color="003B71"/>
            </w:tcBorders>
          </w:tcPr>
          <w:p>
            <w:pPr>
              <w:ind w:left="480"/>
              <w:spacing w:after="0"/>
              <w:rPr>
                <w:sz w:val="20"/>
                <w:szCs w:val="20"/>
                <w:color w:val="auto"/>
              </w:rPr>
            </w:pPr>
            <w:r>
              <w:rPr>
                <w:rFonts w:ascii="Arial" w:cs="Arial" w:eastAsia="Arial" w:hAnsi="Arial"/>
                <w:sz w:val="20"/>
                <w:szCs w:val="20"/>
                <w:b w:val="1"/>
                <w:bCs w:val="1"/>
                <w:color w:val="003B71"/>
                <w:w w:val="99"/>
              </w:rPr>
              <w:t>Information Regarding Board and Committee Structure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67"/>
        </w:trPr>
        <w:tc>
          <w:tcPr>
            <w:tcW w:w="5720" w:type="dxa"/>
            <w:vAlign w:val="bottom"/>
            <w:gridSpan w:val="2"/>
          </w:tcPr>
          <w:p>
            <w:pPr>
              <w:spacing w:after="0"/>
              <w:rPr>
                <w:sz w:val="20"/>
                <w:szCs w:val="20"/>
                <w:color w:val="auto"/>
              </w:rPr>
            </w:pPr>
            <w:r>
              <w:rPr>
                <w:rFonts w:ascii="Arial" w:cs="Arial" w:eastAsia="Arial" w:hAnsi="Arial"/>
                <w:sz w:val="20"/>
                <w:szCs w:val="20"/>
                <w:b w:val="1"/>
                <w:bCs w:val="1"/>
                <w:color w:val="336699"/>
              </w:rPr>
              <w:t>Compensation Committee Interlocks and Insider</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are escalated to the Audit Committee or Board more frequently. In</w:t>
            </w:r>
          </w:p>
        </w:tc>
        <w:tc>
          <w:tcPr>
            <w:tcW w:w="0" w:type="dxa"/>
            <w:vAlign w:val="bottom"/>
          </w:tcPr>
          <w:p>
            <w:pPr>
              <w:spacing w:after="0"/>
              <w:rPr>
                <w:sz w:val="1"/>
                <w:szCs w:val="1"/>
                <w:color w:val="auto"/>
              </w:rPr>
            </w:pPr>
          </w:p>
        </w:tc>
      </w:tr>
      <w:tr>
        <w:trPr>
          <w:trHeight w:val="229"/>
        </w:trPr>
        <w:tc>
          <w:tcPr>
            <w:tcW w:w="5720" w:type="dxa"/>
            <w:vAlign w:val="bottom"/>
            <w:gridSpan w:val="2"/>
          </w:tcPr>
          <w:p>
            <w:pPr>
              <w:spacing w:after="0"/>
              <w:rPr>
                <w:sz w:val="20"/>
                <w:szCs w:val="20"/>
                <w:color w:val="auto"/>
              </w:rPr>
            </w:pPr>
            <w:r>
              <w:rPr>
                <w:rFonts w:ascii="Arial" w:cs="Arial" w:eastAsia="Arial" w:hAnsi="Arial"/>
                <w:sz w:val="20"/>
                <w:szCs w:val="20"/>
                <w:b w:val="1"/>
                <w:bCs w:val="1"/>
                <w:color w:val="336699"/>
              </w:rPr>
              <w:t>Participation</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addition, our Internal Audit department provides independent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w w:val="99"/>
              </w:rPr>
              <w:t>verification of the effectiveness of the Company’s internal controls by</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No member of the Compensation Committee is or has been an</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conducting risk assessments and audits designed to identify and</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officer or employee of ours or any of our subsidiaries. None of our</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cover important risk categories. Our Internal Audit department</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executive officers serves or has served as a member of the board of</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provides regular reports to the ROC and reports to the Audit</w:t>
            </w:r>
          </w:p>
        </w:tc>
        <w:tc>
          <w:tcPr>
            <w:tcW w:w="0" w:type="dxa"/>
            <w:vAlign w:val="bottom"/>
          </w:tcPr>
          <w:p>
            <w:pPr>
              <w:spacing w:after="0"/>
              <w:rPr>
                <w:sz w:val="1"/>
                <w:szCs w:val="1"/>
                <w:color w:val="auto"/>
              </w:rPr>
            </w:pPr>
          </w:p>
        </w:tc>
      </w:tr>
      <w:tr>
        <w:trPr>
          <w:trHeight w:val="243"/>
        </w:trPr>
        <w:tc>
          <w:tcPr>
            <w:tcW w:w="5720" w:type="dxa"/>
            <w:vAlign w:val="bottom"/>
            <w:gridSpan w:val="2"/>
          </w:tcPr>
          <w:p>
            <w:pPr>
              <w:spacing w:after="0"/>
              <w:rPr>
                <w:sz w:val="20"/>
                <w:szCs w:val="20"/>
                <w:color w:val="auto"/>
              </w:rPr>
            </w:pPr>
            <w:r>
              <w:rPr>
                <w:rFonts w:ascii="Arial" w:cs="Arial" w:eastAsia="Arial" w:hAnsi="Arial"/>
                <w:sz w:val="18"/>
                <w:szCs w:val="18"/>
                <w:color w:val="auto"/>
              </w:rPr>
              <w:t>directors, compensation committee, or other board committee</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Committee at least as often as quarterly.</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performing equivalent functions of any entity that has one or more</w:t>
            </w:r>
          </w:p>
        </w:tc>
        <w:tc>
          <w:tcPr>
            <w:tcW w:w="5700" w:type="dxa"/>
            <w:vAlign w:val="bottom"/>
            <w:gridSpan w:val="2"/>
            <w:vMerge w:val="restart"/>
          </w:tcPr>
          <w:p>
            <w:pPr>
              <w:ind w:left="220"/>
              <w:spacing w:after="0"/>
              <w:rPr>
                <w:sz w:val="20"/>
                <w:szCs w:val="20"/>
                <w:color w:val="auto"/>
              </w:rPr>
            </w:pPr>
            <w:r>
              <w:rPr>
                <w:rFonts w:ascii="Arial" w:cs="Arial" w:eastAsia="Arial" w:hAnsi="Arial"/>
                <w:sz w:val="18"/>
                <w:szCs w:val="18"/>
                <w:i w:val="1"/>
                <w:iCs w:val="1"/>
                <w:color w:val="336699"/>
              </w:rPr>
              <w:t>Role of the Compensation Committee</w:t>
            </w:r>
            <w:r>
              <w:rPr>
                <w:rFonts w:ascii="Arial" w:cs="Arial" w:eastAsia="Arial" w:hAnsi="Arial"/>
                <w:sz w:val="18"/>
                <w:szCs w:val="18"/>
                <w:color w:val="336699"/>
              </w:rPr>
              <w:t>.</w:t>
            </w:r>
            <w:r>
              <w:rPr>
                <w:rFonts w:ascii="Arial" w:cs="Arial" w:eastAsia="Arial" w:hAnsi="Arial"/>
                <w:sz w:val="18"/>
                <w:szCs w:val="18"/>
                <w:i w:val="1"/>
                <w:iCs w:val="1"/>
                <w:color w:val="336699"/>
              </w:rPr>
              <w:t xml:space="preserve"> </w:t>
            </w:r>
            <w:r>
              <w:rPr>
                <w:rFonts w:ascii="Arial" w:cs="Arial" w:eastAsia="Arial" w:hAnsi="Arial"/>
                <w:sz w:val="18"/>
                <w:szCs w:val="18"/>
                <w:color w:val="000000"/>
              </w:rPr>
              <w:t>In addition to its other</w:t>
            </w:r>
          </w:p>
        </w:tc>
        <w:tc>
          <w:tcPr>
            <w:tcW w:w="0" w:type="dxa"/>
            <w:vAlign w:val="bottom"/>
          </w:tcPr>
          <w:p>
            <w:pPr>
              <w:spacing w:after="0"/>
              <w:rPr>
                <w:sz w:val="1"/>
                <w:szCs w:val="1"/>
                <w:color w:val="auto"/>
              </w:rPr>
            </w:pPr>
          </w:p>
        </w:tc>
      </w:tr>
      <w:tr>
        <w:trPr>
          <w:trHeight w:val="189"/>
        </w:trPr>
        <w:tc>
          <w:tcPr>
            <w:tcW w:w="5720" w:type="dxa"/>
            <w:vAlign w:val="bottom"/>
            <w:gridSpan w:val="2"/>
          </w:tcPr>
          <w:p>
            <w:pPr>
              <w:spacing w:after="0" w:line="189" w:lineRule="exact"/>
              <w:rPr>
                <w:sz w:val="20"/>
                <w:szCs w:val="20"/>
                <w:color w:val="auto"/>
              </w:rPr>
            </w:pPr>
            <w:r>
              <w:rPr>
                <w:rFonts w:ascii="Arial" w:cs="Arial" w:eastAsia="Arial" w:hAnsi="Arial"/>
                <w:sz w:val="18"/>
                <w:szCs w:val="18"/>
                <w:color w:val="auto"/>
              </w:rPr>
              <w:t>executive officers serving as one of our directors or on our</w:t>
            </w:r>
          </w:p>
        </w:tc>
        <w:tc>
          <w:tcPr>
            <w:tcW w:w="5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Compensation Committee.</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w w:val="99"/>
              </w:rPr>
              <w:t>responsibilities, the Compensation Committee assesses whether our</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compensation arrangements encourage inappropriate risk-taking,</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line="216" w:lineRule="exact"/>
              <w:rPr>
                <w:sz w:val="20"/>
                <w:szCs w:val="20"/>
                <w:color w:val="auto"/>
              </w:rPr>
            </w:pPr>
            <w:r>
              <w:rPr>
                <w:rFonts w:ascii="Arial" w:cs="Arial" w:eastAsia="Arial" w:hAnsi="Arial"/>
                <w:sz w:val="20"/>
                <w:szCs w:val="20"/>
                <w:b w:val="1"/>
                <w:bCs w:val="1"/>
                <w:color w:val="336699"/>
              </w:rPr>
              <w:t>Risk Management and Compensation Policies and</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and whether risks arising from our compensation arrangements are</w:t>
            </w:r>
          </w:p>
        </w:tc>
        <w:tc>
          <w:tcPr>
            <w:tcW w:w="0" w:type="dxa"/>
            <w:vAlign w:val="bottom"/>
          </w:tcPr>
          <w:p>
            <w:pPr>
              <w:spacing w:after="0"/>
              <w:rPr>
                <w:sz w:val="1"/>
                <w:szCs w:val="1"/>
                <w:color w:val="auto"/>
              </w:rPr>
            </w:pPr>
          </w:p>
        </w:tc>
      </w:tr>
      <w:tr>
        <w:trPr>
          <w:trHeight w:val="275"/>
        </w:trPr>
        <w:tc>
          <w:tcPr>
            <w:tcW w:w="5720" w:type="dxa"/>
            <w:vAlign w:val="bottom"/>
            <w:gridSpan w:val="2"/>
          </w:tcPr>
          <w:p>
            <w:pPr>
              <w:spacing w:after="0"/>
              <w:rPr>
                <w:sz w:val="20"/>
                <w:szCs w:val="20"/>
                <w:color w:val="auto"/>
              </w:rPr>
            </w:pPr>
            <w:r>
              <w:rPr>
                <w:rFonts w:ascii="Arial" w:cs="Arial" w:eastAsia="Arial" w:hAnsi="Arial"/>
                <w:sz w:val="20"/>
                <w:szCs w:val="20"/>
                <w:b w:val="1"/>
                <w:bCs w:val="1"/>
                <w:color w:val="336699"/>
              </w:rPr>
              <w:t>Practices</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reasonably likely to have a material adverse effect on the Company.</w:t>
            </w:r>
          </w:p>
        </w:tc>
        <w:tc>
          <w:tcPr>
            <w:tcW w:w="0" w:type="dxa"/>
            <w:vAlign w:val="bottom"/>
          </w:tcPr>
          <w:p>
            <w:pPr>
              <w:spacing w:after="0"/>
              <w:rPr>
                <w:sz w:val="1"/>
                <w:szCs w:val="1"/>
                <w:color w:val="auto"/>
              </w:rPr>
            </w:pPr>
          </w:p>
        </w:tc>
      </w:tr>
      <w:tr>
        <w:trPr>
          <w:trHeight w:val="374"/>
        </w:trPr>
        <w:tc>
          <w:tcPr>
            <w:tcW w:w="5720" w:type="dxa"/>
            <w:vAlign w:val="bottom"/>
            <w:gridSpan w:val="2"/>
          </w:tcPr>
          <w:p>
            <w:pPr>
              <w:spacing w:after="0"/>
              <w:rPr>
                <w:sz w:val="20"/>
                <w:szCs w:val="20"/>
                <w:color w:val="auto"/>
              </w:rPr>
            </w:pPr>
            <w:r>
              <w:rPr>
                <w:rFonts w:ascii="Arial" w:cs="Arial" w:eastAsia="Arial" w:hAnsi="Arial"/>
                <w:sz w:val="18"/>
                <w:szCs w:val="18"/>
                <w:color w:val="auto"/>
              </w:rPr>
              <w:t>We employ an enterprise risk management (“ERM”) framework that</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Our Compensation Committee has reviewed and evaluated the</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is intended to address key risks and responsibilities, enable us to</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philosophy and standards on which our compensation practices</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execute our business strategy, and protect our firm and its franchise.</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have been developed and implemented across our Company. It is</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Our framework is designed to promote clear lines of risk</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our belief that our compensation practices do not encourage</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management accountability and a structured escalation process for</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inappropriate actions by our executive officers and are not</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key risk information and events. In addition to the ERM framework,</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reasonably likely to have a material adverse effect on the Company.</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we have written policies and procedures that govern the conduct of</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w w:val="99"/>
              </w:rPr>
              <w:t>Specifically, we believe that our compensation practices and process</w:t>
            </w:r>
          </w:p>
        </w:tc>
        <w:tc>
          <w:tcPr>
            <w:tcW w:w="0" w:type="dxa"/>
            <w:vAlign w:val="bottom"/>
          </w:tcPr>
          <w:p>
            <w:pPr>
              <w:spacing w:after="0"/>
              <w:rPr>
                <w:sz w:val="1"/>
                <w:szCs w:val="1"/>
                <w:color w:val="auto"/>
              </w:rPr>
            </w:pPr>
          </w:p>
        </w:tc>
      </w:tr>
      <w:tr>
        <w:trPr>
          <w:trHeight w:val="269"/>
        </w:trPr>
        <w:tc>
          <w:tcPr>
            <w:tcW w:w="5720" w:type="dxa"/>
            <w:vAlign w:val="bottom"/>
            <w:gridSpan w:val="2"/>
          </w:tcPr>
          <w:p>
            <w:pPr>
              <w:spacing w:after="0"/>
              <w:rPr>
                <w:sz w:val="20"/>
                <w:szCs w:val="20"/>
                <w:color w:val="auto"/>
              </w:rPr>
            </w:pPr>
            <w:r>
              <w:rPr>
                <w:rFonts w:ascii="Arial" w:cs="Arial" w:eastAsia="Arial" w:hAnsi="Arial"/>
                <w:sz w:val="18"/>
                <w:szCs w:val="18"/>
                <w:color w:val="auto"/>
              </w:rPr>
              <w:t>business by our employees and independent financial advisors, and</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avoid:</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the terms and conditions of our relationships with financial product</w:t>
            </w:r>
          </w:p>
        </w:tc>
        <w:tc>
          <w:tcPr>
            <w:tcW w:w="5700" w:type="dxa"/>
            <w:vAlign w:val="bottom"/>
            <w:gridSpan w:val="2"/>
            <w:vMerge w:val="restart"/>
          </w:tcPr>
          <w:p>
            <w:pPr>
              <w:ind w:left="2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a compensation mix overly weighted toward annual bonus</w:t>
            </w:r>
          </w:p>
        </w:tc>
        <w:tc>
          <w:tcPr>
            <w:tcW w:w="0" w:type="dxa"/>
            <w:vAlign w:val="bottom"/>
          </w:tcPr>
          <w:p>
            <w:pPr>
              <w:spacing w:after="0"/>
              <w:rPr>
                <w:sz w:val="1"/>
                <w:szCs w:val="1"/>
                <w:color w:val="auto"/>
              </w:rPr>
            </w:pP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manufacturers.</w:t>
            </w:r>
          </w:p>
        </w:tc>
        <w:tc>
          <w:tcPr>
            <w:tcW w:w="5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Our risk management governance approach is discussed in our</w:t>
            </w:r>
          </w:p>
        </w:tc>
        <w:tc>
          <w:tcPr>
            <w:tcW w:w="5700" w:type="dxa"/>
            <w:vAlign w:val="bottom"/>
            <w:gridSpan w:val="2"/>
          </w:tcPr>
          <w:p>
            <w:pPr>
              <w:ind w:left="540"/>
              <w:spacing w:after="0"/>
              <w:rPr>
                <w:sz w:val="20"/>
                <w:szCs w:val="20"/>
                <w:color w:val="auto"/>
              </w:rPr>
            </w:pPr>
            <w:r>
              <w:rPr>
                <w:rFonts w:ascii="Arial" w:cs="Arial" w:eastAsia="Arial" w:hAnsi="Arial"/>
                <w:sz w:val="18"/>
                <w:szCs w:val="18"/>
                <w:color w:val="auto"/>
              </w:rPr>
              <w:t>awards;</w:t>
            </w:r>
          </w:p>
        </w:tc>
        <w:tc>
          <w:tcPr>
            <w:tcW w:w="0" w:type="dxa"/>
            <w:vAlign w:val="bottom"/>
          </w:tcPr>
          <w:p>
            <w:pPr>
              <w:spacing w:after="0"/>
              <w:rPr>
                <w:sz w:val="1"/>
                <w:szCs w:val="1"/>
                <w:color w:val="auto"/>
              </w:rPr>
            </w:pPr>
          </w:p>
        </w:tc>
      </w:tr>
      <w:tr>
        <w:trPr>
          <w:trHeight w:val="202"/>
        </w:trPr>
        <w:tc>
          <w:tcPr>
            <w:tcW w:w="5720" w:type="dxa"/>
            <w:vAlign w:val="bottom"/>
            <w:gridSpan w:val="2"/>
            <w:vMerge w:val="continue"/>
          </w:tcPr>
          <w:p>
            <w:pPr>
              <w:spacing w:after="0"/>
              <w:rPr>
                <w:sz w:val="17"/>
                <w:szCs w:val="17"/>
                <w:color w:val="auto"/>
              </w:rPr>
            </w:pPr>
          </w:p>
        </w:tc>
        <w:tc>
          <w:tcPr>
            <w:tcW w:w="5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Annual Report under “Item 7A. Quantitative and Qualitative</w:t>
            </w:r>
          </w:p>
        </w:tc>
        <w:tc>
          <w:tcPr>
            <w:tcW w:w="5700" w:type="dxa"/>
            <w:vAlign w:val="bottom"/>
            <w:gridSpan w:val="2"/>
          </w:tcPr>
          <w:p>
            <w:pPr>
              <w:ind w:left="220"/>
              <w:spacing w:after="0" w:line="217" w:lineRule="exact"/>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an excessive focus on short-term equity incentive awards that</w:t>
            </w:r>
          </w:p>
        </w:tc>
        <w:tc>
          <w:tcPr>
            <w:tcW w:w="0" w:type="dxa"/>
            <w:vAlign w:val="bottom"/>
          </w:tcPr>
          <w:p>
            <w:pPr>
              <w:spacing w:after="0"/>
              <w:rPr>
                <w:sz w:val="1"/>
                <w:szCs w:val="1"/>
                <w:color w:val="auto"/>
              </w:rPr>
            </w:pPr>
          </w:p>
        </w:tc>
      </w:tr>
      <w:tr>
        <w:trPr>
          <w:trHeight w:val="215"/>
        </w:trPr>
        <w:tc>
          <w:tcPr>
            <w:tcW w:w="5720" w:type="dxa"/>
            <w:vAlign w:val="bottom"/>
            <w:gridSpan w:val="2"/>
          </w:tcPr>
          <w:p>
            <w:pPr>
              <w:spacing w:after="0"/>
              <w:rPr>
                <w:sz w:val="20"/>
                <w:szCs w:val="20"/>
                <w:color w:val="auto"/>
              </w:rPr>
            </w:pPr>
            <w:r>
              <w:rPr>
                <w:rFonts w:ascii="Arial" w:cs="Arial" w:eastAsia="Arial" w:hAnsi="Arial"/>
                <w:sz w:val="18"/>
                <w:szCs w:val="18"/>
                <w:color w:val="auto"/>
              </w:rPr>
              <w:t xml:space="preserve">Disclosures about Market Risk </w:t>
            </w:r>
            <w:r>
              <w:rPr>
                <w:rFonts w:ascii="Arial" w:cs="Arial" w:eastAsia="Arial" w:hAnsi="Arial"/>
                <w:sz w:val="18"/>
                <w:szCs w:val="18"/>
                <w:i w:val="1"/>
                <w:iCs w:val="1"/>
                <w:color w:val="221E1F"/>
              </w:rPr>
              <w:t>—</w:t>
            </w:r>
            <w:r>
              <w:rPr>
                <w:rFonts w:ascii="Arial" w:cs="Arial" w:eastAsia="Arial" w:hAnsi="Arial"/>
                <w:sz w:val="18"/>
                <w:szCs w:val="18"/>
                <w:color w:val="auto"/>
              </w:rPr>
              <w:t xml:space="preserve"> Risk Management.” This approach</w:t>
            </w:r>
          </w:p>
        </w:tc>
        <w:tc>
          <w:tcPr>
            <w:tcW w:w="5700" w:type="dxa"/>
            <w:vAlign w:val="bottom"/>
            <w:gridSpan w:val="2"/>
            <w:vMerge w:val="restart"/>
          </w:tcPr>
          <w:p>
            <w:pPr>
              <w:ind w:left="540"/>
              <w:spacing w:after="0"/>
              <w:rPr>
                <w:sz w:val="20"/>
                <w:szCs w:val="20"/>
                <w:color w:val="auto"/>
              </w:rPr>
            </w:pPr>
            <w:r>
              <w:rPr>
                <w:rFonts w:ascii="Arial" w:cs="Arial" w:eastAsia="Arial" w:hAnsi="Arial"/>
                <w:sz w:val="18"/>
                <w:szCs w:val="18"/>
                <w:color w:val="auto"/>
              </w:rPr>
              <w:t>could cause behavior to drive short-term stock price gains in lieu</w:t>
            </w:r>
          </w:p>
        </w:tc>
        <w:tc>
          <w:tcPr>
            <w:tcW w:w="0" w:type="dxa"/>
            <w:vAlign w:val="bottom"/>
          </w:tcPr>
          <w:p>
            <w:pPr>
              <w:spacing w:after="0"/>
              <w:rPr>
                <w:sz w:val="1"/>
                <w:szCs w:val="1"/>
                <w:color w:val="auto"/>
              </w:rPr>
            </w:pPr>
          </w:p>
        </w:tc>
      </w:tr>
      <w:tr>
        <w:trPr>
          <w:trHeight w:val="95"/>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includes the Board of Directors, the Audit Committee, and the</w:t>
            </w:r>
          </w:p>
        </w:tc>
        <w:tc>
          <w:tcPr>
            <w:tcW w:w="57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5720" w:type="dxa"/>
            <w:vAlign w:val="bottom"/>
            <w:gridSpan w:val="2"/>
            <w:vMerge w:val="continue"/>
          </w:tcPr>
          <w:p>
            <w:pPr>
              <w:spacing w:after="0"/>
              <w:rPr>
                <w:sz w:val="10"/>
                <w:szCs w:val="10"/>
                <w:color w:val="auto"/>
              </w:rPr>
            </w:pPr>
          </w:p>
        </w:tc>
        <w:tc>
          <w:tcPr>
            <w:tcW w:w="5700" w:type="dxa"/>
            <w:vAlign w:val="bottom"/>
            <w:gridSpan w:val="2"/>
            <w:vMerge w:val="restart"/>
          </w:tcPr>
          <w:p>
            <w:pPr>
              <w:ind w:left="540"/>
              <w:spacing w:after="0"/>
              <w:rPr>
                <w:sz w:val="20"/>
                <w:szCs w:val="20"/>
                <w:color w:val="auto"/>
              </w:rPr>
            </w:pPr>
            <w:r>
              <w:rPr>
                <w:rFonts w:ascii="Arial" w:cs="Arial" w:eastAsia="Arial" w:hAnsi="Arial"/>
                <w:sz w:val="18"/>
                <w:szCs w:val="18"/>
                <w:color w:val="auto"/>
              </w:rPr>
              <w:t>of long-term value creation; and</w:t>
            </w:r>
          </w:p>
        </w:tc>
        <w:tc>
          <w:tcPr>
            <w:tcW w:w="0" w:type="dxa"/>
            <w:vAlign w:val="bottom"/>
          </w:tcPr>
          <w:p>
            <w:pPr>
              <w:spacing w:after="0"/>
              <w:rPr>
                <w:sz w:val="1"/>
                <w:szCs w:val="1"/>
                <w:color w:val="auto"/>
              </w:rPr>
            </w:pPr>
          </w:p>
        </w:tc>
      </w:tr>
      <w:tr>
        <w:trPr>
          <w:trHeight w:val="136"/>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Compensation Committee, as well as the Company’s Risk Oversight</w:t>
            </w:r>
          </w:p>
        </w:tc>
        <w:tc>
          <w:tcPr>
            <w:tcW w:w="5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5720" w:type="dxa"/>
            <w:vAlign w:val="bottom"/>
            <w:gridSpan w:val="2"/>
            <w:vMerge w:val="continue"/>
          </w:tcPr>
          <w:p>
            <w:pPr>
              <w:spacing w:after="0"/>
              <w:rPr>
                <w:sz w:val="6"/>
                <w:szCs w:val="6"/>
                <w:color w:val="auto"/>
              </w:rPr>
            </w:pPr>
          </w:p>
        </w:tc>
        <w:tc>
          <w:tcPr>
            <w:tcW w:w="56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Committee (the “ROC”) and its subcommittees, the Company’s</w:t>
            </w:r>
          </w:p>
        </w:tc>
        <w:tc>
          <w:tcPr>
            <w:tcW w:w="5700" w:type="dxa"/>
            <w:vAlign w:val="bottom"/>
            <w:gridSpan w:val="2"/>
            <w:vMerge w:val="restart"/>
          </w:tcPr>
          <w:p>
            <w:pPr>
              <w:ind w:left="2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unreasonable financial goals or thresholds that could encourage</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Internal Audit department, the Company’s Governance, Risk and</w:t>
            </w:r>
          </w:p>
        </w:tc>
        <w:tc>
          <w:tcPr>
            <w:tcW w:w="5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Compliance department, and business line management.</w:t>
            </w:r>
          </w:p>
        </w:tc>
        <w:tc>
          <w:tcPr>
            <w:tcW w:w="5700" w:type="dxa"/>
            <w:vAlign w:val="bottom"/>
            <w:gridSpan w:val="2"/>
          </w:tcPr>
          <w:p>
            <w:pPr>
              <w:ind w:left="540"/>
              <w:spacing w:after="0"/>
              <w:rPr>
                <w:sz w:val="20"/>
                <w:szCs w:val="20"/>
                <w:color w:val="auto"/>
              </w:rPr>
            </w:pPr>
            <w:r>
              <w:rPr>
                <w:rFonts w:ascii="Arial" w:cs="Arial" w:eastAsia="Arial" w:hAnsi="Arial"/>
                <w:sz w:val="18"/>
                <w:szCs w:val="18"/>
                <w:color w:val="auto"/>
              </w:rPr>
              <w:t>efforts to generate near-term revenue with an adverse impact on</w:t>
            </w:r>
          </w:p>
        </w:tc>
        <w:tc>
          <w:tcPr>
            <w:tcW w:w="0" w:type="dxa"/>
            <w:vAlign w:val="bottom"/>
          </w:tcPr>
          <w:p>
            <w:pPr>
              <w:spacing w:after="0"/>
              <w:rPr>
                <w:sz w:val="1"/>
                <w:szCs w:val="1"/>
                <w:color w:val="auto"/>
              </w:rPr>
            </w:pPr>
          </w:p>
        </w:tc>
      </w:tr>
      <w:tr>
        <w:trPr>
          <w:trHeight w:val="257"/>
        </w:trPr>
        <w:tc>
          <w:tcPr>
            <w:tcW w:w="5720" w:type="dxa"/>
            <w:vAlign w:val="bottom"/>
            <w:gridSpan w:val="2"/>
            <w:vMerge w:val="restart"/>
          </w:tcPr>
          <w:p>
            <w:pPr>
              <w:spacing w:after="0"/>
              <w:rPr>
                <w:sz w:val="20"/>
                <w:szCs w:val="20"/>
                <w:color w:val="auto"/>
              </w:rPr>
            </w:pPr>
            <w:r>
              <w:rPr>
                <w:rFonts w:ascii="Arial" w:cs="Arial" w:eastAsia="Arial" w:hAnsi="Arial"/>
                <w:sz w:val="18"/>
                <w:szCs w:val="18"/>
                <w:i w:val="1"/>
                <w:iCs w:val="1"/>
                <w:color w:val="336699"/>
              </w:rPr>
              <w:t>Role of the Audit Committee</w:t>
            </w:r>
            <w:r>
              <w:rPr>
                <w:rFonts w:ascii="Arial" w:cs="Arial" w:eastAsia="Arial" w:hAnsi="Arial"/>
                <w:sz w:val="18"/>
                <w:szCs w:val="18"/>
                <w:color w:val="336699"/>
              </w:rPr>
              <w:t>.</w:t>
            </w:r>
            <w:r>
              <w:rPr>
                <w:rFonts w:ascii="Arial" w:cs="Arial" w:eastAsia="Arial" w:hAnsi="Arial"/>
                <w:sz w:val="18"/>
                <w:szCs w:val="18"/>
                <w:i w:val="1"/>
                <w:iCs w:val="1"/>
                <w:color w:val="336699"/>
              </w:rPr>
              <w:t xml:space="preserve"> </w:t>
            </w:r>
            <w:r>
              <w:rPr>
                <w:rFonts w:ascii="Arial" w:cs="Arial" w:eastAsia="Arial" w:hAnsi="Arial"/>
                <w:sz w:val="18"/>
                <w:szCs w:val="18"/>
                <w:color w:val="000000"/>
              </w:rPr>
              <w:t>In addition to its other responsibilities,</w:t>
            </w:r>
          </w:p>
        </w:tc>
        <w:tc>
          <w:tcPr>
            <w:tcW w:w="5700" w:type="dxa"/>
            <w:vAlign w:val="bottom"/>
            <w:gridSpan w:val="2"/>
          </w:tcPr>
          <w:p>
            <w:pPr>
              <w:ind w:left="540"/>
              <w:spacing w:after="0"/>
              <w:rPr>
                <w:sz w:val="20"/>
                <w:szCs w:val="20"/>
                <w:color w:val="auto"/>
              </w:rPr>
            </w:pPr>
            <w:r>
              <w:rPr>
                <w:rFonts w:ascii="Arial" w:cs="Arial" w:eastAsia="Arial" w:hAnsi="Arial"/>
                <w:sz w:val="18"/>
                <w:szCs w:val="18"/>
                <w:color w:val="auto"/>
              </w:rPr>
              <w:t>long-term success.</w:t>
            </w:r>
          </w:p>
        </w:tc>
        <w:tc>
          <w:tcPr>
            <w:tcW w:w="0" w:type="dxa"/>
            <w:vAlign w:val="bottom"/>
          </w:tcPr>
          <w:p>
            <w:pPr>
              <w:spacing w:after="0"/>
              <w:rPr>
                <w:sz w:val="1"/>
                <w:szCs w:val="1"/>
                <w:color w:val="auto"/>
              </w:rPr>
            </w:pPr>
          </w:p>
        </w:tc>
      </w:tr>
      <w:tr>
        <w:trPr>
          <w:trHeight w:val="175"/>
        </w:trPr>
        <w:tc>
          <w:tcPr>
            <w:tcW w:w="5720" w:type="dxa"/>
            <w:vAlign w:val="bottom"/>
            <w:gridSpan w:val="2"/>
            <w:vMerge w:val="continue"/>
          </w:tcPr>
          <w:p>
            <w:pPr>
              <w:spacing w:after="0"/>
              <w:rPr>
                <w:sz w:val="15"/>
                <w:szCs w:val="15"/>
                <w:color w:val="auto"/>
              </w:rPr>
            </w:pPr>
          </w:p>
        </w:tc>
        <w:tc>
          <w:tcPr>
            <w:tcW w:w="5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the Audit Committee reviews our policies with respect to risk</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We believe that our current business process and planning cycle</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assessment and risk management, as well as our major financial</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w w:val="99"/>
              </w:rPr>
              <w:t>fosters the following behaviors and controls that serve to mitigate the</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risk exposures and the steps management has undertaken to control</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potential for adverse risk caused by the action of our executive</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them. The Audit Committee generally provides reports to the Board</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officers:</w:t>
            </w:r>
          </w:p>
        </w:tc>
        <w:tc>
          <w:tcPr>
            <w:tcW w:w="0" w:type="dxa"/>
            <w:vAlign w:val="bottom"/>
          </w:tcPr>
          <w:p>
            <w:pPr>
              <w:spacing w:after="0"/>
              <w:rPr>
                <w:sz w:val="1"/>
                <w:szCs w:val="1"/>
                <w:color w:val="auto"/>
              </w:rPr>
            </w:pP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at each of the Board’s regularly scheduled quarterly meetings.</w:t>
            </w:r>
          </w:p>
        </w:tc>
        <w:tc>
          <w:tcPr>
            <w:tcW w:w="5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The Audit Committee has mandated that the ROC oversee our risk</w:t>
            </w:r>
          </w:p>
        </w:tc>
        <w:tc>
          <w:tcPr>
            <w:tcW w:w="5700" w:type="dxa"/>
            <w:vAlign w:val="bottom"/>
            <w:gridSpan w:val="2"/>
          </w:tcPr>
          <w:p>
            <w:pPr>
              <w:ind w:left="2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defined processes for developing strategic and annual operating</w:t>
            </w:r>
          </w:p>
        </w:tc>
        <w:tc>
          <w:tcPr>
            <w:tcW w:w="0" w:type="dxa"/>
            <w:vAlign w:val="bottom"/>
          </w:tcPr>
          <w:p>
            <w:pPr>
              <w:spacing w:after="0"/>
              <w:rPr>
                <w:sz w:val="1"/>
                <w:szCs w:val="1"/>
                <w:color w:val="auto"/>
              </w:rPr>
            </w:pPr>
          </w:p>
        </w:tc>
      </w:tr>
      <w:tr>
        <w:trPr>
          <w:trHeight w:val="111"/>
        </w:trPr>
        <w:tc>
          <w:tcPr>
            <w:tcW w:w="5720" w:type="dxa"/>
            <w:vAlign w:val="bottom"/>
            <w:gridSpan w:val="2"/>
            <w:vMerge w:val="continue"/>
          </w:tcPr>
          <w:p>
            <w:pPr>
              <w:spacing w:after="0"/>
              <w:rPr>
                <w:sz w:val="9"/>
                <w:szCs w:val="9"/>
                <w:color w:val="auto"/>
              </w:rPr>
            </w:pPr>
          </w:p>
        </w:tc>
        <w:tc>
          <w:tcPr>
            <w:tcW w:w="5700" w:type="dxa"/>
            <w:vAlign w:val="bottom"/>
            <w:gridSpan w:val="2"/>
            <w:vMerge w:val="restart"/>
          </w:tcPr>
          <w:p>
            <w:pPr>
              <w:ind w:left="540"/>
              <w:spacing w:after="0"/>
              <w:rPr>
                <w:sz w:val="20"/>
                <w:szCs w:val="20"/>
                <w:color w:val="auto"/>
              </w:rPr>
            </w:pPr>
            <w:r>
              <w:rPr>
                <w:rFonts w:ascii="Arial" w:cs="Arial" w:eastAsia="Arial" w:hAnsi="Arial"/>
                <w:sz w:val="18"/>
                <w:szCs w:val="18"/>
                <w:color w:val="auto"/>
              </w:rPr>
              <w:t>plans, approval of capital investments, internal controls over</w:t>
            </w:r>
          </w:p>
        </w:tc>
        <w:tc>
          <w:tcPr>
            <w:tcW w:w="0" w:type="dxa"/>
            <w:vAlign w:val="bottom"/>
          </w:tcPr>
          <w:p>
            <w:pPr>
              <w:spacing w:after="0"/>
              <w:rPr>
                <w:sz w:val="1"/>
                <w:szCs w:val="1"/>
                <w:color w:val="auto"/>
              </w:rPr>
            </w:pPr>
          </w:p>
        </w:tc>
      </w:tr>
      <w:tr>
        <w:trPr>
          <w:trHeight w:val="122"/>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management activities, including those of our subsidiaries. The chair</w:t>
            </w:r>
          </w:p>
        </w:tc>
        <w:tc>
          <w:tcPr>
            <w:tcW w:w="5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720" w:type="dxa"/>
            <w:vAlign w:val="bottom"/>
            <w:gridSpan w:val="2"/>
            <w:vMerge w:val="continue"/>
          </w:tcPr>
          <w:p>
            <w:pPr>
              <w:spacing w:after="0"/>
              <w:rPr>
                <w:sz w:val="8"/>
                <w:szCs w:val="8"/>
                <w:color w:val="auto"/>
              </w:rPr>
            </w:pPr>
          </w:p>
        </w:tc>
        <w:tc>
          <w:tcPr>
            <w:tcW w:w="5700" w:type="dxa"/>
            <w:vAlign w:val="bottom"/>
            <w:gridSpan w:val="2"/>
            <w:vMerge w:val="restart"/>
          </w:tcPr>
          <w:p>
            <w:pPr>
              <w:ind w:left="540"/>
              <w:spacing w:after="0"/>
              <w:rPr>
                <w:sz w:val="20"/>
                <w:szCs w:val="20"/>
                <w:color w:val="auto"/>
              </w:rPr>
            </w:pPr>
            <w:r>
              <w:rPr>
                <w:rFonts w:ascii="Arial" w:cs="Arial" w:eastAsia="Arial" w:hAnsi="Arial"/>
                <w:sz w:val="18"/>
                <w:szCs w:val="18"/>
                <w:color w:val="auto"/>
              </w:rPr>
              <w:t>financial reporting, and other financial, operational, and</w:t>
            </w: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of the ROC provides reports to the Audit Committee at each of the</w:t>
            </w:r>
          </w:p>
        </w:tc>
        <w:tc>
          <w:tcPr>
            <w:tcW w:w="57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Audit Committee’s regularly scheduled quarterly meetings and, as</w:t>
            </w:r>
          </w:p>
        </w:tc>
        <w:tc>
          <w:tcPr>
            <w:tcW w:w="5700" w:type="dxa"/>
            <w:vAlign w:val="bottom"/>
            <w:gridSpan w:val="2"/>
          </w:tcPr>
          <w:p>
            <w:pPr>
              <w:ind w:left="540"/>
              <w:spacing w:after="0"/>
              <w:rPr>
                <w:sz w:val="20"/>
                <w:szCs w:val="20"/>
                <w:color w:val="auto"/>
              </w:rPr>
            </w:pPr>
            <w:r>
              <w:rPr>
                <w:rFonts w:ascii="Arial" w:cs="Arial" w:eastAsia="Arial" w:hAnsi="Arial"/>
                <w:sz w:val="18"/>
                <w:szCs w:val="18"/>
                <w:color w:val="auto"/>
              </w:rPr>
              <w:t>compliance policies and practices;</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necessary or requested, to the Board. The reports generally cover</w:t>
            </w:r>
          </w:p>
        </w:tc>
        <w:tc>
          <w:tcPr>
            <w:tcW w:w="5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topics addressed by the ROC at its meetings since the immediately</w:t>
            </w:r>
          </w:p>
        </w:tc>
        <w:tc>
          <w:tcPr>
            <w:tcW w:w="5700" w:type="dxa"/>
            <w:vAlign w:val="bottom"/>
            <w:gridSpan w:val="2"/>
          </w:tcPr>
          <w:p>
            <w:pPr>
              <w:ind w:left="220"/>
              <w:spacing w:after="0" w:line="217" w:lineRule="exact"/>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annual review of corporate objectives aligns these goals with our</w:t>
            </w:r>
          </w:p>
        </w:tc>
        <w:tc>
          <w:tcPr>
            <w:tcW w:w="0" w:type="dxa"/>
            <w:vAlign w:val="bottom"/>
          </w:tcPr>
          <w:p>
            <w:pPr>
              <w:spacing w:after="0"/>
              <w:rPr>
                <w:sz w:val="1"/>
                <w:szCs w:val="1"/>
                <w:color w:val="auto"/>
              </w:rPr>
            </w:pP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preceding report. If warranted, matters of material risk</w:t>
            </w:r>
          </w:p>
        </w:tc>
        <w:tc>
          <w:tcPr>
            <w:tcW w:w="5700" w:type="dxa"/>
            <w:vAlign w:val="bottom"/>
            <w:gridSpan w:val="2"/>
            <w:vMerge w:val="restart"/>
          </w:tcPr>
          <w:p>
            <w:pPr>
              <w:ind w:left="540"/>
              <w:spacing w:after="0"/>
              <w:rPr>
                <w:sz w:val="20"/>
                <w:szCs w:val="20"/>
                <w:color w:val="auto"/>
              </w:rPr>
            </w:pPr>
            <w:r>
              <w:rPr>
                <w:rFonts w:ascii="Arial" w:cs="Arial" w:eastAsia="Arial" w:hAnsi="Arial"/>
                <w:sz w:val="18"/>
                <w:szCs w:val="18"/>
                <w:color w:val="auto"/>
              </w:rPr>
              <w:t>annual operating and strategic plans, achieves the proper risk</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5680" w:type="dxa"/>
            <w:vAlign w:val="bottom"/>
          </w:tcPr>
          <w:p>
            <w:pPr>
              <w:spacing w:after="0"/>
              <w:rPr>
                <w:sz w:val="5"/>
                <w:szCs w:val="5"/>
                <w:color w:val="auto"/>
              </w:rPr>
            </w:pPr>
          </w:p>
        </w:tc>
        <w:tc>
          <w:tcPr>
            <w:tcW w:w="5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680" w:type="dxa"/>
            <w:vAlign w:val="bottom"/>
          </w:tcPr>
          <w:p>
            <w:pPr>
              <w:spacing w:after="0"/>
              <w:rPr>
                <w:sz w:val="22"/>
                <w:szCs w:val="22"/>
                <w:color w:val="auto"/>
              </w:rPr>
            </w:pPr>
          </w:p>
        </w:tc>
        <w:tc>
          <w:tcPr>
            <w:tcW w:w="5700" w:type="dxa"/>
            <w:vAlign w:val="bottom"/>
            <w:gridSpan w:val="2"/>
          </w:tcPr>
          <w:p>
            <w:pPr>
              <w:ind w:left="540"/>
              <w:spacing w:after="0"/>
              <w:rPr>
                <w:sz w:val="20"/>
                <w:szCs w:val="20"/>
                <w:color w:val="auto"/>
              </w:rPr>
            </w:pPr>
            <w:r>
              <w:rPr>
                <w:rFonts w:ascii="Arial" w:cs="Arial" w:eastAsia="Arial" w:hAnsi="Arial"/>
                <w:sz w:val="18"/>
                <w:szCs w:val="18"/>
                <w:color w:val="auto"/>
              </w:rPr>
              <w:t>reward balance, and does not encourage unnecessary or</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680" w:type="dxa"/>
            <w:vAlign w:val="bottom"/>
          </w:tcPr>
          <w:p>
            <w:pPr>
              <w:spacing w:after="0"/>
              <w:rPr>
                <w:sz w:val="22"/>
                <w:szCs w:val="22"/>
                <w:color w:val="auto"/>
              </w:rPr>
            </w:pPr>
          </w:p>
        </w:tc>
        <w:tc>
          <w:tcPr>
            <w:tcW w:w="5700" w:type="dxa"/>
            <w:vAlign w:val="bottom"/>
            <w:gridSpan w:val="2"/>
          </w:tcPr>
          <w:p>
            <w:pPr>
              <w:ind w:left="540"/>
              <w:spacing w:after="0"/>
              <w:rPr>
                <w:sz w:val="20"/>
                <w:szCs w:val="20"/>
                <w:color w:val="auto"/>
              </w:rPr>
            </w:pPr>
            <w:r>
              <w:rPr>
                <w:rFonts w:ascii="Arial" w:cs="Arial" w:eastAsia="Arial" w:hAnsi="Arial"/>
                <w:sz w:val="18"/>
                <w:szCs w:val="18"/>
                <w:color w:val="auto"/>
              </w:rPr>
              <w:t>excessive risk taking;</w:t>
            </w:r>
          </w:p>
        </w:tc>
        <w:tc>
          <w:tcPr>
            <w:tcW w:w="0" w:type="dxa"/>
            <w:vAlign w:val="bottom"/>
          </w:tcPr>
          <w:p>
            <w:pPr>
              <w:spacing w:after="0"/>
              <w:rPr>
                <w:sz w:val="1"/>
                <w:szCs w:val="1"/>
                <w:color w:val="auto"/>
              </w:rPr>
            </w:pPr>
          </w:p>
        </w:tc>
      </w:tr>
      <w:tr>
        <w:trPr>
          <w:trHeight w:val="581"/>
        </w:trPr>
        <w:tc>
          <w:tcPr>
            <w:tcW w:w="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5700" w:type="dxa"/>
            <w:vAlign w:val="bottom"/>
            <w:gridSpan w:val="2"/>
          </w:tcPr>
          <w:p>
            <w:pPr>
              <w:ind w:left="3480"/>
              <w:spacing w:after="0"/>
              <w:rPr>
                <w:sz w:val="20"/>
                <w:szCs w:val="20"/>
                <w:color w:val="auto"/>
              </w:rPr>
            </w:pPr>
            <w:r>
              <w:rPr>
                <w:rFonts w:ascii="Arial" w:cs="Arial" w:eastAsia="Arial" w:hAnsi="Arial"/>
                <w:sz w:val="18"/>
                <w:szCs w:val="18"/>
                <w:b w:val="1"/>
                <w:bCs w:val="1"/>
                <w:color w:val="003B71"/>
                <w:w w:val="99"/>
              </w:rPr>
              <w:t xml:space="preserve">2017 Proxy Statement </w:t>
            </w:r>
            <w:r>
              <w:rPr>
                <w:rFonts w:ascii="Arial" w:cs="Arial" w:eastAsia="Arial" w:hAnsi="Arial"/>
                <w:sz w:val="18"/>
                <w:szCs w:val="18"/>
                <w:color w:val="003B71"/>
                <w:w w:val="99"/>
              </w:rPr>
              <w:t>| 19</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436" w:right="239" w:bottom="1440" w:gutter="0" w:footer="0" w:header="0"/>
        </w:sect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0585" cy="283210"/>
                    </a:xfrm>
                    <a:prstGeom prst="rect">
                      <a:avLst/>
                    </a:prstGeom>
                    <a:noFill/>
                  </pic:spPr>
                </pic:pic>
              </a:graphicData>
            </a:graphic>
          </wp:anchor>
        </w:drawing>
      </w:r>
    </w:p>
    <w:bookmarkStart w:id="25" w:name="page26"/>
    <w:bookmarkEnd w:id="25"/>
    <w:p>
      <w:pPr>
        <w:ind w:left="62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Information Regarding Board and Committee Structure</w:t>
      </w:r>
    </w:p>
    <w:p>
      <w:pPr>
        <w:sectPr>
          <w:pgSz w:w="11900" w:h="16838" w:orient="portrait"/>
          <w:cols w:equalWidth="0" w:num="1">
            <w:col w:w="11360"/>
          </w:cols>
          <w:pgMar w:left="240" w:top="43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 w:right="300" w:hanging="332"/>
        <w:spacing w:after="0" w:line="262"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of peer group practices and compensation surveys to develop compensation strategy and practices;</w:t>
      </w:r>
    </w:p>
    <w:p>
      <w:pPr>
        <w:spacing w:after="0" w:line="223" w:lineRule="exact"/>
        <w:rPr>
          <w:rFonts w:ascii="Arial" w:cs="Arial" w:eastAsia="Arial" w:hAnsi="Arial"/>
          <w:sz w:val="18"/>
          <w:szCs w:val="18"/>
          <w:color w:val="auto"/>
        </w:rPr>
      </w:pPr>
    </w:p>
    <w:p>
      <w:pPr>
        <w:ind w:left="340" w:right="380" w:hanging="332"/>
        <w:spacing w:after="0" w:line="280" w:lineRule="auto"/>
        <w:tabs>
          <w:tab w:leader="none" w:pos="340" w:val="left"/>
        </w:tabs>
        <w:numPr>
          <w:ilvl w:val="0"/>
          <w:numId w:val="11"/>
        </w:numPr>
        <w:rPr>
          <w:rFonts w:ascii="Arial" w:cs="Arial" w:eastAsia="Arial" w:hAnsi="Arial"/>
          <w:sz w:val="22"/>
          <w:szCs w:val="22"/>
          <w:color w:val="auto"/>
        </w:rPr>
      </w:pPr>
      <w:r>
        <w:rPr>
          <w:rFonts w:ascii="Arial" w:cs="Arial" w:eastAsia="Arial" w:hAnsi="Arial"/>
          <w:sz w:val="18"/>
          <w:szCs w:val="18"/>
          <w:color w:val="auto"/>
        </w:rPr>
        <w:t>annual incentive awards based on a review of a variety of metrics, including both financial performance and strategic achievements, reducing the potential to concentrate on one metric as the basis of an annual incentive award;</w:t>
      </w:r>
    </w:p>
    <w:p>
      <w:pPr>
        <w:spacing w:after="0" w:line="222" w:lineRule="exact"/>
        <w:rPr>
          <w:rFonts w:ascii="Arial" w:cs="Arial" w:eastAsia="Arial" w:hAnsi="Arial"/>
          <w:sz w:val="22"/>
          <w:szCs w:val="22"/>
          <w:color w:val="auto"/>
        </w:rPr>
      </w:pPr>
    </w:p>
    <w:p>
      <w:pPr>
        <w:jc w:val="both"/>
        <w:ind w:left="340" w:right="180" w:hanging="332"/>
        <w:spacing w:after="0" w:line="272" w:lineRule="auto"/>
        <w:tabs>
          <w:tab w:leader="none" w:pos="340" w:val="left"/>
        </w:tabs>
        <w:numPr>
          <w:ilvl w:val="0"/>
          <w:numId w:val="11"/>
        </w:numPr>
        <w:rPr>
          <w:rFonts w:ascii="Arial" w:cs="Arial" w:eastAsia="Arial" w:hAnsi="Arial"/>
          <w:sz w:val="22"/>
          <w:szCs w:val="22"/>
          <w:color w:val="auto"/>
        </w:rPr>
      </w:pPr>
      <w:r>
        <w:rPr>
          <w:rFonts w:ascii="Arial" w:cs="Arial" w:eastAsia="Arial" w:hAnsi="Arial"/>
          <w:sz w:val="18"/>
          <w:szCs w:val="18"/>
          <w:color w:val="auto"/>
        </w:rPr>
        <w:t>mix of fixed and variable, annual and long-term, and cash and equity compensation is designed to encourage strategies and actions that are in our long-term best interests;</w:t>
      </w:r>
    </w:p>
    <w:p>
      <w:pPr>
        <w:spacing w:after="0" w:line="230" w:lineRule="exact"/>
        <w:rPr>
          <w:rFonts w:ascii="Arial" w:cs="Arial" w:eastAsia="Arial" w:hAnsi="Arial"/>
          <w:sz w:val="22"/>
          <w:szCs w:val="22"/>
          <w:color w:val="auto"/>
        </w:rPr>
      </w:pPr>
    </w:p>
    <w:p>
      <w:pPr>
        <w:ind w:left="340" w:hanging="332"/>
        <w:spacing w:after="0" w:line="293" w:lineRule="auto"/>
        <w:tabs>
          <w:tab w:leader="none" w:pos="340" w:val="left"/>
        </w:tabs>
        <w:numPr>
          <w:ilvl w:val="0"/>
          <w:numId w:val="11"/>
        </w:numPr>
        <w:rPr>
          <w:rFonts w:ascii="Arial" w:cs="Arial" w:eastAsia="Arial" w:hAnsi="Arial"/>
          <w:sz w:val="21"/>
          <w:szCs w:val="21"/>
          <w:color w:val="auto"/>
        </w:rPr>
      </w:pPr>
      <w:r>
        <w:rPr>
          <w:rFonts w:ascii="Arial" w:cs="Arial" w:eastAsia="Arial" w:hAnsi="Arial"/>
          <w:sz w:val="17"/>
          <w:szCs w:val="17"/>
          <w:color w:val="auto"/>
        </w:rPr>
        <w:t>discretionary authority is maintained by the Compensation Committee to adjust annual bonus funding and payments, which reduces business risk associated with our cash bonus program;</w:t>
      </w:r>
    </w:p>
    <w:p>
      <w:pPr>
        <w:spacing w:after="0" w:line="213" w:lineRule="exact"/>
        <w:rPr>
          <w:rFonts w:ascii="Arial" w:cs="Arial" w:eastAsia="Arial" w:hAnsi="Arial"/>
          <w:sz w:val="21"/>
          <w:szCs w:val="21"/>
          <w:color w:val="auto"/>
        </w:rPr>
      </w:pPr>
    </w:p>
    <w:p>
      <w:pPr>
        <w:ind w:left="340" w:hanging="332"/>
        <w:spacing w:after="0" w:line="280" w:lineRule="auto"/>
        <w:tabs>
          <w:tab w:leader="none" w:pos="340" w:val="left"/>
        </w:tabs>
        <w:numPr>
          <w:ilvl w:val="0"/>
          <w:numId w:val="11"/>
        </w:numPr>
        <w:rPr>
          <w:rFonts w:ascii="Arial" w:cs="Arial" w:eastAsia="Arial" w:hAnsi="Arial"/>
          <w:sz w:val="22"/>
          <w:szCs w:val="22"/>
          <w:color w:val="auto"/>
        </w:rPr>
      </w:pPr>
      <w:r>
        <w:rPr>
          <w:rFonts w:ascii="Arial" w:cs="Arial" w:eastAsia="Arial" w:hAnsi="Arial"/>
          <w:sz w:val="18"/>
          <w:szCs w:val="18"/>
          <w:color w:val="auto"/>
        </w:rPr>
        <w:t>long-term equity incentive awards, including performance-based awards, vest over a period of time, and as a result of the longer time horizon to receive the value of an equity award, the prospect of short-term or risky behavior is mitigated; and</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20 | </w:t>
      </w:r>
      <w:r>
        <w:rPr>
          <w:rFonts w:ascii="Arial" w:cs="Arial" w:eastAsia="Arial" w:hAnsi="Arial"/>
          <w:sz w:val="18"/>
          <w:szCs w:val="18"/>
          <w:b w:val="1"/>
          <w:bCs w:val="1"/>
          <w:color w:val="003B71"/>
        </w:rPr>
        <w:t>2017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8" w:right="80" w:hanging="318"/>
        <w:spacing w:after="0" w:line="256" w:lineRule="auto"/>
        <w:tabs>
          <w:tab w:leader="none" w:pos="3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inclusion of stock ownership requirements for all executive officers, a “clawback” policy, and anti-hedging policies that help to mitigate excessive risk-taking.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3464560" cy="19983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64560" cy="1998345"/>
                    </a:xfrm>
                    <a:prstGeom prst="rect">
                      <a:avLst/>
                    </a:prstGeom>
                    <a:noFill/>
                  </pic:spPr>
                </pic:pic>
              </a:graphicData>
            </a:graphic>
          </wp:anchor>
        </w:drawing>
      </w:r>
    </w:p>
    <w:p>
      <w:pPr>
        <w:spacing w:after="0" w:line="344" w:lineRule="exact"/>
        <w:rPr>
          <w:sz w:val="20"/>
          <w:szCs w:val="20"/>
          <w:color w:val="auto"/>
        </w:rPr>
      </w:pPr>
    </w:p>
    <w:p>
      <w:pPr>
        <w:jc w:val="center"/>
        <w:ind w:right="-77"/>
        <w:spacing w:after="0"/>
        <w:rPr>
          <w:sz w:val="20"/>
          <w:szCs w:val="20"/>
          <w:color w:val="auto"/>
        </w:rPr>
      </w:pPr>
      <w:r>
        <w:rPr>
          <w:rFonts w:ascii="Arial" w:cs="Arial" w:eastAsia="Arial" w:hAnsi="Arial"/>
          <w:sz w:val="20"/>
          <w:szCs w:val="20"/>
          <w:b w:val="1"/>
          <w:bCs w:val="1"/>
          <w:color w:val="FFFFFF"/>
        </w:rPr>
        <w:t>Communicating with the</w:t>
      </w:r>
    </w:p>
    <w:p>
      <w:pPr>
        <w:spacing w:after="0" w:line="10" w:lineRule="exact"/>
        <w:rPr>
          <w:sz w:val="20"/>
          <w:szCs w:val="20"/>
          <w:color w:val="auto"/>
        </w:rPr>
      </w:pPr>
    </w:p>
    <w:p>
      <w:pPr>
        <w:jc w:val="center"/>
        <w:ind w:right="-77"/>
        <w:spacing w:after="0"/>
        <w:rPr>
          <w:sz w:val="20"/>
          <w:szCs w:val="20"/>
          <w:color w:val="auto"/>
        </w:rPr>
      </w:pPr>
      <w:r>
        <w:rPr>
          <w:rFonts w:ascii="Arial" w:cs="Arial" w:eastAsia="Arial" w:hAnsi="Arial"/>
          <w:sz w:val="20"/>
          <w:szCs w:val="20"/>
          <w:b w:val="1"/>
          <w:bCs w:val="1"/>
          <w:color w:val="FFFFFF"/>
        </w:rPr>
        <w:t>Board of Directors</w:t>
      </w:r>
    </w:p>
    <w:p>
      <w:pPr>
        <w:spacing w:after="0" w:line="43" w:lineRule="exact"/>
        <w:rPr>
          <w:sz w:val="20"/>
          <w:szCs w:val="20"/>
          <w:color w:val="auto"/>
        </w:rPr>
      </w:pPr>
    </w:p>
    <w:p>
      <w:pPr>
        <w:ind w:left="158" w:right="260"/>
        <w:spacing w:after="0" w:line="246" w:lineRule="auto"/>
        <w:rPr>
          <w:sz w:val="20"/>
          <w:szCs w:val="20"/>
          <w:color w:val="auto"/>
        </w:rPr>
      </w:pPr>
      <w:r>
        <w:rPr>
          <w:rFonts w:ascii="Arial" w:cs="Arial" w:eastAsia="Arial" w:hAnsi="Arial"/>
          <w:sz w:val="18"/>
          <w:szCs w:val="18"/>
          <w:color w:val="FFFFFF"/>
        </w:rPr>
        <w:t>Any stockholder who wishes to contact a member of our Board of Directors may do so by writing to the following address:</w:t>
      </w:r>
    </w:p>
    <w:p>
      <w:pPr>
        <w:spacing w:after="0" w:line="30"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FFFFFF"/>
        </w:rPr>
        <w:t>Board of Directors</w:t>
      </w:r>
    </w:p>
    <w:p>
      <w:pPr>
        <w:jc w:val="center"/>
        <w:ind w:right="-77"/>
        <w:spacing w:after="0" w:line="234" w:lineRule="auto"/>
        <w:rPr>
          <w:sz w:val="20"/>
          <w:szCs w:val="20"/>
          <w:color w:val="auto"/>
        </w:rPr>
      </w:pPr>
      <w:r>
        <w:rPr>
          <w:rFonts w:ascii="Arial" w:cs="Arial" w:eastAsia="Arial" w:hAnsi="Arial"/>
          <w:sz w:val="18"/>
          <w:szCs w:val="18"/>
          <w:color w:val="FFFFFF"/>
        </w:rPr>
        <w:t>c/o Secretary</w:t>
      </w:r>
    </w:p>
    <w:p>
      <w:pPr>
        <w:jc w:val="center"/>
        <w:ind w:right="-77"/>
        <w:spacing w:after="0" w:line="235" w:lineRule="auto"/>
        <w:rPr>
          <w:sz w:val="20"/>
          <w:szCs w:val="20"/>
          <w:color w:val="auto"/>
        </w:rPr>
      </w:pPr>
      <w:r>
        <w:rPr>
          <w:rFonts w:ascii="Arial" w:cs="Arial" w:eastAsia="Arial" w:hAnsi="Arial"/>
          <w:sz w:val="18"/>
          <w:szCs w:val="18"/>
          <w:color w:val="FFFFFF"/>
        </w:rPr>
        <w:t>LPL Financial Holdings Inc.</w:t>
      </w:r>
    </w:p>
    <w:p>
      <w:pPr>
        <w:jc w:val="center"/>
        <w:ind w:right="-77"/>
        <w:spacing w:after="0" w:line="235" w:lineRule="auto"/>
        <w:rPr>
          <w:sz w:val="20"/>
          <w:szCs w:val="20"/>
          <w:color w:val="auto"/>
        </w:rPr>
      </w:pPr>
      <w:r>
        <w:rPr>
          <w:rFonts w:ascii="Arial" w:cs="Arial" w:eastAsia="Arial" w:hAnsi="Arial"/>
          <w:sz w:val="18"/>
          <w:szCs w:val="18"/>
          <w:color w:val="FFFFFF"/>
        </w:rPr>
        <w:t>75 State Street</w:t>
      </w:r>
    </w:p>
    <w:p>
      <w:pPr>
        <w:spacing w:after="0" w:line="1"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FFFFFF"/>
        </w:rPr>
        <w:t>Boston, MA 02109</w:t>
      </w:r>
    </w:p>
    <w:p>
      <w:pPr>
        <w:spacing w:after="0" w:line="50" w:lineRule="exact"/>
        <w:rPr>
          <w:sz w:val="20"/>
          <w:szCs w:val="20"/>
          <w:color w:val="auto"/>
        </w:rPr>
      </w:pPr>
    </w:p>
    <w:p>
      <w:pPr>
        <w:ind w:left="158" w:right="300"/>
        <w:spacing w:after="0" w:line="239" w:lineRule="auto"/>
        <w:rPr>
          <w:sz w:val="20"/>
          <w:szCs w:val="20"/>
          <w:color w:val="auto"/>
        </w:rPr>
      </w:pPr>
      <w:r>
        <w:rPr>
          <w:rFonts w:ascii="Arial" w:cs="Arial" w:eastAsia="Arial" w:hAnsi="Arial"/>
          <w:sz w:val="18"/>
          <w:szCs w:val="18"/>
          <w:color w:val="FFFFFF"/>
        </w:rPr>
        <w:t>Communications will be distributed to the chair of the Board or the other members of the Board as appropriate depending on the facts and circumstances outlined in the communication received.</w:t>
      </w:r>
    </w:p>
    <w:p>
      <w:pPr>
        <w:sectPr>
          <w:pgSz w:w="11900" w:h="16838" w:orient="portrait"/>
          <w:cols w:equalWidth="0" w:num="2">
            <w:col w:w="5440" w:space="502"/>
            <w:col w:w="5418"/>
          </w:cols>
          <w:pgMar w:left="240" w:top="436" w:right="299" w:bottom="1440" w:gutter="0" w:footer="0" w:header="0"/>
          <w:type w:val="continuous"/>
        </w:sectPr>
      </w:pPr>
    </w:p>
    <w:bookmarkStart w:id="26" w:name="page27"/>
    <w:bookmarkEnd w:id="26"/>
    <w:p>
      <w:pPr>
        <w:jc w:val="right"/>
        <w:ind w:right="6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Board of Director Compensation</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36699"/>
        </w:rPr>
        <w:t>Board of Director Compensation</w:t>
      </w:r>
    </w:p>
    <w:p>
      <w:pPr>
        <w:sectPr>
          <w:pgSz w:w="11900" w:h="16838" w:orient="portrait"/>
          <w:cols w:equalWidth="0" w:num="1">
            <w:col w:w="11420"/>
          </w:cols>
          <w:pgMar w:left="240" w:top="436" w:right="239" w:bottom="1440" w:gutter="0" w:footer="0" w:header="0"/>
        </w:sectPr>
      </w:pPr>
    </w:p>
    <w:p>
      <w:pPr>
        <w:spacing w:after="0" w:line="3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2016, our director compensation policy provided that each of our non-employee directors would receive an annual service retainer of $195,000. Of this amount, $65,000 would be paid in a lump sum in cash (subject to the director’s election to receive this amount in shares of our Common Stock as described below) and $130,000 would be paid in the form of restricted shares of our Common Stock granted under our Amended and Restated 2010 Omnibus Equity Incentive Plan (the “2010 Plan”).</w:t>
      </w:r>
    </w:p>
    <w:p>
      <w:pPr>
        <w:spacing w:after="0" w:line="20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following table sets forth additional annual service retainers under our director compensation policy that a committee member would receive for his or her additional duties during 2016: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b w:val="1"/>
                <w:bCs w:val="1"/>
                <w:color w:val="336699"/>
              </w:rPr>
              <w:t>Each Other</w:t>
            </w:r>
          </w:p>
        </w:tc>
      </w:tr>
      <w:tr>
        <w:trPr>
          <w:trHeight w:val="228"/>
        </w:trPr>
        <w:tc>
          <w:tcPr>
            <w:tcW w:w="2300" w:type="dxa"/>
            <w:vAlign w:val="bottom"/>
            <w:tcBorders>
              <w:bottom w:val="single" w:sz="8" w:color="336699"/>
            </w:tcBorders>
          </w:tcPr>
          <w:p>
            <w:pPr>
              <w:spacing w:after="0"/>
              <w:rPr>
                <w:sz w:val="19"/>
                <w:szCs w:val="19"/>
                <w:color w:val="auto"/>
              </w:rPr>
            </w:pPr>
          </w:p>
        </w:tc>
        <w:tc>
          <w:tcPr>
            <w:tcW w:w="580" w:type="dxa"/>
            <w:vAlign w:val="bottom"/>
            <w:tcBorders>
              <w:bottom w:val="single" w:sz="8" w:color="336699"/>
            </w:tcBorders>
          </w:tcPr>
          <w:p>
            <w:pPr>
              <w:spacing w:after="0"/>
              <w:rPr>
                <w:sz w:val="19"/>
                <w:szCs w:val="19"/>
                <w:color w:val="auto"/>
              </w:rPr>
            </w:pPr>
          </w:p>
        </w:tc>
        <w:tc>
          <w:tcPr>
            <w:tcW w:w="1180" w:type="dxa"/>
            <w:vAlign w:val="bottom"/>
            <w:tcBorders>
              <w:bottom w:val="single" w:sz="8" w:color="336699"/>
            </w:tcBorders>
          </w:tcPr>
          <w:p>
            <w:pPr>
              <w:jc w:val="right"/>
              <w:ind w:right="519"/>
              <w:spacing w:after="0"/>
              <w:rPr>
                <w:sz w:val="20"/>
                <w:szCs w:val="20"/>
                <w:color w:val="auto"/>
              </w:rPr>
            </w:pPr>
            <w:r>
              <w:rPr>
                <w:rFonts w:ascii="Arial" w:cs="Arial" w:eastAsia="Arial" w:hAnsi="Arial"/>
                <w:sz w:val="16"/>
                <w:szCs w:val="16"/>
                <w:b w:val="1"/>
                <w:bCs w:val="1"/>
                <w:color w:val="336699"/>
              </w:rPr>
              <w:t>Chair</w:t>
            </w:r>
          </w:p>
        </w:tc>
        <w:tc>
          <w:tcPr>
            <w:tcW w:w="260" w:type="dxa"/>
            <w:vAlign w:val="bottom"/>
            <w:tcBorders>
              <w:bottom w:val="single" w:sz="8" w:color="336699"/>
            </w:tcBorders>
          </w:tcPr>
          <w:p>
            <w:pPr>
              <w:spacing w:after="0"/>
              <w:rPr>
                <w:sz w:val="19"/>
                <w:szCs w:val="19"/>
                <w:color w:val="auto"/>
              </w:rPr>
            </w:pPr>
          </w:p>
        </w:tc>
        <w:tc>
          <w:tcPr>
            <w:tcW w:w="1160" w:type="dxa"/>
            <w:vAlign w:val="bottom"/>
            <w:tcBorders>
              <w:bottom w:val="single" w:sz="8" w:color="336699"/>
            </w:tcBorders>
          </w:tcPr>
          <w:p>
            <w:pPr>
              <w:jc w:val="right"/>
              <w:ind w:right="279"/>
              <w:spacing w:after="0"/>
              <w:rPr>
                <w:sz w:val="20"/>
                <w:szCs w:val="20"/>
                <w:color w:val="auto"/>
              </w:rPr>
            </w:pPr>
            <w:r>
              <w:rPr>
                <w:rFonts w:ascii="Arial" w:cs="Arial" w:eastAsia="Arial" w:hAnsi="Arial"/>
                <w:sz w:val="16"/>
                <w:szCs w:val="16"/>
                <w:b w:val="1"/>
                <w:bCs w:val="1"/>
                <w:color w:val="336699"/>
              </w:rPr>
              <w:t>Member</w:t>
            </w:r>
          </w:p>
        </w:tc>
      </w:tr>
      <w:tr>
        <w:trPr>
          <w:trHeight w:val="270"/>
        </w:trPr>
        <w:tc>
          <w:tcPr>
            <w:tcW w:w="2300" w:type="dxa"/>
            <w:vAlign w:val="bottom"/>
            <w:shd w:val="clear" w:color="auto" w:fill="CCFFFF"/>
          </w:tcPr>
          <w:p>
            <w:pPr>
              <w:ind w:left="40"/>
              <w:spacing w:after="0"/>
              <w:rPr>
                <w:sz w:val="20"/>
                <w:szCs w:val="20"/>
                <w:color w:val="auto"/>
              </w:rPr>
            </w:pPr>
            <w:r>
              <w:rPr>
                <w:rFonts w:ascii="Arial" w:cs="Arial" w:eastAsia="Arial" w:hAnsi="Arial"/>
                <w:sz w:val="16"/>
                <w:szCs w:val="16"/>
                <w:color w:val="auto"/>
              </w:rPr>
              <w:t>Audit Committee</w:t>
            </w:r>
          </w:p>
        </w:tc>
        <w:tc>
          <w:tcPr>
            <w:tcW w:w="580" w:type="dxa"/>
            <w:vAlign w:val="bottom"/>
            <w:shd w:val="clear" w:color="auto" w:fill="CCFF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FFFF"/>
          </w:tcPr>
          <w:p>
            <w:pPr>
              <w:jc w:val="right"/>
              <w:ind w:right="59"/>
              <w:spacing w:after="0"/>
              <w:rPr>
                <w:sz w:val="20"/>
                <w:szCs w:val="20"/>
                <w:color w:val="auto"/>
              </w:rPr>
            </w:pPr>
            <w:r>
              <w:rPr>
                <w:rFonts w:ascii="Arial" w:cs="Arial" w:eastAsia="Arial" w:hAnsi="Arial"/>
                <w:sz w:val="16"/>
                <w:szCs w:val="16"/>
                <w:color w:val="auto"/>
              </w:rPr>
              <w:t>20,000</w:t>
            </w:r>
          </w:p>
        </w:tc>
        <w:tc>
          <w:tcPr>
            <w:tcW w:w="2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10,000</w:t>
            </w:r>
          </w:p>
        </w:tc>
      </w:tr>
      <w:tr>
        <w:trPr>
          <w:trHeight w:val="260"/>
        </w:trPr>
        <w:tc>
          <w:tcPr>
            <w:tcW w:w="2300" w:type="dxa"/>
            <w:vAlign w:val="bottom"/>
          </w:tcPr>
          <w:p>
            <w:pPr>
              <w:ind w:left="40"/>
              <w:spacing w:after="0"/>
              <w:rPr>
                <w:sz w:val="20"/>
                <w:szCs w:val="20"/>
                <w:color w:val="auto"/>
              </w:rPr>
            </w:pPr>
            <w:r>
              <w:rPr>
                <w:rFonts w:ascii="Arial" w:cs="Arial" w:eastAsia="Arial" w:hAnsi="Arial"/>
                <w:sz w:val="16"/>
                <w:szCs w:val="16"/>
                <w:color w:val="auto"/>
              </w:rPr>
              <w:t>Compensation Committee</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15,000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7,500</w:t>
            </w:r>
          </w:p>
        </w:tc>
      </w:tr>
      <w:tr>
        <w:trPr>
          <w:trHeight w:val="228"/>
        </w:trPr>
        <w:tc>
          <w:tcPr>
            <w:tcW w:w="2300" w:type="dxa"/>
            <w:vAlign w:val="bottom"/>
            <w:shd w:val="clear" w:color="auto" w:fill="CCFFFF"/>
          </w:tcPr>
          <w:p>
            <w:pPr>
              <w:ind w:left="40"/>
              <w:spacing w:after="0"/>
              <w:rPr>
                <w:sz w:val="20"/>
                <w:szCs w:val="20"/>
                <w:color w:val="auto"/>
              </w:rPr>
            </w:pPr>
            <w:r>
              <w:rPr>
                <w:rFonts w:ascii="Arial" w:cs="Arial" w:eastAsia="Arial" w:hAnsi="Arial"/>
                <w:sz w:val="16"/>
                <w:szCs w:val="16"/>
                <w:color w:val="auto"/>
              </w:rPr>
              <w:t>Nominating and</w:t>
            </w:r>
          </w:p>
        </w:tc>
        <w:tc>
          <w:tcPr>
            <w:tcW w:w="580" w:type="dxa"/>
            <w:vAlign w:val="bottom"/>
            <w:shd w:val="clear" w:color="auto" w:fill="CCFFFF"/>
          </w:tcPr>
          <w:p>
            <w:pPr>
              <w:spacing w:after="0"/>
              <w:rPr>
                <w:sz w:val="19"/>
                <w:szCs w:val="19"/>
                <w:color w:val="auto"/>
              </w:rPr>
            </w:pPr>
          </w:p>
        </w:tc>
        <w:tc>
          <w:tcPr>
            <w:tcW w:w="1180" w:type="dxa"/>
            <w:vAlign w:val="bottom"/>
            <w:shd w:val="clear" w:color="auto" w:fill="CCFFFF"/>
          </w:tcPr>
          <w:p>
            <w:pPr>
              <w:spacing w:after="0"/>
              <w:rPr>
                <w:sz w:val="19"/>
                <w:szCs w:val="19"/>
                <w:color w:val="auto"/>
              </w:rPr>
            </w:pPr>
          </w:p>
        </w:tc>
        <w:tc>
          <w:tcPr>
            <w:tcW w:w="260" w:type="dxa"/>
            <w:vAlign w:val="bottom"/>
            <w:shd w:val="clear" w:color="auto" w:fill="CCFFFF"/>
          </w:tcPr>
          <w:p>
            <w:pPr>
              <w:spacing w:after="0"/>
              <w:rPr>
                <w:sz w:val="19"/>
                <w:szCs w:val="19"/>
                <w:color w:val="auto"/>
              </w:rPr>
            </w:pPr>
          </w:p>
        </w:tc>
        <w:tc>
          <w:tcPr>
            <w:tcW w:w="1160" w:type="dxa"/>
            <w:vAlign w:val="bottom"/>
            <w:shd w:val="clear" w:color="auto" w:fill="CCFFFF"/>
          </w:tcPr>
          <w:p>
            <w:pPr>
              <w:spacing w:after="0"/>
              <w:rPr>
                <w:sz w:val="19"/>
                <w:szCs w:val="19"/>
                <w:color w:val="auto"/>
              </w:rPr>
            </w:pPr>
          </w:p>
        </w:tc>
      </w:tr>
      <w:tr>
        <w:trPr>
          <w:trHeight w:val="208"/>
        </w:trPr>
        <w:tc>
          <w:tcPr>
            <w:tcW w:w="2300" w:type="dxa"/>
            <w:vAlign w:val="bottom"/>
            <w:tcBorders>
              <w:bottom w:val="single" w:sz="8" w:color="336699"/>
            </w:tcBorders>
            <w:shd w:val="clear" w:color="auto" w:fill="CCFFFF"/>
          </w:tcPr>
          <w:p>
            <w:pPr>
              <w:ind w:left="260"/>
              <w:spacing w:after="0"/>
              <w:rPr>
                <w:sz w:val="20"/>
                <w:szCs w:val="20"/>
                <w:color w:val="auto"/>
              </w:rPr>
            </w:pPr>
            <w:r>
              <w:rPr>
                <w:rFonts w:ascii="Arial" w:cs="Arial" w:eastAsia="Arial" w:hAnsi="Arial"/>
                <w:sz w:val="16"/>
                <w:szCs w:val="16"/>
                <w:color w:val="auto"/>
              </w:rPr>
              <w:t>Governance Committee</w:t>
            </w:r>
          </w:p>
        </w:tc>
        <w:tc>
          <w:tcPr>
            <w:tcW w:w="580" w:type="dxa"/>
            <w:vAlign w:val="bottom"/>
            <w:tcBorders>
              <w:bottom w:val="single" w:sz="8" w:color="336699"/>
            </w:tcBorders>
            <w:shd w:val="clear" w:color="auto" w:fill="CCFF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336699"/>
            </w:tcBorders>
            <w:shd w:val="clear" w:color="auto" w:fill="CCFFFF"/>
          </w:tcPr>
          <w:p>
            <w:pPr>
              <w:jc w:val="right"/>
              <w:ind w:right="59"/>
              <w:spacing w:after="0"/>
              <w:rPr>
                <w:sz w:val="20"/>
                <w:szCs w:val="20"/>
                <w:color w:val="auto"/>
              </w:rPr>
            </w:pPr>
            <w:r>
              <w:rPr>
                <w:rFonts w:ascii="Arial" w:cs="Arial" w:eastAsia="Arial" w:hAnsi="Arial"/>
                <w:sz w:val="16"/>
                <w:szCs w:val="16"/>
                <w:color w:val="auto"/>
              </w:rPr>
              <w:t>10,000</w:t>
            </w:r>
          </w:p>
        </w:tc>
        <w:tc>
          <w:tcPr>
            <w:tcW w:w="26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6"/>
                <w:szCs w:val="16"/>
                <w:color w:val="auto"/>
              </w:rPr>
              <w:t>5,000</w:t>
            </w:r>
          </w:p>
        </w:tc>
      </w:tr>
    </w:tbl>
    <w:p>
      <w:pPr>
        <w:spacing w:after="0" w:line="2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2016, our director compensation policy also provided that we would pay the lead director an additional annual service retainer of $25,000 in connection with his additional duties on the Board. The retainers for committee and lead director service were paid in cash in installments following the end of each quarter of service. Mr. Casady did not receive additional compensation for his service as a director prior to his retirement from the Board, and Mr. Arnold will not receive additional compensation for his service as a director.</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noted above, each of our non-employee directors was granted an annual award of restricted stock having a value of $130,000 (based on the average of the closing price of our Common Stock for the trailing thirty consecutive trading days including the date of grant). The awards vest in full on May 11, 2017, which is the first anniversary of the business day that immediately followed our 2016 annual meeting of stockholders, generally subject to the director’s continued service through that date. We believe these equity grants serve to further align our directors’ interests with the interests of our stockholders.</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May 2015, we amended our director compensation policy to allow non-employee directors to make an election to be issued, in lieu of the cash portion of their annual retainer, a number of fully vested shares of our Common Stock. For 2016, the number of fully vested shares was determined by dividing $65,000 by the average of the closing price of our Common Stock for the trailing thirty consecutive trading days, including the date such shares are issued.</w:t>
      </w:r>
    </w:p>
    <w:p>
      <w:pPr>
        <w:spacing w:after="0" w:line="19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November 2015, we adopted the LPL Financial Holdings Inc. Non-Employee Director Deferred Compensation Plan (the “Deferred Plan”). Under the Deferred Plan and beginning in 2016, non-employee directors may make an annual election to defer the receipt of the equity portion, or both the equity and cash portion, of their annual retainer for board service. For directors who make such a deferral election, a book-entry account is established and credited with a number of deferred stock units granted under our 2010 Plan equal in value to the shares and, if so elected by the director, the cash, that would otherwise be granted or paid absent such deferral election, with each deferred stock unit representing the right to receive a share of our Common Stock. Such shares will be paid only upon a director’s separation from service or a change in control, as defined in the Deferred Plan.</w:t>
      </w:r>
    </w:p>
    <w:p>
      <w:pPr>
        <w:spacing w:after="0" w:line="21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February 2017, after a review of the director compensation practices of our peer group, we amended our director compensation policy to, among other things, provide for an additional annual service retainer for the non-executive chair of $120,000.</w:t>
      </w:r>
    </w:p>
    <w:p>
      <w:pPr>
        <w:spacing w:after="0" w:line="20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equity ownership guidelines for non-employee directors provide that within five years of the date of his or her election to the Board, each non-employee director must maintain ownership of shares of Common Stock equal to five times the cash portion of the annual service retainer then in effect for our non-employee directors, not including any committee retainers. All shares owned outright and beneficially owned by such non-employee director, including all shares of unvested restricted stock, are counted in determining compliance with such minimum ownership requirement. Neither vested nor unvested stock options are counted, however. As of April 11, 2017, each of our non-employee directors who has served for at least five years satisfied the minimum ownership requirement.</w:t>
      </w:r>
    </w:p>
    <w:p>
      <w:pPr>
        <w:spacing w:after="0" w:line="200" w:lineRule="exact"/>
        <w:rPr>
          <w:sz w:val="20"/>
          <w:szCs w:val="20"/>
          <w:color w:val="auto"/>
        </w:rPr>
      </w:pPr>
    </w:p>
    <w:p>
      <w:pPr>
        <w:sectPr>
          <w:pgSz w:w="11900" w:h="16838" w:orient="portrait"/>
          <w:cols w:equalWidth="0" w:num="2">
            <w:col w:w="5480" w:space="460"/>
            <w:col w:w="5480"/>
          </w:cols>
          <w:pgMar w:left="240" w:top="436" w:right="239" w:bottom="1440" w:gutter="0" w:footer="0" w:header="0"/>
          <w:type w:val="continuous"/>
        </w:sectPr>
      </w:pPr>
    </w:p>
    <w:p>
      <w:pPr>
        <w:spacing w:after="0" w:line="124"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21</w:t>
      </w:r>
    </w:p>
    <w:p>
      <w:pPr>
        <w:sectPr>
          <w:pgSz w:w="11900" w:h="16838" w:orient="portrait"/>
          <w:cols w:equalWidth="0" w:num="1">
            <w:col w:w="11420"/>
          </w:cols>
          <w:pgMar w:left="240" w:top="436" w:right="239" w:bottom="1440" w:gutter="0" w:footer="0" w:header="0"/>
          <w:type w:val="continuous"/>
        </w:sectPr>
      </w:pPr>
    </w:p>
    <w:bookmarkStart w:id="27" w:name="page28"/>
    <w:bookmarkEnd w:id="27"/>
    <w:p>
      <w:pPr>
        <w:ind w:left="830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Board of Director Compensation</w:t>
      </w:r>
    </w:p>
    <w:p>
      <w:pPr>
        <w:spacing w:after="0" w:line="200" w:lineRule="exact"/>
        <w:rPr>
          <w:sz w:val="20"/>
          <w:szCs w:val="20"/>
          <w:color w:val="auto"/>
        </w:rPr>
      </w:pPr>
    </w:p>
    <w:p>
      <w:pPr>
        <w:spacing w:after="0" w:line="31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following table sets forth the compensation received from us by each non-employee director for service on the Board for the fiscal year ended December 31, 2016. In addition to the payments disclosed in the table below, our directors were reimbursed for reasonable out-of-pocket expenses incurred in connection with their attendance at Board and committee meetings.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00" w:type="dxa"/>
            <w:vAlign w:val="bottom"/>
            <w:gridSpan w:val="2"/>
          </w:tcPr>
          <w:p>
            <w:pPr>
              <w:jc w:val="center"/>
              <w:ind w:right="183"/>
              <w:spacing w:after="0"/>
              <w:rPr>
                <w:sz w:val="20"/>
                <w:szCs w:val="20"/>
                <w:color w:val="auto"/>
              </w:rPr>
            </w:pPr>
            <w:r>
              <w:rPr>
                <w:rFonts w:ascii="Arial" w:cs="Arial" w:eastAsia="Arial" w:hAnsi="Arial"/>
                <w:sz w:val="16"/>
                <w:szCs w:val="16"/>
                <w:b w:val="1"/>
                <w:bCs w:val="1"/>
                <w:color w:val="336699"/>
              </w:rPr>
              <w:t>Fees Earned</w:t>
            </w:r>
          </w:p>
        </w:tc>
        <w:tc>
          <w:tcPr>
            <w:tcW w:w="880" w:type="dxa"/>
            <w:vAlign w:val="bottom"/>
          </w:tcPr>
          <w:p>
            <w:pPr>
              <w:spacing w:after="0"/>
              <w:rPr>
                <w:sz w:val="16"/>
                <w:szCs w:val="16"/>
                <w:color w:val="auto"/>
              </w:rPr>
            </w:pPr>
          </w:p>
        </w:tc>
        <w:tc>
          <w:tcPr>
            <w:tcW w:w="1320" w:type="dxa"/>
            <w:vAlign w:val="bottom"/>
          </w:tcPr>
          <w:p>
            <w:pPr>
              <w:jc w:val="center"/>
              <w:ind w:left="45"/>
              <w:spacing w:after="0"/>
              <w:rPr>
                <w:sz w:val="20"/>
                <w:szCs w:val="20"/>
                <w:color w:val="auto"/>
              </w:rPr>
            </w:pPr>
            <w:r>
              <w:rPr>
                <w:rFonts w:ascii="Arial" w:cs="Arial" w:eastAsia="Arial" w:hAnsi="Arial"/>
                <w:sz w:val="16"/>
                <w:szCs w:val="16"/>
                <w:b w:val="1"/>
                <w:bCs w:val="1"/>
                <w:color w:val="336699"/>
              </w:rPr>
              <w:t>Stock</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00" w:type="dxa"/>
            <w:vAlign w:val="bottom"/>
            <w:gridSpan w:val="2"/>
          </w:tcPr>
          <w:p>
            <w:pPr>
              <w:jc w:val="center"/>
              <w:ind w:right="163"/>
              <w:spacing w:after="0"/>
              <w:rPr>
                <w:sz w:val="20"/>
                <w:szCs w:val="20"/>
                <w:color w:val="auto"/>
              </w:rPr>
            </w:pPr>
            <w:r>
              <w:rPr>
                <w:rFonts w:ascii="Arial" w:cs="Arial" w:eastAsia="Arial" w:hAnsi="Arial"/>
                <w:sz w:val="16"/>
                <w:szCs w:val="16"/>
                <w:b w:val="1"/>
                <w:bCs w:val="1"/>
                <w:color w:val="336699"/>
              </w:rPr>
              <w:t>or Paid in Cash</w:t>
            </w:r>
          </w:p>
        </w:tc>
        <w:tc>
          <w:tcPr>
            <w:tcW w:w="880" w:type="dxa"/>
            <w:vAlign w:val="bottom"/>
          </w:tcPr>
          <w:p>
            <w:pPr>
              <w:spacing w:after="0"/>
              <w:rPr>
                <w:sz w:val="16"/>
                <w:szCs w:val="16"/>
                <w:color w:val="auto"/>
              </w:rPr>
            </w:pPr>
          </w:p>
        </w:tc>
        <w:tc>
          <w:tcPr>
            <w:tcW w:w="1320" w:type="dxa"/>
            <w:vAlign w:val="bottom"/>
          </w:tcPr>
          <w:p>
            <w:pPr>
              <w:jc w:val="center"/>
              <w:ind w:left="25"/>
              <w:spacing w:after="0"/>
              <w:rPr>
                <w:sz w:val="20"/>
                <w:szCs w:val="20"/>
                <w:color w:val="auto"/>
              </w:rPr>
            </w:pPr>
            <w:r>
              <w:rPr>
                <w:rFonts w:ascii="Arial" w:cs="Arial" w:eastAsia="Arial" w:hAnsi="Arial"/>
                <w:sz w:val="16"/>
                <w:szCs w:val="16"/>
                <w:b w:val="1"/>
                <w:bCs w:val="1"/>
                <w:color w:val="336699"/>
              </w:rPr>
              <w:t>Awards</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80" w:type="dxa"/>
            <w:vAlign w:val="bottom"/>
          </w:tcPr>
          <w:p>
            <w:pPr>
              <w:jc w:val="right"/>
              <w:ind w:right="723"/>
              <w:spacing w:after="0"/>
              <w:rPr>
                <w:sz w:val="20"/>
                <w:szCs w:val="20"/>
                <w:color w:val="auto"/>
              </w:rPr>
            </w:pPr>
            <w:r>
              <w:rPr>
                <w:rFonts w:ascii="Arial" w:cs="Arial" w:eastAsia="Arial" w:hAnsi="Arial"/>
                <w:sz w:val="16"/>
                <w:szCs w:val="16"/>
                <w:b w:val="1"/>
                <w:bCs w:val="1"/>
                <w:color w:val="336699"/>
              </w:rPr>
              <w:t>Total</w:t>
            </w:r>
          </w:p>
        </w:tc>
        <w:tc>
          <w:tcPr>
            <w:tcW w:w="0" w:type="dxa"/>
            <w:vAlign w:val="bottom"/>
          </w:tcPr>
          <w:p>
            <w:pPr>
              <w:spacing w:after="0"/>
              <w:rPr>
                <w:sz w:val="1"/>
                <w:szCs w:val="1"/>
                <w:color w:val="auto"/>
              </w:rPr>
            </w:pPr>
          </w:p>
        </w:tc>
      </w:tr>
      <w:tr>
        <w:trPr>
          <w:trHeight w:val="234"/>
        </w:trPr>
        <w:tc>
          <w:tcPr>
            <w:tcW w:w="2860" w:type="dxa"/>
            <w:vAlign w:val="bottom"/>
            <w:tcBorders>
              <w:bottom w:val="single" w:sz="8" w:color="336699"/>
            </w:tcBorders>
          </w:tcPr>
          <w:p>
            <w:pPr>
              <w:ind w:left="40"/>
              <w:spacing w:after="0"/>
              <w:rPr>
                <w:sz w:val="20"/>
                <w:szCs w:val="20"/>
                <w:color w:val="auto"/>
              </w:rPr>
            </w:pPr>
            <w:r>
              <w:rPr>
                <w:rFonts w:ascii="Arial" w:cs="Arial" w:eastAsia="Arial" w:hAnsi="Arial"/>
                <w:sz w:val="16"/>
                <w:szCs w:val="16"/>
                <w:b w:val="1"/>
                <w:bCs w:val="1"/>
                <w:color w:val="336699"/>
              </w:rPr>
              <w:t>Name</w:t>
            </w:r>
          </w:p>
        </w:tc>
        <w:tc>
          <w:tcPr>
            <w:tcW w:w="1560" w:type="dxa"/>
            <w:vAlign w:val="bottom"/>
            <w:tcBorders>
              <w:bottom w:val="single" w:sz="8" w:color="336699"/>
            </w:tcBorders>
          </w:tcPr>
          <w:p>
            <w:pPr>
              <w:spacing w:after="0"/>
              <w:rPr>
                <w:sz w:val="20"/>
                <w:szCs w:val="20"/>
                <w:color w:val="auto"/>
              </w:rPr>
            </w:pPr>
          </w:p>
        </w:tc>
        <w:tc>
          <w:tcPr>
            <w:tcW w:w="1300" w:type="dxa"/>
            <w:vAlign w:val="bottom"/>
            <w:tcBorders>
              <w:bottom w:val="single" w:sz="8" w:color="336699"/>
            </w:tcBorders>
          </w:tcPr>
          <w:p>
            <w:pPr>
              <w:jc w:val="center"/>
              <w:ind w:left="462"/>
              <w:spacing w:after="0"/>
              <w:rPr>
                <w:sz w:val="20"/>
                <w:szCs w:val="20"/>
                <w:color w:val="auto"/>
              </w:rPr>
            </w:pPr>
            <w:r>
              <w:rPr>
                <w:rFonts w:ascii="Arial" w:cs="Arial" w:eastAsia="Arial" w:hAnsi="Arial"/>
                <w:sz w:val="16"/>
                <w:szCs w:val="16"/>
                <w:b w:val="1"/>
                <w:bCs w:val="1"/>
                <w:color w:val="336699"/>
              </w:rPr>
              <w:t>($)</w:t>
            </w:r>
          </w:p>
        </w:tc>
        <w:tc>
          <w:tcPr>
            <w:tcW w:w="800" w:type="dxa"/>
            <w:vAlign w:val="bottom"/>
            <w:tcBorders>
              <w:bottom w:val="single" w:sz="8" w:color="336699"/>
            </w:tcBorders>
          </w:tcPr>
          <w:p>
            <w:pPr>
              <w:spacing w:after="0"/>
              <w:rPr>
                <w:sz w:val="20"/>
                <w:szCs w:val="20"/>
                <w:color w:val="auto"/>
              </w:rPr>
            </w:pPr>
          </w:p>
        </w:tc>
        <w:tc>
          <w:tcPr>
            <w:tcW w:w="880" w:type="dxa"/>
            <w:vAlign w:val="bottom"/>
            <w:tcBorders>
              <w:bottom w:val="single" w:sz="8" w:color="336699"/>
            </w:tcBorders>
          </w:tcPr>
          <w:p>
            <w:pPr>
              <w:spacing w:after="0"/>
              <w:rPr>
                <w:sz w:val="20"/>
                <w:szCs w:val="20"/>
                <w:color w:val="auto"/>
              </w:rPr>
            </w:pPr>
          </w:p>
        </w:tc>
        <w:tc>
          <w:tcPr>
            <w:tcW w:w="1320" w:type="dxa"/>
            <w:vAlign w:val="bottom"/>
            <w:tcBorders>
              <w:bottom w:val="single" w:sz="8" w:color="336699"/>
            </w:tcBorders>
          </w:tcPr>
          <w:p>
            <w:pPr>
              <w:jc w:val="center"/>
              <w:ind w:left="25"/>
              <w:spacing w:after="0" w:line="235" w:lineRule="exact"/>
              <w:rPr>
                <w:sz w:val="20"/>
                <w:szCs w:val="20"/>
                <w:color w:val="auto"/>
              </w:rPr>
            </w:pPr>
            <w:r>
              <w:rPr>
                <w:rFonts w:ascii="Arial" w:cs="Arial" w:eastAsia="Arial" w:hAnsi="Arial"/>
                <w:sz w:val="27"/>
                <w:szCs w:val="27"/>
                <w:b w:val="1"/>
                <w:bCs w:val="1"/>
                <w:color w:val="336699"/>
                <w:w w:val="98"/>
                <w:vertAlign w:val="subscript"/>
              </w:rPr>
              <w:t>($)</w:t>
            </w:r>
            <w:r>
              <w:rPr>
                <w:rFonts w:ascii="Arial" w:cs="Arial" w:eastAsia="Arial" w:hAnsi="Arial"/>
                <w:sz w:val="10"/>
                <w:szCs w:val="10"/>
                <w:b w:val="1"/>
                <w:bCs w:val="1"/>
                <w:color w:val="336699"/>
                <w:w w:val="98"/>
              </w:rPr>
              <w:t>(1)(2)</w:t>
            </w:r>
          </w:p>
        </w:tc>
        <w:tc>
          <w:tcPr>
            <w:tcW w:w="540" w:type="dxa"/>
            <w:vAlign w:val="bottom"/>
            <w:tcBorders>
              <w:bottom w:val="single" w:sz="8" w:color="336699"/>
            </w:tcBorders>
          </w:tcPr>
          <w:p>
            <w:pPr>
              <w:spacing w:after="0"/>
              <w:rPr>
                <w:sz w:val="20"/>
                <w:szCs w:val="20"/>
                <w:color w:val="auto"/>
              </w:rPr>
            </w:pPr>
          </w:p>
        </w:tc>
        <w:tc>
          <w:tcPr>
            <w:tcW w:w="680" w:type="dxa"/>
            <w:vAlign w:val="bottom"/>
            <w:tcBorders>
              <w:bottom w:val="single" w:sz="8" w:color="336699"/>
            </w:tcBorders>
          </w:tcPr>
          <w:p>
            <w:pPr>
              <w:spacing w:after="0"/>
              <w:rPr>
                <w:sz w:val="20"/>
                <w:szCs w:val="20"/>
                <w:color w:val="auto"/>
              </w:rPr>
            </w:pPr>
          </w:p>
        </w:tc>
        <w:tc>
          <w:tcPr>
            <w:tcW w:w="1480" w:type="dxa"/>
            <w:vAlign w:val="bottom"/>
            <w:tcBorders>
              <w:bottom w:val="single" w:sz="8" w:color="336699"/>
            </w:tcBorders>
          </w:tcPr>
          <w:p>
            <w:pPr>
              <w:jc w:val="right"/>
              <w:ind w:right="823"/>
              <w:spacing w:after="0"/>
              <w:rPr>
                <w:sz w:val="20"/>
                <w:szCs w:val="20"/>
                <w:color w:val="auto"/>
              </w:rPr>
            </w:pPr>
            <w:r>
              <w:rPr>
                <w:rFonts w:ascii="Arial" w:cs="Arial" w:eastAsia="Arial" w:hAnsi="Arial"/>
                <w:sz w:val="16"/>
                <w:szCs w:val="16"/>
                <w:b w:val="1"/>
                <w:bCs w:val="1"/>
                <w:color w:val="336699"/>
              </w:rPr>
              <w:t>($)</w:t>
            </w:r>
          </w:p>
        </w:tc>
        <w:tc>
          <w:tcPr>
            <w:tcW w:w="0" w:type="dxa"/>
            <w:vAlign w:val="bottom"/>
          </w:tcPr>
          <w:p>
            <w:pPr>
              <w:spacing w:after="0"/>
              <w:rPr>
                <w:sz w:val="1"/>
                <w:szCs w:val="1"/>
                <w:color w:val="auto"/>
              </w:rPr>
            </w:pPr>
          </w:p>
        </w:tc>
      </w:tr>
      <w:tr>
        <w:trPr>
          <w:trHeight w:val="264"/>
        </w:trPr>
        <w:tc>
          <w:tcPr>
            <w:tcW w:w="2860" w:type="dxa"/>
            <w:vAlign w:val="bottom"/>
            <w:shd w:val="clear" w:color="auto" w:fill="CCFFFF"/>
          </w:tcPr>
          <w:p>
            <w:pPr>
              <w:ind w:left="40"/>
              <w:spacing w:after="0"/>
              <w:rPr>
                <w:sz w:val="20"/>
                <w:szCs w:val="20"/>
                <w:color w:val="auto"/>
              </w:rPr>
            </w:pPr>
            <w:r>
              <w:rPr>
                <w:rFonts w:ascii="Arial" w:cs="Arial" w:eastAsia="Arial" w:hAnsi="Arial"/>
                <w:sz w:val="15"/>
                <w:szCs w:val="15"/>
                <w:color w:val="auto"/>
              </w:rPr>
              <w:t>Richard W. Boyce</w:t>
            </w:r>
          </w:p>
        </w:tc>
        <w:tc>
          <w:tcPr>
            <w:tcW w:w="1560" w:type="dxa"/>
            <w:vAlign w:val="bottom"/>
            <w:shd w:val="clear" w:color="auto" w:fill="CCFFFF"/>
          </w:tcPr>
          <w:p>
            <w:pPr>
              <w:jc w:val="right"/>
              <w:ind w:right="263"/>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FFFF"/>
          </w:tcPr>
          <w:p>
            <w:pPr>
              <w:jc w:val="right"/>
              <w:spacing w:after="0"/>
              <w:rPr>
                <w:sz w:val="20"/>
                <w:szCs w:val="20"/>
                <w:color w:val="auto"/>
              </w:rPr>
            </w:pPr>
            <w:r>
              <w:rPr>
                <w:rFonts w:ascii="Arial" w:cs="Arial" w:eastAsia="Arial" w:hAnsi="Arial"/>
                <w:sz w:val="15"/>
                <w:szCs w:val="15"/>
                <w:color w:val="auto"/>
              </w:rPr>
              <w:t>2,699</w:t>
            </w:r>
          </w:p>
        </w:tc>
        <w:tc>
          <w:tcPr>
            <w:tcW w:w="800" w:type="dxa"/>
            <w:vAlign w:val="bottom"/>
            <w:shd w:val="clear" w:color="auto" w:fill="CCFFFF"/>
          </w:tcPr>
          <w:p>
            <w:pPr>
              <w:ind w:left="60"/>
              <w:spacing w:after="0"/>
              <w:rPr>
                <w:sz w:val="20"/>
                <w:szCs w:val="20"/>
                <w:color w:val="auto"/>
              </w:rPr>
            </w:pPr>
            <w:r>
              <w:rPr>
                <w:rFonts w:ascii="Arial" w:cs="Arial" w:eastAsia="Arial" w:hAnsi="Arial"/>
                <w:sz w:val="15"/>
                <w:szCs w:val="15"/>
                <w:color w:val="auto"/>
              </w:rPr>
              <w:t>(3)</w:t>
            </w:r>
          </w:p>
        </w:tc>
        <w:tc>
          <w:tcPr>
            <w:tcW w:w="880" w:type="dxa"/>
            <w:vAlign w:val="bottom"/>
            <w:shd w:val="clear" w:color="auto" w:fill="CCFFFF"/>
          </w:tcPr>
          <w:p>
            <w:pPr>
              <w:jc w:val="right"/>
              <w:ind w:right="363"/>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FF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FFFF"/>
          </w:tcPr>
          <w:p>
            <w:pPr>
              <w:spacing w:after="0"/>
              <w:rPr>
                <w:sz w:val="22"/>
                <w:szCs w:val="22"/>
                <w:color w:val="auto"/>
              </w:rPr>
            </w:pPr>
          </w:p>
        </w:tc>
        <w:tc>
          <w:tcPr>
            <w:tcW w:w="680" w:type="dxa"/>
            <w:vAlign w:val="bottom"/>
            <w:shd w:val="clear" w:color="auto" w:fill="CCFFFF"/>
          </w:tcPr>
          <w:p>
            <w:pPr>
              <w:jc w:val="right"/>
              <w:ind w:right="243"/>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FFFF"/>
          </w:tcPr>
          <w:p>
            <w:pPr>
              <w:jc w:val="right"/>
              <w:ind w:right="23"/>
              <w:spacing w:after="0"/>
              <w:rPr>
                <w:sz w:val="20"/>
                <w:szCs w:val="20"/>
                <w:color w:val="auto"/>
              </w:rPr>
            </w:pPr>
            <w:r>
              <w:rPr>
                <w:rFonts w:ascii="Arial" w:cs="Arial" w:eastAsia="Arial" w:hAnsi="Arial"/>
                <w:sz w:val="15"/>
                <w:szCs w:val="15"/>
                <w:color w:val="auto"/>
              </w:rPr>
              <w:t>2,699</w:t>
            </w:r>
          </w:p>
        </w:tc>
        <w:tc>
          <w:tcPr>
            <w:tcW w:w="0" w:type="dxa"/>
            <w:vAlign w:val="bottom"/>
          </w:tcPr>
          <w:p>
            <w:pPr>
              <w:spacing w:after="0"/>
              <w:rPr>
                <w:sz w:val="1"/>
                <w:szCs w:val="1"/>
                <w:color w:val="auto"/>
              </w:rPr>
            </w:pPr>
          </w:p>
        </w:tc>
      </w:tr>
      <w:tr>
        <w:trPr>
          <w:trHeight w:val="212"/>
        </w:trPr>
        <w:tc>
          <w:tcPr>
            <w:tcW w:w="2860" w:type="dxa"/>
            <w:vAlign w:val="bottom"/>
          </w:tcPr>
          <w:p>
            <w:pPr>
              <w:ind w:left="40"/>
              <w:spacing w:after="0"/>
              <w:rPr>
                <w:sz w:val="20"/>
                <w:szCs w:val="20"/>
                <w:color w:val="auto"/>
              </w:rPr>
            </w:pPr>
            <w:r>
              <w:rPr>
                <w:rFonts w:ascii="Arial" w:cs="Arial" w:eastAsia="Arial" w:hAnsi="Arial"/>
                <w:sz w:val="15"/>
                <w:szCs w:val="15"/>
                <w:color w:val="auto"/>
              </w:rPr>
              <w:t>John J. Brennan</w:t>
            </w:r>
          </w:p>
        </w:tc>
        <w:tc>
          <w:tcPr>
            <w:tcW w:w="15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94,664</w:t>
            </w:r>
          </w:p>
        </w:tc>
        <w:tc>
          <w:tcPr>
            <w:tcW w:w="800" w:type="dxa"/>
            <w:vAlign w:val="bottom"/>
          </w:tcPr>
          <w:p>
            <w:pPr>
              <w:ind w:left="60"/>
              <w:spacing w:after="0"/>
              <w:rPr>
                <w:sz w:val="20"/>
                <w:szCs w:val="20"/>
                <w:color w:val="auto"/>
              </w:rPr>
            </w:pPr>
            <w:r>
              <w:rPr>
                <w:rFonts w:ascii="Arial" w:cs="Arial" w:eastAsia="Arial" w:hAnsi="Arial"/>
                <w:sz w:val="15"/>
                <w:szCs w:val="15"/>
                <w:color w:val="auto"/>
              </w:rPr>
              <w:t>(4)</w:t>
            </w:r>
          </w:p>
        </w:tc>
        <w:tc>
          <w:tcPr>
            <w:tcW w:w="88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124,328</w:t>
            </w:r>
          </w:p>
        </w:tc>
        <w:tc>
          <w:tcPr>
            <w:tcW w:w="540" w:type="dxa"/>
            <w:vAlign w:val="bottom"/>
          </w:tcPr>
          <w:p>
            <w:pPr>
              <w:jc w:val="right"/>
              <w:ind w:right="203"/>
              <w:spacing w:after="0"/>
              <w:rPr>
                <w:sz w:val="20"/>
                <w:szCs w:val="20"/>
                <w:color w:val="auto"/>
              </w:rPr>
            </w:pPr>
            <w:r>
              <w:rPr>
                <w:rFonts w:ascii="Arial" w:cs="Arial" w:eastAsia="Arial" w:hAnsi="Arial"/>
                <w:sz w:val="15"/>
                <w:szCs w:val="15"/>
                <w:color w:val="auto"/>
              </w:rPr>
              <w:t>(5)</w:t>
            </w:r>
          </w:p>
        </w:tc>
        <w:tc>
          <w:tcPr>
            <w:tcW w:w="6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218,992</w:t>
            </w:r>
          </w:p>
        </w:tc>
        <w:tc>
          <w:tcPr>
            <w:tcW w:w="0" w:type="dxa"/>
            <w:vAlign w:val="bottom"/>
          </w:tcPr>
          <w:p>
            <w:pPr>
              <w:spacing w:after="0"/>
              <w:rPr>
                <w:sz w:val="1"/>
                <w:szCs w:val="1"/>
                <w:color w:val="auto"/>
              </w:rPr>
            </w:pPr>
          </w:p>
        </w:tc>
      </w:tr>
      <w:tr>
        <w:trPr>
          <w:trHeight w:val="220"/>
        </w:trPr>
        <w:tc>
          <w:tcPr>
            <w:tcW w:w="2860" w:type="dxa"/>
            <w:vAlign w:val="bottom"/>
            <w:shd w:val="clear" w:color="auto" w:fill="CCFFFF"/>
          </w:tcPr>
          <w:p>
            <w:pPr>
              <w:ind w:left="40"/>
              <w:spacing w:after="0"/>
              <w:rPr>
                <w:sz w:val="20"/>
                <w:szCs w:val="20"/>
                <w:color w:val="auto"/>
              </w:rPr>
            </w:pPr>
            <w:r>
              <w:rPr>
                <w:rFonts w:ascii="Arial" w:cs="Arial" w:eastAsia="Arial" w:hAnsi="Arial"/>
                <w:sz w:val="15"/>
                <w:szCs w:val="15"/>
                <w:color w:val="auto"/>
              </w:rPr>
              <w:t>Viet D. Dinh</w:t>
            </w:r>
          </w:p>
        </w:tc>
        <w:tc>
          <w:tcPr>
            <w:tcW w:w="1560" w:type="dxa"/>
            <w:vAlign w:val="bottom"/>
            <w:shd w:val="clear" w:color="auto" w:fill="CCFFFF"/>
          </w:tcPr>
          <w:p>
            <w:pPr>
              <w:jc w:val="right"/>
              <w:ind w:right="263"/>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FFFF"/>
          </w:tcPr>
          <w:p>
            <w:pPr>
              <w:jc w:val="right"/>
              <w:spacing w:after="0"/>
              <w:rPr>
                <w:sz w:val="20"/>
                <w:szCs w:val="20"/>
                <w:color w:val="auto"/>
              </w:rPr>
            </w:pPr>
            <w:r>
              <w:rPr>
                <w:rFonts w:ascii="Arial" w:cs="Arial" w:eastAsia="Arial" w:hAnsi="Arial"/>
                <w:sz w:val="15"/>
                <w:szCs w:val="15"/>
                <w:color w:val="auto"/>
              </w:rPr>
              <w:t>70,914</w:t>
            </w:r>
          </w:p>
        </w:tc>
        <w:tc>
          <w:tcPr>
            <w:tcW w:w="800" w:type="dxa"/>
            <w:vAlign w:val="bottom"/>
            <w:shd w:val="clear" w:color="auto" w:fill="CCFFFF"/>
          </w:tcPr>
          <w:p>
            <w:pPr>
              <w:ind w:left="60"/>
              <w:spacing w:after="0"/>
              <w:rPr>
                <w:sz w:val="20"/>
                <w:szCs w:val="20"/>
                <w:color w:val="auto"/>
              </w:rPr>
            </w:pPr>
            <w:r>
              <w:rPr>
                <w:rFonts w:ascii="Arial" w:cs="Arial" w:eastAsia="Arial" w:hAnsi="Arial"/>
                <w:sz w:val="15"/>
                <w:szCs w:val="15"/>
                <w:color w:val="auto"/>
              </w:rPr>
              <w:t>(4)(6)</w:t>
            </w:r>
          </w:p>
        </w:tc>
        <w:tc>
          <w:tcPr>
            <w:tcW w:w="880" w:type="dxa"/>
            <w:vAlign w:val="bottom"/>
            <w:shd w:val="clear" w:color="auto" w:fill="CCFFFF"/>
          </w:tcPr>
          <w:p>
            <w:pPr>
              <w:jc w:val="right"/>
              <w:ind w:right="363"/>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FFFF"/>
          </w:tcPr>
          <w:p>
            <w:pPr>
              <w:jc w:val="right"/>
              <w:spacing w:after="0"/>
              <w:rPr>
                <w:sz w:val="20"/>
                <w:szCs w:val="20"/>
                <w:color w:val="auto"/>
              </w:rPr>
            </w:pPr>
            <w:r>
              <w:rPr>
                <w:rFonts w:ascii="Arial" w:cs="Arial" w:eastAsia="Arial" w:hAnsi="Arial"/>
                <w:sz w:val="15"/>
                <w:szCs w:val="15"/>
                <w:color w:val="auto"/>
              </w:rPr>
              <w:t>124,328</w:t>
            </w:r>
          </w:p>
        </w:tc>
        <w:tc>
          <w:tcPr>
            <w:tcW w:w="540" w:type="dxa"/>
            <w:vAlign w:val="bottom"/>
            <w:shd w:val="clear" w:color="auto" w:fill="CCFFFF"/>
          </w:tcPr>
          <w:p>
            <w:pPr>
              <w:jc w:val="right"/>
              <w:ind w:right="203"/>
              <w:spacing w:after="0"/>
              <w:rPr>
                <w:sz w:val="20"/>
                <w:szCs w:val="20"/>
                <w:color w:val="auto"/>
              </w:rPr>
            </w:pPr>
            <w:r>
              <w:rPr>
                <w:rFonts w:ascii="Arial" w:cs="Arial" w:eastAsia="Arial" w:hAnsi="Arial"/>
                <w:sz w:val="15"/>
                <w:szCs w:val="15"/>
                <w:color w:val="auto"/>
              </w:rPr>
              <w:t>(5)</w:t>
            </w:r>
          </w:p>
        </w:tc>
        <w:tc>
          <w:tcPr>
            <w:tcW w:w="680" w:type="dxa"/>
            <w:vAlign w:val="bottom"/>
            <w:shd w:val="clear" w:color="auto" w:fill="CCFFFF"/>
          </w:tcPr>
          <w:p>
            <w:pPr>
              <w:jc w:val="right"/>
              <w:ind w:right="243"/>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FFFF"/>
          </w:tcPr>
          <w:p>
            <w:pPr>
              <w:jc w:val="right"/>
              <w:ind w:right="23"/>
              <w:spacing w:after="0"/>
              <w:rPr>
                <w:sz w:val="20"/>
                <w:szCs w:val="20"/>
                <w:color w:val="auto"/>
              </w:rPr>
            </w:pPr>
            <w:r>
              <w:rPr>
                <w:rFonts w:ascii="Arial" w:cs="Arial" w:eastAsia="Arial" w:hAnsi="Arial"/>
                <w:sz w:val="15"/>
                <w:szCs w:val="15"/>
                <w:color w:val="auto"/>
              </w:rPr>
              <w:t>195,242</w:t>
            </w:r>
          </w:p>
        </w:tc>
        <w:tc>
          <w:tcPr>
            <w:tcW w:w="0" w:type="dxa"/>
            <w:vAlign w:val="bottom"/>
          </w:tcPr>
          <w:p>
            <w:pPr>
              <w:spacing w:after="0"/>
              <w:rPr>
                <w:sz w:val="1"/>
                <w:szCs w:val="1"/>
                <w:color w:val="auto"/>
              </w:rPr>
            </w:pPr>
          </w:p>
        </w:tc>
      </w:tr>
      <w:tr>
        <w:trPr>
          <w:trHeight w:val="266"/>
        </w:trPr>
        <w:tc>
          <w:tcPr>
            <w:tcW w:w="2860" w:type="dxa"/>
            <w:vAlign w:val="bottom"/>
          </w:tcPr>
          <w:p>
            <w:pPr>
              <w:ind w:left="40"/>
              <w:spacing w:after="0"/>
              <w:rPr>
                <w:sz w:val="20"/>
                <w:szCs w:val="20"/>
                <w:color w:val="auto"/>
              </w:rPr>
            </w:pPr>
            <w:r>
              <w:rPr>
                <w:rFonts w:ascii="Arial" w:cs="Arial" w:eastAsia="Arial" w:hAnsi="Arial"/>
                <w:sz w:val="15"/>
                <w:szCs w:val="15"/>
                <w:color w:val="auto"/>
              </w:rPr>
              <w:t>H. Paulett Eberhart</w:t>
            </w:r>
          </w:p>
        </w:tc>
        <w:tc>
          <w:tcPr>
            <w:tcW w:w="15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75,000</w:t>
            </w:r>
          </w:p>
        </w:tc>
        <w:tc>
          <w:tcPr>
            <w:tcW w:w="800" w:type="dxa"/>
            <w:vAlign w:val="bottom"/>
          </w:tcPr>
          <w:p>
            <w:pPr>
              <w:spacing w:after="0"/>
              <w:rPr>
                <w:sz w:val="23"/>
                <w:szCs w:val="23"/>
                <w:color w:val="auto"/>
              </w:rPr>
            </w:pPr>
          </w:p>
        </w:tc>
        <w:tc>
          <w:tcPr>
            <w:tcW w:w="88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124,328</w:t>
            </w:r>
          </w:p>
        </w:tc>
        <w:tc>
          <w:tcPr>
            <w:tcW w:w="540" w:type="dxa"/>
            <w:vAlign w:val="bottom"/>
          </w:tcPr>
          <w:p>
            <w:pPr>
              <w:spacing w:after="0"/>
              <w:rPr>
                <w:sz w:val="23"/>
                <w:szCs w:val="23"/>
                <w:color w:val="auto"/>
              </w:rPr>
            </w:pPr>
          </w:p>
        </w:tc>
        <w:tc>
          <w:tcPr>
            <w:tcW w:w="6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199,328</w:t>
            </w:r>
          </w:p>
        </w:tc>
        <w:tc>
          <w:tcPr>
            <w:tcW w:w="0" w:type="dxa"/>
            <w:vAlign w:val="bottom"/>
          </w:tcPr>
          <w:p>
            <w:pPr>
              <w:spacing w:after="0"/>
              <w:rPr>
                <w:sz w:val="1"/>
                <w:szCs w:val="1"/>
                <w:color w:val="auto"/>
              </w:rPr>
            </w:pPr>
          </w:p>
        </w:tc>
      </w:tr>
      <w:tr>
        <w:trPr>
          <w:trHeight w:val="266"/>
        </w:trPr>
        <w:tc>
          <w:tcPr>
            <w:tcW w:w="2860" w:type="dxa"/>
            <w:vAlign w:val="bottom"/>
            <w:shd w:val="clear" w:color="auto" w:fill="CCFFFF"/>
          </w:tcPr>
          <w:p>
            <w:pPr>
              <w:ind w:left="40"/>
              <w:spacing w:after="0"/>
              <w:rPr>
                <w:sz w:val="20"/>
                <w:szCs w:val="20"/>
                <w:color w:val="auto"/>
              </w:rPr>
            </w:pPr>
            <w:r>
              <w:rPr>
                <w:rFonts w:ascii="Arial" w:cs="Arial" w:eastAsia="Arial" w:hAnsi="Arial"/>
                <w:sz w:val="15"/>
                <w:szCs w:val="15"/>
                <w:color w:val="auto"/>
              </w:rPr>
              <w:t>Marco (Mick) W. Hellman</w:t>
            </w:r>
          </w:p>
        </w:tc>
        <w:tc>
          <w:tcPr>
            <w:tcW w:w="1560" w:type="dxa"/>
            <w:vAlign w:val="bottom"/>
            <w:vMerge w:val="restart"/>
            <w:shd w:val="clear" w:color="auto" w:fill="CCFFFF"/>
          </w:tcPr>
          <w:p>
            <w:pPr>
              <w:jc w:val="right"/>
              <w:ind w:right="263"/>
              <w:spacing w:after="0"/>
              <w:rPr>
                <w:sz w:val="20"/>
                <w:szCs w:val="20"/>
                <w:color w:val="auto"/>
              </w:rPr>
            </w:pPr>
            <w:r>
              <w:rPr>
                <w:rFonts w:ascii="Arial" w:cs="Arial" w:eastAsia="Arial" w:hAnsi="Arial"/>
                <w:sz w:val="15"/>
                <w:szCs w:val="15"/>
                <w:color w:val="auto"/>
              </w:rPr>
              <w:t>$</w:t>
            </w:r>
          </w:p>
        </w:tc>
        <w:tc>
          <w:tcPr>
            <w:tcW w:w="1300" w:type="dxa"/>
            <w:vAlign w:val="bottom"/>
            <w:vMerge w:val="restart"/>
            <w:shd w:val="clear" w:color="auto" w:fill="CCFFFF"/>
          </w:tcPr>
          <w:p>
            <w:pPr>
              <w:jc w:val="right"/>
              <w:spacing w:after="0"/>
              <w:rPr>
                <w:sz w:val="20"/>
                <w:szCs w:val="20"/>
                <w:color w:val="auto"/>
              </w:rPr>
            </w:pPr>
            <w:r>
              <w:rPr>
                <w:rFonts w:ascii="Arial" w:cs="Arial" w:eastAsia="Arial" w:hAnsi="Arial"/>
                <w:sz w:val="15"/>
                <w:szCs w:val="15"/>
                <w:color w:val="auto"/>
              </w:rPr>
              <w:t>62,164</w:t>
            </w:r>
          </w:p>
        </w:tc>
        <w:tc>
          <w:tcPr>
            <w:tcW w:w="800" w:type="dxa"/>
            <w:vAlign w:val="bottom"/>
            <w:vMerge w:val="restart"/>
            <w:shd w:val="clear" w:color="auto" w:fill="CCFFFF"/>
          </w:tcPr>
          <w:p>
            <w:pPr>
              <w:ind w:left="60"/>
              <w:spacing w:after="0"/>
              <w:rPr>
                <w:sz w:val="20"/>
                <w:szCs w:val="20"/>
                <w:color w:val="auto"/>
              </w:rPr>
            </w:pPr>
            <w:r>
              <w:rPr>
                <w:rFonts w:ascii="Arial" w:cs="Arial" w:eastAsia="Arial" w:hAnsi="Arial"/>
                <w:sz w:val="15"/>
                <w:szCs w:val="15"/>
                <w:color w:val="auto"/>
              </w:rPr>
              <w:t>(4)</w:t>
            </w:r>
          </w:p>
        </w:tc>
        <w:tc>
          <w:tcPr>
            <w:tcW w:w="880" w:type="dxa"/>
            <w:vAlign w:val="bottom"/>
            <w:vMerge w:val="restart"/>
            <w:shd w:val="clear" w:color="auto" w:fill="CCFFFF"/>
          </w:tcPr>
          <w:p>
            <w:pPr>
              <w:jc w:val="right"/>
              <w:ind w:right="363"/>
              <w:spacing w:after="0"/>
              <w:rPr>
                <w:sz w:val="20"/>
                <w:szCs w:val="20"/>
                <w:color w:val="auto"/>
              </w:rPr>
            </w:pPr>
            <w:r>
              <w:rPr>
                <w:rFonts w:ascii="Arial" w:cs="Arial" w:eastAsia="Arial" w:hAnsi="Arial"/>
                <w:sz w:val="15"/>
                <w:szCs w:val="15"/>
                <w:color w:val="auto"/>
              </w:rPr>
              <w:t>$</w:t>
            </w:r>
          </w:p>
        </w:tc>
        <w:tc>
          <w:tcPr>
            <w:tcW w:w="1320" w:type="dxa"/>
            <w:vAlign w:val="bottom"/>
            <w:vMerge w:val="restart"/>
            <w:shd w:val="clear" w:color="auto" w:fill="CCFFFF"/>
          </w:tcPr>
          <w:p>
            <w:pPr>
              <w:jc w:val="right"/>
              <w:spacing w:after="0"/>
              <w:rPr>
                <w:sz w:val="20"/>
                <w:szCs w:val="20"/>
                <w:color w:val="auto"/>
              </w:rPr>
            </w:pPr>
            <w:r>
              <w:rPr>
                <w:rFonts w:ascii="Arial" w:cs="Arial" w:eastAsia="Arial" w:hAnsi="Arial"/>
                <w:sz w:val="15"/>
                <w:szCs w:val="15"/>
                <w:color w:val="auto"/>
              </w:rPr>
              <w:t>124,328</w:t>
            </w:r>
          </w:p>
        </w:tc>
        <w:tc>
          <w:tcPr>
            <w:tcW w:w="540" w:type="dxa"/>
            <w:vAlign w:val="bottom"/>
            <w:shd w:val="clear" w:color="auto" w:fill="CCFFFF"/>
          </w:tcPr>
          <w:p>
            <w:pPr>
              <w:spacing w:after="0"/>
              <w:rPr>
                <w:sz w:val="23"/>
                <w:szCs w:val="23"/>
                <w:color w:val="auto"/>
              </w:rPr>
            </w:pPr>
          </w:p>
        </w:tc>
        <w:tc>
          <w:tcPr>
            <w:tcW w:w="680" w:type="dxa"/>
            <w:vAlign w:val="bottom"/>
            <w:vMerge w:val="restart"/>
            <w:shd w:val="clear" w:color="auto" w:fill="CCFFFF"/>
          </w:tcPr>
          <w:p>
            <w:pPr>
              <w:jc w:val="right"/>
              <w:ind w:right="243"/>
              <w:spacing w:after="0"/>
              <w:rPr>
                <w:sz w:val="20"/>
                <w:szCs w:val="20"/>
                <w:color w:val="auto"/>
              </w:rPr>
            </w:pPr>
            <w:r>
              <w:rPr>
                <w:rFonts w:ascii="Arial" w:cs="Arial" w:eastAsia="Arial" w:hAnsi="Arial"/>
                <w:sz w:val="15"/>
                <w:szCs w:val="15"/>
                <w:color w:val="auto"/>
              </w:rPr>
              <w:t>$</w:t>
            </w:r>
          </w:p>
        </w:tc>
        <w:tc>
          <w:tcPr>
            <w:tcW w:w="1480" w:type="dxa"/>
            <w:vAlign w:val="bottom"/>
            <w:vMerge w:val="restart"/>
            <w:shd w:val="clear" w:color="auto" w:fill="CCFFFF"/>
          </w:tcPr>
          <w:p>
            <w:pPr>
              <w:jc w:val="right"/>
              <w:ind w:right="23"/>
              <w:spacing w:after="0"/>
              <w:rPr>
                <w:sz w:val="20"/>
                <w:szCs w:val="20"/>
                <w:color w:val="auto"/>
              </w:rPr>
            </w:pPr>
            <w:r>
              <w:rPr>
                <w:rFonts w:ascii="Arial" w:cs="Arial" w:eastAsia="Arial" w:hAnsi="Arial"/>
                <w:sz w:val="15"/>
                <w:szCs w:val="15"/>
                <w:color w:val="auto"/>
              </w:rPr>
              <w:t>186,492</w:t>
            </w:r>
          </w:p>
        </w:tc>
        <w:tc>
          <w:tcPr>
            <w:tcW w:w="0" w:type="dxa"/>
            <w:vAlign w:val="bottom"/>
          </w:tcPr>
          <w:p>
            <w:pPr>
              <w:spacing w:after="0"/>
              <w:rPr>
                <w:sz w:val="1"/>
                <w:szCs w:val="1"/>
                <w:color w:val="auto"/>
              </w:rPr>
            </w:pPr>
          </w:p>
        </w:tc>
      </w:tr>
      <w:tr>
        <w:trPr>
          <w:trHeight w:val="62"/>
        </w:trPr>
        <w:tc>
          <w:tcPr>
            <w:tcW w:w="2860" w:type="dxa"/>
            <w:vAlign w:val="bottom"/>
            <w:shd w:val="clear" w:color="auto" w:fill="CCFFFF"/>
          </w:tcPr>
          <w:p>
            <w:pPr>
              <w:spacing w:after="0"/>
              <w:rPr>
                <w:sz w:val="5"/>
                <w:szCs w:val="5"/>
                <w:color w:val="auto"/>
              </w:rPr>
            </w:pPr>
          </w:p>
        </w:tc>
        <w:tc>
          <w:tcPr>
            <w:tcW w:w="1560" w:type="dxa"/>
            <w:vAlign w:val="bottom"/>
            <w:vMerge w:val="continue"/>
            <w:shd w:val="clear" w:color="auto" w:fill="CCFFFF"/>
          </w:tcPr>
          <w:p>
            <w:pPr>
              <w:spacing w:after="0"/>
              <w:rPr>
                <w:sz w:val="5"/>
                <w:szCs w:val="5"/>
                <w:color w:val="auto"/>
              </w:rPr>
            </w:pPr>
          </w:p>
        </w:tc>
        <w:tc>
          <w:tcPr>
            <w:tcW w:w="1300" w:type="dxa"/>
            <w:vAlign w:val="bottom"/>
            <w:vMerge w:val="continue"/>
            <w:shd w:val="clear" w:color="auto" w:fill="CCFFFF"/>
          </w:tcPr>
          <w:p>
            <w:pPr>
              <w:spacing w:after="0"/>
              <w:rPr>
                <w:sz w:val="5"/>
                <w:szCs w:val="5"/>
                <w:color w:val="auto"/>
              </w:rPr>
            </w:pPr>
          </w:p>
        </w:tc>
        <w:tc>
          <w:tcPr>
            <w:tcW w:w="800" w:type="dxa"/>
            <w:vAlign w:val="bottom"/>
            <w:vMerge w:val="continue"/>
            <w:shd w:val="clear" w:color="auto" w:fill="CCFFFF"/>
          </w:tcPr>
          <w:p>
            <w:pPr>
              <w:spacing w:after="0"/>
              <w:rPr>
                <w:sz w:val="5"/>
                <w:szCs w:val="5"/>
                <w:color w:val="auto"/>
              </w:rPr>
            </w:pPr>
          </w:p>
        </w:tc>
        <w:tc>
          <w:tcPr>
            <w:tcW w:w="880" w:type="dxa"/>
            <w:vAlign w:val="bottom"/>
            <w:vMerge w:val="continue"/>
            <w:shd w:val="clear" w:color="auto" w:fill="CCFFFF"/>
          </w:tcPr>
          <w:p>
            <w:pPr>
              <w:spacing w:after="0"/>
              <w:rPr>
                <w:sz w:val="5"/>
                <w:szCs w:val="5"/>
                <w:color w:val="auto"/>
              </w:rPr>
            </w:pPr>
          </w:p>
        </w:tc>
        <w:tc>
          <w:tcPr>
            <w:tcW w:w="1320" w:type="dxa"/>
            <w:vAlign w:val="bottom"/>
            <w:vMerge w:val="continue"/>
            <w:shd w:val="clear" w:color="auto" w:fill="CCFFFF"/>
          </w:tcPr>
          <w:p>
            <w:pPr>
              <w:spacing w:after="0"/>
              <w:rPr>
                <w:sz w:val="5"/>
                <w:szCs w:val="5"/>
                <w:color w:val="auto"/>
              </w:rPr>
            </w:pPr>
          </w:p>
        </w:tc>
        <w:tc>
          <w:tcPr>
            <w:tcW w:w="540" w:type="dxa"/>
            <w:vAlign w:val="bottom"/>
            <w:shd w:val="clear" w:color="auto" w:fill="CCFFFF"/>
          </w:tcPr>
          <w:p>
            <w:pPr>
              <w:spacing w:after="0"/>
              <w:rPr>
                <w:sz w:val="5"/>
                <w:szCs w:val="5"/>
                <w:color w:val="auto"/>
              </w:rPr>
            </w:pPr>
          </w:p>
        </w:tc>
        <w:tc>
          <w:tcPr>
            <w:tcW w:w="680" w:type="dxa"/>
            <w:vAlign w:val="bottom"/>
            <w:vMerge w:val="continue"/>
            <w:shd w:val="clear" w:color="auto" w:fill="CCFFFF"/>
          </w:tcPr>
          <w:p>
            <w:pPr>
              <w:spacing w:after="0"/>
              <w:rPr>
                <w:sz w:val="5"/>
                <w:szCs w:val="5"/>
                <w:color w:val="auto"/>
              </w:rPr>
            </w:pPr>
          </w:p>
        </w:tc>
        <w:tc>
          <w:tcPr>
            <w:tcW w:w="1480" w:type="dxa"/>
            <w:vAlign w:val="bottom"/>
            <w:vMerge w:val="continue"/>
            <w:shd w:val="clear" w:color="auto" w:fill="CCFFFF"/>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860" w:type="dxa"/>
            <w:vAlign w:val="bottom"/>
          </w:tcPr>
          <w:p>
            <w:pPr>
              <w:ind w:left="40"/>
              <w:spacing w:after="0"/>
              <w:rPr>
                <w:sz w:val="20"/>
                <w:szCs w:val="20"/>
                <w:color w:val="auto"/>
              </w:rPr>
            </w:pPr>
            <w:r>
              <w:rPr>
                <w:rFonts w:ascii="Arial" w:cs="Arial" w:eastAsia="Arial" w:hAnsi="Arial"/>
                <w:sz w:val="15"/>
                <w:szCs w:val="15"/>
                <w:color w:val="auto"/>
              </w:rPr>
              <w:t>Anne M. Mulcahy</w:t>
            </w:r>
          </w:p>
        </w:tc>
        <w:tc>
          <w:tcPr>
            <w:tcW w:w="15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82,164</w:t>
            </w:r>
          </w:p>
        </w:tc>
        <w:tc>
          <w:tcPr>
            <w:tcW w:w="800" w:type="dxa"/>
            <w:vAlign w:val="bottom"/>
          </w:tcPr>
          <w:p>
            <w:pPr>
              <w:ind w:left="60"/>
              <w:spacing w:after="0"/>
              <w:rPr>
                <w:sz w:val="20"/>
                <w:szCs w:val="20"/>
                <w:color w:val="auto"/>
              </w:rPr>
            </w:pPr>
            <w:r>
              <w:rPr>
                <w:rFonts w:ascii="Arial" w:cs="Arial" w:eastAsia="Arial" w:hAnsi="Arial"/>
                <w:sz w:val="15"/>
                <w:szCs w:val="15"/>
                <w:color w:val="auto"/>
              </w:rPr>
              <w:t>(4)</w:t>
            </w:r>
          </w:p>
        </w:tc>
        <w:tc>
          <w:tcPr>
            <w:tcW w:w="88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124,328</w:t>
            </w:r>
          </w:p>
        </w:tc>
        <w:tc>
          <w:tcPr>
            <w:tcW w:w="540" w:type="dxa"/>
            <w:vAlign w:val="bottom"/>
          </w:tcPr>
          <w:p>
            <w:pPr>
              <w:spacing w:after="0"/>
              <w:rPr>
                <w:sz w:val="23"/>
                <w:szCs w:val="23"/>
                <w:color w:val="auto"/>
              </w:rPr>
            </w:pPr>
          </w:p>
        </w:tc>
        <w:tc>
          <w:tcPr>
            <w:tcW w:w="6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206,492</w:t>
            </w:r>
          </w:p>
        </w:tc>
        <w:tc>
          <w:tcPr>
            <w:tcW w:w="0" w:type="dxa"/>
            <w:vAlign w:val="bottom"/>
          </w:tcPr>
          <w:p>
            <w:pPr>
              <w:spacing w:after="0"/>
              <w:rPr>
                <w:sz w:val="1"/>
                <w:szCs w:val="1"/>
                <w:color w:val="auto"/>
              </w:rPr>
            </w:pPr>
          </w:p>
        </w:tc>
      </w:tr>
      <w:tr>
        <w:trPr>
          <w:trHeight w:val="220"/>
        </w:trPr>
        <w:tc>
          <w:tcPr>
            <w:tcW w:w="2860" w:type="dxa"/>
            <w:vAlign w:val="bottom"/>
            <w:shd w:val="clear" w:color="auto" w:fill="CCFFFF"/>
          </w:tcPr>
          <w:p>
            <w:pPr>
              <w:ind w:left="40"/>
              <w:spacing w:after="0"/>
              <w:rPr>
                <w:sz w:val="20"/>
                <w:szCs w:val="20"/>
                <w:color w:val="auto"/>
              </w:rPr>
            </w:pPr>
            <w:r>
              <w:rPr>
                <w:rFonts w:ascii="Arial" w:cs="Arial" w:eastAsia="Arial" w:hAnsi="Arial"/>
                <w:sz w:val="15"/>
                <w:szCs w:val="15"/>
                <w:color w:val="auto"/>
              </w:rPr>
              <w:t>James S. Putnam</w:t>
            </w:r>
          </w:p>
        </w:tc>
        <w:tc>
          <w:tcPr>
            <w:tcW w:w="1560" w:type="dxa"/>
            <w:vAlign w:val="bottom"/>
            <w:shd w:val="clear" w:color="auto" w:fill="CCFFFF"/>
          </w:tcPr>
          <w:p>
            <w:pPr>
              <w:jc w:val="right"/>
              <w:ind w:right="263"/>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FFFF"/>
          </w:tcPr>
          <w:p>
            <w:pPr>
              <w:jc w:val="right"/>
              <w:spacing w:after="0"/>
              <w:rPr>
                <w:sz w:val="20"/>
                <w:szCs w:val="20"/>
                <w:color w:val="auto"/>
              </w:rPr>
            </w:pPr>
            <w:r>
              <w:rPr>
                <w:rFonts w:ascii="Arial" w:cs="Arial" w:eastAsia="Arial" w:hAnsi="Arial"/>
                <w:sz w:val="15"/>
                <w:szCs w:val="15"/>
                <w:color w:val="auto"/>
              </w:rPr>
              <w:t>84,664</w:t>
            </w:r>
          </w:p>
        </w:tc>
        <w:tc>
          <w:tcPr>
            <w:tcW w:w="800" w:type="dxa"/>
            <w:vAlign w:val="bottom"/>
            <w:shd w:val="clear" w:color="auto" w:fill="CCFFFF"/>
          </w:tcPr>
          <w:p>
            <w:pPr>
              <w:ind w:left="60"/>
              <w:spacing w:after="0"/>
              <w:rPr>
                <w:sz w:val="20"/>
                <w:szCs w:val="20"/>
                <w:color w:val="auto"/>
              </w:rPr>
            </w:pPr>
            <w:r>
              <w:rPr>
                <w:rFonts w:ascii="Arial" w:cs="Arial" w:eastAsia="Arial" w:hAnsi="Arial"/>
                <w:sz w:val="15"/>
                <w:szCs w:val="15"/>
                <w:color w:val="auto"/>
              </w:rPr>
              <w:t>(4)(8)</w:t>
            </w:r>
          </w:p>
        </w:tc>
        <w:tc>
          <w:tcPr>
            <w:tcW w:w="880" w:type="dxa"/>
            <w:vAlign w:val="bottom"/>
            <w:shd w:val="clear" w:color="auto" w:fill="CCFFFF"/>
          </w:tcPr>
          <w:p>
            <w:pPr>
              <w:jc w:val="right"/>
              <w:ind w:right="363"/>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FFFF"/>
          </w:tcPr>
          <w:p>
            <w:pPr>
              <w:jc w:val="right"/>
              <w:spacing w:after="0"/>
              <w:rPr>
                <w:sz w:val="20"/>
                <w:szCs w:val="20"/>
                <w:color w:val="auto"/>
              </w:rPr>
            </w:pPr>
            <w:r>
              <w:rPr>
                <w:rFonts w:ascii="Arial" w:cs="Arial" w:eastAsia="Arial" w:hAnsi="Arial"/>
                <w:sz w:val="15"/>
                <w:szCs w:val="15"/>
                <w:color w:val="auto"/>
              </w:rPr>
              <w:t>124,328</w:t>
            </w:r>
          </w:p>
        </w:tc>
        <w:tc>
          <w:tcPr>
            <w:tcW w:w="540" w:type="dxa"/>
            <w:vAlign w:val="bottom"/>
            <w:shd w:val="clear" w:color="auto" w:fill="CCFFFF"/>
          </w:tcPr>
          <w:p>
            <w:pPr>
              <w:jc w:val="right"/>
              <w:ind w:right="203"/>
              <w:spacing w:after="0"/>
              <w:rPr>
                <w:sz w:val="20"/>
                <w:szCs w:val="20"/>
                <w:color w:val="auto"/>
              </w:rPr>
            </w:pPr>
            <w:r>
              <w:rPr>
                <w:rFonts w:ascii="Arial" w:cs="Arial" w:eastAsia="Arial" w:hAnsi="Arial"/>
                <w:sz w:val="15"/>
                <w:szCs w:val="15"/>
                <w:color w:val="auto"/>
              </w:rPr>
              <w:t>(5)</w:t>
            </w:r>
          </w:p>
        </w:tc>
        <w:tc>
          <w:tcPr>
            <w:tcW w:w="680" w:type="dxa"/>
            <w:vAlign w:val="bottom"/>
            <w:shd w:val="clear" w:color="auto" w:fill="CCFFFF"/>
          </w:tcPr>
          <w:p>
            <w:pPr>
              <w:jc w:val="right"/>
              <w:ind w:right="243"/>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FFFF"/>
          </w:tcPr>
          <w:p>
            <w:pPr>
              <w:jc w:val="right"/>
              <w:ind w:right="23"/>
              <w:spacing w:after="0"/>
              <w:rPr>
                <w:sz w:val="20"/>
                <w:szCs w:val="20"/>
                <w:color w:val="auto"/>
              </w:rPr>
            </w:pPr>
            <w:r>
              <w:rPr>
                <w:rFonts w:ascii="Arial" w:cs="Arial" w:eastAsia="Arial" w:hAnsi="Arial"/>
                <w:sz w:val="15"/>
                <w:szCs w:val="15"/>
                <w:color w:val="auto"/>
              </w:rPr>
              <w:t>208,992</w:t>
            </w:r>
          </w:p>
        </w:tc>
        <w:tc>
          <w:tcPr>
            <w:tcW w:w="0" w:type="dxa"/>
            <w:vAlign w:val="bottom"/>
          </w:tcPr>
          <w:p>
            <w:pPr>
              <w:spacing w:after="0"/>
              <w:rPr>
                <w:sz w:val="1"/>
                <w:szCs w:val="1"/>
                <w:color w:val="auto"/>
              </w:rPr>
            </w:pPr>
          </w:p>
        </w:tc>
      </w:tr>
      <w:tr>
        <w:trPr>
          <w:trHeight w:val="212"/>
        </w:trPr>
        <w:tc>
          <w:tcPr>
            <w:tcW w:w="2860" w:type="dxa"/>
            <w:vAlign w:val="bottom"/>
          </w:tcPr>
          <w:p>
            <w:pPr>
              <w:ind w:left="40"/>
              <w:spacing w:after="0"/>
              <w:rPr>
                <w:sz w:val="20"/>
                <w:szCs w:val="20"/>
                <w:color w:val="auto"/>
              </w:rPr>
            </w:pPr>
            <w:r>
              <w:rPr>
                <w:rFonts w:ascii="Arial" w:cs="Arial" w:eastAsia="Arial" w:hAnsi="Arial"/>
                <w:sz w:val="15"/>
                <w:szCs w:val="15"/>
                <w:color w:val="auto"/>
              </w:rPr>
              <w:t>James S. Riepe</w:t>
            </w:r>
          </w:p>
        </w:tc>
        <w:tc>
          <w:tcPr>
            <w:tcW w:w="15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92,164</w:t>
            </w:r>
          </w:p>
        </w:tc>
        <w:tc>
          <w:tcPr>
            <w:tcW w:w="800" w:type="dxa"/>
            <w:vAlign w:val="bottom"/>
          </w:tcPr>
          <w:p>
            <w:pPr>
              <w:ind w:left="60"/>
              <w:spacing w:after="0"/>
              <w:rPr>
                <w:sz w:val="20"/>
                <w:szCs w:val="20"/>
                <w:color w:val="auto"/>
              </w:rPr>
            </w:pPr>
            <w:r>
              <w:rPr>
                <w:rFonts w:ascii="Arial" w:cs="Arial" w:eastAsia="Arial" w:hAnsi="Arial"/>
                <w:sz w:val="15"/>
                <w:szCs w:val="15"/>
                <w:color w:val="auto"/>
              </w:rPr>
              <w:t>(4)(8)</w:t>
            </w:r>
          </w:p>
        </w:tc>
        <w:tc>
          <w:tcPr>
            <w:tcW w:w="88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124,328</w:t>
            </w:r>
          </w:p>
        </w:tc>
        <w:tc>
          <w:tcPr>
            <w:tcW w:w="540" w:type="dxa"/>
            <w:vAlign w:val="bottom"/>
          </w:tcPr>
          <w:p>
            <w:pPr>
              <w:jc w:val="right"/>
              <w:ind w:right="203"/>
              <w:spacing w:after="0"/>
              <w:rPr>
                <w:sz w:val="20"/>
                <w:szCs w:val="20"/>
                <w:color w:val="auto"/>
              </w:rPr>
            </w:pPr>
            <w:r>
              <w:rPr>
                <w:rFonts w:ascii="Arial" w:cs="Arial" w:eastAsia="Arial" w:hAnsi="Arial"/>
                <w:sz w:val="15"/>
                <w:szCs w:val="15"/>
                <w:color w:val="auto"/>
              </w:rPr>
              <w:t>(5)</w:t>
            </w:r>
          </w:p>
        </w:tc>
        <w:tc>
          <w:tcPr>
            <w:tcW w:w="6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216,492</w:t>
            </w:r>
          </w:p>
        </w:tc>
        <w:tc>
          <w:tcPr>
            <w:tcW w:w="0" w:type="dxa"/>
            <w:vAlign w:val="bottom"/>
          </w:tcPr>
          <w:p>
            <w:pPr>
              <w:spacing w:after="0"/>
              <w:rPr>
                <w:sz w:val="1"/>
                <w:szCs w:val="1"/>
                <w:color w:val="auto"/>
              </w:rPr>
            </w:pPr>
          </w:p>
        </w:tc>
      </w:tr>
      <w:tr>
        <w:trPr>
          <w:trHeight w:val="216"/>
        </w:trPr>
        <w:tc>
          <w:tcPr>
            <w:tcW w:w="2860" w:type="dxa"/>
            <w:vAlign w:val="bottom"/>
            <w:tcBorders>
              <w:bottom w:val="single" w:sz="8" w:color="336699"/>
            </w:tcBorders>
            <w:shd w:val="clear" w:color="auto" w:fill="CCFFFF"/>
          </w:tcPr>
          <w:p>
            <w:pPr>
              <w:ind w:left="40"/>
              <w:spacing w:after="0"/>
              <w:rPr>
                <w:sz w:val="20"/>
                <w:szCs w:val="20"/>
                <w:color w:val="auto"/>
              </w:rPr>
            </w:pPr>
            <w:r>
              <w:rPr>
                <w:rFonts w:ascii="Arial" w:cs="Arial" w:eastAsia="Arial" w:hAnsi="Arial"/>
                <w:sz w:val="15"/>
                <w:szCs w:val="15"/>
                <w:color w:val="auto"/>
              </w:rPr>
              <w:t>Richard P. Schifter</w:t>
            </w:r>
          </w:p>
        </w:tc>
        <w:tc>
          <w:tcPr>
            <w:tcW w:w="1560" w:type="dxa"/>
            <w:vAlign w:val="bottom"/>
            <w:tcBorders>
              <w:bottom w:val="single" w:sz="8" w:color="336699"/>
            </w:tcBorders>
            <w:shd w:val="clear" w:color="auto" w:fill="CCFFFF"/>
          </w:tcPr>
          <w:p>
            <w:pPr>
              <w:jc w:val="right"/>
              <w:ind w:right="263"/>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5"/>
                <w:szCs w:val="15"/>
                <w:color w:val="auto"/>
              </w:rPr>
              <w:t>68,414</w:t>
            </w:r>
          </w:p>
        </w:tc>
        <w:tc>
          <w:tcPr>
            <w:tcW w:w="800" w:type="dxa"/>
            <w:vAlign w:val="bottom"/>
            <w:tcBorders>
              <w:bottom w:val="single" w:sz="8" w:color="336699"/>
            </w:tcBorders>
            <w:shd w:val="clear" w:color="auto" w:fill="CCFFFF"/>
          </w:tcPr>
          <w:p>
            <w:pPr>
              <w:ind w:left="60"/>
              <w:spacing w:after="0"/>
              <w:rPr>
                <w:sz w:val="20"/>
                <w:szCs w:val="20"/>
                <w:color w:val="auto"/>
              </w:rPr>
            </w:pPr>
            <w:r>
              <w:rPr>
                <w:rFonts w:ascii="Arial" w:cs="Arial" w:eastAsia="Arial" w:hAnsi="Arial"/>
                <w:sz w:val="15"/>
                <w:szCs w:val="15"/>
                <w:color w:val="auto"/>
              </w:rPr>
              <w:t>(4)(6)</w:t>
            </w:r>
          </w:p>
        </w:tc>
        <w:tc>
          <w:tcPr>
            <w:tcW w:w="880" w:type="dxa"/>
            <w:vAlign w:val="bottom"/>
            <w:tcBorders>
              <w:bottom w:val="single" w:sz="8" w:color="336699"/>
            </w:tcBorders>
            <w:shd w:val="clear" w:color="auto" w:fill="CCFFFF"/>
          </w:tcPr>
          <w:p>
            <w:pPr>
              <w:jc w:val="right"/>
              <w:ind w:right="363"/>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5"/>
                <w:szCs w:val="15"/>
                <w:color w:val="auto"/>
              </w:rPr>
              <w:t>124,328</w:t>
            </w:r>
          </w:p>
        </w:tc>
        <w:tc>
          <w:tcPr>
            <w:tcW w:w="540" w:type="dxa"/>
            <w:vAlign w:val="bottom"/>
            <w:tcBorders>
              <w:bottom w:val="single" w:sz="8" w:color="336699"/>
            </w:tcBorders>
            <w:shd w:val="clear" w:color="auto" w:fill="CCFFFF"/>
          </w:tcPr>
          <w:p>
            <w:pPr>
              <w:jc w:val="right"/>
              <w:ind w:right="203"/>
              <w:spacing w:after="0"/>
              <w:rPr>
                <w:sz w:val="20"/>
                <w:szCs w:val="20"/>
                <w:color w:val="auto"/>
              </w:rPr>
            </w:pPr>
            <w:r>
              <w:rPr>
                <w:rFonts w:ascii="Arial" w:cs="Arial" w:eastAsia="Arial" w:hAnsi="Arial"/>
                <w:sz w:val="15"/>
                <w:szCs w:val="15"/>
                <w:color w:val="auto"/>
              </w:rPr>
              <w:t>(5)</w:t>
            </w:r>
          </w:p>
        </w:tc>
        <w:tc>
          <w:tcPr>
            <w:tcW w:w="680" w:type="dxa"/>
            <w:vAlign w:val="bottom"/>
            <w:tcBorders>
              <w:bottom w:val="single" w:sz="8" w:color="336699"/>
            </w:tcBorders>
            <w:shd w:val="clear" w:color="auto" w:fill="CCFFFF"/>
          </w:tcPr>
          <w:p>
            <w:pPr>
              <w:jc w:val="right"/>
              <w:ind w:right="243"/>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336699"/>
            </w:tcBorders>
            <w:shd w:val="clear" w:color="auto" w:fill="CCFFFF"/>
          </w:tcPr>
          <w:p>
            <w:pPr>
              <w:jc w:val="right"/>
              <w:ind w:right="23"/>
              <w:spacing w:after="0"/>
              <w:rPr>
                <w:sz w:val="20"/>
                <w:szCs w:val="20"/>
                <w:color w:val="auto"/>
              </w:rPr>
            </w:pPr>
            <w:r>
              <w:rPr>
                <w:rFonts w:ascii="Arial" w:cs="Arial" w:eastAsia="Arial" w:hAnsi="Arial"/>
                <w:sz w:val="15"/>
                <w:szCs w:val="15"/>
                <w:color w:val="auto"/>
              </w:rPr>
              <w:t>192,742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375535" cy="18522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75535"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right="20" w:hanging="332"/>
        <w:spacing w:after="0" w:line="247" w:lineRule="auto"/>
        <w:tabs>
          <w:tab w:leader="none" w:pos="3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amounts shown in this column represent the aggregate grant date fair value of restricted stock awards granted to our non-employee directors in 2016. The amounts shown in this column do not include the value of any fully vested shares of Common Stock that certain of our non-employee directors elected to receive in lieu of the cash portion of the annual service retainer. Such amounts are shown in the column “</w:t>
      </w:r>
      <w:r>
        <w:rPr>
          <w:rFonts w:ascii="Arial" w:cs="Arial" w:eastAsia="Arial" w:hAnsi="Arial"/>
          <w:sz w:val="15"/>
          <w:szCs w:val="15"/>
          <w:i w:val="1"/>
          <w:iCs w:val="1"/>
          <w:color w:val="auto"/>
        </w:rPr>
        <w:t>Fees Earned or Paid in Cash”</w:t>
      </w:r>
      <w:r>
        <w:rPr>
          <w:rFonts w:ascii="Arial" w:cs="Arial" w:eastAsia="Arial" w:hAnsi="Arial"/>
          <w:sz w:val="15"/>
          <w:szCs w:val="15"/>
          <w:color w:val="auto"/>
        </w:rPr>
        <w:t>. The aggregate grant date fair value of the restricted stock awards, as determined under FASB ASC Topic 718, was determined by multiplying the number of shares underlying the award by $35.85, which was the closing price of our Common Stock on the grant date. For information regarding the number of shares of restricted stock held by each non-employee director as of December 31, 2016, see the column “</w:t>
      </w:r>
      <w:r>
        <w:rPr>
          <w:rFonts w:ascii="Arial" w:cs="Arial" w:eastAsia="Arial" w:hAnsi="Arial"/>
          <w:sz w:val="15"/>
          <w:szCs w:val="15"/>
          <w:i w:val="1"/>
          <w:iCs w:val="1"/>
          <w:color w:val="auto"/>
        </w:rPr>
        <w:t>Restricted Stock Awards”</w:t>
      </w:r>
      <w:r>
        <w:rPr>
          <w:rFonts w:ascii="Arial" w:cs="Arial" w:eastAsia="Arial" w:hAnsi="Arial"/>
          <w:sz w:val="15"/>
          <w:szCs w:val="15"/>
          <w:color w:val="auto"/>
        </w:rPr>
        <w:t xml:space="preserve"> in the table in footnote 2 below.</w:t>
      </w:r>
    </w:p>
    <w:p>
      <w:pPr>
        <w:spacing w:after="0" w:line="96" w:lineRule="exact"/>
        <w:rPr>
          <w:rFonts w:ascii="Arial" w:cs="Arial" w:eastAsia="Arial" w:hAnsi="Arial"/>
          <w:sz w:val="15"/>
          <w:szCs w:val="15"/>
          <w:color w:val="auto"/>
        </w:rPr>
      </w:pPr>
    </w:p>
    <w:p>
      <w:pPr>
        <w:jc w:val="both"/>
        <w:ind w:left="340" w:right="240" w:hanging="332"/>
        <w:spacing w:after="0" w:line="252" w:lineRule="auto"/>
        <w:tabs>
          <w:tab w:leader="none" w:pos="3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following table shows the aggregate number of stock options and shares of restricted stock held by each of our non-employee directors as of December 31, 2016. All stock options reported in the table below were vested in full as of December 31, 2016. All restricted stock awards reported in the table below will vest in full on May 11, 2017.</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4600" w:type="dxa"/>
            <w:vAlign w:val="bottom"/>
          </w:tcPr>
          <w:p>
            <w:pPr>
              <w:jc w:val="center"/>
              <w:ind w:left="2959"/>
              <w:spacing w:after="0"/>
              <w:rPr>
                <w:sz w:val="20"/>
                <w:szCs w:val="20"/>
                <w:color w:val="auto"/>
              </w:rPr>
            </w:pPr>
            <w:r>
              <w:rPr>
                <w:rFonts w:ascii="Arial" w:cs="Arial" w:eastAsia="Arial" w:hAnsi="Arial"/>
                <w:sz w:val="16"/>
                <w:szCs w:val="16"/>
                <w:b w:val="1"/>
                <w:bCs w:val="1"/>
                <w:color w:val="336699"/>
              </w:rPr>
              <w:t>Stock Option</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336699"/>
              </w:rPr>
              <w:t>Restricted Stock</w:t>
            </w:r>
          </w:p>
        </w:tc>
      </w:tr>
      <w:tr>
        <w:trPr>
          <w:trHeight w:val="189"/>
        </w:trPr>
        <w:tc>
          <w:tcPr>
            <w:tcW w:w="5280" w:type="dxa"/>
            <w:vAlign w:val="bottom"/>
          </w:tcPr>
          <w:p>
            <w:pPr>
              <w:spacing w:after="0"/>
              <w:rPr>
                <w:sz w:val="16"/>
                <w:szCs w:val="16"/>
                <w:color w:val="auto"/>
              </w:rPr>
            </w:pPr>
          </w:p>
        </w:tc>
        <w:tc>
          <w:tcPr>
            <w:tcW w:w="4600" w:type="dxa"/>
            <w:vAlign w:val="bottom"/>
          </w:tcPr>
          <w:p>
            <w:pPr>
              <w:jc w:val="center"/>
              <w:ind w:left="2939"/>
              <w:spacing w:after="0"/>
              <w:rPr>
                <w:sz w:val="20"/>
                <w:szCs w:val="20"/>
                <w:color w:val="auto"/>
              </w:rPr>
            </w:pPr>
            <w:r>
              <w:rPr>
                <w:rFonts w:ascii="Arial" w:cs="Arial" w:eastAsia="Arial" w:hAnsi="Arial"/>
                <w:sz w:val="16"/>
                <w:szCs w:val="16"/>
                <w:b w:val="1"/>
                <w:bCs w:val="1"/>
                <w:color w:val="336699"/>
              </w:rPr>
              <w:t>Awards</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336699"/>
              </w:rPr>
              <w:t>Awards</w:t>
            </w:r>
          </w:p>
        </w:tc>
      </w:tr>
      <w:tr>
        <w:trPr>
          <w:trHeight w:val="228"/>
        </w:trPr>
        <w:tc>
          <w:tcPr>
            <w:tcW w:w="5280" w:type="dxa"/>
            <w:vAlign w:val="bottom"/>
            <w:tcBorders>
              <w:bottom w:val="single" w:sz="8" w:color="336699"/>
            </w:tcBorders>
          </w:tcPr>
          <w:p>
            <w:pPr>
              <w:ind w:left="40"/>
              <w:spacing w:after="0"/>
              <w:rPr>
                <w:sz w:val="20"/>
                <w:szCs w:val="20"/>
                <w:color w:val="auto"/>
              </w:rPr>
            </w:pPr>
            <w:r>
              <w:rPr>
                <w:rFonts w:ascii="Arial" w:cs="Arial" w:eastAsia="Arial" w:hAnsi="Arial"/>
                <w:sz w:val="16"/>
                <w:szCs w:val="16"/>
                <w:b w:val="1"/>
                <w:bCs w:val="1"/>
                <w:color w:val="336699"/>
              </w:rPr>
              <w:t>Name</w:t>
            </w:r>
          </w:p>
        </w:tc>
        <w:tc>
          <w:tcPr>
            <w:tcW w:w="4600" w:type="dxa"/>
            <w:vAlign w:val="bottom"/>
            <w:tcBorders>
              <w:bottom w:val="single" w:sz="8" w:color="336699"/>
            </w:tcBorders>
          </w:tcPr>
          <w:p>
            <w:pPr>
              <w:jc w:val="center"/>
              <w:ind w:left="2959"/>
              <w:spacing w:after="0"/>
              <w:rPr>
                <w:sz w:val="20"/>
                <w:szCs w:val="20"/>
                <w:color w:val="auto"/>
              </w:rPr>
            </w:pPr>
            <w:r>
              <w:rPr>
                <w:rFonts w:ascii="Arial" w:cs="Arial" w:eastAsia="Arial" w:hAnsi="Arial"/>
                <w:sz w:val="16"/>
                <w:szCs w:val="16"/>
                <w:b w:val="1"/>
                <w:bCs w:val="1"/>
                <w:color w:val="336699"/>
              </w:rPr>
              <w:t>(#)</w:t>
            </w:r>
          </w:p>
        </w:tc>
        <w:tc>
          <w:tcPr>
            <w:tcW w:w="1540" w:type="dxa"/>
            <w:vAlign w:val="bottom"/>
            <w:tcBorders>
              <w:bottom w:val="single" w:sz="8" w:color="336699"/>
            </w:tcBorders>
          </w:tcPr>
          <w:p>
            <w:pPr>
              <w:jc w:val="center"/>
              <w:spacing w:after="0"/>
              <w:rPr>
                <w:sz w:val="20"/>
                <w:szCs w:val="20"/>
                <w:color w:val="auto"/>
              </w:rPr>
            </w:pPr>
            <w:r>
              <w:rPr>
                <w:rFonts w:ascii="Arial" w:cs="Arial" w:eastAsia="Arial" w:hAnsi="Arial"/>
                <w:sz w:val="16"/>
                <w:szCs w:val="16"/>
                <w:b w:val="1"/>
                <w:bCs w:val="1"/>
                <w:color w:val="336699"/>
              </w:rPr>
              <w:t>(#)</w:t>
            </w:r>
          </w:p>
        </w:tc>
      </w:tr>
      <w:tr>
        <w:trPr>
          <w:trHeight w:val="270"/>
        </w:trPr>
        <w:tc>
          <w:tcPr>
            <w:tcW w:w="5280" w:type="dxa"/>
            <w:vAlign w:val="bottom"/>
            <w:shd w:val="clear" w:color="auto" w:fill="CCFFFF"/>
          </w:tcPr>
          <w:p>
            <w:pPr>
              <w:ind w:left="40"/>
              <w:spacing w:after="0"/>
              <w:rPr>
                <w:sz w:val="20"/>
                <w:szCs w:val="20"/>
                <w:color w:val="auto"/>
              </w:rPr>
            </w:pPr>
            <w:r>
              <w:rPr>
                <w:rFonts w:ascii="Arial" w:cs="Arial" w:eastAsia="Arial" w:hAnsi="Arial"/>
                <w:sz w:val="16"/>
                <w:szCs w:val="16"/>
                <w:color w:val="auto"/>
              </w:rPr>
              <w:t>John J. Brennan</w:t>
            </w:r>
          </w:p>
        </w:tc>
        <w:tc>
          <w:tcPr>
            <w:tcW w:w="4600" w:type="dxa"/>
            <w:vAlign w:val="bottom"/>
            <w:shd w:val="clear" w:color="auto" w:fill="CCFF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3,468</w:t>
            </w:r>
          </w:p>
        </w:tc>
      </w:tr>
      <w:tr>
        <w:trPr>
          <w:trHeight w:val="260"/>
        </w:trPr>
        <w:tc>
          <w:tcPr>
            <w:tcW w:w="5280" w:type="dxa"/>
            <w:vAlign w:val="bottom"/>
          </w:tcPr>
          <w:p>
            <w:pPr>
              <w:ind w:left="40"/>
              <w:spacing w:after="0"/>
              <w:rPr>
                <w:sz w:val="20"/>
                <w:szCs w:val="20"/>
                <w:color w:val="auto"/>
              </w:rPr>
            </w:pPr>
            <w:r>
              <w:rPr>
                <w:rFonts w:ascii="Arial" w:cs="Arial" w:eastAsia="Arial" w:hAnsi="Arial"/>
                <w:sz w:val="16"/>
                <w:szCs w:val="16"/>
                <w:color w:val="auto"/>
              </w:rPr>
              <w:t>Viet D. Dinh</w:t>
            </w:r>
          </w:p>
        </w:tc>
        <w:tc>
          <w:tcPr>
            <w:tcW w:w="4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3,468</w:t>
            </w:r>
          </w:p>
        </w:tc>
      </w:tr>
      <w:tr>
        <w:trPr>
          <w:trHeight w:val="280"/>
        </w:trPr>
        <w:tc>
          <w:tcPr>
            <w:tcW w:w="5280" w:type="dxa"/>
            <w:vAlign w:val="bottom"/>
            <w:shd w:val="clear" w:color="auto" w:fill="CCFFFF"/>
          </w:tcPr>
          <w:p>
            <w:pPr>
              <w:ind w:left="40"/>
              <w:spacing w:after="0"/>
              <w:rPr>
                <w:sz w:val="20"/>
                <w:szCs w:val="20"/>
                <w:color w:val="auto"/>
              </w:rPr>
            </w:pPr>
            <w:r>
              <w:rPr>
                <w:rFonts w:ascii="Arial" w:cs="Arial" w:eastAsia="Arial" w:hAnsi="Arial"/>
                <w:sz w:val="16"/>
                <w:szCs w:val="16"/>
                <w:color w:val="auto"/>
              </w:rPr>
              <w:t>H. Paulett Eberhart</w:t>
            </w:r>
          </w:p>
        </w:tc>
        <w:tc>
          <w:tcPr>
            <w:tcW w:w="4600" w:type="dxa"/>
            <w:vAlign w:val="bottom"/>
            <w:shd w:val="clear" w:color="auto" w:fill="CCFF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3,468</w:t>
            </w:r>
          </w:p>
        </w:tc>
      </w:tr>
      <w:tr>
        <w:trPr>
          <w:trHeight w:val="270"/>
        </w:trPr>
        <w:tc>
          <w:tcPr>
            <w:tcW w:w="5280" w:type="dxa"/>
            <w:vAlign w:val="bottom"/>
          </w:tcPr>
          <w:p>
            <w:pPr>
              <w:ind w:left="40"/>
              <w:spacing w:after="0"/>
              <w:rPr>
                <w:sz w:val="20"/>
                <w:szCs w:val="20"/>
                <w:color w:val="auto"/>
              </w:rPr>
            </w:pPr>
            <w:r>
              <w:rPr>
                <w:rFonts w:ascii="Arial" w:cs="Arial" w:eastAsia="Arial" w:hAnsi="Arial"/>
                <w:sz w:val="16"/>
                <w:szCs w:val="16"/>
                <w:color w:val="auto"/>
              </w:rPr>
              <w:t>Marco (Mick) W. Hellman</w:t>
            </w:r>
            <w:r>
              <w:rPr>
                <w:rFonts w:ascii="Arial" w:cs="Arial" w:eastAsia="Arial" w:hAnsi="Arial"/>
                <w:sz w:val="21"/>
                <w:szCs w:val="21"/>
                <w:color w:val="auto"/>
                <w:vertAlign w:val="superscript"/>
              </w:rPr>
              <w:t>(7)</w:t>
            </w:r>
          </w:p>
        </w:tc>
        <w:tc>
          <w:tcPr>
            <w:tcW w:w="4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280" w:type="dxa"/>
            <w:vAlign w:val="bottom"/>
            <w:shd w:val="clear" w:color="auto" w:fill="CCFFFF"/>
          </w:tcPr>
          <w:p>
            <w:pPr>
              <w:ind w:left="40"/>
              <w:spacing w:after="0"/>
              <w:rPr>
                <w:sz w:val="20"/>
                <w:szCs w:val="20"/>
                <w:color w:val="auto"/>
              </w:rPr>
            </w:pPr>
            <w:r>
              <w:rPr>
                <w:rFonts w:ascii="Arial" w:cs="Arial" w:eastAsia="Arial" w:hAnsi="Arial"/>
                <w:sz w:val="16"/>
                <w:szCs w:val="16"/>
                <w:color w:val="auto"/>
              </w:rPr>
              <w:t>Anne M. Mulcahy</w:t>
            </w:r>
          </w:p>
        </w:tc>
        <w:tc>
          <w:tcPr>
            <w:tcW w:w="4600" w:type="dxa"/>
            <w:vAlign w:val="bottom"/>
            <w:shd w:val="clear" w:color="auto" w:fill="CCFF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3,468</w:t>
            </w:r>
          </w:p>
        </w:tc>
      </w:tr>
      <w:tr>
        <w:trPr>
          <w:trHeight w:val="260"/>
        </w:trPr>
        <w:tc>
          <w:tcPr>
            <w:tcW w:w="5280" w:type="dxa"/>
            <w:vAlign w:val="bottom"/>
          </w:tcPr>
          <w:p>
            <w:pPr>
              <w:ind w:left="40"/>
              <w:spacing w:after="0"/>
              <w:rPr>
                <w:sz w:val="20"/>
                <w:szCs w:val="20"/>
                <w:color w:val="auto"/>
              </w:rPr>
            </w:pPr>
            <w:r>
              <w:rPr>
                <w:rFonts w:ascii="Arial" w:cs="Arial" w:eastAsia="Arial" w:hAnsi="Arial"/>
                <w:sz w:val="16"/>
                <w:szCs w:val="16"/>
                <w:color w:val="auto"/>
              </w:rPr>
              <w:t>James S. Putnam</w:t>
            </w:r>
          </w:p>
        </w:tc>
        <w:tc>
          <w:tcPr>
            <w:tcW w:w="4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3,468</w:t>
            </w:r>
          </w:p>
        </w:tc>
      </w:tr>
      <w:tr>
        <w:trPr>
          <w:trHeight w:val="280"/>
        </w:trPr>
        <w:tc>
          <w:tcPr>
            <w:tcW w:w="5280" w:type="dxa"/>
            <w:vAlign w:val="bottom"/>
            <w:shd w:val="clear" w:color="auto" w:fill="CCFFFF"/>
          </w:tcPr>
          <w:p>
            <w:pPr>
              <w:ind w:left="40"/>
              <w:spacing w:after="0"/>
              <w:rPr>
                <w:sz w:val="20"/>
                <w:szCs w:val="20"/>
                <w:color w:val="auto"/>
              </w:rPr>
            </w:pPr>
            <w:r>
              <w:rPr>
                <w:rFonts w:ascii="Arial" w:cs="Arial" w:eastAsia="Arial" w:hAnsi="Arial"/>
                <w:sz w:val="16"/>
                <w:szCs w:val="16"/>
                <w:color w:val="auto"/>
              </w:rPr>
              <w:t>James S. Riepe</w:t>
            </w:r>
          </w:p>
        </w:tc>
        <w:tc>
          <w:tcPr>
            <w:tcW w:w="4600" w:type="dxa"/>
            <w:vAlign w:val="bottom"/>
            <w:shd w:val="clear" w:color="auto" w:fill="CCFFFF"/>
          </w:tcPr>
          <w:p>
            <w:pPr>
              <w:jc w:val="right"/>
              <w:ind w:right="59"/>
              <w:spacing w:after="0"/>
              <w:rPr>
                <w:sz w:val="20"/>
                <w:szCs w:val="20"/>
                <w:color w:val="auto"/>
              </w:rPr>
            </w:pPr>
            <w:r>
              <w:rPr>
                <w:rFonts w:ascii="Arial" w:cs="Arial" w:eastAsia="Arial" w:hAnsi="Arial"/>
                <w:sz w:val="16"/>
                <w:szCs w:val="16"/>
                <w:color w:val="auto"/>
              </w:rPr>
              <w:t>31,500</w:t>
            </w:r>
          </w:p>
        </w:tc>
        <w:tc>
          <w:tcPr>
            <w:tcW w:w="154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3,468</w:t>
            </w:r>
          </w:p>
        </w:tc>
      </w:tr>
      <w:tr>
        <w:trPr>
          <w:trHeight w:val="251"/>
        </w:trPr>
        <w:tc>
          <w:tcPr>
            <w:tcW w:w="5280" w:type="dxa"/>
            <w:vAlign w:val="bottom"/>
          </w:tcPr>
          <w:p>
            <w:pPr>
              <w:ind w:left="40"/>
              <w:spacing w:after="0"/>
              <w:rPr>
                <w:sz w:val="20"/>
                <w:szCs w:val="20"/>
                <w:color w:val="auto"/>
              </w:rPr>
            </w:pPr>
            <w:r>
              <w:rPr>
                <w:rFonts w:ascii="Arial" w:cs="Arial" w:eastAsia="Arial" w:hAnsi="Arial"/>
                <w:sz w:val="16"/>
                <w:szCs w:val="16"/>
                <w:color w:val="auto"/>
              </w:rPr>
              <w:t>Richard P. Schifter</w:t>
            </w:r>
          </w:p>
        </w:tc>
        <w:tc>
          <w:tcPr>
            <w:tcW w:w="4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3,468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40" w:right="240" w:hanging="332"/>
        <w:spacing w:after="0" w:line="260" w:lineRule="auto"/>
        <w:tabs>
          <w:tab w:leader="none" w:pos="3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Mr. Boyce retired from the Board effective May 10, 2016. This amount represents the prorated portion of his retainer for service on the Compensation Committee during 2016.</w:t>
      </w:r>
    </w:p>
    <w:p>
      <w:pPr>
        <w:spacing w:after="0" w:line="85" w:lineRule="exact"/>
        <w:rPr>
          <w:rFonts w:ascii="Arial" w:cs="Arial" w:eastAsia="Arial" w:hAnsi="Arial"/>
          <w:sz w:val="15"/>
          <w:szCs w:val="15"/>
          <w:color w:val="auto"/>
        </w:rPr>
      </w:pPr>
    </w:p>
    <w:p>
      <w:pPr>
        <w:ind w:left="340" w:right="20" w:hanging="332"/>
        <w:spacing w:after="0" w:line="248" w:lineRule="auto"/>
        <w:tabs>
          <w:tab w:leader="none" w:pos="3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This amount includes the value of fully vested shares of Common Stock that the director elected to receive in lieu of the cash portion of the director’s annual service retainer. The aggregate grant date fair value of these shares, as determined under FASB ASC Topic 718, was determined by multiplying the number of shares underlying the award by $35.85, which was the closing price of our Common Stock on the grant date. Other than shares held by Mr. Hellman and Ms. Mulcahy, these shares are subject to a written deferral election under the Deferred Plan pursuant to which the director elected to defer receipt of the cash portion of the annual service retainer.</w:t>
      </w:r>
    </w:p>
    <w:p>
      <w:pPr>
        <w:spacing w:after="0" w:line="94" w:lineRule="exact"/>
        <w:rPr>
          <w:rFonts w:ascii="Arial" w:cs="Arial" w:eastAsia="Arial" w:hAnsi="Arial"/>
          <w:sz w:val="15"/>
          <w:szCs w:val="15"/>
          <w:color w:val="auto"/>
        </w:rPr>
      </w:pPr>
    </w:p>
    <w:p>
      <w:pPr>
        <w:ind w:left="340" w:right="140" w:hanging="332"/>
        <w:spacing w:after="0" w:line="260" w:lineRule="auto"/>
        <w:tabs>
          <w:tab w:leader="none" w:pos="3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These stock awards are subject to a written deferral election under the Deferred Plan pursuant to which the director elected to defer receipt of the equity portion of the annual service retainer.</w:t>
      </w:r>
    </w:p>
    <w:p>
      <w:pPr>
        <w:spacing w:after="0" w:line="85" w:lineRule="exact"/>
        <w:rPr>
          <w:rFonts w:ascii="Arial" w:cs="Arial" w:eastAsia="Arial" w:hAnsi="Arial"/>
          <w:sz w:val="15"/>
          <w:szCs w:val="15"/>
          <w:color w:val="auto"/>
        </w:rPr>
      </w:pPr>
    </w:p>
    <w:p>
      <w:pPr>
        <w:ind w:left="340" w:right="40" w:hanging="332"/>
        <w:spacing w:after="0" w:line="260" w:lineRule="auto"/>
        <w:tabs>
          <w:tab w:leader="none" w:pos="3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Mr. Dinh succeeded Mr. Schifter as chair of the Nominating and Governance Committee in March 2016. Amounts for Messrs. Dinh and Schifter include the prorated portions of their retainers for service as chair of the Nominating and Governance Committee during 2016.</w:t>
      </w:r>
    </w:p>
    <w:p>
      <w:pPr>
        <w:spacing w:after="0" w:line="85" w:lineRule="exact"/>
        <w:rPr>
          <w:rFonts w:ascii="Arial" w:cs="Arial" w:eastAsia="Arial" w:hAnsi="Arial"/>
          <w:sz w:val="15"/>
          <w:szCs w:val="15"/>
          <w:color w:val="auto"/>
        </w:rPr>
      </w:pPr>
    </w:p>
    <w:p>
      <w:pPr>
        <w:ind w:left="340" w:right="380" w:hanging="332"/>
        <w:spacing w:after="0" w:line="260" w:lineRule="auto"/>
        <w:tabs>
          <w:tab w:leader="none" w:pos="3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Mr. Hellman was awarded 1,734 shares of Common Stock and 3,468 shares of restricted stock in December 2016. Mr. Hellman assigned these awards to HMI Capital, LLC.</w:t>
      </w:r>
    </w:p>
    <w:p>
      <w:pPr>
        <w:spacing w:after="0" w:line="85" w:lineRule="exact"/>
        <w:rPr>
          <w:rFonts w:ascii="Arial" w:cs="Arial" w:eastAsia="Arial" w:hAnsi="Arial"/>
          <w:sz w:val="15"/>
          <w:szCs w:val="15"/>
          <w:color w:val="auto"/>
        </w:rPr>
      </w:pPr>
    </w:p>
    <w:p>
      <w:pPr>
        <w:ind w:left="340" w:right="140" w:hanging="332"/>
        <w:spacing w:after="0" w:line="260" w:lineRule="auto"/>
        <w:tabs>
          <w:tab w:leader="none" w:pos="3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Mr. Putnam succeeded Mr. Riepe as lead director in June 2016. Amounts for Messrs. Putnam and Riepe include the prorated portions of their retainers for service as lead director during 2016.</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22 | </w:t>
      </w:r>
      <w:r>
        <w:rPr>
          <w:rFonts w:ascii="Arial" w:cs="Arial" w:eastAsia="Arial" w:hAnsi="Arial"/>
          <w:sz w:val="18"/>
          <w:szCs w:val="18"/>
          <w:b w:val="1"/>
          <w:bCs w:val="1"/>
          <w:color w:val="003B71"/>
        </w:rPr>
        <w:t>2017 Proxy Statement</w:t>
      </w:r>
    </w:p>
    <w:p>
      <w:pPr>
        <w:sectPr>
          <w:pgSz w:w="11900" w:h="16838" w:orient="portrait"/>
          <w:cols w:equalWidth="0" w:num="1">
            <w:col w:w="11420"/>
          </w:cols>
          <w:pgMar w:left="240" w:top="436" w:right="239" w:bottom="189" w:gutter="0" w:footer="0" w:header="0"/>
        </w:sectPr>
      </w:pPr>
    </w:p>
    <w:bookmarkStart w:id="28" w:name="page29"/>
    <w:bookmarkEnd w:id="28"/>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336699"/>
        </w:rPr>
        <w:t>Compensation Discussion and Analysis</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Executive Summary</w:t>
      </w:r>
    </w:p>
    <w:p>
      <w:pPr>
        <w:spacing w:after="0" w:line="134"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This Compensation Discussion and Analysis (“CD&amp;A”) describes the actions taken by our Compensation Committee with respect to 2016 compensation for our executive officers, including our named executive officers (“NEOs”). Under SEC rules, our NEOs for 2016 are: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40" w:type="dxa"/>
            <w:vAlign w:val="bottom"/>
          </w:tcPr>
          <w:p>
            <w:pPr>
              <w:ind w:left="40"/>
              <w:spacing w:after="0"/>
              <w:rPr>
                <w:sz w:val="20"/>
                <w:szCs w:val="20"/>
                <w:color w:val="auto"/>
              </w:rPr>
            </w:pPr>
            <w:r>
              <w:rPr>
                <w:rFonts w:ascii="Arial" w:cs="Arial" w:eastAsia="Arial" w:hAnsi="Arial"/>
                <w:sz w:val="16"/>
                <w:szCs w:val="16"/>
                <w:b w:val="1"/>
                <w:bCs w:val="1"/>
                <w:color w:val="336699"/>
              </w:rPr>
              <w:t>Executive</w:t>
            </w:r>
          </w:p>
        </w:tc>
        <w:tc>
          <w:tcPr>
            <w:tcW w:w="8580" w:type="dxa"/>
            <w:vAlign w:val="bottom"/>
          </w:tcPr>
          <w:p>
            <w:pPr>
              <w:ind w:left="1420"/>
              <w:spacing w:after="0"/>
              <w:rPr>
                <w:sz w:val="20"/>
                <w:szCs w:val="20"/>
                <w:color w:val="auto"/>
              </w:rPr>
            </w:pPr>
            <w:r>
              <w:rPr>
                <w:rFonts w:ascii="Arial" w:cs="Arial" w:eastAsia="Arial" w:hAnsi="Arial"/>
                <w:sz w:val="16"/>
                <w:szCs w:val="16"/>
                <w:b w:val="1"/>
                <w:bCs w:val="1"/>
                <w:color w:val="336699"/>
              </w:rPr>
              <w:t>Title</w:t>
            </w:r>
          </w:p>
        </w:tc>
      </w:tr>
      <w:tr>
        <w:trPr>
          <w:trHeight w:val="128"/>
        </w:trPr>
        <w:tc>
          <w:tcPr>
            <w:tcW w:w="2840" w:type="dxa"/>
            <w:vAlign w:val="bottom"/>
            <w:tcBorders>
              <w:bottom w:val="single" w:sz="8" w:color="336699"/>
            </w:tcBorders>
          </w:tcPr>
          <w:p>
            <w:pPr>
              <w:spacing w:after="0"/>
              <w:rPr>
                <w:sz w:val="11"/>
                <w:szCs w:val="11"/>
                <w:color w:val="auto"/>
              </w:rPr>
            </w:pPr>
          </w:p>
        </w:tc>
        <w:tc>
          <w:tcPr>
            <w:tcW w:w="8580" w:type="dxa"/>
            <w:vAlign w:val="bottom"/>
            <w:tcBorders>
              <w:bottom w:val="single" w:sz="8" w:color="336699"/>
            </w:tcBorders>
          </w:tcPr>
          <w:p>
            <w:pPr>
              <w:spacing w:after="0"/>
              <w:rPr>
                <w:sz w:val="11"/>
                <w:szCs w:val="11"/>
                <w:color w:val="auto"/>
              </w:rPr>
            </w:pPr>
          </w:p>
        </w:tc>
      </w:tr>
      <w:tr>
        <w:trPr>
          <w:trHeight w:val="345"/>
        </w:trPr>
        <w:tc>
          <w:tcPr>
            <w:tcW w:w="2840" w:type="dxa"/>
            <w:vAlign w:val="bottom"/>
            <w:shd w:val="clear" w:color="auto" w:fill="CCFFFF"/>
          </w:tcPr>
          <w:p>
            <w:pPr>
              <w:ind w:left="40"/>
              <w:spacing w:after="0"/>
              <w:rPr>
                <w:sz w:val="20"/>
                <w:szCs w:val="20"/>
                <w:color w:val="auto"/>
              </w:rPr>
            </w:pPr>
            <w:r>
              <w:rPr>
                <w:rFonts w:ascii="Arial" w:cs="Arial" w:eastAsia="Arial" w:hAnsi="Arial"/>
                <w:sz w:val="16"/>
                <w:szCs w:val="16"/>
                <w:color w:val="auto"/>
              </w:rPr>
              <w:t>Mark S. Casady</w:t>
            </w:r>
            <w:r>
              <w:rPr>
                <w:rFonts w:ascii="Arial" w:cs="Arial" w:eastAsia="Arial" w:hAnsi="Arial"/>
                <w:sz w:val="21"/>
                <w:szCs w:val="21"/>
                <w:color w:val="auto"/>
                <w:vertAlign w:val="superscript"/>
              </w:rPr>
              <w:t>(1)</w:t>
            </w:r>
          </w:p>
        </w:tc>
        <w:tc>
          <w:tcPr>
            <w:tcW w:w="8580" w:type="dxa"/>
            <w:vAlign w:val="bottom"/>
            <w:shd w:val="clear" w:color="auto" w:fill="CCFFFF"/>
          </w:tcPr>
          <w:p>
            <w:pPr>
              <w:ind w:left="1420"/>
              <w:spacing w:after="0"/>
              <w:rPr>
                <w:sz w:val="20"/>
                <w:szCs w:val="20"/>
                <w:color w:val="auto"/>
              </w:rPr>
            </w:pPr>
            <w:r>
              <w:rPr>
                <w:rFonts w:ascii="Arial" w:cs="Arial" w:eastAsia="Arial" w:hAnsi="Arial"/>
                <w:sz w:val="16"/>
                <w:szCs w:val="16"/>
                <w:color w:val="auto"/>
              </w:rPr>
              <w:t>Former Chief Executive Officer</w:t>
            </w:r>
          </w:p>
        </w:tc>
      </w:tr>
      <w:tr>
        <w:trPr>
          <w:trHeight w:val="278"/>
        </w:trPr>
        <w:tc>
          <w:tcPr>
            <w:tcW w:w="2840" w:type="dxa"/>
            <w:vAlign w:val="bottom"/>
          </w:tcPr>
          <w:p>
            <w:pPr>
              <w:ind w:left="40"/>
              <w:spacing w:after="0"/>
              <w:rPr>
                <w:sz w:val="20"/>
                <w:szCs w:val="20"/>
                <w:color w:val="auto"/>
              </w:rPr>
            </w:pPr>
            <w:r>
              <w:rPr>
                <w:rFonts w:ascii="Arial" w:cs="Arial" w:eastAsia="Arial" w:hAnsi="Arial"/>
                <w:sz w:val="16"/>
                <w:szCs w:val="16"/>
                <w:color w:val="auto"/>
              </w:rPr>
              <w:t>Matthew J. Audette</w:t>
            </w:r>
          </w:p>
        </w:tc>
        <w:tc>
          <w:tcPr>
            <w:tcW w:w="8580" w:type="dxa"/>
            <w:vAlign w:val="bottom"/>
          </w:tcPr>
          <w:p>
            <w:pPr>
              <w:ind w:left="1420"/>
              <w:spacing w:after="0"/>
              <w:rPr>
                <w:sz w:val="20"/>
                <w:szCs w:val="20"/>
                <w:color w:val="auto"/>
              </w:rPr>
            </w:pPr>
            <w:r>
              <w:rPr>
                <w:rFonts w:ascii="Arial" w:cs="Arial" w:eastAsia="Arial" w:hAnsi="Arial"/>
                <w:sz w:val="16"/>
                <w:szCs w:val="16"/>
                <w:color w:val="auto"/>
              </w:rPr>
              <w:t>Chief Financial Officer</w:t>
            </w:r>
          </w:p>
        </w:tc>
      </w:tr>
      <w:tr>
        <w:trPr>
          <w:trHeight w:val="74"/>
        </w:trPr>
        <w:tc>
          <w:tcPr>
            <w:tcW w:w="2840" w:type="dxa"/>
            <w:vAlign w:val="bottom"/>
          </w:tcPr>
          <w:p>
            <w:pPr>
              <w:spacing w:after="0"/>
              <w:rPr>
                <w:sz w:val="6"/>
                <w:szCs w:val="6"/>
                <w:color w:val="auto"/>
              </w:rPr>
            </w:pPr>
          </w:p>
        </w:tc>
        <w:tc>
          <w:tcPr>
            <w:tcW w:w="8580" w:type="dxa"/>
            <w:vAlign w:val="bottom"/>
          </w:tcPr>
          <w:p>
            <w:pPr>
              <w:spacing w:after="0"/>
              <w:rPr>
                <w:sz w:val="6"/>
                <w:szCs w:val="6"/>
                <w:color w:val="auto"/>
              </w:rPr>
            </w:pPr>
          </w:p>
        </w:tc>
      </w:tr>
      <w:tr>
        <w:trPr>
          <w:trHeight w:val="351"/>
        </w:trPr>
        <w:tc>
          <w:tcPr>
            <w:tcW w:w="2840" w:type="dxa"/>
            <w:vAlign w:val="bottom"/>
            <w:shd w:val="clear" w:color="auto" w:fill="CCFFFF"/>
          </w:tcPr>
          <w:p>
            <w:pPr>
              <w:ind w:left="40"/>
              <w:spacing w:after="0"/>
              <w:rPr>
                <w:sz w:val="20"/>
                <w:szCs w:val="20"/>
                <w:color w:val="auto"/>
              </w:rPr>
            </w:pPr>
            <w:r>
              <w:rPr>
                <w:rFonts w:ascii="Arial" w:cs="Arial" w:eastAsia="Arial" w:hAnsi="Arial"/>
                <w:sz w:val="16"/>
                <w:szCs w:val="16"/>
                <w:color w:val="auto"/>
              </w:rPr>
              <w:t>Dan H. Arnold</w:t>
            </w:r>
            <w:r>
              <w:rPr>
                <w:rFonts w:ascii="Arial" w:cs="Arial" w:eastAsia="Arial" w:hAnsi="Arial"/>
                <w:sz w:val="21"/>
                <w:szCs w:val="21"/>
                <w:color w:val="auto"/>
                <w:vertAlign w:val="superscript"/>
              </w:rPr>
              <w:t>(1)</w:t>
            </w:r>
          </w:p>
        </w:tc>
        <w:tc>
          <w:tcPr>
            <w:tcW w:w="8580" w:type="dxa"/>
            <w:vAlign w:val="bottom"/>
            <w:shd w:val="clear" w:color="auto" w:fill="CCFFFF"/>
          </w:tcPr>
          <w:p>
            <w:pPr>
              <w:ind w:left="1420"/>
              <w:spacing w:after="0"/>
              <w:rPr>
                <w:sz w:val="20"/>
                <w:szCs w:val="20"/>
                <w:color w:val="auto"/>
              </w:rPr>
            </w:pPr>
            <w:r>
              <w:rPr>
                <w:rFonts w:ascii="Arial" w:cs="Arial" w:eastAsia="Arial" w:hAnsi="Arial"/>
                <w:sz w:val="16"/>
                <w:szCs w:val="16"/>
                <w:color w:val="auto"/>
              </w:rPr>
              <w:t>President and Chief Executive Officer</w:t>
            </w:r>
          </w:p>
        </w:tc>
      </w:tr>
      <w:tr>
        <w:trPr>
          <w:trHeight w:val="243"/>
        </w:trPr>
        <w:tc>
          <w:tcPr>
            <w:tcW w:w="2840" w:type="dxa"/>
            <w:vAlign w:val="bottom"/>
          </w:tcPr>
          <w:p>
            <w:pPr>
              <w:ind w:left="40"/>
              <w:spacing w:after="0"/>
              <w:rPr>
                <w:sz w:val="20"/>
                <w:szCs w:val="20"/>
                <w:color w:val="auto"/>
              </w:rPr>
            </w:pPr>
            <w:r>
              <w:rPr>
                <w:rFonts w:ascii="Arial" w:cs="Arial" w:eastAsia="Arial" w:hAnsi="Arial"/>
                <w:sz w:val="16"/>
                <w:szCs w:val="16"/>
                <w:color w:val="auto"/>
              </w:rPr>
              <w:t>Tracy E. Calder</w:t>
            </w:r>
            <w:r>
              <w:rPr>
                <w:rFonts w:ascii="Arial" w:cs="Arial" w:eastAsia="Arial" w:hAnsi="Arial"/>
                <w:sz w:val="21"/>
                <w:szCs w:val="21"/>
                <w:color w:val="auto"/>
                <w:vertAlign w:val="superscript"/>
              </w:rPr>
              <w:t>(2)</w:t>
            </w:r>
          </w:p>
        </w:tc>
        <w:tc>
          <w:tcPr>
            <w:tcW w:w="8580" w:type="dxa"/>
            <w:vAlign w:val="bottom"/>
          </w:tcPr>
          <w:p>
            <w:pPr>
              <w:ind w:left="1420"/>
              <w:spacing w:after="0"/>
              <w:rPr>
                <w:sz w:val="20"/>
                <w:szCs w:val="20"/>
                <w:color w:val="auto"/>
              </w:rPr>
            </w:pPr>
            <w:r>
              <w:rPr>
                <w:rFonts w:ascii="Arial" w:cs="Arial" w:eastAsia="Arial" w:hAnsi="Arial"/>
                <w:sz w:val="16"/>
                <w:szCs w:val="16"/>
                <w:color w:val="auto"/>
              </w:rPr>
              <w:t>Managing Director, Deputy Chief Risk Officer</w:t>
            </w:r>
          </w:p>
        </w:tc>
      </w:tr>
      <w:tr>
        <w:trPr>
          <w:trHeight w:val="237"/>
        </w:trPr>
        <w:tc>
          <w:tcPr>
            <w:tcW w:w="2840" w:type="dxa"/>
            <w:vAlign w:val="bottom"/>
            <w:tcBorders>
              <w:bottom w:val="single" w:sz="8" w:color="336699"/>
            </w:tcBorders>
            <w:shd w:val="clear" w:color="auto" w:fill="CCFFFF"/>
          </w:tcPr>
          <w:p>
            <w:pPr>
              <w:ind w:left="40"/>
              <w:spacing w:after="0"/>
              <w:rPr>
                <w:sz w:val="20"/>
                <w:szCs w:val="20"/>
                <w:color w:val="auto"/>
              </w:rPr>
            </w:pPr>
            <w:r>
              <w:rPr>
                <w:rFonts w:ascii="Arial" w:cs="Arial" w:eastAsia="Arial" w:hAnsi="Arial"/>
                <w:sz w:val="16"/>
                <w:szCs w:val="16"/>
                <w:color w:val="auto"/>
              </w:rPr>
              <w:t>Thomas Gooley</w:t>
            </w:r>
          </w:p>
        </w:tc>
        <w:tc>
          <w:tcPr>
            <w:tcW w:w="8580" w:type="dxa"/>
            <w:vAlign w:val="bottom"/>
            <w:tcBorders>
              <w:bottom w:val="single" w:sz="8" w:color="336699"/>
            </w:tcBorders>
            <w:shd w:val="clear" w:color="auto" w:fill="CCFFFF"/>
          </w:tcPr>
          <w:p>
            <w:pPr>
              <w:ind w:left="1420"/>
              <w:spacing w:after="0"/>
              <w:rPr>
                <w:sz w:val="20"/>
                <w:szCs w:val="20"/>
                <w:color w:val="auto"/>
              </w:rPr>
            </w:pPr>
            <w:r>
              <w:rPr>
                <w:rFonts w:ascii="Arial" w:cs="Arial" w:eastAsia="Arial" w:hAnsi="Arial"/>
                <w:sz w:val="16"/>
                <w:szCs w:val="16"/>
                <w:color w:val="auto"/>
              </w:rPr>
              <w:t>Managing Director, Service, Trading and Operations</w:t>
            </w:r>
          </w:p>
        </w:tc>
      </w:tr>
    </w:tbl>
    <w:p>
      <w:pPr>
        <w:spacing w:after="0" w:line="56" w:lineRule="exact"/>
        <w:rPr>
          <w:sz w:val="20"/>
          <w:szCs w:val="20"/>
          <w:color w:val="auto"/>
        </w:rPr>
      </w:pPr>
    </w:p>
    <w:p>
      <w:pPr>
        <w:ind w:left="340" w:right="300" w:hanging="332"/>
        <w:spacing w:after="0" w:line="260"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Casady served as our chief executive officer until January 3, 2017 when Mr. Arnold, our president, was appointed as our chief executive officer. Mr. Casady continued to serve as chair of the Board and a director until his retirement on March 3, 2017.</w:t>
      </w:r>
    </w:p>
    <w:p>
      <w:pPr>
        <w:spacing w:after="0" w:line="33"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Ms. Calder commenced employment with us as managing director, deputy chief risk officer on January 25, 2016.</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Summary of 2016 Operating Performance</w:t>
      </w:r>
    </w:p>
    <w:p>
      <w:pPr>
        <w:spacing w:after="0" w:line="24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following summary of the Company’s operating performance is intended to provide additional context for the Compensation Committee’s evaluation of the Company’s performance against its 2016 goals for compensation-related purposes. Adjusted EBITDA was the primary metric considered by the Compensation Committee in evaluating the Company’s financial performance in 2016. The Compensation Committee also considered the Company’s gross profit and expense management results, and their effect on the Company’s Adjusted EBITDA results. Adjusted EBITDA and gross profit are non-GAAP financial measures that are described below under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reported strong business and financial results in 2016. It experienced one of its best recruiting years ever, as measured by recruited gross dealer concessions, and made significant progress during the year on service, technology and preparations for the Department of Labor (“DOL”) fiduciary rule. Total brokerage and advisory assets at year-end were $509 billion, up 7% from the prior year, and the full-year production retention rate was 97%, excluding the impact of an institutional client that was acquired by a bank with its own broker-dealer. This asset growth contributed to the Company’s gross profit of $1.4 billion in 2016, which was a 3% increase over 2015. The Company’s focus on expense management enabled us to make significant business investments while also lowering our rate of expense growth. This low expense growth improved our operating leverage, as EBITDA and earnings per share grew year-over-year by 12% and 22%, respectively. For additional discussion and analysis of the Company’s 2016 performance, please refer to the Annual Report.</w:t>
      </w:r>
    </w:p>
    <w:p>
      <w:pPr>
        <w:spacing w:after="0" w:line="20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further discussed below, after taking into account the Company’s overall performance against financial and non-financial goals for 2016, the Compensation Committee determined that the 2016 bonus pool would be funded at above-target levels, and the annual cash bonus awards to our NEOs (as well to our other executives and employees) would generally be paid at target, or above target levels for high performing employees. This approach is consistent with our compensation philosophy and past practice.</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23</w:t>
      </w:r>
    </w:p>
    <w:p>
      <w:pPr>
        <w:sectPr>
          <w:pgSz w:w="11900" w:h="16838" w:orient="portrait"/>
          <w:cols w:equalWidth="0" w:num="1">
            <w:col w:w="11420"/>
          </w:cols>
          <w:pgMar w:left="240" w:top="436"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right="2360"/>
        <w:spacing w:after="0" w:line="246" w:lineRule="auto"/>
        <w:rPr>
          <w:sz w:val="20"/>
          <w:szCs w:val="20"/>
          <w:color w:val="auto"/>
        </w:rPr>
      </w:pPr>
      <w:r>
        <w:rPr>
          <w:rFonts w:ascii="Arial" w:cs="Arial" w:eastAsia="Arial" w:hAnsi="Arial"/>
          <w:sz w:val="18"/>
          <w:szCs w:val="18"/>
          <w:color w:val="auto"/>
        </w:rPr>
        <w:t>A 3% increase in gross profit, combined with disciplined expense management, generated operating leverage as Adjusted EBITDA increased 7%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341245" cy="19983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4124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right="2320"/>
        <w:spacing w:after="0" w:line="246" w:lineRule="auto"/>
        <w:rPr>
          <w:sz w:val="20"/>
          <w:szCs w:val="20"/>
          <w:color w:val="auto"/>
        </w:rPr>
      </w:pPr>
      <w:r>
        <w:rPr>
          <w:rFonts w:ascii="Arial" w:cs="Arial" w:eastAsia="Arial" w:hAnsi="Arial"/>
          <w:sz w:val="18"/>
          <w:szCs w:val="18"/>
          <w:color w:val="auto"/>
        </w:rPr>
        <w:t>Gross profit increased to $1.4 billion in 2016, primarily due to an increase in the Company’s cash sweep revenue, partially offset by decreases in commissions and advisory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2341245" cy="17583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41245"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right="2460"/>
        <w:spacing w:after="0"/>
        <w:rPr>
          <w:sz w:val="20"/>
          <w:szCs w:val="20"/>
          <w:color w:val="auto"/>
        </w:rPr>
      </w:pPr>
      <w:r>
        <w:rPr>
          <w:rFonts w:ascii="Arial" w:cs="Arial" w:eastAsia="Arial" w:hAnsi="Arial"/>
          <w:sz w:val="18"/>
          <w:szCs w:val="18"/>
          <w:color w:val="auto"/>
        </w:rPr>
        <w:t>Total brokerage and advisory assets were $509.4 billion as of December 31, 2016, a 7% increase from the prior year-end balance of $475.6 billion. Total brokerage and advisory net new assets were $5.9 billion for 2016, compared to $9.1 billion in the same period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2341245" cy="19983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4124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24 | </w:t>
      </w:r>
      <w:r>
        <w:rPr>
          <w:rFonts w:ascii="Arial" w:cs="Arial" w:eastAsia="Arial" w:hAnsi="Arial"/>
          <w:sz w:val="18"/>
          <w:szCs w:val="18"/>
          <w:b w:val="1"/>
          <w:bCs w:val="1"/>
          <w:color w:val="003B71"/>
        </w:rPr>
        <w:t>2017 Proxy Statement</w:t>
      </w:r>
    </w:p>
    <w:p>
      <w:pPr>
        <w:sectPr>
          <w:pgSz w:w="11900" w:h="16838" w:orient="portrait"/>
          <w:cols w:equalWidth="0" w:num="1">
            <w:col w:w="11360"/>
          </w:cols>
          <w:pgMar w:left="240" w:top="436" w:right="299" w:bottom="1440" w:gutter="0" w:footer="0" w:header="0"/>
        </w:sectPr>
      </w:pPr>
    </w:p>
    <w:bookmarkStart w:id="30" w:name="page31"/>
    <w:bookmarkEnd w:id="30"/>
    <w:p>
      <w:pPr>
        <w:ind w:left="75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320"/>
        <w:spacing w:after="0"/>
        <w:rPr>
          <w:sz w:val="20"/>
          <w:szCs w:val="20"/>
          <w:color w:val="auto"/>
        </w:rPr>
      </w:pPr>
      <w:r>
        <w:rPr>
          <w:rFonts w:ascii="Arial" w:cs="Arial" w:eastAsia="Arial" w:hAnsi="Arial"/>
          <w:sz w:val="18"/>
          <w:szCs w:val="18"/>
          <w:color w:val="auto"/>
        </w:rPr>
        <w:t>As of December 31, 2016, advisory assets under custody (which are a component of total brokerage and advisory assets) had grown to $211.6 billion, up 13% from the prior year, and represented 41.5% of total brokerage and advisory assets at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266700</wp:posOffset>
            </wp:positionV>
            <wp:extent cx="2341245" cy="19983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4124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brokerage assets (which are also a component of total brokerage and advisory assets)</w:t>
      </w:r>
    </w:p>
    <w:p>
      <w:pPr>
        <w:spacing w:after="0"/>
        <w:rPr>
          <w:sz w:val="20"/>
          <w:szCs w:val="20"/>
          <w:color w:val="auto"/>
        </w:rPr>
      </w:pPr>
      <w:r>
        <w:rPr>
          <w:rFonts w:ascii="Arial" w:cs="Arial" w:eastAsia="Arial" w:hAnsi="Arial"/>
          <w:sz w:val="18"/>
          <w:szCs w:val="18"/>
          <w:color w:val="auto"/>
        </w:rPr>
        <w:t>had grown to $297.8 billion, up 3% from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2341245" cy="19983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4124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220"/>
        <w:spacing w:after="0"/>
        <w:rPr>
          <w:sz w:val="20"/>
          <w:szCs w:val="20"/>
          <w:color w:val="auto"/>
        </w:rPr>
      </w:pPr>
      <w:r>
        <w:rPr>
          <w:rFonts w:ascii="Arial" w:cs="Arial" w:eastAsia="Arial" w:hAnsi="Arial"/>
          <w:sz w:val="18"/>
          <w:szCs w:val="18"/>
          <w:color w:val="auto"/>
        </w:rPr>
        <w:t>Capital was returned to stockholders through a share repurchase program and dividends. In 2016, $114.1 million of capital was returned to shareholders, including $89.1 million of dividends and $25.0 million of share repurchases (representing 634,651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9525</wp:posOffset>
            </wp:positionV>
            <wp:extent cx="2341245" cy="24441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41245"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25</w:t>
      </w:r>
    </w:p>
    <w:p>
      <w:pPr>
        <w:sectPr>
          <w:pgSz w:w="11900" w:h="16838" w:orient="portrait"/>
          <w:cols w:equalWidth="0" w:num="1">
            <w:col w:w="11380"/>
          </w:cols>
          <w:pgMar w:left="280" w:top="436" w:right="239" w:bottom="743" w:gutter="0" w:footer="0" w:header="0"/>
        </w:sectPr>
      </w:pPr>
    </w:p>
    <w:bookmarkStart w:id="31" w:name="page32"/>
    <w:bookmarkEnd w:id="31"/>
    <w:p>
      <w:pPr>
        <w:jc w:val="right"/>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7246620" cy="38074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80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336699"/>
        </w:rPr>
        <w:t>Compensation Philosophy</w:t>
      </w:r>
    </w:p>
    <w:p>
      <w:pPr>
        <w:spacing w:after="0" w:line="310" w:lineRule="exact"/>
        <w:rPr>
          <w:sz w:val="20"/>
          <w:szCs w:val="20"/>
          <w:color w:val="auto"/>
        </w:rPr>
      </w:pPr>
    </w:p>
    <w:p>
      <w:pPr>
        <w:jc w:val="both"/>
        <w:ind w:left="260" w:right="400"/>
        <w:spacing w:after="0"/>
        <w:rPr>
          <w:sz w:val="20"/>
          <w:szCs w:val="20"/>
          <w:color w:val="auto"/>
        </w:rPr>
      </w:pPr>
      <w:r>
        <w:rPr>
          <w:rFonts w:ascii="Arial" w:cs="Arial" w:eastAsia="Arial" w:hAnsi="Arial"/>
          <w:sz w:val="18"/>
          <w:szCs w:val="18"/>
          <w:color w:val="auto"/>
        </w:rPr>
        <w:t>Under the oversight of our Compensation Committee, our executive compensation program rewards sustained favorable financial and operating performance. Our executive compensation program is designed to align our executives’ compensation to the performance of the Company while avoiding practices that may create unwarranted risk.</w:t>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design and operation of our executive compensation program reflect the following basic objectives:</w:t>
      </w:r>
    </w:p>
    <w:p>
      <w:pPr>
        <w:spacing w:after="0" w:line="212" w:lineRule="exact"/>
        <w:rPr>
          <w:sz w:val="20"/>
          <w:szCs w:val="20"/>
          <w:color w:val="auto"/>
        </w:rPr>
      </w:pPr>
    </w:p>
    <w:p>
      <w:pPr>
        <w:ind w:left="500" w:hanging="235"/>
        <w:spacing w:after="0"/>
        <w:tabs>
          <w:tab w:leader="none" w:pos="500" w:val="left"/>
        </w:tabs>
        <w:numPr>
          <w:ilvl w:val="0"/>
          <w:numId w:val="16"/>
        </w:numPr>
        <w:rPr>
          <w:rFonts w:ascii="Arial" w:cs="Arial" w:eastAsia="Arial" w:hAnsi="Arial"/>
          <w:sz w:val="7"/>
          <w:szCs w:val="7"/>
          <w:color w:val="auto"/>
        </w:rPr>
      </w:pPr>
      <w:r>
        <w:rPr>
          <w:rFonts w:ascii="Arial" w:cs="Arial" w:eastAsia="Arial" w:hAnsi="Arial"/>
          <w:sz w:val="18"/>
          <w:szCs w:val="18"/>
          <w:color w:val="auto"/>
        </w:rPr>
        <w:t>aligning the interests of our executive officers with the interests of our Company and its stockholders;</w:t>
      </w:r>
    </w:p>
    <w:p>
      <w:pPr>
        <w:spacing w:after="0" w:line="157" w:lineRule="exact"/>
        <w:rPr>
          <w:rFonts w:ascii="Arial" w:cs="Arial" w:eastAsia="Arial" w:hAnsi="Arial"/>
          <w:sz w:val="7"/>
          <w:szCs w:val="7"/>
          <w:color w:val="auto"/>
        </w:rPr>
      </w:pPr>
    </w:p>
    <w:p>
      <w:pPr>
        <w:ind w:left="500" w:hanging="235"/>
        <w:spacing w:after="0"/>
        <w:tabs>
          <w:tab w:leader="none" w:pos="500" w:val="left"/>
        </w:tabs>
        <w:numPr>
          <w:ilvl w:val="0"/>
          <w:numId w:val="16"/>
        </w:numPr>
        <w:rPr>
          <w:rFonts w:ascii="Arial" w:cs="Arial" w:eastAsia="Arial" w:hAnsi="Arial"/>
          <w:sz w:val="7"/>
          <w:szCs w:val="7"/>
          <w:color w:val="auto"/>
        </w:rPr>
      </w:pPr>
      <w:r>
        <w:rPr>
          <w:rFonts w:ascii="Arial" w:cs="Arial" w:eastAsia="Arial" w:hAnsi="Arial"/>
          <w:sz w:val="18"/>
          <w:szCs w:val="18"/>
          <w:color w:val="auto"/>
        </w:rPr>
        <w:t>linking our executive officers’ compensation to the achievement of both short-term and long-term strategic and operational goals; and</w:t>
      </w:r>
    </w:p>
    <w:p>
      <w:pPr>
        <w:spacing w:after="0" w:line="157" w:lineRule="exact"/>
        <w:rPr>
          <w:rFonts w:ascii="Arial" w:cs="Arial" w:eastAsia="Arial" w:hAnsi="Arial"/>
          <w:sz w:val="7"/>
          <w:szCs w:val="7"/>
          <w:color w:val="auto"/>
        </w:rPr>
      </w:pPr>
    </w:p>
    <w:p>
      <w:pPr>
        <w:ind w:left="500" w:hanging="235"/>
        <w:spacing w:after="0"/>
        <w:tabs>
          <w:tab w:leader="none" w:pos="500" w:val="left"/>
        </w:tabs>
        <w:numPr>
          <w:ilvl w:val="0"/>
          <w:numId w:val="16"/>
        </w:numPr>
        <w:rPr>
          <w:rFonts w:ascii="Arial" w:cs="Arial" w:eastAsia="Arial" w:hAnsi="Arial"/>
          <w:sz w:val="7"/>
          <w:szCs w:val="7"/>
          <w:color w:val="auto"/>
        </w:rPr>
      </w:pPr>
      <w:r>
        <w:rPr>
          <w:rFonts w:ascii="Arial" w:cs="Arial" w:eastAsia="Arial" w:hAnsi="Arial"/>
          <w:sz w:val="18"/>
          <w:szCs w:val="18"/>
          <w:color w:val="auto"/>
        </w:rPr>
        <w:t>attracting, motivating, and retaining highly qualified executive officers who are passionate about the mission of our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hanging="235"/>
        <w:spacing w:after="0"/>
        <w:tabs>
          <w:tab w:leader="none" w:pos="500" w:val="left"/>
        </w:tabs>
        <w:numPr>
          <w:ilvl w:val="0"/>
          <w:numId w:val="17"/>
        </w:numPr>
        <w:rPr>
          <w:rFonts w:ascii="Arial" w:cs="Arial" w:eastAsia="Arial" w:hAnsi="Arial"/>
          <w:sz w:val="7"/>
          <w:szCs w:val="7"/>
          <w:color w:val="auto"/>
        </w:rPr>
      </w:pPr>
      <w:r>
        <w:rPr>
          <w:rFonts w:ascii="Arial" w:cs="Arial" w:eastAsia="Arial" w:hAnsi="Arial"/>
          <w:sz w:val="18"/>
          <w:szCs w:val="18"/>
          <w:color w:val="auto"/>
        </w:rPr>
        <w:t>paying compensation that is competitive with that offered for similar positions with our peer companies;</w:t>
      </w:r>
    </w:p>
    <w:p>
      <w:pPr>
        <w:spacing w:after="0" w:line="157" w:lineRule="exact"/>
        <w:rPr>
          <w:rFonts w:ascii="Arial" w:cs="Arial" w:eastAsia="Arial" w:hAnsi="Arial"/>
          <w:sz w:val="7"/>
          <w:szCs w:val="7"/>
          <w:color w:val="auto"/>
        </w:rPr>
      </w:pPr>
    </w:p>
    <w:p>
      <w:pPr>
        <w:ind w:left="500" w:hanging="235"/>
        <w:spacing w:after="0"/>
        <w:tabs>
          <w:tab w:leader="none" w:pos="500" w:val="left"/>
        </w:tabs>
        <w:numPr>
          <w:ilvl w:val="0"/>
          <w:numId w:val="17"/>
        </w:numPr>
        <w:rPr>
          <w:rFonts w:ascii="Arial" w:cs="Arial" w:eastAsia="Arial" w:hAnsi="Arial"/>
          <w:sz w:val="7"/>
          <w:szCs w:val="7"/>
          <w:color w:val="auto"/>
        </w:rPr>
      </w:pPr>
      <w:r>
        <w:rPr>
          <w:rFonts w:ascii="Arial" w:cs="Arial" w:eastAsia="Arial" w:hAnsi="Arial"/>
          <w:sz w:val="18"/>
          <w:szCs w:val="18"/>
          <w:color w:val="auto"/>
        </w:rPr>
        <w:t>striking an appropriate balance between current and long-term compensation as well as cash and equity compensation;</w:t>
      </w:r>
    </w:p>
    <w:p>
      <w:pPr>
        <w:spacing w:after="0" w:line="157" w:lineRule="exact"/>
        <w:rPr>
          <w:rFonts w:ascii="Arial" w:cs="Arial" w:eastAsia="Arial" w:hAnsi="Arial"/>
          <w:sz w:val="7"/>
          <w:szCs w:val="7"/>
          <w:color w:val="auto"/>
        </w:rPr>
      </w:pPr>
    </w:p>
    <w:p>
      <w:pPr>
        <w:ind w:left="500" w:right="1000" w:hanging="235"/>
        <w:spacing w:after="0" w:line="246" w:lineRule="auto"/>
        <w:tabs>
          <w:tab w:leader="none" w:pos="500" w:val="left"/>
        </w:tabs>
        <w:numPr>
          <w:ilvl w:val="0"/>
          <w:numId w:val="17"/>
        </w:numPr>
        <w:rPr>
          <w:rFonts w:ascii="Arial" w:cs="Arial" w:eastAsia="Arial" w:hAnsi="Arial"/>
          <w:sz w:val="7"/>
          <w:szCs w:val="7"/>
          <w:color w:val="auto"/>
        </w:rPr>
      </w:pPr>
      <w:r>
        <w:rPr>
          <w:rFonts w:ascii="Arial" w:cs="Arial" w:eastAsia="Arial" w:hAnsi="Arial"/>
          <w:sz w:val="18"/>
          <w:szCs w:val="18"/>
          <w:color w:val="auto"/>
        </w:rPr>
        <w:t>linking short-term and long-term total compensation largely to objective and, to the extent possible, quantifiable performance measures;</w:t>
      </w:r>
    </w:p>
    <w:p>
      <w:pPr>
        <w:spacing w:after="0" w:line="142" w:lineRule="exact"/>
        <w:rPr>
          <w:rFonts w:ascii="Arial" w:cs="Arial" w:eastAsia="Arial" w:hAnsi="Arial"/>
          <w:sz w:val="7"/>
          <w:szCs w:val="7"/>
          <w:color w:val="auto"/>
        </w:rPr>
      </w:pPr>
    </w:p>
    <w:p>
      <w:pPr>
        <w:ind w:left="500" w:hanging="235"/>
        <w:spacing w:after="0"/>
        <w:tabs>
          <w:tab w:leader="none" w:pos="500" w:val="left"/>
        </w:tabs>
        <w:numPr>
          <w:ilvl w:val="0"/>
          <w:numId w:val="17"/>
        </w:numPr>
        <w:rPr>
          <w:rFonts w:ascii="Arial" w:cs="Arial" w:eastAsia="Arial" w:hAnsi="Arial"/>
          <w:sz w:val="7"/>
          <w:szCs w:val="7"/>
          <w:color w:val="auto"/>
        </w:rPr>
      </w:pPr>
      <w:r>
        <w:rPr>
          <w:rFonts w:ascii="Arial" w:cs="Arial" w:eastAsia="Arial" w:hAnsi="Arial"/>
          <w:sz w:val="18"/>
          <w:szCs w:val="18"/>
          <w:color w:val="auto"/>
        </w:rPr>
        <w:t>rewarding Company and business unit performance, as well as individual performance and potential; and</w:t>
      </w:r>
    </w:p>
    <w:p>
      <w:pPr>
        <w:spacing w:after="0" w:line="157" w:lineRule="exact"/>
        <w:rPr>
          <w:rFonts w:ascii="Arial" w:cs="Arial" w:eastAsia="Arial" w:hAnsi="Arial"/>
          <w:sz w:val="7"/>
          <w:szCs w:val="7"/>
          <w:color w:val="auto"/>
        </w:rPr>
      </w:pPr>
    </w:p>
    <w:p>
      <w:pPr>
        <w:ind w:left="500" w:hanging="235"/>
        <w:spacing w:after="0"/>
        <w:tabs>
          <w:tab w:leader="none" w:pos="500" w:val="left"/>
        </w:tabs>
        <w:numPr>
          <w:ilvl w:val="0"/>
          <w:numId w:val="17"/>
        </w:numPr>
        <w:rPr>
          <w:rFonts w:ascii="Arial" w:cs="Arial" w:eastAsia="Arial" w:hAnsi="Arial"/>
          <w:sz w:val="7"/>
          <w:szCs w:val="7"/>
          <w:color w:val="auto"/>
        </w:rPr>
      </w:pPr>
      <w:r>
        <w:rPr>
          <w:rFonts w:ascii="Arial" w:cs="Arial" w:eastAsia="Arial" w:hAnsi="Arial"/>
          <w:sz w:val="18"/>
          <w:szCs w:val="18"/>
          <w:color w:val="auto"/>
        </w:rPr>
        <w:t>using equity-based compensation for a significant portion of 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42792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427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336699"/>
        </w:rPr>
        <w:t>Compensation Governance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In order to implement this philosophy, and to promote strong governance and alignment with stockholder interests, we </w:t>
      </w:r>
      <w:r>
        <w:rPr>
          <w:rFonts w:ascii="Arial" w:cs="Arial" w:eastAsia="Arial" w:hAnsi="Arial"/>
          <w:sz w:val="18"/>
          <w:szCs w:val="18"/>
          <w:b w:val="1"/>
          <w:bCs w:val="1"/>
          <w:color w:val="auto"/>
        </w:rPr>
        <w:t>do</w:t>
      </w:r>
      <w:r>
        <w:rPr>
          <w:rFonts w:ascii="Arial" w:cs="Arial" w:eastAsia="Arial" w:hAnsi="Arial"/>
          <w:sz w:val="18"/>
          <w:szCs w:val="18"/>
          <w:color w:val="auto"/>
        </w:rPr>
        <w:t xml:space="preserve"> the following:</w:t>
      </w:r>
    </w:p>
    <w:p>
      <w:pPr>
        <w:spacing w:after="0" w:line="198" w:lineRule="exact"/>
        <w:rPr>
          <w:sz w:val="20"/>
          <w:szCs w:val="20"/>
          <w:color w:val="auto"/>
        </w:rPr>
      </w:pPr>
    </w:p>
    <w:p>
      <w:pPr>
        <w:ind w:left="620" w:hanging="315"/>
        <w:spacing w:after="0"/>
        <w:tabs>
          <w:tab w:leader="none" w:pos="6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maintain a pay mix that is heavily performance-based;</w:t>
      </w:r>
    </w:p>
    <w:p>
      <w:pPr>
        <w:spacing w:after="0" w:line="111" w:lineRule="exact"/>
        <w:rPr>
          <w:rFonts w:ascii="Arial" w:cs="Arial" w:eastAsia="Arial" w:hAnsi="Arial"/>
          <w:sz w:val="22"/>
          <w:szCs w:val="22"/>
          <w:color w:val="auto"/>
        </w:rPr>
      </w:pPr>
    </w:p>
    <w:p>
      <w:pPr>
        <w:ind w:left="620" w:hanging="315"/>
        <w:spacing w:after="0"/>
        <w:tabs>
          <w:tab w:leader="none" w:pos="6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maintain stock ownership guidelines for executives;</w:t>
      </w:r>
    </w:p>
    <w:p>
      <w:pPr>
        <w:spacing w:after="0" w:line="111" w:lineRule="exact"/>
        <w:rPr>
          <w:rFonts w:ascii="Arial" w:cs="Arial" w:eastAsia="Arial" w:hAnsi="Arial"/>
          <w:sz w:val="22"/>
          <w:szCs w:val="22"/>
          <w:color w:val="auto"/>
        </w:rPr>
      </w:pPr>
    </w:p>
    <w:p>
      <w:pPr>
        <w:ind w:left="620" w:hanging="315"/>
        <w:spacing w:after="0"/>
        <w:tabs>
          <w:tab w:leader="none" w:pos="6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maintain a compensation recoupment policy in the event of a restatement of our financial statements;</w:t>
      </w:r>
    </w:p>
    <w:p>
      <w:pPr>
        <w:spacing w:after="0" w:line="111" w:lineRule="exact"/>
        <w:rPr>
          <w:rFonts w:ascii="Arial" w:cs="Arial" w:eastAsia="Arial" w:hAnsi="Arial"/>
          <w:sz w:val="22"/>
          <w:szCs w:val="22"/>
          <w:color w:val="auto"/>
        </w:rPr>
      </w:pPr>
    </w:p>
    <w:p>
      <w:pPr>
        <w:ind w:left="620" w:hanging="315"/>
        <w:spacing w:after="0"/>
        <w:tabs>
          <w:tab w:leader="none" w:pos="6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retain an independent compensation consultant engaged by, and reporting directly to, our Compensation Committee;</w:t>
      </w:r>
    </w:p>
    <w:p>
      <w:pPr>
        <w:spacing w:after="0" w:line="111" w:lineRule="exact"/>
        <w:rPr>
          <w:rFonts w:ascii="Arial" w:cs="Arial" w:eastAsia="Arial" w:hAnsi="Arial"/>
          <w:sz w:val="22"/>
          <w:szCs w:val="22"/>
          <w:color w:val="auto"/>
        </w:rPr>
      </w:pPr>
    </w:p>
    <w:p>
      <w:pPr>
        <w:ind w:left="620" w:hanging="315"/>
        <w:spacing w:after="0"/>
        <w:tabs>
          <w:tab w:leader="none" w:pos="6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benchmark executive compensation against peers with which we compete for talent;</w:t>
      </w:r>
    </w:p>
    <w:p>
      <w:pPr>
        <w:spacing w:after="0" w:line="111" w:lineRule="exact"/>
        <w:rPr>
          <w:rFonts w:ascii="Arial" w:cs="Arial" w:eastAsia="Arial" w:hAnsi="Arial"/>
          <w:sz w:val="22"/>
          <w:szCs w:val="22"/>
          <w:color w:val="auto"/>
        </w:rPr>
      </w:pPr>
    </w:p>
    <w:p>
      <w:pPr>
        <w:ind w:left="620" w:hanging="315"/>
        <w:spacing w:after="0"/>
        <w:tabs>
          <w:tab w:leader="none" w:pos="6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conduct annual risk assessments of our executive compensation policies and practices;</w:t>
      </w:r>
    </w:p>
    <w:p>
      <w:pPr>
        <w:spacing w:after="0" w:line="111" w:lineRule="exact"/>
        <w:rPr>
          <w:rFonts w:ascii="Arial" w:cs="Arial" w:eastAsia="Arial" w:hAnsi="Arial"/>
          <w:sz w:val="22"/>
          <w:szCs w:val="22"/>
          <w:color w:val="auto"/>
        </w:rPr>
      </w:pPr>
    </w:p>
    <w:p>
      <w:pPr>
        <w:ind w:left="620" w:hanging="315"/>
        <w:spacing w:after="0"/>
        <w:tabs>
          <w:tab w:leader="none" w:pos="6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hold an annual shareholder “say on pay” vote; and</w:t>
      </w:r>
    </w:p>
    <w:p>
      <w:pPr>
        <w:spacing w:after="0" w:line="111" w:lineRule="exact"/>
        <w:rPr>
          <w:rFonts w:ascii="Arial" w:cs="Arial" w:eastAsia="Arial" w:hAnsi="Arial"/>
          <w:sz w:val="22"/>
          <w:szCs w:val="22"/>
          <w:color w:val="auto"/>
        </w:rPr>
      </w:pPr>
    </w:p>
    <w:p>
      <w:pPr>
        <w:ind w:left="620" w:hanging="315"/>
        <w:spacing w:after="0"/>
        <w:tabs>
          <w:tab w:leader="none" w:pos="6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hold Compensation Committee executive sessions without management present.</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In addition, we </w:t>
      </w:r>
      <w:r>
        <w:rPr>
          <w:rFonts w:ascii="Arial" w:cs="Arial" w:eastAsia="Arial" w:hAnsi="Arial"/>
          <w:sz w:val="18"/>
          <w:szCs w:val="18"/>
          <w:b w:val="1"/>
          <w:bCs w:val="1"/>
          <w:color w:val="auto"/>
        </w:rPr>
        <w:t>do not</w:t>
      </w:r>
      <w:r>
        <w:rPr>
          <w:rFonts w:ascii="Arial" w:cs="Arial" w:eastAsia="Arial" w:hAnsi="Arial"/>
          <w:sz w:val="18"/>
          <w:szCs w:val="18"/>
          <w:color w:val="auto"/>
        </w:rPr>
        <w:t xml:space="preserve"> do the following:</w:t>
      </w:r>
    </w:p>
    <w:p>
      <w:pPr>
        <w:spacing w:after="0" w:line="163" w:lineRule="exact"/>
        <w:rPr>
          <w:sz w:val="20"/>
          <w:szCs w:val="20"/>
          <w:color w:val="auto"/>
        </w:rPr>
      </w:pPr>
    </w:p>
    <w:p>
      <w:pPr>
        <w:ind w:left="620" w:hanging="324"/>
        <w:spacing w:after="0"/>
        <w:tabs>
          <w:tab w:leader="none" w:pos="620" w:val="left"/>
        </w:tabs>
        <w:numPr>
          <w:ilvl w:val="0"/>
          <w:numId w:val="19"/>
        </w:numPr>
        <w:rPr>
          <w:rFonts w:ascii="Arial" w:cs="Arial" w:eastAsia="Arial" w:hAnsi="Arial"/>
          <w:sz w:val="25"/>
          <w:szCs w:val="25"/>
          <w:color w:val="auto"/>
        </w:rPr>
      </w:pPr>
      <w:r>
        <w:rPr>
          <w:rFonts w:ascii="Arial" w:cs="Arial" w:eastAsia="Arial" w:hAnsi="Arial"/>
          <w:sz w:val="18"/>
          <w:szCs w:val="18"/>
          <w:color w:val="auto"/>
        </w:rPr>
        <w:t>re-price stock options without stockholder approval;</w:t>
      </w:r>
    </w:p>
    <w:p>
      <w:pPr>
        <w:spacing w:after="0" w:line="77" w:lineRule="exact"/>
        <w:rPr>
          <w:rFonts w:ascii="Arial" w:cs="Arial" w:eastAsia="Arial" w:hAnsi="Arial"/>
          <w:sz w:val="25"/>
          <w:szCs w:val="25"/>
          <w:color w:val="auto"/>
        </w:rPr>
      </w:pPr>
    </w:p>
    <w:p>
      <w:pPr>
        <w:ind w:left="620" w:hanging="324"/>
        <w:spacing w:after="0"/>
        <w:tabs>
          <w:tab w:leader="none" w:pos="620" w:val="left"/>
        </w:tabs>
        <w:numPr>
          <w:ilvl w:val="0"/>
          <w:numId w:val="19"/>
        </w:numPr>
        <w:rPr>
          <w:rFonts w:ascii="Arial" w:cs="Arial" w:eastAsia="Arial" w:hAnsi="Arial"/>
          <w:sz w:val="25"/>
          <w:szCs w:val="25"/>
          <w:color w:val="auto"/>
        </w:rPr>
      </w:pPr>
      <w:r>
        <w:rPr>
          <w:rFonts w:ascii="Arial" w:cs="Arial" w:eastAsia="Arial" w:hAnsi="Arial"/>
          <w:sz w:val="18"/>
          <w:szCs w:val="18"/>
          <w:color w:val="auto"/>
        </w:rPr>
        <w:t>permit hedging transactions or short sales by executives;</w:t>
      </w:r>
    </w:p>
    <w:p>
      <w:pPr>
        <w:spacing w:after="0" w:line="77" w:lineRule="exact"/>
        <w:rPr>
          <w:rFonts w:ascii="Arial" w:cs="Arial" w:eastAsia="Arial" w:hAnsi="Arial"/>
          <w:sz w:val="25"/>
          <w:szCs w:val="25"/>
          <w:color w:val="auto"/>
        </w:rPr>
      </w:pPr>
    </w:p>
    <w:p>
      <w:pPr>
        <w:ind w:left="620" w:hanging="324"/>
        <w:spacing w:after="0"/>
        <w:tabs>
          <w:tab w:leader="none" w:pos="620" w:val="left"/>
        </w:tabs>
        <w:numPr>
          <w:ilvl w:val="0"/>
          <w:numId w:val="19"/>
        </w:numPr>
        <w:rPr>
          <w:rFonts w:ascii="Arial" w:cs="Arial" w:eastAsia="Arial" w:hAnsi="Arial"/>
          <w:sz w:val="25"/>
          <w:szCs w:val="25"/>
          <w:color w:val="auto"/>
        </w:rPr>
      </w:pPr>
      <w:r>
        <w:rPr>
          <w:rFonts w:ascii="Arial" w:cs="Arial" w:eastAsia="Arial" w:hAnsi="Arial"/>
          <w:sz w:val="18"/>
          <w:szCs w:val="18"/>
          <w:color w:val="auto"/>
        </w:rPr>
        <w:t>permit pledging or holding company stock in a margin account by executives;</w:t>
      </w:r>
    </w:p>
    <w:p>
      <w:pPr>
        <w:spacing w:after="0" w:line="77" w:lineRule="exact"/>
        <w:rPr>
          <w:rFonts w:ascii="Arial" w:cs="Arial" w:eastAsia="Arial" w:hAnsi="Arial"/>
          <w:sz w:val="25"/>
          <w:szCs w:val="25"/>
          <w:color w:val="auto"/>
        </w:rPr>
      </w:pPr>
    </w:p>
    <w:p>
      <w:pPr>
        <w:ind w:left="620" w:hanging="324"/>
        <w:spacing w:after="0"/>
        <w:tabs>
          <w:tab w:leader="none" w:pos="620" w:val="left"/>
        </w:tabs>
        <w:numPr>
          <w:ilvl w:val="0"/>
          <w:numId w:val="19"/>
        </w:numPr>
        <w:rPr>
          <w:rFonts w:ascii="Arial" w:cs="Arial" w:eastAsia="Arial" w:hAnsi="Arial"/>
          <w:sz w:val="25"/>
          <w:szCs w:val="25"/>
          <w:color w:val="auto"/>
        </w:rPr>
      </w:pPr>
      <w:r>
        <w:rPr>
          <w:rFonts w:ascii="Arial" w:cs="Arial" w:eastAsia="Arial" w:hAnsi="Arial"/>
          <w:sz w:val="18"/>
          <w:szCs w:val="18"/>
          <w:color w:val="auto"/>
        </w:rPr>
        <w:t>enter into individual employment agreements; or</w:t>
      </w:r>
    </w:p>
    <w:p>
      <w:pPr>
        <w:spacing w:after="0" w:line="77" w:lineRule="exact"/>
        <w:rPr>
          <w:rFonts w:ascii="Arial" w:cs="Arial" w:eastAsia="Arial" w:hAnsi="Arial"/>
          <w:sz w:val="25"/>
          <w:szCs w:val="25"/>
          <w:color w:val="auto"/>
        </w:rPr>
      </w:pPr>
    </w:p>
    <w:p>
      <w:pPr>
        <w:ind w:left="620" w:hanging="324"/>
        <w:spacing w:after="0"/>
        <w:tabs>
          <w:tab w:leader="none" w:pos="620" w:val="left"/>
        </w:tabs>
        <w:numPr>
          <w:ilvl w:val="0"/>
          <w:numId w:val="19"/>
        </w:numPr>
        <w:rPr>
          <w:rFonts w:ascii="Arial" w:cs="Arial" w:eastAsia="Arial" w:hAnsi="Arial"/>
          <w:sz w:val="25"/>
          <w:szCs w:val="25"/>
          <w:color w:val="auto"/>
        </w:rPr>
      </w:pPr>
      <w:r>
        <w:rPr>
          <w:rFonts w:ascii="Arial" w:cs="Arial" w:eastAsia="Arial" w:hAnsi="Arial"/>
          <w:sz w:val="18"/>
          <w:szCs w:val="18"/>
          <w:color w:val="auto"/>
        </w:rPr>
        <w:t>provide excise tax gross-ups to executives.</w:t>
      </w:r>
    </w:p>
    <w:p>
      <w:pPr>
        <w:spacing w:after="0" w:line="200" w:lineRule="exact"/>
        <w:rPr>
          <w:sz w:val="20"/>
          <w:szCs w:val="20"/>
          <w:color w:val="auto"/>
        </w:rPr>
      </w:pPr>
    </w:p>
    <w:p>
      <w:pPr>
        <w:spacing w:after="0" w:line="35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Over the last several years, we have made changes to our compensation practices to bring them into greater alignment with our peer companies, strengthen the alignment of compensation paid with Company performance, and provide greater transparency for our employees and investors. These practices are discussed below under “</w:t>
      </w:r>
      <w:r>
        <w:rPr>
          <w:rFonts w:ascii="Arial" w:cs="Arial" w:eastAsia="Arial" w:hAnsi="Arial"/>
          <w:sz w:val="18"/>
          <w:szCs w:val="18"/>
          <w:i w:val="1"/>
          <w:iCs w:val="1"/>
          <w:color w:val="auto"/>
        </w:rPr>
        <w:t>—Compensation Policies and Practices</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26 | </w:t>
      </w:r>
      <w:r>
        <w:rPr>
          <w:rFonts w:ascii="Arial" w:cs="Arial" w:eastAsia="Arial" w:hAnsi="Arial"/>
          <w:sz w:val="18"/>
          <w:szCs w:val="18"/>
          <w:b w:val="1"/>
          <w:bCs w:val="1"/>
          <w:color w:val="003B71"/>
        </w:rPr>
        <w:t>2017 Proxy Statement</w:t>
      </w:r>
    </w:p>
    <w:p>
      <w:pPr>
        <w:sectPr>
          <w:pgSz w:w="11900" w:h="16838" w:orient="portrait"/>
          <w:cols w:equalWidth="0" w:num="1">
            <w:col w:w="11360"/>
          </w:cols>
          <w:pgMar w:left="240" w:top="436" w:right="299" w:bottom="5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66"/>
        </w:trPr>
        <w:tc>
          <w:tcPr>
            <w:tcW w:w="40" w:type="dxa"/>
            <w:vAlign w:val="bottom"/>
          </w:tcPr>
          <w:p>
            <w:pPr>
              <w:spacing w:after="0"/>
              <w:rPr>
                <w:sz w:val="23"/>
                <w:szCs w:val="23"/>
                <w:color w:val="auto"/>
              </w:rPr>
            </w:pPr>
          </w:p>
        </w:tc>
        <w:tc>
          <w:tcPr>
            <w:tcW w:w="420" w:type="dxa"/>
            <w:vAlign w:val="bottom"/>
            <w:tcBorders>
              <w:bottom w:val="single" w:sz="8" w:color="003B71"/>
            </w:tcBorders>
          </w:tcPr>
          <w:p>
            <w:pPr>
              <w:spacing w:after="0"/>
              <w:rPr>
                <w:sz w:val="23"/>
                <w:szCs w:val="23"/>
                <w:color w:val="auto"/>
              </w:rPr>
            </w:pPr>
          </w:p>
        </w:tc>
        <w:tc>
          <w:tcPr>
            <w:tcW w:w="280" w:type="dxa"/>
            <w:vAlign w:val="bottom"/>
            <w:tcBorders>
              <w:bottom w:val="single" w:sz="8" w:color="003B71"/>
            </w:tcBorders>
          </w:tcPr>
          <w:p>
            <w:pPr>
              <w:spacing w:after="0"/>
              <w:rPr>
                <w:sz w:val="23"/>
                <w:szCs w:val="23"/>
                <w:color w:val="auto"/>
              </w:rPr>
            </w:pPr>
          </w:p>
        </w:tc>
        <w:tc>
          <w:tcPr>
            <w:tcW w:w="2760" w:type="dxa"/>
            <w:vAlign w:val="bottom"/>
            <w:tcBorders>
              <w:bottom w:val="single" w:sz="8" w:color="003B71"/>
            </w:tcBorders>
          </w:tcPr>
          <w:p>
            <w:pPr>
              <w:spacing w:after="0"/>
              <w:rPr>
                <w:sz w:val="23"/>
                <w:szCs w:val="23"/>
                <w:color w:val="auto"/>
              </w:rPr>
            </w:pPr>
          </w:p>
        </w:tc>
        <w:tc>
          <w:tcPr>
            <w:tcW w:w="260" w:type="dxa"/>
            <w:vAlign w:val="bottom"/>
            <w:tcBorders>
              <w:bottom w:val="single" w:sz="8" w:color="003B71"/>
            </w:tcBorders>
          </w:tcPr>
          <w:p>
            <w:pPr>
              <w:spacing w:after="0"/>
              <w:rPr>
                <w:sz w:val="23"/>
                <w:szCs w:val="23"/>
                <w:color w:val="auto"/>
              </w:rPr>
            </w:pPr>
          </w:p>
        </w:tc>
        <w:tc>
          <w:tcPr>
            <w:tcW w:w="1940" w:type="dxa"/>
            <w:vAlign w:val="bottom"/>
            <w:tcBorders>
              <w:bottom w:val="single" w:sz="8" w:color="003B71"/>
            </w:tcBorders>
          </w:tcPr>
          <w:p>
            <w:pPr>
              <w:spacing w:after="0"/>
              <w:rPr>
                <w:sz w:val="23"/>
                <w:szCs w:val="23"/>
                <w:color w:val="auto"/>
              </w:rPr>
            </w:pPr>
          </w:p>
        </w:tc>
        <w:tc>
          <w:tcPr>
            <w:tcW w:w="5700" w:type="dxa"/>
            <w:vAlign w:val="bottom"/>
            <w:tcBorders>
              <w:bottom w:val="single" w:sz="8" w:color="003B71"/>
            </w:tcBorders>
          </w:tcPr>
          <w:p>
            <w:pPr>
              <w:ind w:left="1900"/>
              <w:spacing w:after="0"/>
              <w:rPr>
                <w:sz w:val="20"/>
                <w:szCs w:val="20"/>
                <w:color w:val="auto"/>
              </w:rPr>
            </w:pPr>
            <w:r>
              <w:rPr>
                <w:rFonts w:ascii="Arial" w:cs="Arial" w:eastAsia="Arial" w:hAnsi="Arial"/>
                <w:sz w:val="20"/>
                <w:szCs w:val="20"/>
                <w:b w:val="1"/>
                <w:bCs w:val="1"/>
                <w:color w:val="003B71"/>
                <w:w w:val="99"/>
              </w:rPr>
              <w:t>Compensation Discussion and Analysis</w:t>
            </w:r>
          </w:p>
        </w:tc>
        <w:tc>
          <w:tcPr>
            <w:tcW w:w="0" w:type="dxa"/>
            <w:vAlign w:val="bottom"/>
          </w:tcPr>
          <w:p>
            <w:pPr>
              <w:spacing w:after="0"/>
              <w:rPr>
                <w:sz w:val="1"/>
                <w:szCs w:val="1"/>
                <w:color w:val="auto"/>
              </w:rPr>
            </w:pPr>
          </w:p>
        </w:tc>
      </w:tr>
      <w:tr>
        <w:trPr>
          <w:trHeight w:val="795"/>
        </w:trPr>
        <w:tc>
          <w:tcPr>
            <w:tcW w:w="3760" w:type="dxa"/>
            <w:vAlign w:val="bottom"/>
            <w:gridSpan w:val="5"/>
          </w:tcPr>
          <w:p>
            <w:pPr>
              <w:spacing w:after="0"/>
              <w:rPr>
                <w:sz w:val="20"/>
                <w:szCs w:val="20"/>
                <w:color w:val="auto"/>
              </w:rPr>
            </w:pPr>
            <w:r>
              <w:rPr>
                <w:rFonts w:ascii="Arial" w:cs="Arial" w:eastAsia="Arial" w:hAnsi="Arial"/>
                <w:sz w:val="20"/>
                <w:szCs w:val="20"/>
                <w:b w:val="1"/>
                <w:bCs w:val="1"/>
                <w:color w:val="336699"/>
              </w:rPr>
              <w:t>Components of Compensation</w:t>
            </w:r>
          </w:p>
        </w:tc>
        <w:tc>
          <w:tcPr>
            <w:tcW w:w="1940" w:type="dxa"/>
            <w:vAlign w:val="bottom"/>
          </w:tcPr>
          <w:p>
            <w:pPr>
              <w:spacing w:after="0"/>
              <w:rPr>
                <w:sz w:val="24"/>
                <w:szCs w:val="24"/>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w w:val="99"/>
              </w:rPr>
              <w:t>the period between January 3, 2017 and March 3, 2017, Mr. Casady</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700" w:type="dxa"/>
            <w:vAlign w:val="bottom"/>
          </w:tcPr>
          <w:p>
            <w:pPr>
              <w:ind w:left="240"/>
              <w:spacing w:after="0" w:line="201" w:lineRule="exact"/>
              <w:rPr>
                <w:sz w:val="20"/>
                <w:szCs w:val="20"/>
                <w:color w:val="auto"/>
              </w:rPr>
            </w:pPr>
            <w:r>
              <w:rPr>
                <w:rFonts w:ascii="Arial" w:cs="Arial" w:eastAsia="Arial" w:hAnsi="Arial"/>
                <w:sz w:val="18"/>
                <w:szCs w:val="18"/>
                <w:color w:val="auto"/>
              </w:rPr>
              <w:t>provided transition services to the Company, in consideration for</w:t>
            </w:r>
          </w:p>
        </w:tc>
        <w:tc>
          <w:tcPr>
            <w:tcW w:w="0" w:type="dxa"/>
            <w:vAlign w:val="bottom"/>
          </w:tcPr>
          <w:p>
            <w:pPr>
              <w:spacing w:after="0"/>
              <w:rPr>
                <w:sz w:val="1"/>
                <w:szCs w:val="1"/>
                <w:color w:val="auto"/>
              </w:rPr>
            </w:pPr>
          </w:p>
        </w:tc>
      </w:tr>
      <w:tr>
        <w:trPr>
          <w:trHeight w:val="216"/>
        </w:trPr>
        <w:tc>
          <w:tcPr>
            <w:tcW w:w="5700" w:type="dxa"/>
            <w:vAlign w:val="bottom"/>
            <w:gridSpan w:val="6"/>
            <w:vMerge w:val="restart"/>
          </w:tcPr>
          <w:p>
            <w:pPr>
              <w:spacing w:after="0"/>
              <w:rPr>
                <w:sz w:val="20"/>
                <w:szCs w:val="20"/>
                <w:color w:val="auto"/>
              </w:rPr>
            </w:pPr>
            <w:r>
              <w:rPr>
                <w:rFonts w:ascii="Arial" w:cs="Arial" w:eastAsia="Arial" w:hAnsi="Arial"/>
                <w:sz w:val="18"/>
                <w:szCs w:val="18"/>
                <w:color w:val="auto"/>
              </w:rPr>
              <w:t>The core components of our executive compensation program are:</w:t>
            </w:r>
          </w:p>
        </w:tc>
        <w:tc>
          <w:tcPr>
            <w:tcW w:w="5700" w:type="dxa"/>
            <w:vAlign w:val="bottom"/>
          </w:tcPr>
          <w:p>
            <w:pPr>
              <w:ind w:left="240"/>
              <w:spacing w:after="0"/>
              <w:rPr>
                <w:sz w:val="20"/>
                <w:szCs w:val="20"/>
                <w:color w:val="auto"/>
              </w:rPr>
            </w:pPr>
            <w:r>
              <w:rPr>
                <w:rFonts w:ascii="Arial" w:cs="Arial" w:eastAsia="Arial" w:hAnsi="Arial"/>
                <w:sz w:val="18"/>
                <w:szCs w:val="18"/>
                <w:color w:val="auto"/>
              </w:rPr>
              <w:t>which he continued to receive payment of his salary and benefits,</w:t>
            </w:r>
          </w:p>
        </w:tc>
        <w:tc>
          <w:tcPr>
            <w:tcW w:w="0" w:type="dxa"/>
            <w:vAlign w:val="bottom"/>
          </w:tcPr>
          <w:p>
            <w:pPr>
              <w:spacing w:after="0"/>
              <w:rPr>
                <w:sz w:val="1"/>
                <w:szCs w:val="1"/>
                <w:color w:val="auto"/>
              </w:rPr>
            </w:pPr>
          </w:p>
        </w:tc>
      </w:tr>
      <w:tr>
        <w:trPr>
          <w:trHeight w:val="68"/>
        </w:trPr>
        <w:tc>
          <w:tcPr>
            <w:tcW w:w="5700" w:type="dxa"/>
            <w:vAlign w:val="bottom"/>
            <w:gridSpan w:val="6"/>
            <w:vMerge w:val="continue"/>
          </w:tcPr>
          <w:p>
            <w:pPr>
              <w:spacing w:after="0"/>
              <w:rPr>
                <w:sz w:val="5"/>
                <w:szCs w:val="5"/>
                <w:color w:val="auto"/>
              </w:rPr>
            </w:pPr>
          </w:p>
        </w:tc>
        <w:tc>
          <w:tcPr>
            <w:tcW w:w="5700" w:type="dxa"/>
            <w:vAlign w:val="bottom"/>
            <w:vMerge w:val="restart"/>
          </w:tcPr>
          <w:p>
            <w:pPr>
              <w:ind w:left="240"/>
              <w:spacing w:after="0"/>
              <w:rPr>
                <w:sz w:val="20"/>
                <w:szCs w:val="20"/>
                <w:color w:val="auto"/>
              </w:rPr>
            </w:pPr>
            <w:r>
              <w:rPr>
                <w:rFonts w:ascii="Arial" w:cs="Arial" w:eastAsia="Arial" w:hAnsi="Arial"/>
                <w:sz w:val="18"/>
                <w:szCs w:val="18"/>
                <w:color w:val="auto"/>
              </w:rPr>
              <w:t>and continued vesting in his unvested equity-based awards. Mr.</w:t>
            </w:r>
          </w:p>
        </w:tc>
        <w:tc>
          <w:tcPr>
            <w:tcW w:w="0" w:type="dxa"/>
            <w:vAlign w:val="bottom"/>
          </w:tcPr>
          <w:p>
            <w:pPr>
              <w:spacing w:after="0"/>
              <w:rPr>
                <w:sz w:val="1"/>
                <w:szCs w:val="1"/>
                <w:color w:val="auto"/>
              </w:rPr>
            </w:pPr>
          </w:p>
        </w:tc>
      </w:tr>
      <w:tr>
        <w:trPr>
          <w:trHeight w:val="148"/>
        </w:trPr>
        <w:tc>
          <w:tcPr>
            <w:tcW w:w="3760" w:type="dxa"/>
            <w:vAlign w:val="bottom"/>
            <w:gridSpan w:val="5"/>
            <w:vMerge w:val="restart"/>
          </w:tcPr>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Base salary;</w:t>
            </w:r>
          </w:p>
        </w:tc>
        <w:tc>
          <w:tcPr>
            <w:tcW w:w="1940" w:type="dxa"/>
            <w:vAlign w:val="bottom"/>
          </w:tcPr>
          <w:p>
            <w:pPr>
              <w:spacing w:after="0"/>
              <w:rPr>
                <w:sz w:val="12"/>
                <w:szCs w:val="12"/>
                <w:color w:val="auto"/>
              </w:rPr>
            </w:pPr>
          </w:p>
        </w:tc>
        <w:tc>
          <w:tcPr>
            <w:tcW w:w="5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760" w:type="dxa"/>
            <w:vAlign w:val="bottom"/>
            <w:gridSpan w:val="5"/>
            <w:vMerge w:val="continue"/>
          </w:tcPr>
          <w:p>
            <w:pPr>
              <w:spacing w:after="0"/>
              <w:rPr>
                <w:sz w:val="14"/>
                <w:szCs w:val="14"/>
                <w:color w:val="auto"/>
              </w:rPr>
            </w:pPr>
          </w:p>
        </w:tc>
        <w:tc>
          <w:tcPr>
            <w:tcW w:w="1940" w:type="dxa"/>
            <w:vAlign w:val="bottom"/>
          </w:tcPr>
          <w:p>
            <w:pPr>
              <w:spacing w:after="0"/>
              <w:rPr>
                <w:sz w:val="14"/>
                <w:szCs w:val="14"/>
                <w:color w:val="auto"/>
              </w:rPr>
            </w:pPr>
          </w:p>
        </w:tc>
        <w:tc>
          <w:tcPr>
            <w:tcW w:w="5700" w:type="dxa"/>
            <w:vAlign w:val="bottom"/>
          </w:tcPr>
          <w:p>
            <w:pPr>
              <w:ind w:left="240"/>
              <w:spacing w:after="0" w:line="170" w:lineRule="exact"/>
              <w:rPr>
                <w:sz w:val="20"/>
                <w:szCs w:val="20"/>
                <w:color w:val="auto"/>
              </w:rPr>
            </w:pPr>
            <w:r>
              <w:rPr>
                <w:rFonts w:ascii="Arial" w:cs="Arial" w:eastAsia="Arial" w:hAnsi="Arial"/>
                <w:sz w:val="18"/>
                <w:szCs w:val="18"/>
                <w:color w:val="auto"/>
              </w:rPr>
              <w:t>Casady did not receive any severance in connection with his</w:t>
            </w:r>
          </w:p>
        </w:tc>
        <w:tc>
          <w:tcPr>
            <w:tcW w:w="0" w:type="dxa"/>
            <w:vAlign w:val="bottom"/>
          </w:tcPr>
          <w:p>
            <w:pPr>
              <w:spacing w:after="0"/>
              <w:rPr>
                <w:sz w:val="1"/>
                <w:szCs w:val="1"/>
                <w:color w:val="auto"/>
              </w:rPr>
            </w:pPr>
          </w:p>
        </w:tc>
      </w:tr>
      <w:tr>
        <w:trPr>
          <w:trHeight w:val="257"/>
        </w:trPr>
        <w:tc>
          <w:tcPr>
            <w:tcW w:w="3760" w:type="dxa"/>
            <w:vAlign w:val="bottom"/>
            <w:gridSpan w:val="5"/>
          </w:tcPr>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Annual cash bonus awards;</w:t>
            </w:r>
          </w:p>
        </w:tc>
        <w:tc>
          <w:tcPr>
            <w:tcW w:w="1940" w:type="dxa"/>
            <w:vAlign w:val="bottom"/>
          </w:tcPr>
          <w:p>
            <w:pPr>
              <w:spacing w:after="0"/>
              <w:rPr>
                <w:sz w:val="22"/>
                <w:szCs w:val="22"/>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retirement. Because Mr. Casady satisfied the definition of</w:t>
            </w:r>
          </w:p>
        </w:tc>
        <w:tc>
          <w:tcPr>
            <w:tcW w:w="0" w:type="dxa"/>
            <w:vAlign w:val="bottom"/>
          </w:tcPr>
          <w:p>
            <w:pPr>
              <w:spacing w:after="0"/>
              <w:rPr>
                <w:sz w:val="1"/>
                <w:szCs w:val="1"/>
                <w:color w:val="auto"/>
              </w:rPr>
            </w:pPr>
          </w:p>
        </w:tc>
      </w:tr>
      <w:tr>
        <w:trPr>
          <w:trHeight w:val="222"/>
        </w:trPr>
        <w:tc>
          <w:tcPr>
            <w:tcW w:w="3760" w:type="dxa"/>
            <w:vAlign w:val="bottom"/>
            <w:gridSpan w:val="5"/>
          </w:tcPr>
          <w:p>
            <w:pPr>
              <w:spacing w:after="0" w:line="222" w:lineRule="exact"/>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Long-term equity incentive awards; and</w:t>
            </w:r>
          </w:p>
        </w:tc>
        <w:tc>
          <w:tcPr>
            <w:tcW w:w="1940" w:type="dxa"/>
            <w:vAlign w:val="bottom"/>
          </w:tcPr>
          <w:p>
            <w:pPr>
              <w:spacing w:after="0"/>
              <w:rPr>
                <w:sz w:val="19"/>
                <w:szCs w:val="19"/>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"retirement" under the provisions of his equity awards, all unvested</w:t>
            </w:r>
          </w:p>
        </w:tc>
        <w:tc>
          <w:tcPr>
            <w:tcW w:w="0" w:type="dxa"/>
            <w:vAlign w:val="bottom"/>
          </w:tcPr>
          <w:p>
            <w:pPr>
              <w:spacing w:after="0"/>
              <w:rPr>
                <w:sz w:val="1"/>
                <w:szCs w:val="1"/>
                <w:color w:val="auto"/>
              </w:rPr>
            </w:pPr>
          </w:p>
        </w:tc>
      </w:tr>
      <w:tr>
        <w:trPr>
          <w:trHeight w:val="294"/>
        </w:trPr>
        <w:tc>
          <w:tcPr>
            <w:tcW w:w="3760" w:type="dxa"/>
            <w:vAlign w:val="bottom"/>
            <w:gridSpan w:val="5"/>
          </w:tcPr>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Severance and change-in-control benefits.</w:t>
            </w:r>
          </w:p>
        </w:tc>
        <w:tc>
          <w:tcPr>
            <w:tcW w:w="1940" w:type="dxa"/>
            <w:vAlign w:val="bottom"/>
          </w:tcPr>
          <w:p>
            <w:pPr>
              <w:spacing w:after="0"/>
              <w:rPr>
                <w:sz w:val="24"/>
                <w:szCs w:val="24"/>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equity awards held by him became fully vested as of March 3, 2017.</w:t>
            </w:r>
          </w:p>
        </w:tc>
        <w:tc>
          <w:tcPr>
            <w:tcW w:w="0" w:type="dxa"/>
            <w:vAlign w:val="bottom"/>
          </w:tcPr>
          <w:p>
            <w:pPr>
              <w:spacing w:after="0"/>
              <w:rPr>
                <w:sz w:val="1"/>
                <w:szCs w:val="1"/>
                <w:color w:val="auto"/>
              </w:rPr>
            </w:pPr>
          </w:p>
        </w:tc>
      </w:tr>
      <w:tr>
        <w:trPr>
          <w:trHeight w:val="355"/>
        </w:trPr>
        <w:tc>
          <w:tcPr>
            <w:tcW w:w="5700" w:type="dxa"/>
            <w:vAlign w:val="bottom"/>
            <w:gridSpan w:val="6"/>
            <w:vMerge w:val="restart"/>
          </w:tcPr>
          <w:p>
            <w:pPr>
              <w:spacing w:after="0"/>
              <w:rPr>
                <w:sz w:val="20"/>
                <w:szCs w:val="20"/>
                <w:color w:val="auto"/>
              </w:rPr>
            </w:pPr>
            <w:r>
              <w:rPr>
                <w:rFonts w:ascii="Arial" w:cs="Arial" w:eastAsia="Arial" w:hAnsi="Arial"/>
                <w:sz w:val="18"/>
                <w:szCs w:val="18"/>
                <w:color w:val="auto"/>
              </w:rPr>
              <w:t>Our Compensation Committee retains flexibility to determine the</w:t>
            </w:r>
          </w:p>
        </w:tc>
        <w:tc>
          <w:tcPr>
            <w:tcW w:w="5700" w:type="dxa"/>
            <w:vAlign w:val="bottom"/>
          </w:tcPr>
          <w:p>
            <w:pPr>
              <w:ind w:left="240"/>
              <w:spacing w:after="0"/>
              <w:rPr>
                <w:sz w:val="20"/>
                <w:szCs w:val="20"/>
                <w:color w:val="auto"/>
              </w:rPr>
            </w:pPr>
            <w:r>
              <w:rPr>
                <w:rFonts w:ascii="Arial" w:cs="Arial" w:eastAsia="Arial" w:hAnsi="Arial"/>
                <w:sz w:val="18"/>
                <w:szCs w:val="18"/>
                <w:i w:val="1"/>
                <w:iCs w:val="1"/>
                <w:color w:val="336699"/>
              </w:rPr>
              <w:t>Mr. Arnold’s Arrangements</w:t>
            </w:r>
          </w:p>
        </w:tc>
        <w:tc>
          <w:tcPr>
            <w:tcW w:w="0" w:type="dxa"/>
            <w:vAlign w:val="bottom"/>
          </w:tcPr>
          <w:p>
            <w:pPr>
              <w:spacing w:after="0"/>
              <w:rPr>
                <w:sz w:val="1"/>
                <w:szCs w:val="1"/>
                <w:color w:val="auto"/>
              </w:rPr>
            </w:pPr>
          </w:p>
        </w:tc>
      </w:tr>
      <w:tr>
        <w:trPr>
          <w:trHeight w:val="67"/>
        </w:trPr>
        <w:tc>
          <w:tcPr>
            <w:tcW w:w="5700" w:type="dxa"/>
            <w:vAlign w:val="bottom"/>
            <w:gridSpan w:val="6"/>
            <w:vMerge w:val="continue"/>
          </w:tcPr>
          <w:p>
            <w:pPr>
              <w:spacing w:after="0"/>
              <w:rPr>
                <w:sz w:val="5"/>
                <w:szCs w:val="5"/>
                <w:color w:val="auto"/>
              </w:rPr>
            </w:pPr>
          </w:p>
        </w:tc>
        <w:tc>
          <w:tcPr>
            <w:tcW w:w="5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700" w:type="dxa"/>
            <w:vAlign w:val="bottom"/>
            <w:gridSpan w:val="6"/>
          </w:tcPr>
          <w:p>
            <w:pPr>
              <w:spacing w:after="0"/>
              <w:rPr>
                <w:sz w:val="20"/>
                <w:szCs w:val="20"/>
                <w:color w:val="auto"/>
              </w:rPr>
            </w:pPr>
            <w:r>
              <w:rPr>
                <w:rFonts w:ascii="Arial" w:cs="Arial" w:eastAsia="Arial" w:hAnsi="Arial"/>
                <w:sz w:val="18"/>
                <w:szCs w:val="18"/>
                <w:color w:val="auto"/>
              </w:rPr>
              <w:t>appropriate level and mix of the various compensation components</w:t>
            </w:r>
          </w:p>
        </w:tc>
        <w:tc>
          <w:tcPr>
            <w:tcW w:w="5700" w:type="dxa"/>
            <w:vAlign w:val="bottom"/>
            <w:vMerge w:val="restart"/>
          </w:tcPr>
          <w:p>
            <w:pPr>
              <w:ind w:left="240"/>
              <w:spacing w:after="0"/>
              <w:rPr>
                <w:sz w:val="20"/>
                <w:szCs w:val="20"/>
                <w:color w:val="auto"/>
              </w:rPr>
            </w:pPr>
            <w:r>
              <w:rPr>
                <w:rFonts w:ascii="Arial" w:cs="Arial" w:eastAsia="Arial" w:hAnsi="Arial"/>
                <w:sz w:val="18"/>
                <w:szCs w:val="18"/>
                <w:color w:val="auto"/>
              </w:rPr>
              <w:t>Mr. Arnold, our president, was appointed as our chief executive</w:t>
            </w:r>
          </w:p>
        </w:tc>
        <w:tc>
          <w:tcPr>
            <w:tcW w:w="0" w:type="dxa"/>
            <w:vAlign w:val="bottom"/>
          </w:tcPr>
          <w:p>
            <w:pPr>
              <w:spacing w:after="0"/>
              <w:rPr>
                <w:sz w:val="1"/>
                <w:szCs w:val="1"/>
                <w:color w:val="auto"/>
              </w:rPr>
            </w:pPr>
          </w:p>
        </w:tc>
      </w:tr>
      <w:tr>
        <w:trPr>
          <w:trHeight w:val="149"/>
        </w:trPr>
        <w:tc>
          <w:tcPr>
            <w:tcW w:w="5700" w:type="dxa"/>
            <w:vAlign w:val="bottom"/>
            <w:gridSpan w:val="6"/>
            <w:vMerge w:val="restart"/>
          </w:tcPr>
          <w:p>
            <w:pPr>
              <w:spacing w:after="0"/>
              <w:rPr>
                <w:sz w:val="20"/>
                <w:szCs w:val="20"/>
                <w:color w:val="auto"/>
              </w:rPr>
            </w:pPr>
            <w:r>
              <w:rPr>
                <w:rFonts w:ascii="Arial" w:cs="Arial" w:eastAsia="Arial" w:hAnsi="Arial"/>
                <w:sz w:val="18"/>
                <w:szCs w:val="18"/>
                <w:color w:val="auto"/>
              </w:rPr>
              <w:t>consistent with our business needs. The mix of compensation</w:t>
            </w:r>
          </w:p>
        </w:tc>
        <w:tc>
          <w:tcPr>
            <w:tcW w:w="5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700" w:type="dxa"/>
            <w:vAlign w:val="bottom"/>
            <w:gridSpan w:val="6"/>
            <w:vMerge w:val="continue"/>
          </w:tcPr>
          <w:p>
            <w:pPr>
              <w:spacing w:after="0"/>
              <w:rPr>
                <w:sz w:val="5"/>
                <w:szCs w:val="5"/>
                <w:color w:val="auto"/>
              </w:rPr>
            </w:pPr>
          </w:p>
        </w:tc>
        <w:tc>
          <w:tcPr>
            <w:tcW w:w="5700" w:type="dxa"/>
            <w:vAlign w:val="bottom"/>
            <w:vMerge w:val="restart"/>
          </w:tcPr>
          <w:p>
            <w:pPr>
              <w:ind w:left="240"/>
              <w:spacing w:after="0"/>
              <w:rPr>
                <w:sz w:val="20"/>
                <w:szCs w:val="20"/>
                <w:color w:val="auto"/>
              </w:rPr>
            </w:pPr>
            <w:r>
              <w:rPr>
                <w:rFonts w:ascii="Arial" w:cs="Arial" w:eastAsia="Arial" w:hAnsi="Arial"/>
                <w:sz w:val="18"/>
                <w:szCs w:val="18"/>
                <w:color w:val="auto"/>
              </w:rPr>
              <w:t>officer, effective January 3, 2017. Mr. Arnold was also appointed to</w:t>
            </w:r>
          </w:p>
        </w:tc>
        <w:tc>
          <w:tcPr>
            <w:tcW w:w="0" w:type="dxa"/>
            <w:vAlign w:val="bottom"/>
          </w:tcPr>
          <w:p>
            <w:pPr>
              <w:spacing w:after="0"/>
              <w:rPr>
                <w:sz w:val="1"/>
                <w:szCs w:val="1"/>
                <w:color w:val="auto"/>
              </w:rPr>
            </w:pPr>
          </w:p>
        </w:tc>
      </w:tr>
      <w:tr>
        <w:trPr>
          <w:trHeight w:val="149"/>
        </w:trPr>
        <w:tc>
          <w:tcPr>
            <w:tcW w:w="5700" w:type="dxa"/>
            <w:vAlign w:val="bottom"/>
            <w:gridSpan w:val="6"/>
            <w:vMerge w:val="restart"/>
          </w:tcPr>
          <w:p>
            <w:pPr>
              <w:spacing w:after="0"/>
              <w:rPr>
                <w:sz w:val="20"/>
                <w:szCs w:val="20"/>
                <w:color w:val="auto"/>
              </w:rPr>
            </w:pPr>
            <w:r>
              <w:rPr>
                <w:rFonts w:ascii="Arial" w:cs="Arial" w:eastAsia="Arial" w:hAnsi="Arial"/>
                <w:sz w:val="18"/>
                <w:szCs w:val="18"/>
                <w:color w:val="auto"/>
              </w:rPr>
              <w:t>elements is intended to provide our NEOs with a competitive total</w:t>
            </w:r>
          </w:p>
        </w:tc>
        <w:tc>
          <w:tcPr>
            <w:tcW w:w="5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700" w:type="dxa"/>
            <w:vAlign w:val="bottom"/>
            <w:gridSpan w:val="6"/>
            <w:vMerge w:val="continue"/>
          </w:tcPr>
          <w:p>
            <w:pPr>
              <w:spacing w:after="0"/>
              <w:rPr>
                <w:sz w:val="5"/>
                <w:szCs w:val="5"/>
                <w:color w:val="auto"/>
              </w:rPr>
            </w:pPr>
          </w:p>
        </w:tc>
        <w:tc>
          <w:tcPr>
            <w:tcW w:w="5700" w:type="dxa"/>
            <w:vAlign w:val="bottom"/>
            <w:vMerge w:val="restart"/>
          </w:tcPr>
          <w:p>
            <w:pPr>
              <w:ind w:left="240"/>
              <w:spacing w:after="0"/>
              <w:rPr>
                <w:sz w:val="20"/>
                <w:szCs w:val="20"/>
                <w:color w:val="auto"/>
              </w:rPr>
            </w:pPr>
            <w:r>
              <w:rPr>
                <w:rFonts w:ascii="Arial" w:cs="Arial" w:eastAsia="Arial" w:hAnsi="Arial"/>
                <w:sz w:val="18"/>
                <w:szCs w:val="18"/>
                <w:color w:val="auto"/>
              </w:rPr>
              <w:t>the Board at that time.</w:t>
            </w:r>
          </w:p>
        </w:tc>
        <w:tc>
          <w:tcPr>
            <w:tcW w:w="0" w:type="dxa"/>
            <w:vAlign w:val="bottom"/>
          </w:tcPr>
          <w:p>
            <w:pPr>
              <w:spacing w:after="0"/>
              <w:rPr>
                <w:sz w:val="1"/>
                <w:szCs w:val="1"/>
                <w:color w:val="auto"/>
              </w:rPr>
            </w:pPr>
          </w:p>
        </w:tc>
      </w:tr>
      <w:tr>
        <w:trPr>
          <w:trHeight w:val="149"/>
        </w:trPr>
        <w:tc>
          <w:tcPr>
            <w:tcW w:w="5700" w:type="dxa"/>
            <w:vAlign w:val="bottom"/>
            <w:gridSpan w:val="6"/>
            <w:vMerge w:val="restart"/>
          </w:tcPr>
          <w:p>
            <w:pPr>
              <w:spacing w:after="0"/>
              <w:rPr>
                <w:sz w:val="20"/>
                <w:szCs w:val="20"/>
                <w:color w:val="auto"/>
              </w:rPr>
            </w:pPr>
            <w:r>
              <w:rPr>
                <w:rFonts w:ascii="Arial" w:cs="Arial" w:eastAsia="Arial" w:hAnsi="Arial"/>
                <w:sz w:val="18"/>
                <w:szCs w:val="18"/>
                <w:color w:val="auto"/>
              </w:rPr>
              <w:t>pay package that rewards recent results and drives long-term</w:t>
            </w:r>
          </w:p>
        </w:tc>
        <w:tc>
          <w:tcPr>
            <w:tcW w:w="5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5700" w:type="dxa"/>
            <w:vAlign w:val="bottom"/>
            <w:gridSpan w:val="6"/>
            <w:vMerge w:val="continue"/>
          </w:tcPr>
          <w:p>
            <w:pPr>
              <w:spacing w:after="0"/>
              <w:rPr>
                <w:sz w:val="5"/>
                <w:szCs w:val="5"/>
                <w:color w:val="auto"/>
              </w:rPr>
            </w:pPr>
          </w:p>
        </w:tc>
        <w:tc>
          <w:tcPr>
            <w:tcW w:w="5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700" w:type="dxa"/>
            <w:vAlign w:val="bottom"/>
            <w:gridSpan w:val="6"/>
          </w:tcPr>
          <w:p>
            <w:pPr>
              <w:spacing w:after="0"/>
              <w:rPr>
                <w:sz w:val="20"/>
                <w:szCs w:val="20"/>
                <w:color w:val="auto"/>
              </w:rPr>
            </w:pPr>
            <w:r>
              <w:rPr>
                <w:rFonts w:ascii="Arial" w:cs="Arial" w:eastAsia="Arial" w:hAnsi="Arial"/>
                <w:sz w:val="18"/>
                <w:szCs w:val="18"/>
                <w:color w:val="auto"/>
              </w:rPr>
              <w:t>corporate performance. The annual cash bonus awards compensate</w:t>
            </w:r>
          </w:p>
        </w:tc>
        <w:tc>
          <w:tcPr>
            <w:tcW w:w="5700" w:type="dxa"/>
            <w:vAlign w:val="bottom"/>
            <w:vMerge w:val="restart"/>
          </w:tcPr>
          <w:p>
            <w:pPr>
              <w:ind w:left="240"/>
              <w:spacing w:after="0"/>
              <w:rPr>
                <w:sz w:val="20"/>
                <w:szCs w:val="20"/>
                <w:color w:val="auto"/>
              </w:rPr>
            </w:pPr>
            <w:r>
              <w:rPr>
                <w:rFonts w:ascii="Arial" w:cs="Arial" w:eastAsia="Arial" w:hAnsi="Arial"/>
                <w:sz w:val="18"/>
                <w:szCs w:val="18"/>
                <w:color w:val="auto"/>
              </w:rPr>
              <w:t>In connection with Mr. Arnold’s appointment as chief executive</w:t>
            </w:r>
          </w:p>
        </w:tc>
        <w:tc>
          <w:tcPr>
            <w:tcW w:w="0" w:type="dxa"/>
            <w:vAlign w:val="bottom"/>
          </w:tcPr>
          <w:p>
            <w:pPr>
              <w:spacing w:after="0"/>
              <w:rPr>
                <w:sz w:val="1"/>
                <w:szCs w:val="1"/>
                <w:color w:val="auto"/>
              </w:rPr>
            </w:pPr>
          </w:p>
        </w:tc>
      </w:tr>
      <w:tr>
        <w:trPr>
          <w:trHeight w:val="149"/>
        </w:trPr>
        <w:tc>
          <w:tcPr>
            <w:tcW w:w="5700" w:type="dxa"/>
            <w:vAlign w:val="bottom"/>
            <w:gridSpan w:val="6"/>
            <w:vMerge w:val="restart"/>
          </w:tcPr>
          <w:p>
            <w:pPr>
              <w:spacing w:after="0"/>
              <w:rPr>
                <w:sz w:val="20"/>
                <w:szCs w:val="20"/>
                <w:color w:val="auto"/>
              </w:rPr>
            </w:pPr>
            <w:r>
              <w:rPr>
                <w:rFonts w:ascii="Arial" w:cs="Arial" w:eastAsia="Arial" w:hAnsi="Arial"/>
                <w:sz w:val="18"/>
                <w:szCs w:val="18"/>
                <w:color w:val="auto"/>
              </w:rPr>
              <w:t>NEOs based upon annual Company and individual performance. We</w:t>
            </w:r>
          </w:p>
        </w:tc>
        <w:tc>
          <w:tcPr>
            <w:tcW w:w="5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700" w:type="dxa"/>
            <w:vAlign w:val="bottom"/>
            <w:gridSpan w:val="6"/>
            <w:vMerge w:val="continue"/>
          </w:tcPr>
          <w:p>
            <w:pPr>
              <w:spacing w:after="0"/>
              <w:rPr>
                <w:sz w:val="5"/>
                <w:szCs w:val="5"/>
                <w:color w:val="auto"/>
              </w:rPr>
            </w:pPr>
          </w:p>
        </w:tc>
        <w:tc>
          <w:tcPr>
            <w:tcW w:w="5700" w:type="dxa"/>
            <w:vAlign w:val="bottom"/>
            <w:vMerge w:val="restart"/>
          </w:tcPr>
          <w:p>
            <w:pPr>
              <w:ind w:left="240"/>
              <w:spacing w:after="0"/>
              <w:rPr>
                <w:sz w:val="20"/>
                <w:szCs w:val="20"/>
                <w:color w:val="auto"/>
              </w:rPr>
            </w:pPr>
            <w:r>
              <w:rPr>
                <w:rFonts w:ascii="Arial" w:cs="Arial" w:eastAsia="Arial" w:hAnsi="Arial"/>
                <w:sz w:val="18"/>
                <w:szCs w:val="18"/>
                <w:color w:val="auto"/>
              </w:rPr>
              <w:t>officer, the Board approved an increase in his annual base salary to</w:t>
            </w:r>
          </w:p>
        </w:tc>
        <w:tc>
          <w:tcPr>
            <w:tcW w:w="0" w:type="dxa"/>
            <w:vAlign w:val="bottom"/>
          </w:tcPr>
          <w:p>
            <w:pPr>
              <w:spacing w:after="0"/>
              <w:rPr>
                <w:sz w:val="1"/>
                <w:szCs w:val="1"/>
                <w:color w:val="auto"/>
              </w:rPr>
            </w:pPr>
          </w:p>
        </w:tc>
      </w:tr>
      <w:tr>
        <w:trPr>
          <w:trHeight w:val="149"/>
        </w:trPr>
        <w:tc>
          <w:tcPr>
            <w:tcW w:w="5700" w:type="dxa"/>
            <w:vAlign w:val="bottom"/>
            <w:gridSpan w:val="6"/>
            <w:vMerge w:val="restart"/>
          </w:tcPr>
          <w:p>
            <w:pPr>
              <w:spacing w:after="0"/>
              <w:rPr>
                <w:sz w:val="20"/>
                <w:szCs w:val="20"/>
                <w:color w:val="auto"/>
              </w:rPr>
            </w:pPr>
            <w:r>
              <w:rPr>
                <w:rFonts w:ascii="Arial" w:cs="Arial" w:eastAsia="Arial" w:hAnsi="Arial"/>
                <w:sz w:val="18"/>
                <w:szCs w:val="18"/>
                <w:color w:val="auto"/>
              </w:rPr>
              <w:t>also have a long-term equity incentive program designed to provide</w:t>
            </w:r>
          </w:p>
        </w:tc>
        <w:tc>
          <w:tcPr>
            <w:tcW w:w="5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700" w:type="dxa"/>
            <w:vAlign w:val="bottom"/>
            <w:gridSpan w:val="6"/>
            <w:vMerge w:val="continue"/>
          </w:tcPr>
          <w:p>
            <w:pPr>
              <w:spacing w:after="0"/>
              <w:rPr>
                <w:sz w:val="5"/>
                <w:szCs w:val="5"/>
                <w:color w:val="auto"/>
              </w:rPr>
            </w:pPr>
          </w:p>
        </w:tc>
        <w:tc>
          <w:tcPr>
            <w:tcW w:w="5700" w:type="dxa"/>
            <w:vAlign w:val="bottom"/>
            <w:vMerge w:val="restart"/>
          </w:tcPr>
          <w:p>
            <w:pPr>
              <w:ind w:left="240"/>
              <w:spacing w:after="0"/>
              <w:rPr>
                <w:sz w:val="20"/>
                <w:szCs w:val="20"/>
                <w:color w:val="auto"/>
              </w:rPr>
            </w:pPr>
            <w:r>
              <w:rPr>
                <w:rFonts w:ascii="Arial" w:cs="Arial" w:eastAsia="Arial" w:hAnsi="Arial"/>
                <w:sz w:val="18"/>
                <w:szCs w:val="18"/>
                <w:color w:val="auto"/>
              </w:rPr>
              <w:t>$800,000 and a target annual cash bonus opportunity of 225% of</w:t>
            </w:r>
          </w:p>
        </w:tc>
        <w:tc>
          <w:tcPr>
            <w:tcW w:w="0" w:type="dxa"/>
            <w:vAlign w:val="bottom"/>
          </w:tcPr>
          <w:p>
            <w:pPr>
              <w:spacing w:after="0"/>
              <w:rPr>
                <w:sz w:val="1"/>
                <w:szCs w:val="1"/>
                <w:color w:val="auto"/>
              </w:rPr>
            </w:pPr>
          </w:p>
        </w:tc>
      </w:tr>
      <w:tr>
        <w:trPr>
          <w:trHeight w:val="149"/>
        </w:trPr>
        <w:tc>
          <w:tcPr>
            <w:tcW w:w="5700" w:type="dxa"/>
            <w:vAlign w:val="bottom"/>
            <w:gridSpan w:val="6"/>
            <w:vMerge w:val="restart"/>
          </w:tcPr>
          <w:p>
            <w:pPr>
              <w:spacing w:after="0"/>
              <w:rPr>
                <w:sz w:val="20"/>
                <w:szCs w:val="20"/>
                <w:color w:val="auto"/>
              </w:rPr>
            </w:pPr>
            <w:r>
              <w:rPr>
                <w:rFonts w:ascii="Arial" w:cs="Arial" w:eastAsia="Arial" w:hAnsi="Arial"/>
                <w:sz w:val="18"/>
                <w:szCs w:val="18"/>
                <w:color w:val="auto"/>
              </w:rPr>
              <w:t>equity compensation primarily linked to longer-term Company</w:t>
            </w:r>
          </w:p>
        </w:tc>
        <w:tc>
          <w:tcPr>
            <w:tcW w:w="5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700" w:type="dxa"/>
            <w:vAlign w:val="bottom"/>
            <w:gridSpan w:val="6"/>
            <w:vMerge w:val="continue"/>
          </w:tcPr>
          <w:p>
            <w:pPr>
              <w:spacing w:after="0"/>
              <w:rPr>
                <w:sz w:val="5"/>
                <w:szCs w:val="5"/>
                <w:color w:val="auto"/>
              </w:rPr>
            </w:pPr>
          </w:p>
        </w:tc>
        <w:tc>
          <w:tcPr>
            <w:tcW w:w="5700" w:type="dxa"/>
            <w:vAlign w:val="bottom"/>
            <w:vMerge w:val="restart"/>
          </w:tcPr>
          <w:p>
            <w:pPr>
              <w:ind w:left="240"/>
              <w:spacing w:after="0"/>
              <w:rPr>
                <w:sz w:val="20"/>
                <w:szCs w:val="20"/>
                <w:color w:val="auto"/>
              </w:rPr>
            </w:pPr>
            <w:r>
              <w:rPr>
                <w:rFonts w:ascii="Arial" w:cs="Arial" w:eastAsia="Arial" w:hAnsi="Arial"/>
                <w:sz w:val="18"/>
                <w:szCs w:val="18"/>
                <w:color w:val="auto"/>
                <w:w w:val="99"/>
              </w:rPr>
              <w:t>annual base salary, each effective as of January 3, 2017. In addition,</w:t>
            </w:r>
          </w:p>
        </w:tc>
        <w:tc>
          <w:tcPr>
            <w:tcW w:w="0" w:type="dxa"/>
            <w:vAlign w:val="bottom"/>
          </w:tcPr>
          <w:p>
            <w:pPr>
              <w:spacing w:after="0"/>
              <w:rPr>
                <w:sz w:val="1"/>
                <w:szCs w:val="1"/>
                <w:color w:val="auto"/>
              </w:rPr>
            </w:pPr>
          </w:p>
        </w:tc>
      </w:tr>
      <w:tr>
        <w:trPr>
          <w:trHeight w:val="149"/>
        </w:trPr>
        <w:tc>
          <w:tcPr>
            <w:tcW w:w="5700" w:type="dxa"/>
            <w:vAlign w:val="bottom"/>
            <w:gridSpan w:val="6"/>
            <w:vMerge w:val="restart"/>
          </w:tcPr>
          <w:p>
            <w:pPr>
              <w:spacing w:after="0"/>
              <w:rPr>
                <w:sz w:val="20"/>
                <w:szCs w:val="20"/>
                <w:color w:val="auto"/>
              </w:rPr>
            </w:pPr>
            <w:r>
              <w:rPr>
                <w:rFonts w:ascii="Arial" w:cs="Arial" w:eastAsia="Arial" w:hAnsi="Arial"/>
                <w:sz w:val="18"/>
                <w:szCs w:val="18"/>
                <w:color w:val="auto"/>
              </w:rPr>
              <w:t>performance while aligning the interests of our executives with the</w:t>
            </w:r>
          </w:p>
        </w:tc>
        <w:tc>
          <w:tcPr>
            <w:tcW w:w="5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700" w:type="dxa"/>
            <w:vAlign w:val="bottom"/>
            <w:gridSpan w:val="6"/>
            <w:vMerge w:val="continue"/>
          </w:tcPr>
          <w:p>
            <w:pPr>
              <w:spacing w:after="0"/>
              <w:rPr>
                <w:sz w:val="5"/>
                <w:szCs w:val="5"/>
                <w:color w:val="auto"/>
              </w:rPr>
            </w:pPr>
          </w:p>
        </w:tc>
        <w:tc>
          <w:tcPr>
            <w:tcW w:w="5700" w:type="dxa"/>
            <w:vAlign w:val="bottom"/>
            <w:vMerge w:val="restart"/>
          </w:tcPr>
          <w:p>
            <w:pPr>
              <w:ind w:left="240"/>
              <w:spacing w:after="0"/>
              <w:rPr>
                <w:sz w:val="20"/>
                <w:szCs w:val="20"/>
                <w:color w:val="auto"/>
              </w:rPr>
            </w:pPr>
            <w:r>
              <w:rPr>
                <w:rFonts w:ascii="Arial" w:cs="Arial" w:eastAsia="Arial" w:hAnsi="Arial"/>
                <w:sz w:val="18"/>
                <w:szCs w:val="18"/>
                <w:color w:val="auto"/>
              </w:rPr>
              <w:t>the Board approved a target annual long-term incentive</w:t>
            </w:r>
          </w:p>
        </w:tc>
        <w:tc>
          <w:tcPr>
            <w:tcW w:w="0" w:type="dxa"/>
            <w:vAlign w:val="bottom"/>
          </w:tcPr>
          <w:p>
            <w:pPr>
              <w:spacing w:after="0"/>
              <w:rPr>
                <w:sz w:val="1"/>
                <w:szCs w:val="1"/>
                <w:color w:val="auto"/>
              </w:rPr>
            </w:pPr>
          </w:p>
        </w:tc>
      </w:tr>
      <w:tr>
        <w:trPr>
          <w:trHeight w:val="149"/>
        </w:trPr>
        <w:tc>
          <w:tcPr>
            <w:tcW w:w="3760" w:type="dxa"/>
            <w:vAlign w:val="bottom"/>
            <w:gridSpan w:val="5"/>
            <w:vMerge w:val="restart"/>
          </w:tcPr>
          <w:p>
            <w:pPr>
              <w:spacing w:after="0"/>
              <w:rPr>
                <w:sz w:val="20"/>
                <w:szCs w:val="20"/>
                <w:color w:val="auto"/>
              </w:rPr>
            </w:pPr>
            <w:r>
              <w:rPr>
                <w:rFonts w:ascii="Arial" w:cs="Arial" w:eastAsia="Arial" w:hAnsi="Arial"/>
                <w:sz w:val="18"/>
                <w:szCs w:val="18"/>
                <w:color w:val="auto"/>
              </w:rPr>
              <w:t>interests of our stockholders.</w:t>
            </w:r>
          </w:p>
        </w:tc>
        <w:tc>
          <w:tcPr>
            <w:tcW w:w="1940" w:type="dxa"/>
            <w:vAlign w:val="bottom"/>
          </w:tcPr>
          <w:p>
            <w:pPr>
              <w:spacing w:after="0"/>
              <w:rPr>
                <w:sz w:val="12"/>
                <w:szCs w:val="12"/>
                <w:color w:val="auto"/>
              </w:rPr>
            </w:pPr>
          </w:p>
        </w:tc>
        <w:tc>
          <w:tcPr>
            <w:tcW w:w="5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760" w:type="dxa"/>
            <w:vAlign w:val="bottom"/>
            <w:gridSpan w:val="5"/>
            <w:vMerge w:val="continue"/>
          </w:tcPr>
          <w:p>
            <w:pPr>
              <w:spacing w:after="0"/>
              <w:rPr>
                <w:sz w:val="5"/>
                <w:szCs w:val="5"/>
                <w:color w:val="auto"/>
              </w:rPr>
            </w:pPr>
          </w:p>
        </w:tc>
        <w:tc>
          <w:tcPr>
            <w:tcW w:w="1940" w:type="dxa"/>
            <w:vAlign w:val="bottom"/>
          </w:tcPr>
          <w:p>
            <w:pPr>
              <w:spacing w:after="0"/>
              <w:rPr>
                <w:sz w:val="5"/>
                <w:szCs w:val="5"/>
                <w:color w:val="auto"/>
              </w:rPr>
            </w:pPr>
          </w:p>
        </w:tc>
        <w:tc>
          <w:tcPr>
            <w:tcW w:w="5700" w:type="dxa"/>
            <w:vAlign w:val="bottom"/>
            <w:vMerge w:val="restart"/>
          </w:tcPr>
          <w:p>
            <w:pPr>
              <w:ind w:left="240"/>
              <w:spacing w:after="0"/>
              <w:rPr>
                <w:sz w:val="20"/>
                <w:szCs w:val="20"/>
                <w:color w:val="auto"/>
              </w:rPr>
            </w:pPr>
            <w:r>
              <w:rPr>
                <w:rFonts w:ascii="Arial" w:cs="Arial" w:eastAsia="Arial" w:hAnsi="Arial"/>
                <w:sz w:val="18"/>
                <w:szCs w:val="18"/>
                <w:color w:val="auto"/>
              </w:rPr>
              <w:t>compensation award opportunity for Mr. Arnold with a grant date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value of 350% of annual base salary, with 50% of such award to</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consist of stock options and 50% of such award to consist of</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performance-based share units. Mr. Arnold continues to be eligible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for the Executive Severance Plan (as described below). The Board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approved these arrangements at the recommendation of our</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Compensation Committee, which based its recommendation on a</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review of peer group data and practices, advice from the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Compensation Consultant, and the Compensation Committee’s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assessment of Mr. Arnold’s role, experience, and tenure with the</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431"/>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In recognition of the substantial additional responsibilities that Mr.</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Arnold assumed, and his expected contributions to the Company,</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the Board granted Mr. Arnold a one-time special incentive award</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shd w:val="clear" w:color="auto" w:fill="003B71"/>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6"/>
                <w:szCs w:val="16"/>
                <w:color w:val="auto"/>
              </w:rPr>
              <w:t>Annual Cash Bonus Awards</w:t>
            </w:r>
          </w:p>
        </w:tc>
        <w:tc>
          <w:tcPr>
            <w:tcW w:w="260" w:type="dxa"/>
            <w:vAlign w:val="bottom"/>
            <w:shd w:val="clear" w:color="auto" w:fill="336699"/>
          </w:tcPr>
          <w:p>
            <w:pPr>
              <w:spacing w:after="0"/>
              <w:rPr>
                <w:sz w:val="18"/>
                <w:szCs w:val="18"/>
                <w:color w:val="auto"/>
              </w:rPr>
            </w:pPr>
          </w:p>
        </w:tc>
        <w:tc>
          <w:tcPr>
            <w:tcW w:w="1940" w:type="dxa"/>
            <w:vAlign w:val="bottom"/>
          </w:tcPr>
          <w:p>
            <w:pPr>
              <w:ind w:left="20"/>
              <w:spacing w:after="0"/>
              <w:rPr>
                <w:sz w:val="20"/>
                <w:szCs w:val="20"/>
                <w:color w:val="auto"/>
              </w:rPr>
            </w:pPr>
            <w:r>
              <w:rPr>
                <w:rFonts w:ascii="Arial" w:cs="Arial" w:eastAsia="Arial" w:hAnsi="Arial"/>
                <w:sz w:val="16"/>
                <w:szCs w:val="16"/>
                <w:color w:val="auto"/>
              </w:rPr>
              <w:t>Base Salary</w:t>
            </w:r>
          </w:p>
        </w:tc>
        <w:tc>
          <w:tcPr>
            <w:tcW w:w="5700" w:type="dxa"/>
            <w:vAlign w:val="bottom"/>
          </w:tcPr>
          <w:p>
            <w:pPr>
              <w:ind w:left="240"/>
              <w:spacing w:after="0"/>
              <w:rPr>
                <w:sz w:val="20"/>
                <w:szCs w:val="20"/>
                <w:color w:val="auto"/>
              </w:rPr>
            </w:pPr>
            <w:r>
              <w:rPr>
                <w:rFonts w:ascii="Arial" w:cs="Arial" w:eastAsia="Arial" w:hAnsi="Arial"/>
                <w:sz w:val="18"/>
                <w:szCs w:val="18"/>
                <w:color w:val="auto"/>
              </w:rPr>
              <w:t>consisting of time-based restricted stock units (“RSUs”) having a</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shd w:val="clear" w:color="auto" w:fill="003B71"/>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shd w:val="clear" w:color="auto" w:fill="336699"/>
          </w:tcPr>
          <w:p>
            <w:pPr>
              <w:spacing w:after="0"/>
              <w:rPr>
                <w:sz w:val="5"/>
                <w:szCs w:val="5"/>
                <w:color w:val="auto"/>
              </w:rPr>
            </w:pPr>
          </w:p>
        </w:tc>
        <w:tc>
          <w:tcPr>
            <w:tcW w:w="1940" w:type="dxa"/>
            <w:vAlign w:val="bottom"/>
          </w:tcPr>
          <w:p>
            <w:pPr>
              <w:spacing w:after="0"/>
              <w:rPr>
                <w:sz w:val="5"/>
                <w:szCs w:val="5"/>
                <w:color w:val="auto"/>
              </w:rPr>
            </w:pPr>
          </w:p>
        </w:tc>
        <w:tc>
          <w:tcPr>
            <w:tcW w:w="5700" w:type="dxa"/>
            <w:vAlign w:val="bottom"/>
            <w:vMerge w:val="restart"/>
          </w:tcPr>
          <w:p>
            <w:pPr>
              <w:ind w:left="240"/>
              <w:spacing w:after="0" w:line="189" w:lineRule="exact"/>
              <w:rPr>
                <w:sz w:val="20"/>
                <w:szCs w:val="20"/>
                <w:color w:val="auto"/>
              </w:rPr>
            </w:pPr>
            <w:r>
              <w:rPr>
                <w:rFonts w:ascii="Arial" w:cs="Arial" w:eastAsia="Arial" w:hAnsi="Arial"/>
                <w:sz w:val="18"/>
                <w:szCs w:val="18"/>
                <w:color w:val="auto"/>
              </w:rPr>
              <w:t>grant date fair value of $1.5 million. These RSUs were granted on</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Borders>
              <w:bottom w:val="single" w:sz="8" w:color="9999CC"/>
            </w:tcBorders>
            <w:shd w:val="clear" w:color="auto" w:fill="9999CC"/>
          </w:tcPr>
          <w:p>
            <w:pPr>
              <w:spacing w:after="0"/>
              <w:rPr>
                <w:sz w:val="21"/>
                <w:szCs w:val="21"/>
                <w:color w:val="auto"/>
              </w:rPr>
            </w:pPr>
          </w:p>
        </w:tc>
        <w:tc>
          <w:tcPr>
            <w:tcW w:w="2760" w:type="dxa"/>
            <w:vAlign w:val="bottom"/>
          </w:tcPr>
          <w:p>
            <w:pPr>
              <w:ind w:left="20"/>
              <w:spacing w:after="0"/>
              <w:rPr>
                <w:sz w:val="20"/>
                <w:szCs w:val="20"/>
                <w:color w:val="auto"/>
              </w:rPr>
            </w:pPr>
            <w:r>
              <w:rPr>
                <w:rFonts w:ascii="Arial" w:cs="Arial" w:eastAsia="Arial" w:hAnsi="Arial"/>
                <w:sz w:val="16"/>
                <w:szCs w:val="16"/>
                <w:color w:val="auto"/>
              </w:rPr>
              <w:t>Long-Term Incentives</w:t>
            </w:r>
          </w:p>
        </w:tc>
        <w:tc>
          <w:tcPr>
            <w:tcW w:w="260" w:type="dxa"/>
            <w:vAlign w:val="bottom"/>
            <w:tcBorders>
              <w:bottom w:val="single" w:sz="8" w:color="CCFFFF"/>
            </w:tcBorders>
            <w:shd w:val="clear" w:color="auto" w:fill="CCFFFF"/>
          </w:tcPr>
          <w:p>
            <w:pPr>
              <w:spacing w:after="0"/>
              <w:rPr>
                <w:sz w:val="21"/>
                <w:szCs w:val="21"/>
                <w:color w:val="auto"/>
              </w:rPr>
            </w:pPr>
          </w:p>
        </w:tc>
        <w:tc>
          <w:tcPr>
            <w:tcW w:w="1940" w:type="dxa"/>
            <w:vAlign w:val="bottom"/>
          </w:tcPr>
          <w:p>
            <w:pPr>
              <w:ind w:left="20"/>
              <w:spacing w:after="0"/>
              <w:rPr>
                <w:sz w:val="20"/>
                <w:szCs w:val="20"/>
                <w:color w:val="auto"/>
              </w:rPr>
            </w:pPr>
            <w:r>
              <w:rPr>
                <w:rFonts w:ascii="Arial" w:cs="Arial" w:eastAsia="Arial" w:hAnsi="Arial"/>
                <w:sz w:val="16"/>
                <w:szCs w:val="16"/>
                <w:color w:val="auto"/>
              </w:rPr>
              <w:t>Other</w:t>
            </w:r>
          </w:p>
        </w:tc>
        <w:tc>
          <w:tcPr>
            <w:tcW w:w="5700" w:type="dxa"/>
            <w:vAlign w:val="bottom"/>
          </w:tcPr>
          <w:p>
            <w:pPr>
              <w:ind w:left="240"/>
              <w:spacing w:after="0"/>
              <w:rPr>
                <w:sz w:val="20"/>
                <w:szCs w:val="20"/>
                <w:color w:val="auto"/>
              </w:rPr>
            </w:pPr>
            <w:r>
              <w:rPr>
                <w:rFonts w:ascii="Arial" w:cs="Arial" w:eastAsia="Arial" w:hAnsi="Arial"/>
                <w:sz w:val="18"/>
                <w:szCs w:val="18"/>
                <w:color w:val="auto"/>
              </w:rPr>
              <w:t>February 13, 2017 and vest as to one-third of the RSUs on each of</w:t>
            </w:r>
          </w:p>
        </w:tc>
        <w:tc>
          <w:tcPr>
            <w:tcW w:w="0" w:type="dxa"/>
            <w:vAlign w:val="bottom"/>
          </w:tcPr>
          <w:p>
            <w:pPr>
              <w:spacing w:after="0"/>
              <w:rPr>
                <w:sz w:val="1"/>
                <w:szCs w:val="1"/>
                <w:color w:val="auto"/>
              </w:rPr>
            </w:pPr>
          </w:p>
        </w:tc>
      </w:tr>
      <w:tr>
        <w:trPr>
          <w:trHeight w:val="189"/>
        </w:trPr>
        <w:tc>
          <w:tcPr>
            <w:tcW w:w="5700" w:type="dxa"/>
            <w:vAlign w:val="bottom"/>
            <w:gridSpan w:val="6"/>
            <w:vMerge w:val="restart"/>
          </w:tcPr>
          <w:p>
            <w:pPr>
              <w:spacing w:after="0"/>
              <w:rPr>
                <w:sz w:val="20"/>
                <w:szCs w:val="20"/>
                <w:color w:val="auto"/>
              </w:rPr>
            </w:pPr>
            <w:r>
              <w:rPr>
                <w:rFonts w:ascii="Arial" w:cs="Arial" w:eastAsia="Arial" w:hAnsi="Arial"/>
                <w:sz w:val="20"/>
                <w:szCs w:val="20"/>
                <w:b w:val="1"/>
                <w:bCs w:val="1"/>
                <w:color w:val="336699"/>
              </w:rPr>
              <w:t>Retirement of Mr. Casady as Chief Executive Officer and</w:t>
            </w:r>
          </w:p>
        </w:tc>
        <w:tc>
          <w:tcPr>
            <w:tcW w:w="5700" w:type="dxa"/>
            <w:vAlign w:val="bottom"/>
          </w:tcPr>
          <w:p>
            <w:pPr>
              <w:ind w:left="240"/>
              <w:spacing w:after="0" w:line="189" w:lineRule="exact"/>
              <w:rPr>
                <w:sz w:val="20"/>
                <w:szCs w:val="20"/>
                <w:color w:val="auto"/>
              </w:rPr>
            </w:pPr>
            <w:r>
              <w:rPr>
                <w:rFonts w:ascii="Arial" w:cs="Arial" w:eastAsia="Arial" w:hAnsi="Arial"/>
                <w:sz w:val="18"/>
                <w:szCs w:val="18"/>
                <w:color w:val="auto"/>
              </w:rPr>
              <w:t>the third, fourth and fifth anniversaries of the date of grant.</w:t>
            </w:r>
          </w:p>
        </w:tc>
        <w:tc>
          <w:tcPr>
            <w:tcW w:w="0" w:type="dxa"/>
            <w:vAlign w:val="bottom"/>
          </w:tcPr>
          <w:p>
            <w:pPr>
              <w:spacing w:after="0"/>
              <w:rPr>
                <w:sz w:val="1"/>
                <w:szCs w:val="1"/>
                <w:color w:val="auto"/>
              </w:rPr>
            </w:pPr>
          </w:p>
        </w:tc>
      </w:tr>
      <w:tr>
        <w:trPr>
          <w:trHeight w:val="121"/>
        </w:trPr>
        <w:tc>
          <w:tcPr>
            <w:tcW w:w="5700" w:type="dxa"/>
            <w:vAlign w:val="bottom"/>
            <w:gridSpan w:val="6"/>
            <w:vMerge w:val="continue"/>
          </w:tcPr>
          <w:p>
            <w:pPr>
              <w:spacing w:after="0"/>
              <w:rPr>
                <w:sz w:val="10"/>
                <w:szCs w:val="10"/>
                <w:color w:val="auto"/>
              </w:rPr>
            </w:pPr>
          </w:p>
        </w:tc>
        <w:tc>
          <w:tcPr>
            <w:tcW w:w="5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700" w:type="dxa"/>
            <w:vAlign w:val="bottom"/>
            <w:gridSpan w:val="6"/>
          </w:tcPr>
          <w:p>
            <w:pPr>
              <w:spacing w:after="0"/>
              <w:rPr>
                <w:sz w:val="20"/>
                <w:szCs w:val="20"/>
                <w:color w:val="auto"/>
              </w:rPr>
            </w:pPr>
            <w:r>
              <w:rPr>
                <w:rFonts w:ascii="Arial" w:cs="Arial" w:eastAsia="Arial" w:hAnsi="Arial"/>
                <w:sz w:val="20"/>
                <w:szCs w:val="20"/>
                <w:b w:val="1"/>
                <w:bCs w:val="1"/>
                <w:color w:val="336699"/>
              </w:rPr>
              <w:t>Appointment of Mr. Arnold as President and Chief</w:t>
            </w:r>
          </w:p>
        </w:tc>
        <w:tc>
          <w:tcPr>
            <w:tcW w:w="5700" w:type="dxa"/>
            <w:vAlign w:val="bottom"/>
          </w:tcPr>
          <w:p>
            <w:pPr>
              <w:ind w:left="240"/>
              <w:spacing w:after="0"/>
              <w:rPr>
                <w:sz w:val="20"/>
                <w:szCs w:val="20"/>
                <w:color w:val="auto"/>
              </w:rPr>
            </w:pPr>
            <w:r>
              <w:rPr>
                <w:rFonts w:ascii="Arial" w:cs="Arial" w:eastAsia="Arial" w:hAnsi="Arial"/>
                <w:sz w:val="18"/>
                <w:szCs w:val="18"/>
                <w:i w:val="1"/>
                <w:iCs w:val="1"/>
                <w:color w:val="336699"/>
              </w:rPr>
              <w:t>Base Salary</w:t>
            </w:r>
          </w:p>
        </w:tc>
        <w:tc>
          <w:tcPr>
            <w:tcW w:w="0" w:type="dxa"/>
            <w:vAlign w:val="bottom"/>
          </w:tcPr>
          <w:p>
            <w:pPr>
              <w:spacing w:after="0"/>
              <w:rPr>
                <w:sz w:val="1"/>
                <w:szCs w:val="1"/>
                <w:color w:val="auto"/>
              </w:rPr>
            </w:pPr>
          </w:p>
        </w:tc>
      </w:tr>
      <w:tr>
        <w:trPr>
          <w:trHeight w:val="261"/>
        </w:trPr>
        <w:tc>
          <w:tcPr>
            <w:tcW w:w="3760" w:type="dxa"/>
            <w:vAlign w:val="bottom"/>
            <w:gridSpan w:val="5"/>
          </w:tcPr>
          <w:p>
            <w:pPr>
              <w:spacing w:after="0"/>
              <w:rPr>
                <w:sz w:val="20"/>
                <w:szCs w:val="20"/>
                <w:color w:val="auto"/>
              </w:rPr>
            </w:pPr>
            <w:r>
              <w:rPr>
                <w:rFonts w:ascii="Arial" w:cs="Arial" w:eastAsia="Arial" w:hAnsi="Arial"/>
                <w:sz w:val="20"/>
                <w:szCs w:val="20"/>
                <w:b w:val="1"/>
                <w:bCs w:val="1"/>
                <w:color w:val="336699"/>
              </w:rPr>
              <w:t>Executive Officer</w:t>
            </w:r>
          </w:p>
        </w:tc>
        <w:tc>
          <w:tcPr>
            <w:tcW w:w="1940" w:type="dxa"/>
            <w:vAlign w:val="bottom"/>
          </w:tcPr>
          <w:p>
            <w:pPr>
              <w:spacing w:after="0"/>
              <w:rPr>
                <w:sz w:val="22"/>
                <w:szCs w:val="22"/>
                <w:color w:val="auto"/>
              </w:rPr>
            </w:pPr>
          </w:p>
        </w:tc>
        <w:tc>
          <w:tcPr>
            <w:tcW w:w="5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760" w:type="dxa"/>
            <w:vAlign w:val="bottom"/>
            <w:gridSpan w:val="5"/>
            <w:vMerge w:val="restart"/>
          </w:tcPr>
          <w:p>
            <w:pPr>
              <w:spacing w:after="0"/>
              <w:rPr>
                <w:sz w:val="20"/>
                <w:szCs w:val="20"/>
                <w:color w:val="auto"/>
              </w:rPr>
            </w:pPr>
            <w:r>
              <w:rPr>
                <w:rFonts w:ascii="Arial" w:cs="Arial" w:eastAsia="Arial" w:hAnsi="Arial"/>
                <w:sz w:val="18"/>
                <w:szCs w:val="18"/>
                <w:i w:val="1"/>
                <w:iCs w:val="1"/>
                <w:color w:val="336699"/>
              </w:rPr>
              <w:t>Mr. Casady’s Arrangements</w:t>
            </w:r>
          </w:p>
        </w:tc>
        <w:tc>
          <w:tcPr>
            <w:tcW w:w="1940" w:type="dxa"/>
            <w:vAlign w:val="bottom"/>
          </w:tcPr>
          <w:p>
            <w:pPr>
              <w:spacing w:after="0"/>
              <w:rPr>
                <w:sz w:val="19"/>
                <w:szCs w:val="19"/>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We pay our NEOs base salaries in order to provide a level of</w:t>
            </w:r>
          </w:p>
        </w:tc>
        <w:tc>
          <w:tcPr>
            <w:tcW w:w="0" w:type="dxa"/>
            <w:vAlign w:val="bottom"/>
          </w:tcPr>
          <w:p>
            <w:pPr>
              <w:spacing w:after="0"/>
              <w:rPr>
                <w:sz w:val="1"/>
                <w:szCs w:val="1"/>
                <w:color w:val="auto"/>
              </w:rPr>
            </w:pPr>
          </w:p>
        </w:tc>
      </w:tr>
      <w:tr>
        <w:trPr>
          <w:trHeight w:val="216"/>
        </w:trPr>
        <w:tc>
          <w:tcPr>
            <w:tcW w:w="3760" w:type="dxa"/>
            <w:vAlign w:val="bottom"/>
            <w:gridSpan w:val="5"/>
            <w:vMerge w:val="continue"/>
          </w:tcPr>
          <w:p>
            <w:pPr>
              <w:spacing w:after="0"/>
              <w:rPr>
                <w:sz w:val="18"/>
                <w:szCs w:val="18"/>
                <w:color w:val="auto"/>
              </w:rPr>
            </w:pPr>
          </w:p>
        </w:tc>
        <w:tc>
          <w:tcPr>
            <w:tcW w:w="1940" w:type="dxa"/>
            <w:vAlign w:val="bottom"/>
          </w:tcPr>
          <w:p>
            <w:pPr>
              <w:spacing w:after="0"/>
              <w:rPr>
                <w:sz w:val="18"/>
                <w:szCs w:val="18"/>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competitive and stable income. The base salaries of our NEOs are</w:t>
            </w:r>
          </w:p>
        </w:tc>
        <w:tc>
          <w:tcPr>
            <w:tcW w:w="0" w:type="dxa"/>
            <w:vAlign w:val="bottom"/>
          </w:tcPr>
          <w:p>
            <w:pPr>
              <w:spacing w:after="0"/>
              <w:rPr>
                <w:sz w:val="1"/>
                <w:szCs w:val="1"/>
                <w:color w:val="auto"/>
              </w:rPr>
            </w:pPr>
          </w:p>
        </w:tc>
      </w:tr>
      <w:tr>
        <w:trPr>
          <w:trHeight w:val="216"/>
        </w:trPr>
        <w:tc>
          <w:tcPr>
            <w:tcW w:w="5700" w:type="dxa"/>
            <w:vAlign w:val="bottom"/>
            <w:gridSpan w:val="6"/>
            <w:vMerge w:val="restart"/>
          </w:tcPr>
          <w:p>
            <w:pPr>
              <w:spacing w:after="0"/>
              <w:rPr>
                <w:sz w:val="20"/>
                <w:szCs w:val="20"/>
                <w:color w:val="auto"/>
              </w:rPr>
            </w:pPr>
            <w:r>
              <w:rPr>
                <w:rFonts w:ascii="Arial" w:cs="Arial" w:eastAsia="Arial" w:hAnsi="Arial"/>
                <w:sz w:val="18"/>
                <w:szCs w:val="18"/>
                <w:color w:val="auto"/>
              </w:rPr>
              <w:t>In December 2016, the Company announced that Mr. Casady would</w:t>
            </w:r>
          </w:p>
        </w:tc>
        <w:tc>
          <w:tcPr>
            <w:tcW w:w="5700" w:type="dxa"/>
            <w:vAlign w:val="bottom"/>
          </w:tcPr>
          <w:p>
            <w:pPr>
              <w:ind w:left="240"/>
              <w:spacing w:after="0"/>
              <w:rPr>
                <w:sz w:val="20"/>
                <w:szCs w:val="20"/>
                <w:color w:val="auto"/>
              </w:rPr>
            </w:pPr>
            <w:r>
              <w:rPr>
                <w:rFonts w:ascii="Arial" w:cs="Arial" w:eastAsia="Arial" w:hAnsi="Arial"/>
                <w:sz w:val="18"/>
                <w:szCs w:val="18"/>
                <w:color w:val="auto"/>
                <w:w w:val="99"/>
              </w:rPr>
              <w:t>set based on the responsibilities of the individual, taking into account</w:t>
            </w:r>
          </w:p>
        </w:tc>
        <w:tc>
          <w:tcPr>
            <w:tcW w:w="0" w:type="dxa"/>
            <w:vAlign w:val="bottom"/>
          </w:tcPr>
          <w:p>
            <w:pPr>
              <w:spacing w:after="0"/>
              <w:rPr>
                <w:sz w:val="1"/>
                <w:szCs w:val="1"/>
                <w:color w:val="auto"/>
              </w:rPr>
            </w:pPr>
          </w:p>
        </w:tc>
      </w:tr>
      <w:tr>
        <w:trPr>
          <w:trHeight w:val="176"/>
        </w:trPr>
        <w:tc>
          <w:tcPr>
            <w:tcW w:w="5700" w:type="dxa"/>
            <w:vAlign w:val="bottom"/>
            <w:gridSpan w:val="6"/>
            <w:vMerge w:val="continue"/>
          </w:tcPr>
          <w:p>
            <w:pPr>
              <w:spacing w:after="0"/>
              <w:rPr>
                <w:sz w:val="15"/>
                <w:szCs w:val="15"/>
                <w:color w:val="auto"/>
              </w:rPr>
            </w:pPr>
          </w:p>
        </w:tc>
        <w:tc>
          <w:tcPr>
            <w:tcW w:w="5700" w:type="dxa"/>
            <w:vAlign w:val="bottom"/>
          </w:tcPr>
          <w:p>
            <w:pPr>
              <w:ind w:left="240"/>
              <w:spacing w:after="0" w:line="176" w:lineRule="exact"/>
              <w:rPr>
                <w:sz w:val="20"/>
                <w:szCs w:val="20"/>
                <w:color w:val="auto"/>
              </w:rPr>
            </w:pPr>
            <w:r>
              <w:rPr>
                <w:rFonts w:ascii="Arial" w:cs="Arial" w:eastAsia="Arial" w:hAnsi="Arial"/>
                <w:sz w:val="18"/>
                <w:szCs w:val="18"/>
                <w:color w:val="auto"/>
              </w:rPr>
              <w:t>the individual’s skills, experience, and prior compensation levels, as</w:t>
            </w:r>
          </w:p>
        </w:tc>
        <w:tc>
          <w:tcPr>
            <w:tcW w:w="0" w:type="dxa"/>
            <w:vAlign w:val="bottom"/>
          </w:tcPr>
          <w:p>
            <w:pPr>
              <w:spacing w:after="0"/>
              <w:rPr>
                <w:sz w:val="1"/>
                <w:szCs w:val="1"/>
                <w:color w:val="auto"/>
              </w:rPr>
            </w:pPr>
          </w:p>
        </w:tc>
      </w:tr>
      <w:tr>
        <w:trPr>
          <w:trHeight w:val="216"/>
        </w:trPr>
        <w:tc>
          <w:tcPr>
            <w:tcW w:w="5700" w:type="dxa"/>
            <w:vAlign w:val="bottom"/>
            <w:gridSpan w:val="6"/>
          </w:tcPr>
          <w:p>
            <w:pPr>
              <w:spacing w:after="0"/>
              <w:rPr>
                <w:sz w:val="20"/>
                <w:szCs w:val="20"/>
                <w:color w:val="auto"/>
              </w:rPr>
            </w:pPr>
            <w:r>
              <w:rPr>
                <w:rFonts w:ascii="Arial" w:cs="Arial" w:eastAsia="Arial" w:hAnsi="Arial"/>
                <w:sz w:val="18"/>
                <w:szCs w:val="18"/>
                <w:color w:val="auto"/>
              </w:rPr>
              <w:t>retire from his position as chief executive officer, effective January 3,</w:t>
            </w:r>
          </w:p>
        </w:tc>
        <w:tc>
          <w:tcPr>
            <w:tcW w:w="5700" w:type="dxa"/>
            <w:vAlign w:val="bottom"/>
          </w:tcPr>
          <w:p>
            <w:pPr>
              <w:ind w:left="240"/>
              <w:spacing w:after="0"/>
              <w:rPr>
                <w:sz w:val="20"/>
                <w:szCs w:val="20"/>
                <w:color w:val="auto"/>
              </w:rPr>
            </w:pPr>
            <w:r>
              <w:rPr>
                <w:rFonts w:ascii="Arial" w:cs="Arial" w:eastAsia="Arial" w:hAnsi="Arial"/>
                <w:sz w:val="18"/>
                <w:szCs w:val="18"/>
                <w:color w:val="auto"/>
              </w:rPr>
              <w:t>well as market compensation levels for our peer group. Our</w:t>
            </w:r>
          </w:p>
        </w:tc>
        <w:tc>
          <w:tcPr>
            <w:tcW w:w="0" w:type="dxa"/>
            <w:vAlign w:val="bottom"/>
          </w:tcPr>
          <w:p>
            <w:pPr>
              <w:spacing w:after="0"/>
              <w:rPr>
                <w:sz w:val="1"/>
                <w:szCs w:val="1"/>
                <w:color w:val="auto"/>
              </w:rPr>
            </w:pPr>
          </w:p>
        </w:tc>
      </w:tr>
      <w:tr>
        <w:trPr>
          <w:trHeight w:val="216"/>
        </w:trPr>
        <w:tc>
          <w:tcPr>
            <w:tcW w:w="5700" w:type="dxa"/>
            <w:vAlign w:val="bottom"/>
            <w:gridSpan w:val="6"/>
          </w:tcPr>
          <w:p>
            <w:pPr>
              <w:spacing w:after="0"/>
              <w:rPr>
                <w:sz w:val="20"/>
                <w:szCs w:val="20"/>
                <w:color w:val="auto"/>
              </w:rPr>
            </w:pPr>
            <w:r>
              <w:rPr>
                <w:rFonts w:ascii="Arial" w:cs="Arial" w:eastAsia="Arial" w:hAnsi="Arial"/>
                <w:sz w:val="18"/>
                <w:szCs w:val="18"/>
                <w:color w:val="auto"/>
              </w:rPr>
              <w:t>2017. In connection with his retirement, Mr. Casady was entitled to</w:t>
            </w:r>
          </w:p>
        </w:tc>
        <w:tc>
          <w:tcPr>
            <w:tcW w:w="5700" w:type="dxa"/>
            <w:vAlign w:val="bottom"/>
          </w:tcPr>
          <w:p>
            <w:pPr>
              <w:ind w:left="240"/>
              <w:spacing w:after="0"/>
              <w:rPr>
                <w:sz w:val="20"/>
                <w:szCs w:val="20"/>
                <w:color w:val="auto"/>
              </w:rPr>
            </w:pPr>
            <w:r>
              <w:rPr>
                <w:rFonts w:ascii="Arial" w:cs="Arial" w:eastAsia="Arial" w:hAnsi="Arial"/>
                <w:sz w:val="18"/>
                <w:szCs w:val="18"/>
                <w:color w:val="auto"/>
                <w:w w:val="99"/>
              </w:rPr>
              <w:t>Compensation Committee reviews base salaries for our NEOs on an</w:t>
            </w:r>
          </w:p>
        </w:tc>
        <w:tc>
          <w:tcPr>
            <w:tcW w:w="0" w:type="dxa"/>
            <w:vAlign w:val="bottom"/>
          </w:tcPr>
          <w:p>
            <w:pPr>
              <w:spacing w:after="0"/>
              <w:rPr>
                <w:sz w:val="1"/>
                <w:szCs w:val="1"/>
                <w:color w:val="auto"/>
              </w:rPr>
            </w:pPr>
          </w:p>
        </w:tc>
      </w:tr>
      <w:tr>
        <w:trPr>
          <w:trHeight w:val="216"/>
        </w:trPr>
        <w:tc>
          <w:tcPr>
            <w:tcW w:w="5700" w:type="dxa"/>
            <w:vAlign w:val="bottom"/>
            <w:gridSpan w:val="6"/>
          </w:tcPr>
          <w:p>
            <w:pPr>
              <w:spacing w:after="0"/>
              <w:rPr>
                <w:sz w:val="20"/>
                <w:szCs w:val="20"/>
                <w:color w:val="auto"/>
              </w:rPr>
            </w:pPr>
            <w:r>
              <w:rPr>
                <w:rFonts w:ascii="Arial" w:cs="Arial" w:eastAsia="Arial" w:hAnsi="Arial"/>
                <w:sz w:val="18"/>
                <w:szCs w:val="18"/>
                <w:color w:val="auto"/>
              </w:rPr>
              <w:t>an annual cash bonus award for 2016 in accordance with the terms</w:t>
            </w:r>
          </w:p>
        </w:tc>
        <w:tc>
          <w:tcPr>
            <w:tcW w:w="5700" w:type="dxa"/>
            <w:vAlign w:val="bottom"/>
          </w:tcPr>
          <w:p>
            <w:pPr>
              <w:ind w:left="240"/>
              <w:spacing w:after="0"/>
              <w:rPr>
                <w:sz w:val="20"/>
                <w:szCs w:val="20"/>
                <w:color w:val="auto"/>
              </w:rPr>
            </w:pPr>
            <w:r>
              <w:rPr>
                <w:rFonts w:ascii="Arial" w:cs="Arial" w:eastAsia="Arial" w:hAnsi="Arial"/>
                <w:sz w:val="18"/>
                <w:szCs w:val="18"/>
                <w:color w:val="auto"/>
              </w:rPr>
              <w:t>annual basis, although salary changes may not occur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0585" cy="283210"/>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-3909695</wp:posOffset>
            </wp:positionV>
            <wp:extent cx="2573020" cy="1938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73020" cy="19380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of the Company’s annual cash bonus plan (the “Bonus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payable in March 2017, based on the Compensation Committee’s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assessment of his contribution to the Company’s performance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2016. As previously disclosed, during</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27</w:t>
      </w:r>
    </w:p>
    <w:p>
      <w:pPr>
        <w:sectPr>
          <w:pgSz w:w="11900" w:h="16838" w:orient="portrait"/>
          <w:cols w:equalWidth="0" w:num="1">
            <w:col w:w="11420"/>
          </w:cols>
          <w:pgMar w:left="240" w:top="436" w:right="239" w:bottom="1440" w:gutter="0" w:footer="0" w:header="0"/>
        </w:sectPr>
      </w:pPr>
    </w:p>
    <w:bookmarkStart w:id="33" w:name="page34"/>
    <w:bookmarkEnd w:id="33"/>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ectPr>
          <w:pgSz w:w="11900" w:h="16838" w:orient="portrait"/>
          <w:cols w:equalWidth="0" w:num="1">
            <w:col w:w="11400"/>
          </w:cols>
          <w:pgMar w:left="240" w:top="43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with that frequency. Rather, base salaries are generally increased when individual performance, job scope, or market compensation data indicate that an increase is warranted. As the responsibilities of our NEOs increase, the Compensation Committee generally reflects compensation adjustments through increases in cash bonus opportunity and the size of equity awards rather than through adjustments to base salary.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With regard to our NEOs’ base salaries for 2016:</w:t>
      </w:r>
    </w:p>
    <w:p>
      <w:pPr>
        <w:spacing w:after="0" w:line="171" w:lineRule="exact"/>
        <w:rPr>
          <w:sz w:val="20"/>
          <w:szCs w:val="20"/>
          <w:color w:val="auto"/>
        </w:rPr>
      </w:pPr>
    </w:p>
    <w:p>
      <w:pPr>
        <w:ind w:left="340" w:right="20" w:hanging="332"/>
        <w:spacing w:after="0" w:line="262"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base salaries of Messrs. Audette, Casady, and Gooley were unchanged from 2015;</w:t>
      </w:r>
    </w:p>
    <w:p>
      <w:pPr>
        <w:spacing w:after="0" w:line="88" w:lineRule="exact"/>
        <w:rPr>
          <w:rFonts w:ascii="Arial" w:cs="Arial" w:eastAsia="Arial" w:hAnsi="Arial"/>
          <w:sz w:val="18"/>
          <w:szCs w:val="18"/>
          <w:color w:val="auto"/>
        </w:rPr>
      </w:pPr>
    </w:p>
    <w:p>
      <w:pPr>
        <w:ind w:left="340" w:right="40" w:hanging="332"/>
        <w:spacing w:after="0" w:line="262"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Arnold received an increase in base salary from $625,000 to $675,000 effective March 6, 2016; and</w:t>
      </w:r>
    </w:p>
    <w:p>
      <w:pPr>
        <w:spacing w:after="0" w:line="88" w:lineRule="exact"/>
        <w:rPr>
          <w:rFonts w:ascii="Arial" w:cs="Arial" w:eastAsia="Arial" w:hAnsi="Arial"/>
          <w:sz w:val="18"/>
          <w:szCs w:val="18"/>
          <w:color w:val="auto"/>
        </w:rPr>
      </w:pPr>
    </w:p>
    <w:p>
      <w:pPr>
        <w:ind w:left="340" w:right="60" w:hanging="332"/>
        <w:spacing w:after="0" w:line="262"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Ms. Calder’s 2016 base salary was set at the time she joined us in January 2016.</w:t>
      </w:r>
    </w:p>
    <w:p>
      <w:pPr>
        <w:spacing w:after="0" w:line="14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determining that the salaries remained appropriate for Messrs. Audette, Casady, and Gooley, our Compensation Committee considered, among other things, the competitiveness and mix of the total compensation opportunities for Messrs. Audette, Casady, and Gooley based on benchmarking data prepared by the Compensation Consultant. This benchmarking data consisted of peer group compensation data, as disclosed in the peers’ most recent proxy statements (the “Benchmarking Data”).</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determining the 2016 base salary increase for Mr. Arnold, the Compensation Committee considered the Benchmarking Data as well as his performance as our president, including his leadership of the Company’s Advisor and Institution Solutions business unit, which was responsible for business development, existing advisor and institution growth, enhancing the client experience, research, corporate strategy, and sponsor relationships.</w:t>
      </w:r>
    </w:p>
    <w:p>
      <w:pPr>
        <w:spacing w:after="0" w:line="2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Ms. Calder’s base salary, as well as her target incentive compensation opportunities, cash signing bonus and sign-on grant of RSUs, reflected the results of our negotiations in recruiting Ms. Calder to join us from J.P. Morgan Securities LLC, where she served as managing director, chief compliance officer.</w:t>
      </w:r>
    </w:p>
    <w:p>
      <w:pPr>
        <w:spacing w:after="0" w:line="20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2016 salaries for all of our named executive officers appear in the Summary Compensation Table that follows this CD&amp;A.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Annual Cash Bonus Awards</w:t>
      </w:r>
    </w:p>
    <w:p>
      <w:pPr>
        <w:spacing w:after="0" w:line="24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provide annual cash bonus awards in order to tie a significant portion of the overall cash compensation of each NEO to annually-established, key short-term corporate objectives, and financial goals of the Company. See “</w:t>
      </w:r>
      <w:r>
        <w:rPr>
          <w:rFonts w:ascii="Arial" w:cs="Arial" w:eastAsia="Arial" w:hAnsi="Arial"/>
          <w:sz w:val="18"/>
          <w:szCs w:val="18"/>
          <w:i w:val="1"/>
          <w:iCs w:val="1"/>
          <w:color w:val="auto"/>
        </w:rPr>
        <w:t>—Goals, Objectives and Performance</w:t>
      </w:r>
      <w:r>
        <w:rPr>
          <w:rFonts w:ascii="Arial" w:cs="Arial" w:eastAsia="Arial" w:hAnsi="Arial"/>
          <w:sz w:val="18"/>
          <w:szCs w:val="18"/>
          <w:color w:val="auto"/>
        </w:rPr>
        <w:t xml:space="preserve"> </w:t>
      </w:r>
      <w:r>
        <w:rPr>
          <w:rFonts w:ascii="Arial" w:cs="Arial" w:eastAsia="Arial" w:hAnsi="Arial"/>
          <w:sz w:val="18"/>
          <w:szCs w:val="18"/>
          <w:i w:val="1"/>
          <w:iCs w:val="1"/>
          <w:color w:val="auto"/>
        </w:rPr>
        <w:t>Evaluation</w:t>
      </w:r>
      <w:r>
        <w:rPr>
          <w:rFonts w:ascii="Arial" w:cs="Arial" w:eastAsia="Arial" w:hAnsi="Arial"/>
          <w:sz w:val="18"/>
          <w:szCs w:val="18"/>
          <w:color w:val="auto"/>
        </w:rPr>
        <w:t>” below for a description of</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28 | </w:t>
      </w:r>
      <w:r>
        <w:rPr>
          <w:rFonts w:ascii="Arial" w:cs="Arial" w:eastAsia="Arial" w:hAnsi="Arial"/>
          <w:sz w:val="18"/>
          <w:szCs w:val="18"/>
          <w:b w:val="1"/>
          <w:bCs w:val="1"/>
          <w:color w:val="003B71"/>
        </w:rPr>
        <w:t>2017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these objectives and goals and our 2016 performance against them. The Compensation Committee believes that the NEOs, as key members of the Company’s leadership team, share responsibility for supporting the goals and performance of the Company.</w:t>
      </w:r>
    </w:p>
    <w:p>
      <w:pPr>
        <w:spacing w:after="0" w:line="19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At the beginning of each year, the Compensation Committee establishes:</w:t>
      </w:r>
    </w:p>
    <w:p>
      <w:pPr>
        <w:spacing w:after="0" w:line="130" w:lineRule="exact"/>
        <w:rPr>
          <w:sz w:val="20"/>
          <w:szCs w:val="20"/>
          <w:color w:val="auto"/>
        </w:rPr>
      </w:pPr>
    </w:p>
    <w:p>
      <w:pPr>
        <w:jc w:val="both"/>
        <w:ind w:left="320" w:hanging="318"/>
        <w:spacing w:after="0" w:line="256"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objective corporate performance threshold (the achievement of which is the primary condition to the funding of the bonus pool under the Bonus Plan);</w:t>
      </w:r>
    </w:p>
    <w:p>
      <w:pPr>
        <w:spacing w:after="0" w:line="39" w:lineRule="exact"/>
        <w:rPr>
          <w:rFonts w:ascii="Arial" w:cs="Arial" w:eastAsia="Arial" w:hAnsi="Arial"/>
          <w:sz w:val="18"/>
          <w:szCs w:val="18"/>
          <w:color w:val="auto"/>
        </w:rPr>
      </w:pPr>
    </w:p>
    <w:p>
      <w:pPr>
        <w:ind w:left="320" w:hanging="318"/>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NEO’s target and maximum award amounts;</w:t>
      </w:r>
    </w:p>
    <w:p>
      <w:pPr>
        <w:spacing w:after="0" w:line="63" w:lineRule="exact"/>
        <w:rPr>
          <w:rFonts w:ascii="Arial" w:cs="Arial" w:eastAsia="Arial" w:hAnsi="Arial"/>
          <w:sz w:val="18"/>
          <w:szCs w:val="18"/>
          <w:color w:val="auto"/>
        </w:rPr>
      </w:pPr>
    </w:p>
    <w:p>
      <w:pPr>
        <w:ind w:left="320" w:right="180" w:hanging="318"/>
        <w:spacing w:after="0" w:line="254"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Additional financial and non-financial corporate performance goals (on which the level of funding of the bonus pool, and the payment of annual cash bonus awards, if any, will be based); and</w:t>
      </w:r>
    </w:p>
    <w:p>
      <w:pPr>
        <w:spacing w:after="0" w:line="42" w:lineRule="exact"/>
        <w:rPr>
          <w:rFonts w:ascii="Arial" w:cs="Arial" w:eastAsia="Arial" w:hAnsi="Arial"/>
          <w:sz w:val="18"/>
          <w:szCs w:val="18"/>
          <w:color w:val="auto"/>
        </w:rPr>
      </w:pPr>
    </w:p>
    <w:p>
      <w:pPr>
        <w:ind w:left="320" w:right="120" w:hanging="318"/>
        <w:spacing w:after="0" w:line="256"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guidelines that provide a potential range of bonus pool funding based on the level of achievement of the Company’s financial performance goals.</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Before establishing the 2016 bonus guidelines, the Compensation Committee assessed its approach to annual incentive compensation. With the assistance of the Compensation Consultant, the Compensation Committee considered peer group practices with regard to the number and types of financial performance metrics used in annual incentive plans, as well as typical plan payout designs. Relative to peers’ practices, our approach to annual cash bonus awards provides more discretion to our Compensation Committee. The Compensation Committee believes that this level of discretion is appropriate given the variety of factors that can affect the Company’s Adjusted EBITDA results, including prevailing interest rates and equity market performance. The Company’s Adjusted EBITDA results were the primary metric considered by the Compensation Committee in evaluating the Company’s financial performance in 2016.</w:t>
      </w:r>
    </w:p>
    <w:p>
      <w:pPr>
        <w:sectPr>
          <w:pgSz w:w="11900" w:h="16838" w:orient="portrait"/>
          <w:cols w:equalWidth="0" w:num="2">
            <w:col w:w="5480" w:space="460"/>
            <w:col w:w="5460"/>
          </w:cols>
          <w:pgMar w:left="240" w:top="436" w:right="259" w:bottom="1440" w:gutter="0" w:footer="0" w:header="0"/>
          <w:type w:val="continuous"/>
        </w:sectPr>
      </w:pPr>
    </w:p>
    <w:bookmarkStart w:id="34" w:name="page35"/>
    <w:bookmarkEnd w:id="34"/>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ectPr>
          <w:pgSz w:w="11900" w:h="16838" w:orient="portrait"/>
          <w:cols w:equalWidth="0" w:num="1">
            <w:col w:w="11420"/>
          </w:cols>
          <w:pgMar w:left="240" w:top="4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Each NEO’s individual target award amount is set by the Compensation Committee by reference to market compensation for comparable positions within our peer group as well as the nature of the NEO’s role and responsibilities. In setting the targets, the Compensation Committee generally emphasizes executives’ contributions to the Company’s overall performance rather than focusing only on their individual business or function. We believe therefore that our cash bonuses provide a significant incentive to our NEOs to work towards achieving our overall Company objectives.</w:t>
      </w:r>
    </w:p>
    <w:p>
      <w:pPr>
        <w:spacing w:after="0" w:line="21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If the Compensation Committee determines that the threshold corporate performance goal has been achieved and therefore a bonus pool under the Bonus Plan will be funded, the Compensation Committee then evaluates the Company’s and each NEO’s performance against the additional, previously established goals, taking into account discussions with management and the Compensation Consultant, and determines whether and to what extent the bonuses are paid. See “</w:t>
      </w:r>
      <w:r>
        <w:rPr>
          <w:rFonts w:ascii="Arial" w:cs="Arial" w:eastAsia="Arial" w:hAnsi="Arial"/>
          <w:sz w:val="18"/>
          <w:szCs w:val="18"/>
          <w:i w:val="1"/>
          <w:iCs w:val="1"/>
          <w:color w:val="auto"/>
        </w:rPr>
        <w:t>—Goals, Objectives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Performance Evaluation</w:t>
      </w:r>
      <w:r>
        <w:rPr>
          <w:rFonts w:ascii="Arial" w:cs="Arial" w:eastAsia="Arial" w:hAnsi="Arial"/>
          <w:sz w:val="18"/>
          <w:szCs w:val="18"/>
          <w:color w:val="auto"/>
        </w:rPr>
        <w:t>.”</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Compensation Committee generally has the discretion to pay bonuses above (subject to the pre-established maximums for each NEO) or below the established targets based upon their assessment of Company performance, each NEO’s performance and potential, and other considerations. In determining actual bonus payouts, the Compensation Committee generally considers an individual performance modifier of ±30% in the case of executives in revenue-generating positions and ±15% in the case of executives in non-revenue-generating positions. In general, cash bonuses paid under the Bonus Plan are intended to qualify as “performance-based compensation” under Section 162(m) of the Internal Revenue Code.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2016, the Company’s objective performance threshold was based on the Company’s Credit Agreement EBITDA results. For a description of Credit Agreement EBITDA, see “—</w:t>
      </w:r>
      <w:r>
        <w:rPr>
          <w:rFonts w:ascii="Arial" w:cs="Arial" w:eastAsia="Arial" w:hAnsi="Arial"/>
          <w:sz w:val="18"/>
          <w:szCs w:val="18"/>
          <w:i w:val="1"/>
          <w:iCs w:val="1"/>
          <w:color w:val="auto"/>
        </w:rPr>
        <w:t>Non-GAAP</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Measures</w:t>
      </w:r>
      <w:r>
        <w:rPr>
          <w:rFonts w:ascii="Arial" w:cs="Arial" w:eastAsia="Arial" w:hAnsi="Arial"/>
          <w:sz w:val="18"/>
          <w:szCs w:val="18"/>
          <w:color w:val="auto"/>
        </w:rPr>
        <w:t>” below. The funding guidelines established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at the beginning of the year for the 2016 bonus pool were based on the Company’s Adjusted EBITDA results; however, the payout opportunities reflected in these guidelines were used by the Compensation Committee only as a general guide. In determining the actual level of bonus pool funding, the Compensation Committee considered the Company’s overall performance against its pre-established overall corporate goals and gave consideration to additional factors, such as market factors affecting the Company’s earnings results, as well as a subjective “degree of difficulty” analysis with respect to the various corporate goals.</w:t>
      </w:r>
    </w:p>
    <w:p>
      <w:pPr>
        <w:spacing w:after="0" w:line="21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chief executive officer and chief financial officer met with the Compensation Committee in December 2016 and January 2017 to discuss our actual performance compared to our pre-established 2016 corporate objectives. For 2016, the Compensation Committee determined that the Company’s Credit Agreement EBITDA was sufficient to fund a cash bonus pool and that overall corporate performance exceeded the corporate objectives to which the awards were subject, as further described below under “</w:t>
      </w:r>
      <w:r>
        <w:rPr>
          <w:rFonts w:ascii="Arial" w:cs="Arial" w:eastAsia="Arial" w:hAnsi="Arial"/>
          <w:sz w:val="18"/>
          <w:szCs w:val="18"/>
          <w:i w:val="1"/>
          <w:iCs w:val="1"/>
          <w:color w:val="auto"/>
        </w:rPr>
        <w:t>— Goals,</w:t>
      </w:r>
      <w:r>
        <w:rPr>
          <w:rFonts w:ascii="Arial" w:cs="Arial" w:eastAsia="Arial" w:hAnsi="Arial"/>
          <w:sz w:val="18"/>
          <w:szCs w:val="18"/>
          <w:color w:val="auto"/>
        </w:rPr>
        <w:t xml:space="preserve"> </w:t>
      </w:r>
      <w:r>
        <w:rPr>
          <w:rFonts w:ascii="Arial" w:cs="Arial" w:eastAsia="Arial" w:hAnsi="Arial"/>
          <w:sz w:val="18"/>
          <w:szCs w:val="18"/>
          <w:i w:val="1"/>
          <w:iCs w:val="1"/>
          <w:color w:val="auto"/>
        </w:rPr>
        <w:t>Objectives and Performance Evaluation</w:t>
      </w:r>
      <w:r>
        <w:rPr>
          <w:rFonts w:ascii="Arial" w:cs="Arial" w:eastAsia="Arial" w:hAnsi="Arial"/>
          <w:sz w:val="18"/>
          <w:szCs w:val="18"/>
          <w:color w:val="auto"/>
        </w:rPr>
        <w:t>.” Based primarily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of the Company’s performance, the Compensation Committee exercised its discretion to award annual cash bonuses under the Bonus Plan to our NEOs above each executive’s target award amount for 2016 (subject to the pre-established maximums for each NEO).</w:t>
      </w:r>
    </w:p>
    <w:p>
      <w:pPr>
        <w:spacing w:after="0" w:line="414" w:lineRule="exact"/>
        <w:rPr>
          <w:sz w:val="20"/>
          <w:szCs w:val="20"/>
          <w:color w:val="auto"/>
        </w:rPr>
      </w:pPr>
    </w:p>
    <w:p>
      <w:pPr>
        <w:sectPr>
          <w:pgSz w:w="11900" w:h="16838" w:orient="portrait"/>
          <w:cols w:equalWidth="0" w:num="2">
            <w:col w:w="5460" w:space="480"/>
            <w:col w:w="5480"/>
          </w:cols>
          <w:pgMar w:left="240" w:top="436" w:right="239" w:bottom="1440" w:gutter="0" w:footer="0" w:header="0"/>
          <w:type w:val="continuous"/>
        </w:sectPr>
      </w:pPr>
    </w:p>
    <w:p>
      <w:pPr>
        <w:spacing w:after="0" w:line="1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table below includes the target annual cash bonus award established for each of our NEOs at the beginning of 2016, as well as the actual cash bonus awarded to each of our NEOs for 2016, as determined by the Compensation Committee: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920" w:type="dxa"/>
            <w:vAlign w:val="bottom"/>
          </w:tcPr>
          <w:p>
            <w:pPr>
              <w:jc w:val="center"/>
              <w:ind w:right="159"/>
              <w:spacing w:after="0"/>
              <w:rPr>
                <w:sz w:val="20"/>
                <w:szCs w:val="20"/>
                <w:color w:val="auto"/>
              </w:rPr>
            </w:pPr>
            <w:r>
              <w:rPr>
                <w:rFonts w:ascii="Arial" w:cs="Arial" w:eastAsia="Arial" w:hAnsi="Arial"/>
                <w:sz w:val="16"/>
                <w:szCs w:val="16"/>
                <w:b w:val="1"/>
                <w:bCs w:val="1"/>
                <w:color w:val="336699"/>
              </w:rPr>
              <w:t>Cash Bonus</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jc w:val="center"/>
              <w:ind w:right="79"/>
              <w:spacing w:after="0"/>
              <w:rPr>
                <w:sz w:val="20"/>
                <w:szCs w:val="20"/>
                <w:color w:val="auto"/>
              </w:rPr>
            </w:pPr>
            <w:r>
              <w:rPr>
                <w:rFonts w:ascii="Arial" w:cs="Arial" w:eastAsia="Arial" w:hAnsi="Arial"/>
                <w:sz w:val="16"/>
                <w:szCs w:val="16"/>
                <w:b w:val="1"/>
                <w:bCs w:val="1"/>
                <w:color w:val="336699"/>
              </w:rPr>
              <w:t>Target Award as a</w:t>
            </w:r>
          </w:p>
        </w:tc>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920" w:type="dxa"/>
            <w:vAlign w:val="bottom"/>
          </w:tcPr>
          <w:p>
            <w:pPr>
              <w:jc w:val="center"/>
              <w:ind w:right="159"/>
              <w:spacing w:after="0"/>
              <w:rPr>
                <w:sz w:val="20"/>
                <w:szCs w:val="20"/>
                <w:color w:val="auto"/>
              </w:rPr>
            </w:pPr>
            <w:r>
              <w:rPr>
                <w:rFonts w:ascii="Arial" w:cs="Arial" w:eastAsia="Arial" w:hAnsi="Arial"/>
                <w:sz w:val="16"/>
                <w:szCs w:val="16"/>
                <w:b w:val="1"/>
                <w:bCs w:val="1"/>
                <w:color w:val="336699"/>
              </w:rPr>
              <w:t>Awarded as a</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jc w:val="center"/>
              <w:ind w:right="79"/>
              <w:spacing w:after="0"/>
              <w:rPr>
                <w:sz w:val="20"/>
                <w:szCs w:val="20"/>
                <w:color w:val="auto"/>
              </w:rPr>
            </w:pPr>
            <w:r>
              <w:rPr>
                <w:rFonts w:ascii="Arial" w:cs="Arial" w:eastAsia="Arial" w:hAnsi="Arial"/>
                <w:sz w:val="16"/>
                <w:szCs w:val="16"/>
                <w:b w:val="1"/>
                <w:bCs w:val="1"/>
                <w:color w:val="336699"/>
              </w:rPr>
              <w:t>Percentage of Base</w:t>
            </w:r>
          </w:p>
        </w:tc>
        <w:tc>
          <w:tcPr>
            <w:tcW w:w="300" w:type="dxa"/>
            <w:vAlign w:val="bottom"/>
          </w:tcPr>
          <w:p>
            <w:pPr>
              <w:spacing w:after="0"/>
              <w:rPr>
                <w:sz w:val="16"/>
                <w:szCs w:val="16"/>
                <w:color w:val="auto"/>
              </w:rPr>
            </w:pPr>
          </w:p>
        </w:tc>
        <w:tc>
          <w:tcPr>
            <w:tcW w:w="1700" w:type="dxa"/>
            <w:vAlign w:val="bottom"/>
          </w:tcPr>
          <w:p>
            <w:pPr>
              <w:jc w:val="right"/>
              <w:ind w:right="659"/>
              <w:spacing w:after="0"/>
              <w:rPr>
                <w:sz w:val="20"/>
                <w:szCs w:val="20"/>
                <w:color w:val="auto"/>
              </w:rPr>
            </w:pPr>
            <w:r>
              <w:rPr>
                <w:rFonts w:ascii="Arial" w:cs="Arial" w:eastAsia="Arial" w:hAnsi="Arial"/>
                <w:sz w:val="16"/>
                <w:szCs w:val="16"/>
                <w:b w:val="1"/>
                <w:bCs w:val="1"/>
                <w:color w:val="336699"/>
              </w:rPr>
              <w:t>Cash Bonus</w:t>
            </w:r>
          </w:p>
        </w:tc>
        <w:tc>
          <w:tcPr>
            <w:tcW w:w="1920" w:type="dxa"/>
            <w:vAlign w:val="bottom"/>
          </w:tcPr>
          <w:p>
            <w:pPr>
              <w:jc w:val="center"/>
              <w:ind w:right="159"/>
              <w:spacing w:after="0"/>
              <w:rPr>
                <w:sz w:val="20"/>
                <w:szCs w:val="20"/>
                <w:color w:val="auto"/>
              </w:rPr>
            </w:pPr>
            <w:r>
              <w:rPr>
                <w:rFonts w:ascii="Arial" w:cs="Arial" w:eastAsia="Arial" w:hAnsi="Arial"/>
                <w:sz w:val="16"/>
                <w:szCs w:val="16"/>
                <w:b w:val="1"/>
                <w:bCs w:val="1"/>
                <w:color w:val="336699"/>
              </w:rPr>
              <w:t>Percentage of</w:t>
            </w:r>
          </w:p>
        </w:tc>
        <w:tc>
          <w:tcPr>
            <w:tcW w:w="0" w:type="dxa"/>
            <w:vAlign w:val="bottom"/>
          </w:tcPr>
          <w:p>
            <w:pPr>
              <w:spacing w:after="0"/>
              <w:rPr>
                <w:sz w:val="1"/>
                <w:szCs w:val="1"/>
                <w:color w:val="auto"/>
              </w:rPr>
            </w:pPr>
          </w:p>
        </w:tc>
      </w:tr>
      <w:tr>
        <w:trPr>
          <w:trHeight w:val="228"/>
        </w:trPr>
        <w:tc>
          <w:tcPr>
            <w:tcW w:w="2840" w:type="dxa"/>
            <w:vAlign w:val="bottom"/>
            <w:tcBorders>
              <w:bottom w:val="single" w:sz="8" w:color="336699"/>
            </w:tcBorders>
          </w:tcPr>
          <w:p>
            <w:pPr>
              <w:ind w:left="40"/>
              <w:spacing w:after="0"/>
              <w:rPr>
                <w:sz w:val="20"/>
                <w:szCs w:val="20"/>
                <w:color w:val="auto"/>
              </w:rPr>
            </w:pPr>
            <w:r>
              <w:rPr>
                <w:rFonts w:ascii="Arial" w:cs="Arial" w:eastAsia="Arial" w:hAnsi="Arial"/>
                <w:sz w:val="16"/>
                <w:szCs w:val="16"/>
                <w:b w:val="1"/>
                <w:bCs w:val="1"/>
                <w:color w:val="336699"/>
              </w:rPr>
              <w:t>NEO</w:t>
            </w:r>
          </w:p>
        </w:tc>
        <w:tc>
          <w:tcPr>
            <w:tcW w:w="2560" w:type="dxa"/>
            <w:vAlign w:val="bottom"/>
            <w:tcBorders>
              <w:bottom w:val="single" w:sz="8" w:color="336699"/>
            </w:tcBorders>
            <w:gridSpan w:val="2"/>
          </w:tcPr>
          <w:p>
            <w:pPr>
              <w:jc w:val="right"/>
              <w:spacing w:after="0"/>
              <w:rPr>
                <w:sz w:val="20"/>
                <w:szCs w:val="20"/>
                <w:color w:val="auto"/>
              </w:rPr>
            </w:pPr>
            <w:r>
              <w:rPr>
                <w:rFonts w:ascii="Arial" w:cs="Arial" w:eastAsia="Arial" w:hAnsi="Arial"/>
                <w:sz w:val="16"/>
                <w:szCs w:val="16"/>
                <w:b w:val="1"/>
                <w:bCs w:val="1"/>
                <w:color w:val="336699"/>
              </w:rPr>
              <w:t>Target Award</w:t>
            </w:r>
          </w:p>
        </w:tc>
        <w:tc>
          <w:tcPr>
            <w:tcW w:w="320" w:type="dxa"/>
            <w:vAlign w:val="bottom"/>
            <w:tcBorders>
              <w:bottom w:val="single" w:sz="8" w:color="336699"/>
            </w:tcBorders>
          </w:tcPr>
          <w:p>
            <w:pPr>
              <w:spacing w:after="0"/>
              <w:rPr>
                <w:sz w:val="19"/>
                <w:szCs w:val="19"/>
                <w:color w:val="auto"/>
              </w:rPr>
            </w:pPr>
          </w:p>
        </w:tc>
        <w:tc>
          <w:tcPr>
            <w:tcW w:w="1780" w:type="dxa"/>
            <w:vAlign w:val="bottom"/>
            <w:tcBorders>
              <w:bottom w:val="single" w:sz="8" w:color="336699"/>
            </w:tcBorders>
          </w:tcPr>
          <w:p>
            <w:pPr>
              <w:jc w:val="center"/>
              <w:ind w:right="79"/>
              <w:spacing w:after="0"/>
              <w:rPr>
                <w:sz w:val="20"/>
                <w:szCs w:val="20"/>
                <w:color w:val="auto"/>
              </w:rPr>
            </w:pPr>
            <w:r>
              <w:rPr>
                <w:rFonts w:ascii="Arial" w:cs="Arial" w:eastAsia="Arial" w:hAnsi="Arial"/>
                <w:sz w:val="16"/>
                <w:szCs w:val="16"/>
                <w:b w:val="1"/>
                <w:bCs w:val="1"/>
                <w:color w:val="336699"/>
              </w:rPr>
              <w:t>Salary</w:t>
            </w:r>
          </w:p>
        </w:tc>
        <w:tc>
          <w:tcPr>
            <w:tcW w:w="300" w:type="dxa"/>
            <w:vAlign w:val="bottom"/>
            <w:tcBorders>
              <w:bottom w:val="single" w:sz="8" w:color="336699"/>
            </w:tcBorders>
          </w:tcPr>
          <w:p>
            <w:pPr>
              <w:spacing w:after="0"/>
              <w:rPr>
                <w:sz w:val="19"/>
                <w:szCs w:val="19"/>
                <w:color w:val="auto"/>
              </w:rPr>
            </w:pPr>
          </w:p>
        </w:tc>
        <w:tc>
          <w:tcPr>
            <w:tcW w:w="1700" w:type="dxa"/>
            <w:vAlign w:val="bottom"/>
            <w:tcBorders>
              <w:bottom w:val="single" w:sz="8" w:color="336699"/>
            </w:tcBorders>
          </w:tcPr>
          <w:p>
            <w:pPr>
              <w:jc w:val="right"/>
              <w:ind w:right="779"/>
              <w:spacing w:after="0"/>
              <w:rPr>
                <w:sz w:val="20"/>
                <w:szCs w:val="20"/>
                <w:color w:val="auto"/>
              </w:rPr>
            </w:pPr>
            <w:r>
              <w:rPr>
                <w:rFonts w:ascii="Arial" w:cs="Arial" w:eastAsia="Arial" w:hAnsi="Arial"/>
                <w:sz w:val="16"/>
                <w:szCs w:val="16"/>
                <w:b w:val="1"/>
                <w:bCs w:val="1"/>
                <w:color w:val="336699"/>
              </w:rPr>
              <w:t>Awarded</w:t>
            </w:r>
          </w:p>
        </w:tc>
        <w:tc>
          <w:tcPr>
            <w:tcW w:w="1920" w:type="dxa"/>
            <w:vAlign w:val="bottom"/>
            <w:tcBorders>
              <w:bottom w:val="single" w:sz="8" w:color="336699"/>
            </w:tcBorders>
          </w:tcPr>
          <w:p>
            <w:pPr>
              <w:jc w:val="center"/>
              <w:ind w:right="159"/>
              <w:spacing w:after="0"/>
              <w:rPr>
                <w:sz w:val="20"/>
                <w:szCs w:val="20"/>
                <w:color w:val="auto"/>
              </w:rPr>
            </w:pPr>
            <w:r>
              <w:rPr>
                <w:rFonts w:ascii="Arial" w:cs="Arial" w:eastAsia="Arial" w:hAnsi="Arial"/>
                <w:sz w:val="16"/>
                <w:szCs w:val="16"/>
                <w:b w:val="1"/>
                <w:bCs w:val="1"/>
                <w:color w:val="336699"/>
              </w:rPr>
              <w:t>Target Award</w:t>
            </w:r>
          </w:p>
        </w:tc>
        <w:tc>
          <w:tcPr>
            <w:tcW w:w="0" w:type="dxa"/>
            <w:vAlign w:val="bottom"/>
          </w:tcPr>
          <w:p>
            <w:pPr>
              <w:spacing w:after="0"/>
              <w:rPr>
                <w:sz w:val="1"/>
                <w:szCs w:val="1"/>
                <w:color w:val="auto"/>
              </w:rPr>
            </w:pPr>
          </w:p>
        </w:tc>
      </w:tr>
      <w:tr>
        <w:trPr>
          <w:trHeight w:val="278"/>
        </w:trPr>
        <w:tc>
          <w:tcPr>
            <w:tcW w:w="2840" w:type="dxa"/>
            <w:vAlign w:val="bottom"/>
            <w:shd w:val="clear" w:color="auto" w:fill="CCFFFF"/>
          </w:tcPr>
          <w:p>
            <w:pPr>
              <w:ind w:left="40"/>
              <w:spacing w:after="0"/>
              <w:rPr>
                <w:sz w:val="20"/>
                <w:szCs w:val="20"/>
                <w:color w:val="auto"/>
              </w:rPr>
            </w:pPr>
            <w:r>
              <w:rPr>
                <w:rFonts w:ascii="Arial" w:cs="Arial" w:eastAsia="Arial" w:hAnsi="Arial"/>
                <w:sz w:val="16"/>
                <w:szCs w:val="16"/>
                <w:color w:val="auto"/>
              </w:rPr>
              <w:t>Mark S. Casady</w:t>
            </w:r>
          </w:p>
        </w:tc>
        <w:tc>
          <w:tcPr>
            <w:tcW w:w="1620" w:type="dxa"/>
            <w:vAlign w:val="bottom"/>
            <w:vMerge w:val="restart"/>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FFFF"/>
          </w:tcPr>
          <w:p>
            <w:pPr>
              <w:jc w:val="right"/>
              <w:ind w:right="39"/>
              <w:spacing w:after="0"/>
              <w:rPr>
                <w:sz w:val="20"/>
                <w:szCs w:val="20"/>
                <w:color w:val="auto"/>
              </w:rPr>
            </w:pPr>
            <w:r>
              <w:rPr>
                <w:rFonts w:ascii="Arial" w:cs="Arial" w:eastAsia="Arial" w:hAnsi="Arial"/>
                <w:sz w:val="16"/>
                <w:szCs w:val="16"/>
                <w:color w:val="auto"/>
              </w:rPr>
              <w:t>2,475,000</w:t>
            </w:r>
          </w:p>
        </w:tc>
        <w:tc>
          <w:tcPr>
            <w:tcW w:w="320" w:type="dxa"/>
            <w:vAlign w:val="bottom"/>
            <w:shd w:val="clear" w:color="auto" w:fill="CCFFFF"/>
          </w:tcPr>
          <w:p>
            <w:pPr>
              <w:spacing w:after="0"/>
              <w:rPr>
                <w:sz w:val="24"/>
                <w:szCs w:val="24"/>
                <w:color w:val="auto"/>
              </w:rPr>
            </w:pPr>
          </w:p>
        </w:tc>
        <w:tc>
          <w:tcPr>
            <w:tcW w:w="1780" w:type="dxa"/>
            <w:vAlign w:val="bottom"/>
            <w:vMerge w:val="restart"/>
            <w:shd w:val="clear" w:color="auto" w:fill="CCFFFF"/>
          </w:tcPr>
          <w:p>
            <w:pPr>
              <w:jc w:val="center"/>
              <w:ind w:right="79"/>
              <w:spacing w:after="0"/>
              <w:rPr>
                <w:sz w:val="20"/>
                <w:szCs w:val="20"/>
                <w:color w:val="auto"/>
              </w:rPr>
            </w:pPr>
            <w:r>
              <w:rPr>
                <w:rFonts w:ascii="Arial" w:cs="Arial" w:eastAsia="Arial" w:hAnsi="Arial"/>
                <w:sz w:val="16"/>
                <w:szCs w:val="16"/>
                <w:color w:val="auto"/>
              </w:rPr>
              <w:t>275%</w:t>
            </w:r>
          </w:p>
        </w:tc>
        <w:tc>
          <w:tcPr>
            <w:tcW w:w="300" w:type="dxa"/>
            <w:vAlign w:val="bottom"/>
            <w:vMerge w:val="restart"/>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700" w:type="dxa"/>
            <w:vAlign w:val="bottom"/>
            <w:vMerge w:val="restart"/>
            <w:shd w:val="clear" w:color="auto" w:fill="CCFFFF"/>
          </w:tcPr>
          <w:p>
            <w:pPr>
              <w:jc w:val="right"/>
              <w:ind w:right="599"/>
              <w:spacing w:after="0"/>
              <w:rPr>
                <w:sz w:val="20"/>
                <w:szCs w:val="20"/>
                <w:color w:val="auto"/>
              </w:rPr>
            </w:pPr>
            <w:r>
              <w:rPr>
                <w:rFonts w:ascii="Arial" w:cs="Arial" w:eastAsia="Arial" w:hAnsi="Arial"/>
                <w:sz w:val="16"/>
                <w:szCs w:val="16"/>
                <w:color w:val="auto"/>
              </w:rPr>
              <w:t>2,500,000</w:t>
            </w:r>
          </w:p>
        </w:tc>
        <w:tc>
          <w:tcPr>
            <w:tcW w:w="1920" w:type="dxa"/>
            <w:vAlign w:val="bottom"/>
            <w:vMerge w:val="restart"/>
            <w:shd w:val="clear" w:color="auto" w:fill="CCFFFF"/>
          </w:tcPr>
          <w:p>
            <w:pPr>
              <w:jc w:val="right"/>
              <w:ind w:right="95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74"/>
        </w:trPr>
        <w:tc>
          <w:tcPr>
            <w:tcW w:w="2840" w:type="dxa"/>
            <w:vAlign w:val="bottom"/>
            <w:shd w:val="clear" w:color="auto" w:fill="CCFFFF"/>
          </w:tcPr>
          <w:p>
            <w:pPr>
              <w:spacing w:after="0"/>
              <w:rPr>
                <w:sz w:val="6"/>
                <w:szCs w:val="6"/>
                <w:color w:val="auto"/>
              </w:rPr>
            </w:pPr>
          </w:p>
        </w:tc>
        <w:tc>
          <w:tcPr>
            <w:tcW w:w="1620" w:type="dxa"/>
            <w:vAlign w:val="bottom"/>
            <w:vMerge w:val="continue"/>
            <w:shd w:val="clear" w:color="auto" w:fill="CCFFFF"/>
          </w:tcPr>
          <w:p>
            <w:pPr>
              <w:spacing w:after="0"/>
              <w:rPr>
                <w:sz w:val="6"/>
                <w:szCs w:val="6"/>
                <w:color w:val="auto"/>
              </w:rPr>
            </w:pPr>
          </w:p>
        </w:tc>
        <w:tc>
          <w:tcPr>
            <w:tcW w:w="940" w:type="dxa"/>
            <w:vAlign w:val="bottom"/>
            <w:vMerge w:val="continue"/>
            <w:shd w:val="clear" w:color="auto" w:fill="CCFFFF"/>
          </w:tcPr>
          <w:p>
            <w:pPr>
              <w:spacing w:after="0"/>
              <w:rPr>
                <w:sz w:val="6"/>
                <w:szCs w:val="6"/>
                <w:color w:val="auto"/>
              </w:rPr>
            </w:pPr>
          </w:p>
        </w:tc>
        <w:tc>
          <w:tcPr>
            <w:tcW w:w="320" w:type="dxa"/>
            <w:vAlign w:val="bottom"/>
            <w:shd w:val="clear" w:color="auto" w:fill="CCFFFF"/>
          </w:tcPr>
          <w:p>
            <w:pPr>
              <w:spacing w:after="0"/>
              <w:rPr>
                <w:sz w:val="6"/>
                <w:szCs w:val="6"/>
                <w:color w:val="auto"/>
              </w:rPr>
            </w:pPr>
          </w:p>
        </w:tc>
        <w:tc>
          <w:tcPr>
            <w:tcW w:w="1780" w:type="dxa"/>
            <w:vAlign w:val="bottom"/>
            <w:vMerge w:val="continue"/>
            <w:shd w:val="clear" w:color="auto" w:fill="CCFFFF"/>
          </w:tcPr>
          <w:p>
            <w:pPr>
              <w:spacing w:after="0"/>
              <w:rPr>
                <w:sz w:val="6"/>
                <w:szCs w:val="6"/>
                <w:color w:val="auto"/>
              </w:rPr>
            </w:pPr>
          </w:p>
        </w:tc>
        <w:tc>
          <w:tcPr>
            <w:tcW w:w="300" w:type="dxa"/>
            <w:vAlign w:val="bottom"/>
            <w:vMerge w:val="continue"/>
            <w:shd w:val="clear" w:color="auto" w:fill="CCFFFF"/>
          </w:tcPr>
          <w:p>
            <w:pPr>
              <w:spacing w:after="0"/>
              <w:rPr>
                <w:sz w:val="6"/>
                <w:szCs w:val="6"/>
                <w:color w:val="auto"/>
              </w:rPr>
            </w:pPr>
          </w:p>
        </w:tc>
        <w:tc>
          <w:tcPr>
            <w:tcW w:w="1700" w:type="dxa"/>
            <w:vAlign w:val="bottom"/>
            <w:vMerge w:val="continue"/>
            <w:shd w:val="clear" w:color="auto" w:fill="CCFFFF"/>
          </w:tcPr>
          <w:p>
            <w:pPr>
              <w:spacing w:after="0"/>
              <w:rPr>
                <w:sz w:val="6"/>
                <w:szCs w:val="6"/>
                <w:color w:val="auto"/>
              </w:rPr>
            </w:pPr>
          </w:p>
        </w:tc>
        <w:tc>
          <w:tcPr>
            <w:tcW w:w="1920" w:type="dxa"/>
            <w:vAlign w:val="bottom"/>
            <w:vMerge w:val="continue"/>
            <w:shd w:val="clear" w:color="auto" w:fill="CCFFFF"/>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2840" w:type="dxa"/>
            <w:vAlign w:val="bottom"/>
          </w:tcPr>
          <w:p>
            <w:pPr>
              <w:ind w:left="40"/>
              <w:spacing w:after="0"/>
              <w:rPr>
                <w:sz w:val="20"/>
                <w:szCs w:val="20"/>
                <w:color w:val="auto"/>
              </w:rPr>
            </w:pPr>
            <w:r>
              <w:rPr>
                <w:rFonts w:ascii="Arial" w:cs="Arial" w:eastAsia="Arial" w:hAnsi="Arial"/>
                <w:sz w:val="16"/>
                <w:szCs w:val="16"/>
                <w:color w:val="auto"/>
              </w:rPr>
              <w:t>Matthew J. Audette</w:t>
            </w:r>
          </w:p>
        </w:tc>
        <w:tc>
          <w:tcPr>
            <w:tcW w:w="16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39"/>
              <w:spacing w:after="0"/>
              <w:rPr>
                <w:sz w:val="20"/>
                <w:szCs w:val="20"/>
                <w:color w:val="auto"/>
              </w:rPr>
            </w:pPr>
            <w:r>
              <w:rPr>
                <w:rFonts w:ascii="Arial" w:cs="Arial" w:eastAsia="Arial" w:hAnsi="Arial"/>
                <w:sz w:val="16"/>
                <w:szCs w:val="16"/>
                <w:color w:val="auto"/>
              </w:rPr>
              <w:t>1,050,000</w:t>
            </w:r>
          </w:p>
        </w:tc>
        <w:tc>
          <w:tcPr>
            <w:tcW w:w="320" w:type="dxa"/>
            <w:vAlign w:val="bottom"/>
          </w:tcPr>
          <w:p>
            <w:pPr>
              <w:spacing w:after="0"/>
              <w:rPr>
                <w:sz w:val="24"/>
                <w:szCs w:val="24"/>
                <w:color w:val="auto"/>
              </w:rPr>
            </w:pPr>
          </w:p>
        </w:tc>
        <w:tc>
          <w:tcPr>
            <w:tcW w:w="1780" w:type="dxa"/>
            <w:vAlign w:val="bottom"/>
            <w:vMerge w:val="restart"/>
          </w:tcPr>
          <w:p>
            <w:pPr>
              <w:jc w:val="center"/>
              <w:ind w:right="79"/>
              <w:spacing w:after="0"/>
              <w:rPr>
                <w:sz w:val="20"/>
                <w:szCs w:val="20"/>
                <w:color w:val="auto"/>
              </w:rPr>
            </w:pPr>
            <w:r>
              <w:rPr>
                <w:rFonts w:ascii="Arial" w:cs="Arial" w:eastAsia="Arial" w:hAnsi="Arial"/>
                <w:sz w:val="16"/>
                <w:szCs w:val="16"/>
                <w:color w:val="auto"/>
              </w:rPr>
              <w:t>175%</w:t>
            </w: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700" w:type="dxa"/>
            <w:vAlign w:val="bottom"/>
            <w:vMerge w:val="restart"/>
          </w:tcPr>
          <w:p>
            <w:pPr>
              <w:jc w:val="right"/>
              <w:ind w:right="599"/>
              <w:spacing w:after="0"/>
              <w:rPr>
                <w:sz w:val="20"/>
                <w:szCs w:val="20"/>
                <w:color w:val="auto"/>
              </w:rPr>
            </w:pPr>
            <w:r>
              <w:rPr>
                <w:rFonts w:ascii="Arial" w:cs="Arial" w:eastAsia="Arial" w:hAnsi="Arial"/>
                <w:sz w:val="16"/>
                <w:szCs w:val="16"/>
                <w:color w:val="auto"/>
              </w:rPr>
              <w:t>1,218,000</w:t>
            </w:r>
          </w:p>
        </w:tc>
        <w:tc>
          <w:tcPr>
            <w:tcW w:w="1920" w:type="dxa"/>
            <w:vAlign w:val="bottom"/>
            <w:vMerge w:val="restart"/>
          </w:tcPr>
          <w:p>
            <w:pPr>
              <w:jc w:val="right"/>
              <w:ind w:right="95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64"/>
        </w:trPr>
        <w:tc>
          <w:tcPr>
            <w:tcW w:w="284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70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2840" w:type="dxa"/>
            <w:vAlign w:val="bottom"/>
            <w:shd w:val="clear" w:color="auto" w:fill="CCFFFF"/>
          </w:tcPr>
          <w:p>
            <w:pPr>
              <w:ind w:left="40"/>
              <w:spacing w:after="0"/>
              <w:rPr>
                <w:sz w:val="20"/>
                <w:szCs w:val="20"/>
                <w:color w:val="auto"/>
              </w:rPr>
            </w:pPr>
            <w:r>
              <w:rPr>
                <w:rFonts w:ascii="Arial" w:cs="Arial" w:eastAsia="Arial" w:hAnsi="Arial"/>
                <w:sz w:val="16"/>
                <w:szCs w:val="16"/>
                <w:color w:val="auto"/>
              </w:rPr>
              <w:t>Dan H. Arnold</w:t>
            </w:r>
          </w:p>
        </w:tc>
        <w:tc>
          <w:tcPr>
            <w:tcW w:w="1620" w:type="dxa"/>
            <w:vAlign w:val="bottom"/>
            <w:vMerge w:val="restart"/>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FFFF"/>
          </w:tcPr>
          <w:p>
            <w:pPr>
              <w:jc w:val="right"/>
              <w:ind w:right="39"/>
              <w:spacing w:after="0"/>
              <w:rPr>
                <w:sz w:val="20"/>
                <w:szCs w:val="20"/>
                <w:color w:val="auto"/>
              </w:rPr>
            </w:pPr>
            <w:r>
              <w:rPr>
                <w:rFonts w:ascii="Arial" w:cs="Arial" w:eastAsia="Arial" w:hAnsi="Arial"/>
                <w:sz w:val="16"/>
                <w:szCs w:val="16"/>
                <w:color w:val="auto"/>
              </w:rPr>
              <w:t>1,181,250</w:t>
            </w:r>
          </w:p>
        </w:tc>
        <w:tc>
          <w:tcPr>
            <w:tcW w:w="320" w:type="dxa"/>
            <w:vAlign w:val="bottom"/>
            <w:shd w:val="clear" w:color="auto" w:fill="CCFFFF"/>
          </w:tcPr>
          <w:p>
            <w:pPr>
              <w:spacing w:after="0"/>
              <w:rPr>
                <w:sz w:val="24"/>
                <w:szCs w:val="24"/>
                <w:color w:val="auto"/>
              </w:rPr>
            </w:pPr>
          </w:p>
        </w:tc>
        <w:tc>
          <w:tcPr>
            <w:tcW w:w="1780" w:type="dxa"/>
            <w:vAlign w:val="bottom"/>
            <w:vMerge w:val="restart"/>
            <w:shd w:val="clear" w:color="auto" w:fill="CCFFFF"/>
          </w:tcPr>
          <w:p>
            <w:pPr>
              <w:jc w:val="center"/>
              <w:ind w:right="79"/>
              <w:spacing w:after="0"/>
              <w:rPr>
                <w:sz w:val="20"/>
                <w:szCs w:val="20"/>
                <w:color w:val="auto"/>
              </w:rPr>
            </w:pPr>
            <w:r>
              <w:rPr>
                <w:rFonts w:ascii="Arial" w:cs="Arial" w:eastAsia="Arial" w:hAnsi="Arial"/>
                <w:sz w:val="16"/>
                <w:szCs w:val="16"/>
                <w:color w:val="auto"/>
              </w:rPr>
              <w:t>175%</w:t>
            </w:r>
          </w:p>
        </w:tc>
        <w:tc>
          <w:tcPr>
            <w:tcW w:w="300" w:type="dxa"/>
            <w:vAlign w:val="bottom"/>
            <w:vMerge w:val="restart"/>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700" w:type="dxa"/>
            <w:vAlign w:val="bottom"/>
            <w:vMerge w:val="restart"/>
            <w:shd w:val="clear" w:color="auto" w:fill="CCFFFF"/>
          </w:tcPr>
          <w:p>
            <w:pPr>
              <w:jc w:val="right"/>
              <w:ind w:right="599"/>
              <w:spacing w:after="0"/>
              <w:rPr>
                <w:sz w:val="20"/>
                <w:szCs w:val="20"/>
                <w:color w:val="auto"/>
              </w:rPr>
            </w:pPr>
            <w:r>
              <w:rPr>
                <w:rFonts w:ascii="Arial" w:cs="Arial" w:eastAsia="Arial" w:hAnsi="Arial"/>
                <w:sz w:val="16"/>
                <w:szCs w:val="16"/>
                <w:color w:val="auto"/>
              </w:rPr>
              <w:t>1,400,000</w:t>
            </w:r>
          </w:p>
        </w:tc>
        <w:tc>
          <w:tcPr>
            <w:tcW w:w="1920" w:type="dxa"/>
            <w:vAlign w:val="bottom"/>
            <w:vMerge w:val="restart"/>
            <w:shd w:val="clear" w:color="auto" w:fill="CCFFFF"/>
          </w:tcPr>
          <w:p>
            <w:pPr>
              <w:jc w:val="right"/>
              <w:ind w:right="95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74"/>
        </w:trPr>
        <w:tc>
          <w:tcPr>
            <w:tcW w:w="2840" w:type="dxa"/>
            <w:vAlign w:val="bottom"/>
            <w:shd w:val="clear" w:color="auto" w:fill="CCFFFF"/>
          </w:tcPr>
          <w:p>
            <w:pPr>
              <w:spacing w:after="0"/>
              <w:rPr>
                <w:sz w:val="6"/>
                <w:szCs w:val="6"/>
                <w:color w:val="auto"/>
              </w:rPr>
            </w:pPr>
          </w:p>
        </w:tc>
        <w:tc>
          <w:tcPr>
            <w:tcW w:w="1620" w:type="dxa"/>
            <w:vAlign w:val="bottom"/>
            <w:vMerge w:val="continue"/>
            <w:shd w:val="clear" w:color="auto" w:fill="CCFFFF"/>
          </w:tcPr>
          <w:p>
            <w:pPr>
              <w:spacing w:after="0"/>
              <w:rPr>
                <w:sz w:val="6"/>
                <w:szCs w:val="6"/>
                <w:color w:val="auto"/>
              </w:rPr>
            </w:pPr>
          </w:p>
        </w:tc>
        <w:tc>
          <w:tcPr>
            <w:tcW w:w="940" w:type="dxa"/>
            <w:vAlign w:val="bottom"/>
            <w:vMerge w:val="continue"/>
            <w:shd w:val="clear" w:color="auto" w:fill="CCFFFF"/>
          </w:tcPr>
          <w:p>
            <w:pPr>
              <w:spacing w:after="0"/>
              <w:rPr>
                <w:sz w:val="6"/>
                <w:szCs w:val="6"/>
                <w:color w:val="auto"/>
              </w:rPr>
            </w:pPr>
          </w:p>
        </w:tc>
        <w:tc>
          <w:tcPr>
            <w:tcW w:w="320" w:type="dxa"/>
            <w:vAlign w:val="bottom"/>
            <w:shd w:val="clear" w:color="auto" w:fill="CCFFFF"/>
          </w:tcPr>
          <w:p>
            <w:pPr>
              <w:spacing w:after="0"/>
              <w:rPr>
                <w:sz w:val="6"/>
                <w:szCs w:val="6"/>
                <w:color w:val="auto"/>
              </w:rPr>
            </w:pPr>
          </w:p>
        </w:tc>
        <w:tc>
          <w:tcPr>
            <w:tcW w:w="1780" w:type="dxa"/>
            <w:vAlign w:val="bottom"/>
            <w:vMerge w:val="continue"/>
            <w:shd w:val="clear" w:color="auto" w:fill="CCFFFF"/>
          </w:tcPr>
          <w:p>
            <w:pPr>
              <w:spacing w:after="0"/>
              <w:rPr>
                <w:sz w:val="6"/>
                <w:szCs w:val="6"/>
                <w:color w:val="auto"/>
              </w:rPr>
            </w:pPr>
          </w:p>
        </w:tc>
        <w:tc>
          <w:tcPr>
            <w:tcW w:w="300" w:type="dxa"/>
            <w:vAlign w:val="bottom"/>
            <w:vMerge w:val="continue"/>
            <w:shd w:val="clear" w:color="auto" w:fill="CCFFFF"/>
          </w:tcPr>
          <w:p>
            <w:pPr>
              <w:spacing w:after="0"/>
              <w:rPr>
                <w:sz w:val="6"/>
                <w:szCs w:val="6"/>
                <w:color w:val="auto"/>
              </w:rPr>
            </w:pPr>
          </w:p>
        </w:tc>
        <w:tc>
          <w:tcPr>
            <w:tcW w:w="1700" w:type="dxa"/>
            <w:vAlign w:val="bottom"/>
            <w:vMerge w:val="continue"/>
            <w:shd w:val="clear" w:color="auto" w:fill="CCFFFF"/>
          </w:tcPr>
          <w:p>
            <w:pPr>
              <w:spacing w:after="0"/>
              <w:rPr>
                <w:sz w:val="6"/>
                <w:szCs w:val="6"/>
                <w:color w:val="auto"/>
              </w:rPr>
            </w:pPr>
          </w:p>
        </w:tc>
        <w:tc>
          <w:tcPr>
            <w:tcW w:w="1920" w:type="dxa"/>
            <w:vAlign w:val="bottom"/>
            <w:vMerge w:val="continue"/>
            <w:shd w:val="clear" w:color="auto" w:fill="CCFF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40"/>
              <w:spacing w:after="0"/>
              <w:rPr>
                <w:sz w:val="20"/>
                <w:szCs w:val="20"/>
                <w:color w:val="auto"/>
              </w:rPr>
            </w:pPr>
            <w:r>
              <w:rPr>
                <w:rFonts w:ascii="Arial" w:cs="Arial" w:eastAsia="Arial" w:hAnsi="Arial"/>
                <w:sz w:val="16"/>
                <w:szCs w:val="16"/>
                <w:color w:val="auto"/>
              </w:rPr>
              <w:t>Tracy E. Calder</w:t>
            </w:r>
            <w:r>
              <w:rPr>
                <w:rFonts w:ascii="Arial" w:cs="Arial" w:eastAsia="Arial" w:hAnsi="Arial"/>
                <w:sz w:val="21"/>
                <w:szCs w:val="21"/>
                <w:color w:val="auto"/>
                <w:vertAlign w:val="superscript"/>
              </w:rPr>
              <w:t>(1)</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373,770</w:t>
            </w: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 xml:space="preserve">84.6% </w:t>
            </w:r>
            <w:r>
              <w:rPr>
                <w:rFonts w:ascii="Arial" w:cs="Arial" w:eastAsia="Arial" w:hAnsi="Arial"/>
                <w:sz w:val="14"/>
                <w:szCs w:val="14"/>
                <w:color w:val="auto"/>
              </w:rPr>
              <w:t>(1)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39"/>
              <w:spacing w:after="0"/>
              <w:rPr>
                <w:sz w:val="20"/>
                <w:szCs w:val="20"/>
                <w:color w:val="auto"/>
              </w:rPr>
            </w:pPr>
            <w:r>
              <w:rPr>
                <w:rFonts w:ascii="Arial" w:cs="Arial" w:eastAsia="Arial" w:hAnsi="Arial"/>
                <w:sz w:val="16"/>
                <w:szCs w:val="16"/>
                <w:color w:val="auto"/>
              </w:rPr>
              <w:t xml:space="preserve">425,000  </w:t>
            </w:r>
            <w:r>
              <w:rPr>
                <w:rFonts w:ascii="Arial" w:cs="Arial" w:eastAsia="Arial" w:hAnsi="Arial"/>
                <w:sz w:val="14"/>
                <w:szCs w:val="14"/>
                <w:color w:val="auto"/>
              </w:rPr>
              <w:t>(2)</w:t>
            </w:r>
          </w:p>
        </w:tc>
        <w:tc>
          <w:tcPr>
            <w:tcW w:w="1920" w:type="dxa"/>
            <w:vAlign w:val="bottom"/>
          </w:tcPr>
          <w:p>
            <w:pPr>
              <w:jc w:val="right"/>
              <w:ind w:right="95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64"/>
        </w:trPr>
        <w:tc>
          <w:tcPr>
            <w:tcW w:w="2840" w:type="dxa"/>
            <w:vAlign w:val="bottom"/>
            <w:tcBorders>
              <w:bottom w:val="single" w:sz="8" w:color="336699"/>
            </w:tcBorders>
            <w:shd w:val="clear" w:color="auto" w:fill="CCFFFF"/>
          </w:tcPr>
          <w:p>
            <w:pPr>
              <w:ind w:left="40"/>
              <w:spacing w:after="0"/>
              <w:rPr>
                <w:sz w:val="20"/>
                <w:szCs w:val="20"/>
                <w:color w:val="auto"/>
              </w:rPr>
            </w:pPr>
            <w:r>
              <w:rPr>
                <w:rFonts w:ascii="Arial" w:cs="Arial" w:eastAsia="Arial" w:hAnsi="Arial"/>
                <w:sz w:val="16"/>
                <w:szCs w:val="16"/>
                <w:color w:val="auto"/>
              </w:rPr>
              <w:t>Thomas Gooley</w:t>
            </w:r>
          </w:p>
        </w:tc>
        <w:tc>
          <w:tcPr>
            <w:tcW w:w="1620" w:type="dxa"/>
            <w:vAlign w:val="bottom"/>
            <w:tcBorders>
              <w:bottom w:val="single" w:sz="8" w:color="336699"/>
            </w:tcBorders>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336699"/>
            </w:tcBorders>
            <w:shd w:val="clear" w:color="auto" w:fill="CCFFFF"/>
          </w:tcPr>
          <w:p>
            <w:pPr>
              <w:jc w:val="right"/>
              <w:ind w:right="39"/>
              <w:spacing w:after="0"/>
              <w:rPr>
                <w:sz w:val="20"/>
                <w:szCs w:val="20"/>
                <w:color w:val="auto"/>
              </w:rPr>
            </w:pPr>
            <w:r>
              <w:rPr>
                <w:rFonts w:ascii="Arial" w:cs="Arial" w:eastAsia="Arial" w:hAnsi="Arial"/>
                <w:sz w:val="16"/>
                <w:szCs w:val="16"/>
                <w:color w:val="auto"/>
              </w:rPr>
              <w:t>750,000</w:t>
            </w:r>
          </w:p>
        </w:tc>
        <w:tc>
          <w:tcPr>
            <w:tcW w:w="320" w:type="dxa"/>
            <w:vAlign w:val="bottom"/>
            <w:tcBorders>
              <w:bottom w:val="single" w:sz="8" w:color="336699"/>
            </w:tcBorders>
            <w:shd w:val="clear" w:color="auto" w:fill="CCFFFF"/>
          </w:tcPr>
          <w:p>
            <w:pPr>
              <w:spacing w:after="0"/>
              <w:rPr>
                <w:sz w:val="22"/>
                <w:szCs w:val="22"/>
                <w:color w:val="auto"/>
              </w:rPr>
            </w:pPr>
          </w:p>
        </w:tc>
        <w:tc>
          <w:tcPr>
            <w:tcW w:w="1780" w:type="dxa"/>
            <w:vAlign w:val="bottom"/>
            <w:tcBorders>
              <w:bottom w:val="single" w:sz="8" w:color="336699"/>
            </w:tcBorders>
            <w:shd w:val="clear" w:color="auto" w:fill="CCFFFF"/>
          </w:tcPr>
          <w:p>
            <w:pPr>
              <w:jc w:val="center"/>
              <w:ind w:right="79"/>
              <w:spacing w:after="0"/>
              <w:rPr>
                <w:sz w:val="20"/>
                <w:szCs w:val="20"/>
                <w:color w:val="auto"/>
              </w:rPr>
            </w:pPr>
            <w:r>
              <w:rPr>
                <w:rFonts w:ascii="Arial" w:cs="Arial" w:eastAsia="Arial" w:hAnsi="Arial"/>
                <w:sz w:val="16"/>
                <w:szCs w:val="16"/>
                <w:color w:val="auto"/>
              </w:rPr>
              <w:t>150%</w:t>
            </w:r>
          </w:p>
        </w:tc>
        <w:tc>
          <w:tcPr>
            <w:tcW w:w="30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336699"/>
            </w:tcBorders>
            <w:shd w:val="clear" w:color="auto" w:fill="CCFFFF"/>
          </w:tcPr>
          <w:p>
            <w:pPr>
              <w:jc w:val="right"/>
              <w:ind w:right="599"/>
              <w:spacing w:after="0"/>
              <w:rPr>
                <w:sz w:val="20"/>
                <w:szCs w:val="20"/>
                <w:color w:val="auto"/>
              </w:rPr>
            </w:pPr>
            <w:r>
              <w:rPr>
                <w:rFonts w:ascii="Arial" w:cs="Arial" w:eastAsia="Arial" w:hAnsi="Arial"/>
                <w:sz w:val="16"/>
                <w:szCs w:val="16"/>
                <w:color w:val="auto"/>
              </w:rPr>
              <w:t>910,000</w:t>
            </w:r>
          </w:p>
        </w:tc>
        <w:tc>
          <w:tcPr>
            <w:tcW w:w="1920" w:type="dxa"/>
            <w:vAlign w:val="bottom"/>
            <w:tcBorders>
              <w:bottom w:val="single" w:sz="8" w:color="336699"/>
            </w:tcBorders>
            <w:shd w:val="clear" w:color="auto" w:fill="CCFFFF"/>
          </w:tcPr>
          <w:p>
            <w:pPr>
              <w:jc w:val="right"/>
              <w:ind w:right="95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260" w:right="420" w:hanging="252"/>
        <w:spacing w:after="0" w:line="260" w:lineRule="auto"/>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Ms. Calder’s annual target award is $400,000, or 90.5% of her base salary. Ms. Calder’s target award for 2016 was prorated for the portion of the year following the commencement of her employment with the Company.</w:t>
      </w:r>
    </w:p>
    <w:p>
      <w:pPr>
        <w:spacing w:after="0" w:line="87" w:lineRule="exact"/>
        <w:rPr>
          <w:rFonts w:ascii="Arial" w:cs="Arial" w:eastAsia="Arial" w:hAnsi="Arial"/>
          <w:sz w:val="16"/>
          <w:szCs w:val="16"/>
          <w:color w:val="auto"/>
        </w:rPr>
      </w:pPr>
    </w:p>
    <w:p>
      <w:pPr>
        <w:ind w:left="260" w:hanging="252"/>
        <w:spacing w:after="0"/>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Ms. Calder also received a sign-on bonus in the amount of $497,000 upon joining the Company in January 2016.</w:t>
      </w: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29</w:t>
      </w:r>
    </w:p>
    <w:p>
      <w:pPr>
        <w:sectPr>
          <w:pgSz w:w="11900" w:h="16838" w:orient="portrait"/>
          <w:cols w:equalWidth="0" w:num="1">
            <w:col w:w="11420"/>
          </w:cols>
          <w:pgMar w:left="240" w:top="436" w:right="239" w:bottom="1440" w:gutter="0" w:footer="0" w:header="0"/>
          <w:type w:val="continuous"/>
        </w:sectPr>
      </w:pPr>
    </w:p>
    <w:bookmarkStart w:id="35" w:name="page36"/>
    <w:bookmarkEnd w:id="35"/>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333375</wp:posOffset>
            </wp:positionV>
            <wp:extent cx="5866130" cy="18268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66130" cy="182689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Long-Term Equity Incentive Awards</w:t>
      </w:r>
    </w:p>
    <w:p>
      <w:pPr>
        <w:spacing w:after="0" w:line="24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purposes of our long-term equity incentive program are to promote the achievement of corporate goals that drive long-term stockholder value, to align the interests of our executive officers and other key employees with our shareholders and to retain key executives. We provide long-term compensation to our NEOs through equity awards under our stockholder-approved equity plans, and we believe that our long-term equity incentive program is critical to our efforts to hire and retain the best talent in the financial services industry.</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At the beginning of each year, the Compensation Committee establishes long-term equity incentive award targets for all eligible executives after reviewing the recommendations of management and the information, including the Benchmarking Data, provided by the Compensation Consultant. Annual target award amounts are based on an executive’s position, including job scope and base salary, after consideration of the Benchmarking Data and prior years’ awards to the executive. For our NEOs, the targets established by our Compensation Committee for 2016 ranged from 72% to 350% of base salary.</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After the conclusion of the year, the Compensation Committee determines the actual amounts of the annual long-term incentive (“LTI”) award to be granted to each of our NEOs based on the target award previously set by the Compensation Committee as well as the NEO’s individual performance both during the year and over time, leadership responsibilities and potential, and retention considerations. Based upon such considerations, the NEO’s actual LTI award may vary from the target amount previously established. Unlike our annual cash bonus awards, the actual amount of executives’ LTI awards are generally not based on annual Company performance, although the value of those LTI awards depends on the Company’s longer-term performance.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30 | </w:t>
      </w:r>
      <w:r>
        <w:rPr>
          <w:rFonts w:ascii="Arial" w:cs="Arial" w:eastAsia="Arial" w:hAnsi="Arial"/>
          <w:sz w:val="18"/>
          <w:szCs w:val="18"/>
          <w:b w:val="1"/>
          <w:bCs w:val="1"/>
          <w:color w:val="003B71"/>
        </w:rPr>
        <w:t>2017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Since 2012, our long-term equity incentive awards have included RSUs and stock options. Equity grants to our chief executive officer have consisted only of stock options, in order to align to stock appreciation on an absolute basis, while equity grants to our other NEOs have consisted of 70% stock options and 30% RSUs.</w:t>
      </w:r>
    </w:p>
    <w:p>
      <w:pPr>
        <w:spacing w:after="0" w:line="206"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During 2016, the Compensation Committee assessed its approach to long-term equity incentives. With the assistance of the Compensation Consultant, the Compensation Committee considered peer practices with regard to the number and types of equity award vehicles and the mix of equity award vehicles and, in the case of performance-based awards, market performance metrics, performance periods, and payout opportunities. Based on its assessment, the Compensation Committee has incorporated performance-based awards as part of the Company’s long-term equity incentive program for 2017. In February 2017, the Compensation Committee approved performance share units (“PSUs”) as a form of LTI to be incorporated into the Company’s 2017 awards for all managing directors and above, including the NEOs. We believe this aligns with our pay-for-performance goals and puts appropriate focus on long-term alignment and pay relative both to market peers and shareholder returns.</w:t>
      </w:r>
    </w:p>
    <w:p>
      <w:pPr>
        <w:spacing w:after="0" w:line="21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Beginning in 2017, equity grants to our president and chief executive officer will consist of 50% PSUs and 50% stock options (by grant date value), and equity grants to our other NEOs will consist of 40% PSUs, 30% stock options, and 30% RSUs. We believe that this blended approach provides appropriate incentives for long-term shareholder value creation while also serving as a retention tool for the Company.</w:t>
      </w:r>
    </w:p>
    <w:p>
      <w:pPr>
        <w:spacing w:after="0" w:line="2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PSUs are eligible to become earned PSUs based on the Company’s total shareholder return (“TSR”) relative to the TSR of a predetermined comparator group over a three-year performance period (the “Performance Period”). The number of earned PSUs</w:t>
      </w:r>
    </w:p>
    <w:p>
      <w:pPr>
        <w:sectPr>
          <w:pgSz w:w="11900" w:h="16838" w:orient="portrait"/>
          <w:cols w:equalWidth="0" w:num="2">
            <w:col w:w="5480" w:space="460"/>
            <w:col w:w="5460"/>
          </w:cols>
          <w:pgMar w:left="240" w:top="436" w:right="259" w:bottom="1440" w:gutter="0" w:footer="0" w:header="0"/>
          <w:type w:val="continuous"/>
        </w:sectPr>
      </w:pPr>
    </w:p>
    <w:bookmarkStart w:id="36" w:name="page37"/>
    <w:bookmarkEnd w:id="36"/>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ectPr>
          <w:pgSz w:w="11900" w:h="16838" w:orient="portrait"/>
          <w:cols w:equalWidth="0" w:num="1">
            <w:col w:w="11420"/>
          </w:cols>
          <w:pgMar w:left="240" w:top="4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is based on a relative ranking between the 25th and 80th percentile of the comparator group’s TSR results. Based on our relative performance, the number of earned PSUs can range between 50% (threshold) and 200% (maximum) of the target award as shown below:</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336699"/>
              </w:rPr>
              <w:t>Relative TSR Percentile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336699"/>
              </w:rPr>
              <w:t>Common Shares</w:t>
            </w:r>
          </w:p>
        </w:tc>
      </w:tr>
      <w:tr>
        <w:trPr>
          <w:trHeight w:val="162"/>
        </w:trPr>
        <w:tc>
          <w:tcPr>
            <w:tcW w:w="17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336699"/>
              </w:rPr>
              <w:t>Rank (based on</w:t>
            </w:r>
          </w:p>
        </w:tc>
        <w:tc>
          <w:tcPr>
            <w:tcW w:w="1520" w:type="dxa"/>
            <w:vAlign w:val="bottom"/>
          </w:tcPr>
          <w:p>
            <w:pPr>
              <w:jc w:val="center"/>
              <w:ind w:right="3"/>
              <w:spacing w:after="0"/>
              <w:rPr>
                <w:sz w:val="20"/>
                <w:szCs w:val="20"/>
                <w:color w:val="auto"/>
              </w:rPr>
            </w:pPr>
            <w:r>
              <w:rPr>
                <w:rFonts w:ascii="Arial" w:cs="Arial" w:eastAsia="Arial" w:hAnsi="Arial"/>
                <w:sz w:val="14"/>
                <w:szCs w:val="14"/>
                <w:b w:val="1"/>
                <w:bCs w:val="1"/>
                <w:color w:val="336699"/>
              </w:rPr>
              <w:t>Earned (as a % of</w:t>
            </w:r>
          </w:p>
        </w:tc>
      </w:tr>
      <w:tr>
        <w:trPr>
          <w:trHeight w:val="196"/>
        </w:trPr>
        <w:tc>
          <w:tcPr>
            <w:tcW w:w="1720" w:type="dxa"/>
            <w:vAlign w:val="bottom"/>
            <w:tcBorders>
              <w:bottom w:val="single" w:sz="8" w:color="336699"/>
            </w:tcBorders>
          </w:tcPr>
          <w:p>
            <w:pPr>
              <w:ind w:left="260"/>
              <w:spacing w:after="0"/>
              <w:rPr>
                <w:sz w:val="20"/>
                <w:szCs w:val="20"/>
                <w:color w:val="auto"/>
              </w:rPr>
            </w:pPr>
            <w:r>
              <w:rPr>
                <w:rFonts w:ascii="Arial" w:cs="Arial" w:eastAsia="Arial" w:hAnsi="Arial"/>
                <w:sz w:val="14"/>
                <w:szCs w:val="14"/>
                <w:b w:val="1"/>
                <w:bCs w:val="1"/>
                <w:color w:val="336699"/>
              </w:rPr>
              <w:t>Performance Level</w:t>
            </w:r>
          </w:p>
        </w:tc>
        <w:tc>
          <w:tcPr>
            <w:tcW w:w="1900" w:type="dxa"/>
            <w:vAlign w:val="bottom"/>
            <w:tcBorders>
              <w:bottom w:val="single" w:sz="8" w:color="336699"/>
            </w:tcBorders>
          </w:tcPr>
          <w:p>
            <w:pPr>
              <w:jc w:val="center"/>
              <w:spacing w:after="0"/>
              <w:rPr>
                <w:sz w:val="20"/>
                <w:szCs w:val="20"/>
                <w:color w:val="auto"/>
              </w:rPr>
            </w:pPr>
            <w:r>
              <w:rPr>
                <w:rFonts w:ascii="Arial" w:cs="Arial" w:eastAsia="Arial" w:hAnsi="Arial"/>
                <w:sz w:val="14"/>
                <w:szCs w:val="14"/>
                <w:b w:val="1"/>
                <w:bCs w:val="1"/>
                <w:color w:val="336699"/>
              </w:rPr>
              <w:t>comparator group)</w:t>
            </w:r>
          </w:p>
        </w:tc>
        <w:tc>
          <w:tcPr>
            <w:tcW w:w="1520" w:type="dxa"/>
            <w:vAlign w:val="bottom"/>
            <w:tcBorders>
              <w:bottom w:val="single" w:sz="8" w:color="336699"/>
            </w:tcBorders>
          </w:tcPr>
          <w:p>
            <w:pPr>
              <w:jc w:val="center"/>
              <w:ind w:right="3"/>
              <w:spacing w:after="0"/>
              <w:rPr>
                <w:sz w:val="20"/>
                <w:szCs w:val="20"/>
                <w:color w:val="auto"/>
              </w:rPr>
            </w:pPr>
            <w:r>
              <w:rPr>
                <w:rFonts w:ascii="Arial" w:cs="Arial" w:eastAsia="Arial" w:hAnsi="Arial"/>
                <w:sz w:val="14"/>
                <w:szCs w:val="14"/>
                <w:b w:val="1"/>
                <w:bCs w:val="1"/>
                <w:color w:val="336699"/>
              </w:rPr>
              <w:t>Target)</w:t>
            </w:r>
          </w:p>
        </w:tc>
      </w:tr>
      <w:tr>
        <w:trPr>
          <w:trHeight w:val="270"/>
        </w:trPr>
        <w:tc>
          <w:tcPr>
            <w:tcW w:w="1720" w:type="dxa"/>
            <w:vAlign w:val="bottom"/>
            <w:shd w:val="clear" w:color="auto" w:fill="CCFFFF"/>
          </w:tcPr>
          <w:p>
            <w:pPr>
              <w:ind w:left="40"/>
              <w:spacing w:after="0"/>
              <w:rPr>
                <w:sz w:val="20"/>
                <w:szCs w:val="20"/>
                <w:color w:val="auto"/>
              </w:rPr>
            </w:pPr>
            <w:r>
              <w:rPr>
                <w:rFonts w:ascii="Arial" w:cs="Arial" w:eastAsia="Arial" w:hAnsi="Arial"/>
                <w:sz w:val="16"/>
                <w:szCs w:val="16"/>
                <w:color w:val="auto"/>
              </w:rPr>
              <w:t>Maximum</w:t>
            </w:r>
          </w:p>
        </w:tc>
        <w:tc>
          <w:tcPr>
            <w:tcW w:w="190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4"/>
              </w:rPr>
              <w:t>80</w:t>
            </w:r>
            <w:r>
              <w:rPr>
                <w:rFonts w:ascii="Arial" w:cs="Arial" w:eastAsia="Arial" w:hAnsi="Arial"/>
                <w:sz w:val="21"/>
                <w:szCs w:val="21"/>
                <w:color w:val="auto"/>
                <w:w w:val="94"/>
                <w:vertAlign w:val="superscript"/>
              </w:rPr>
              <w:t>th</w:t>
            </w:r>
          </w:p>
        </w:tc>
        <w:tc>
          <w:tcPr>
            <w:tcW w:w="1520" w:type="dxa"/>
            <w:vAlign w:val="bottom"/>
            <w:shd w:val="clear" w:color="auto" w:fill="CCFFFF"/>
          </w:tcPr>
          <w:p>
            <w:pPr>
              <w:jc w:val="center"/>
              <w:spacing w:after="0"/>
              <w:rPr>
                <w:sz w:val="20"/>
                <w:szCs w:val="20"/>
                <w:color w:val="auto"/>
              </w:rPr>
            </w:pPr>
            <w:r>
              <w:rPr>
                <w:rFonts w:ascii="Arial" w:cs="Arial" w:eastAsia="Arial" w:hAnsi="Arial"/>
                <w:sz w:val="16"/>
                <w:szCs w:val="16"/>
                <w:color w:val="auto"/>
              </w:rPr>
              <w:t>200%</w:t>
            </w:r>
          </w:p>
        </w:tc>
      </w:tr>
      <w:tr>
        <w:trPr>
          <w:trHeight w:val="270"/>
        </w:trPr>
        <w:tc>
          <w:tcPr>
            <w:tcW w:w="1720" w:type="dxa"/>
            <w:vAlign w:val="bottom"/>
          </w:tcPr>
          <w:p>
            <w:pPr>
              <w:ind w:left="40"/>
              <w:spacing w:after="0"/>
              <w:rPr>
                <w:sz w:val="20"/>
                <w:szCs w:val="20"/>
                <w:color w:val="auto"/>
              </w:rPr>
            </w:pPr>
            <w:r>
              <w:rPr>
                <w:rFonts w:ascii="Arial" w:cs="Arial" w:eastAsia="Arial" w:hAnsi="Arial"/>
                <w:sz w:val="16"/>
                <w:szCs w:val="16"/>
                <w:color w:val="auto"/>
              </w:rPr>
              <w:t>Target</w:t>
            </w:r>
          </w:p>
        </w:tc>
        <w:tc>
          <w:tcPr>
            <w:tcW w:w="1900" w:type="dxa"/>
            <w:vAlign w:val="bottom"/>
          </w:tcPr>
          <w:p>
            <w:pPr>
              <w:jc w:val="center"/>
              <w:spacing w:after="0"/>
              <w:rPr>
                <w:sz w:val="20"/>
                <w:szCs w:val="20"/>
                <w:color w:val="auto"/>
              </w:rPr>
            </w:pPr>
            <w:r>
              <w:rPr>
                <w:rFonts w:ascii="Arial" w:cs="Arial" w:eastAsia="Arial" w:hAnsi="Arial"/>
                <w:sz w:val="16"/>
                <w:szCs w:val="16"/>
                <w:color w:val="auto"/>
                <w:w w:val="94"/>
              </w:rPr>
              <w:t>50</w:t>
            </w:r>
            <w:r>
              <w:rPr>
                <w:rFonts w:ascii="Arial" w:cs="Arial" w:eastAsia="Arial" w:hAnsi="Arial"/>
                <w:sz w:val="21"/>
                <w:szCs w:val="21"/>
                <w:color w:val="auto"/>
                <w:w w:val="94"/>
                <w:vertAlign w:val="superscript"/>
              </w:rPr>
              <w:t>th</w:t>
            </w:r>
          </w:p>
        </w:tc>
        <w:tc>
          <w:tcPr>
            <w:tcW w:w="1520" w:type="dxa"/>
            <w:vAlign w:val="bottom"/>
          </w:tcPr>
          <w:p>
            <w:pPr>
              <w:jc w:val="center"/>
              <w:spacing w:after="0"/>
              <w:rPr>
                <w:sz w:val="20"/>
                <w:szCs w:val="20"/>
                <w:color w:val="auto"/>
              </w:rPr>
            </w:pPr>
            <w:r>
              <w:rPr>
                <w:rFonts w:ascii="Arial" w:cs="Arial" w:eastAsia="Arial" w:hAnsi="Arial"/>
                <w:sz w:val="16"/>
                <w:szCs w:val="16"/>
                <w:color w:val="auto"/>
              </w:rPr>
              <w:t>100%</w:t>
            </w:r>
          </w:p>
        </w:tc>
      </w:tr>
      <w:tr>
        <w:trPr>
          <w:trHeight w:val="270"/>
        </w:trPr>
        <w:tc>
          <w:tcPr>
            <w:tcW w:w="1720" w:type="dxa"/>
            <w:vAlign w:val="bottom"/>
            <w:shd w:val="clear" w:color="auto" w:fill="CCFFFF"/>
          </w:tcPr>
          <w:p>
            <w:pPr>
              <w:ind w:left="40"/>
              <w:spacing w:after="0"/>
              <w:rPr>
                <w:sz w:val="20"/>
                <w:szCs w:val="20"/>
                <w:color w:val="auto"/>
              </w:rPr>
            </w:pPr>
            <w:r>
              <w:rPr>
                <w:rFonts w:ascii="Arial" w:cs="Arial" w:eastAsia="Arial" w:hAnsi="Arial"/>
                <w:sz w:val="16"/>
                <w:szCs w:val="16"/>
                <w:color w:val="auto"/>
              </w:rPr>
              <w:t>Threshold</w:t>
            </w:r>
          </w:p>
        </w:tc>
        <w:tc>
          <w:tcPr>
            <w:tcW w:w="190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4"/>
              </w:rPr>
              <w:t>25</w:t>
            </w:r>
            <w:r>
              <w:rPr>
                <w:rFonts w:ascii="Arial" w:cs="Arial" w:eastAsia="Arial" w:hAnsi="Arial"/>
                <w:sz w:val="21"/>
                <w:szCs w:val="21"/>
                <w:color w:val="auto"/>
                <w:w w:val="94"/>
                <w:vertAlign w:val="superscript"/>
              </w:rPr>
              <w:t>th</w:t>
            </w:r>
          </w:p>
        </w:tc>
        <w:tc>
          <w:tcPr>
            <w:tcW w:w="1520" w:type="dxa"/>
            <w:vAlign w:val="bottom"/>
            <w:shd w:val="clear" w:color="auto" w:fill="CCFFFF"/>
          </w:tcPr>
          <w:p>
            <w:pPr>
              <w:jc w:val="center"/>
              <w:ind w:right="3"/>
              <w:spacing w:after="0"/>
              <w:rPr>
                <w:sz w:val="20"/>
                <w:szCs w:val="20"/>
                <w:color w:val="auto"/>
              </w:rPr>
            </w:pPr>
            <w:r>
              <w:rPr>
                <w:rFonts w:ascii="Arial" w:cs="Arial" w:eastAsia="Arial" w:hAnsi="Arial"/>
                <w:sz w:val="16"/>
                <w:szCs w:val="16"/>
                <w:color w:val="auto"/>
                <w:w w:val="99"/>
              </w:rPr>
              <w:t>50%</w:t>
            </w:r>
          </w:p>
        </w:tc>
      </w:tr>
      <w:tr>
        <w:trPr>
          <w:trHeight w:val="270"/>
        </w:trPr>
        <w:tc>
          <w:tcPr>
            <w:tcW w:w="1720" w:type="dxa"/>
            <w:vAlign w:val="bottom"/>
            <w:tcBorders>
              <w:bottom w:val="single" w:sz="8" w:color="336699"/>
            </w:tcBorders>
          </w:tcPr>
          <w:p>
            <w:pPr>
              <w:ind w:left="40"/>
              <w:spacing w:after="0"/>
              <w:rPr>
                <w:sz w:val="20"/>
                <w:szCs w:val="20"/>
                <w:color w:val="auto"/>
              </w:rPr>
            </w:pPr>
            <w:r>
              <w:rPr>
                <w:rFonts w:ascii="Arial" w:cs="Arial" w:eastAsia="Arial" w:hAnsi="Arial"/>
                <w:sz w:val="16"/>
                <w:szCs w:val="16"/>
                <w:color w:val="auto"/>
              </w:rPr>
              <w:t>Below Threshold</w:t>
            </w:r>
          </w:p>
        </w:tc>
        <w:tc>
          <w:tcPr>
            <w:tcW w:w="1900" w:type="dxa"/>
            <w:vAlign w:val="bottom"/>
            <w:tcBorders>
              <w:bottom w:val="single" w:sz="8" w:color="336699"/>
            </w:tcBorders>
          </w:tcPr>
          <w:p>
            <w:pPr>
              <w:jc w:val="center"/>
              <w:spacing w:after="0"/>
              <w:rPr>
                <w:sz w:val="20"/>
                <w:szCs w:val="20"/>
                <w:color w:val="auto"/>
              </w:rPr>
            </w:pPr>
            <w:r>
              <w:rPr>
                <w:rFonts w:ascii="Arial" w:cs="Arial" w:eastAsia="Arial" w:hAnsi="Arial"/>
                <w:sz w:val="16"/>
                <w:szCs w:val="16"/>
                <w:color w:val="auto"/>
                <w:w w:val="98"/>
              </w:rPr>
              <w:t>Below 25</w:t>
            </w:r>
            <w:r>
              <w:rPr>
                <w:rFonts w:ascii="Arial" w:cs="Arial" w:eastAsia="Arial" w:hAnsi="Arial"/>
                <w:sz w:val="21"/>
                <w:szCs w:val="21"/>
                <w:color w:val="auto"/>
                <w:w w:val="98"/>
                <w:vertAlign w:val="superscript"/>
              </w:rPr>
              <w:t>th</w:t>
            </w:r>
          </w:p>
        </w:tc>
        <w:tc>
          <w:tcPr>
            <w:tcW w:w="1520" w:type="dxa"/>
            <w:vAlign w:val="bottom"/>
            <w:tcBorders>
              <w:bottom w:val="single" w:sz="8" w:color="336699"/>
            </w:tcBorders>
          </w:tcPr>
          <w:p>
            <w:pPr>
              <w:jc w:val="center"/>
              <w:ind w:right="3"/>
              <w:spacing w:after="0"/>
              <w:rPr>
                <w:sz w:val="20"/>
                <w:szCs w:val="20"/>
                <w:color w:val="auto"/>
              </w:rPr>
            </w:pPr>
            <w:r>
              <w:rPr>
                <w:rFonts w:ascii="Arial" w:cs="Arial" w:eastAsia="Arial" w:hAnsi="Arial"/>
                <w:sz w:val="16"/>
                <w:szCs w:val="16"/>
                <w:color w:val="auto"/>
              </w:rPr>
              <w:t>0%</w:t>
            </w:r>
          </w:p>
        </w:tc>
      </w:tr>
    </w:tbl>
    <w:p>
      <w:pPr>
        <w:spacing w:after="0" w:line="10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number of earned PSUs is capped at 100% of the target award if the Company’s TSR is negative during the Performance Period. The beginning and ending share price for TSR calculations will be based on the average historical 30-day closing price per share prior to (and including) the beginning and end of the Performance Period. Earned PSUs become vested on the later of the third anniversary of the grant date and the date on which the Compensation Committee certifies achievement of the performance criteria associated with the award and determines the number of PSUs that have become earned under the award agreement.</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stock option and RSU grants vest over time, generally in equal annual installments over three years. Unvested stock options, RSUs, and PSUs generally are forfeited if an NEO voluntarily leaves the Company other than upon retirement. In the event of retirement, the vesting of an NEO’s stock options and RSUs will generally accelerate in full, stock options will generally remain exercisable for a period of two years following termination, and PSUs will generally remain outstanding and eligible to become earned PSUs in accordance with the terms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award. For awards granted since the beginning of 2014, “retirement” means the termination of employment other than for cause following either:</w:t>
      </w:r>
    </w:p>
    <w:p>
      <w:pPr>
        <w:spacing w:after="0" w:line="202" w:lineRule="exact"/>
        <w:rPr>
          <w:sz w:val="20"/>
          <w:szCs w:val="20"/>
          <w:color w:val="auto"/>
        </w:rPr>
      </w:pPr>
    </w:p>
    <w:p>
      <w:pPr>
        <w:ind w:left="320" w:right="100" w:hanging="318"/>
        <w:spacing w:after="0" w:line="262" w:lineRule="auto"/>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attainment of age 65 and completion of five years of continuous service with the Company; or</w:t>
      </w:r>
    </w:p>
    <w:p>
      <w:pPr>
        <w:spacing w:after="0" w:line="196" w:lineRule="exact"/>
        <w:rPr>
          <w:rFonts w:ascii="Arial" w:cs="Arial" w:eastAsia="Arial" w:hAnsi="Arial"/>
          <w:sz w:val="18"/>
          <w:szCs w:val="18"/>
          <w:color w:val="auto"/>
        </w:rPr>
      </w:pPr>
    </w:p>
    <w:p>
      <w:pPr>
        <w:ind w:left="320" w:right="140" w:hanging="318"/>
        <w:spacing w:after="0" w:line="262" w:lineRule="auto"/>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attainment of age 55 and completion of ten years of continuous service with the Company.</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awards granted prior to 2014, “retirement” means the termination of employment other than for cause following attainment of the age of 65 and completion of five years of continuous service with the Company. Mr. Casady is the only NEO who has satisfied the age and service requirements that apply to awards granted since the beginning of 2014.</w:t>
      </w:r>
    </w:p>
    <w:p>
      <w:pPr>
        <w:spacing w:after="0" w:line="20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granting equity awards beginning in February 2016 (based on 2015 performance), the Compensation Committee calculated the number of shares underlying an award using a price per share equal to the average historical 30-day closing price per share of our Common Stock inclusive of the grant date. In making this decision, the Compensation Committee was mindful of our stock price volatility, our “burn rate” in granting awards and the potential dilutive effect to stockholders of our equity awards. Beginning in 2017, this approach was also used for PSU awards.</w:t>
      </w:r>
    </w:p>
    <w:p>
      <w:pPr>
        <w:spacing w:after="0" w:line="10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Compensation Committee also updated the fixed valuation ratio used in granting stock options. In granting awards in February 2016, the Committee used a 3.5:1 ratio of stock options for each share of Common Stock, compared to the 3:1 ratio used in granting equity awards in March 2015 (for 2014 performance). In making this change, the Compensation Committee primarily sought to move option values incrementally closer to the estimated fair value of our stock options calculated using the Black-Scholes model.</w:t>
      </w:r>
    </w:p>
    <w:p>
      <w:pPr>
        <w:spacing w:after="0" w:line="200" w:lineRule="exact"/>
        <w:rPr>
          <w:sz w:val="20"/>
          <w:szCs w:val="20"/>
          <w:color w:val="auto"/>
        </w:rPr>
      </w:pPr>
    </w:p>
    <w:p>
      <w:pPr>
        <w:sectPr>
          <w:pgSz w:w="11900" w:h="16838" w:orient="portrait"/>
          <w:cols w:equalWidth="0" w:num="2">
            <w:col w:w="5480" w:space="460"/>
            <w:col w:w="5480"/>
          </w:cols>
          <w:pgMar w:left="240" w:top="436" w:right="239" w:bottom="1440" w:gutter="0" w:footer="0" w:header="0"/>
          <w:type w:val="continuous"/>
        </w:sectPr>
      </w:pPr>
    </w:p>
    <w:p>
      <w:pPr>
        <w:spacing w:after="0" w:line="6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table below reflects the target LTI award established for each of our NEOs for 2016, as well as the actual LTI award granted to our NEOs for 2016 performance, as determined by the Compensation Committee: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3280" w:type="dxa"/>
            <w:vAlign w:val="bottom"/>
            <w:gridSpan w:val="2"/>
          </w:tcPr>
          <w:p>
            <w:pPr>
              <w:ind w:left="1660"/>
              <w:spacing w:after="0"/>
              <w:rPr>
                <w:sz w:val="20"/>
                <w:szCs w:val="20"/>
                <w:color w:val="auto"/>
              </w:rPr>
            </w:pPr>
            <w:r>
              <w:rPr>
                <w:rFonts w:ascii="Arial" w:cs="Arial" w:eastAsia="Arial" w:hAnsi="Arial"/>
                <w:sz w:val="16"/>
                <w:szCs w:val="16"/>
                <w:b w:val="1"/>
                <w:bCs w:val="1"/>
                <w:color w:val="336699"/>
              </w:rPr>
              <w:t>2016 Annual Base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336699"/>
                <w:w w:val="98"/>
              </w:rPr>
              <w:t>LTI Target % of</w:t>
            </w: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jc w:val="right"/>
              <w:ind w:right="459"/>
              <w:spacing w:after="0"/>
              <w:rPr>
                <w:sz w:val="20"/>
                <w:szCs w:val="20"/>
                <w:color w:val="auto"/>
              </w:rPr>
            </w:pPr>
            <w:r>
              <w:rPr>
                <w:rFonts w:ascii="Arial" w:cs="Arial" w:eastAsia="Arial" w:hAnsi="Arial"/>
                <w:sz w:val="16"/>
                <w:szCs w:val="16"/>
                <w:b w:val="1"/>
                <w:bCs w:val="1"/>
                <w:color w:val="336699"/>
              </w:rPr>
              <w:t>LTI $</w:t>
            </w:r>
          </w:p>
        </w:tc>
        <w:tc>
          <w:tcPr>
            <w:tcW w:w="0" w:type="dxa"/>
            <w:vAlign w:val="bottom"/>
          </w:tcPr>
          <w:p>
            <w:pPr>
              <w:spacing w:after="0"/>
              <w:rPr>
                <w:sz w:val="1"/>
                <w:szCs w:val="1"/>
                <w:color w:val="auto"/>
              </w:rPr>
            </w:pPr>
          </w:p>
        </w:tc>
      </w:tr>
      <w:tr>
        <w:trPr>
          <w:trHeight w:val="234"/>
        </w:trPr>
        <w:tc>
          <w:tcPr>
            <w:tcW w:w="3080" w:type="dxa"/>
            <w:vAlign w:val="bottom"/>
            <w:tcBorders>
              <w:bottom w:val="single" w:sz="8" w:color="336699"/>
            </w:tcBorders>
          </w:tcPr>
          <w:p>
            <w:pPr>
              <w:ind w:left="40"/>
              <w:spacing w:after="0"/>
              <w:rPr>
                <w:sz w:val="20"/>
                <w:szCs w:val="20"/>
                <w:color w:val="auto"/>
              </w:rPr>
            </w:pPr>
            <w:r>
              <w:rPr>
                <w:rFonts w:ascii="Arial" w:cs="Arial" w:eastAsia="Arial" w:hAnsi="Arial"/>
                <w:sz w:val="16"/>
                <w:szCs w:val="16"/>
                <w:b w:val="1"/>
                <w:bCs w:val="1"/>
                <w:color w:val="336699"/>
              </w:rPr>
              <w:t>Executive</w:t>
            </w:r>
          </w:p>
        </w:tc>
        <w:tc>
          <w:tcPr>
            <w:tcW w:w="1920" w:type="dxa"/>
            <w:vAlign w:val="bottom"/>
            <w:tcBorders>
              <w:bottom w:val="single" w:sz="8" w:color="336699"/>
            </w:tcBorders>
          </w:tcPr>
          <w:p>
            <w:pPr>
              <w:spacing w:after="0"/>
              <w:rPr>
                <w:sz w:val="20"/>
                <w:szCs w:val="20"/>
                <w:color w:val="auto"/>
              </w:rPr>
            </w:pPr>
          </w:p>
        </w:tc>
        <w:tc>
          <w:tcPr>
            <w:tcW w:w="1360" w:type="dxa"/>
            <w:vAlign w:val="bottom"/>
            <w:tcBorders>
              <w:bottom w:val="single" w:sz="8" w:color="336699"/>
            </w:tcBorders>
          </w:tcPr>
          <w:p>
            <w:pPr>
              <w:jc w:val="right"/>
              <w:ind w:right="619"/>
              <w:spacing w:after="0"/>
              <w:rPr>
                <w:sz w:val="20"/>
                <w:szCs w:val="20"/>
                <w:color w:val="auto"/>
              </w:rPr>
            </w:pPr>
            <w:r>
              <w:rPr>
                <w:rFonts w:ascii="Arial" w:cs="Arial" w:eastAsia="Arial" w:hAnsi="Arial"/>
                <w:sz w:val="16"/>
                <w:szCs w:val="16"/>
                <w:b w:val="1"/>
                <w:bCs w:val="1"/>
                <w:color w:val="336699"/>
              </w:rPr>
              <w:t>Salary</w:t>
            </w:r>
          </w:p>
        </w:tc>
        <w:tc>
          <w:tcPr>
            <w:tcW w:w="1560" w:type="dxa"/>
            <w:vAlign w:val="bottom"/>
            <w:tcBorders>
              <w:bottom w:val="single" w:sz="8" w:color="336699"/>
            </w:tcBorders>
          </w:tcPr>
          <w:p>
            <w:pPr>
              <w:jc w:val="center"/>
              <w:spacing w:after="0"/>
              <w:rPr>
                <w:sz w:val="20"/>
                <w:szCs w:val="20"/>
                <w:color w:val="auto"/>
              </w:rPr>
            </w:pPr>
            <w:r>
              <w:rPr>
                <w:rFonts w:ascii="Arial" w:cs="Arial" w:eastAsia="Arial" w:hAnsi="Arial"/>
                <w:sz w:val="16"/>
                <w:szCs w:val="16"/>
                <w:b w:val="1"/>
                <w:bCs w:val="1"/>
                <w:color w:val="336699"/>
              </w:rPr>
              <w:t>Base Salary</w:t>
            </w:r>
          </w:p>
        </w:tc>
        <w:tc>
          <w:tcPr>
            <w:tcW w:w="420" w:type="dxa"/>
            <w:vAlign w:val="bottom"/>
            <w:tcBorders>
              <w:bottom w:val="single" w:sz="8" w:color="336699"/>
            </w:tcBorders>
          </w:tcPr>
          <w:p>
            <w:pPr>
              <w:spacing w:after="0"/>
              <w:rPr>
                <w:sz w:val="20"/>
                <w:szCs w:val="20"/>
                <w:color w:val="auto"/>
              </w:rPr>
            </w:pPr>
          </w:p>
        </w:tc>
        <w:tc>
          <w:tcPr>
            <w:tcW w:w="1440" w:type="dxa"/>
            <w:vAlign w:val="bottom"/>
            <w:tcBorders>
              <w:bottom w:val="single" w:sz="8" w:color="336699"/>
            </w:tcBorders>
          </w:tcPr>
          <w:p>
            <w:pPr>
              <w:jc w:val="right"/>
              <w:ind w:right="379"/>
              <w:spacing w:after="0"/>
              <w:rPr>
                <w:sz w:val="20"/>
                <w:szCs w:val="20"/>
                <w:color w:val="auto"/>
              </w:rPr>
            </w:pPr>
            <w:r>
              <w:rPr>
                <w:rFonts w:ascii="Arial" w:cs="Arial" w:eastAsia="Arial" w:hAnsi="Arial"/>
                <w:sz w:val="16"/>
                <w:szCs w:val="16"/>
                <w:b w:val="1"/>
                <w:bCs w:val="1"/>
                <w:color w:val="336699"/>
              </w:rPr>
              <w:t>LTI Target $</w:t>
            </w:r>
          </w:p>
        </w:tc>
        <w:tc>
          <w:tcPr>
            <w:tcW w:w="420" w:type="dxa"/>
            <w:vAlign w:val="bottom"/>
            <w:tcBorders>
              <w:bottom w:val="single" w:sz="8" w:color="336699"/>
            </w:tcBorders>
          </w:tcPr>
          <w:p>
            <w:pPr>
              <w:spacing w:after="0"/>
              <w:rPr>
                <w:sz w:val="20"/>
                <w:szCs w:val="20"/>
                <w:color w:val="auto"/>
              </w:rPr>
            </w:pPr>
          </w:p>
        </w:tc>
        <w:tc>
          <w:tcPr>
            <w:tcW w:w="1220" w:type="dxa"/>
            <w:vAlign w:val="bottom"/>
            <w:tcBorders>
              <w:bottom w:val="single" w:sz="8" w:color="336699"/>
            </w:tcBorders>
          </w:tcPr>
          <w:p>
            <w:pPr>
              <w:jc w:val="right"/>
              <w:ind w:right="279"/>
              <w:spacing w:after="0" w:line="234" w:lineRule="exact"/>
              <w:rPr>
                <w:sz w:val="20"/>
                <w:szCs w:val="20"/>
                <w:color w:val="auto"/>
              </w:rPr>
            </w:pPr>
            <w:r>
              <w:rPr>
                <w:rFonts w:ascii="Arial" w:cs="Arial" w:eastAsia="Arial" w:hAnsi="Arial"/>
                <w:sz w:val="16"/>
                <w:szCs w:val="16"/>
                <w:b w:val="1"/>
                <w:bCs w:val="1"/>
                <w:color w:val="336699"/>
              </w:rPr>
              <w:t>Granted</w:t>
            </w:r>
            <w:r>
              <w:rPr>
                <w:rFonts w:ascii="Arial" w:cs="Arial" w:eastAsia="Arial" w:hAnsi="Arial"/>
                <w:sz w:val="21"/>
                <w:szCs w:val="21"/>
                <w:b w:val="1"/>
                <w:bCs w:val="1"/>
                <w:color w:val="336699"/>
                <w:vertAlign w:val="superscript"/>
              </w:rPr>
              <w:t>(1)</w:t>
            </w:r>
          </w:p>
        </w:tc>
        <w:tc>
          <w:tcPr>
            <w:tcW w:w="0" w:type="dxa"/>
            <w:vAlign w:val="bottom"/>
          </w:tcPr>
          <w:p>
            <w:pPr>
              <w:spacing w:after="0"/>
              <w:rPr>
                <w:sz w:val="1"/>
                <w:szCs w:val="1"/>
                <w:color w:val="auto"/>
              </w:rPr>
            </w:pPr>
          </w:p>
        </w:tc>
      </w:tr>
      <w:tr>
        <w:trPr>
          <w:trHeight w:val="277"/>
        </w:trPr>
        <w:tc>
          <w:tcPr>
            <w:tcW w:w="3080" w:type="dxa"/>
            <w:vAlign w:val="bottom"/>
            <w:shd w:val="clear" w:color="auto" w:fill="CCFFFF"/>
          </w:tcPr>
          <w:p>
            <w:pPr>
              <w:ind w:left="40"/>
              <w:spacing w:after="0"/>
              <w:rPr>
                <w:sz w:val="20"/>
                <w:szCs w:val="20"/>
                <w:color w:val="auto"/>
              </w:rPr>
            </w:pPr>
            <w:r>
              <w:rPr>
                <w:rFonts w:ascii="Arial" w:cs="Arial" w:eastAsia="Arial" w:hAnsi="Arial"/>
                <w:sz w:val="16"/>
                <w:szCs w:val="16"/>
                <w:color w:val="auto"/>
              </w:rPr>
              <w:t>Mark S. Casady</w:t>
            </w:r>
            <w:r>
              <w:rPr>
                <w:rFonts w:ascii="Arial" w:cs="Arial" w:eastAsia="Arial" w:hAnsi="Arial"/>
                <w:sz w:val="21"/>
                <w:szCs w:val="21"/>
                <w:color w:val="auto"/>
                <w:vertAlign w:val="superscript"/>
              </w:rPr>
              <w:t>(2)</w:t>
            </w:r>
          </w:p>
        </w:tc>
        <w:tc>
          <w:tcPr>
            <w:tcW w:w="1920" w:type="dxa"/>
            <w:vAlign w:val="bottom"/>
            <w:vMerge w:val="restart"/>
            <w:shd w:val="clear" w:color="auto" w:fill="CCFFFF"/>
          </w:tcPr>
          <w:p>
            <w:pPr>
              <w:ind w:left="1660"/>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CFFFF"/>
          </w:tcPr>
          <w:p>
            <w:pPr>
              <w:jc w:val="right"/>
              <w:ind w:right="99"/>
              <w:spacing w:after="0"/>
              <w:rPr>
                <w:sz w:val="20"/>
                <w:szCs w:val="20"/>
                <w:color w:val="auto"/>
              </w:rPr>
            </w:pPr>
            <w:r>
              <w:rPr>
                <w:rFonts w:ascii="Arial" w:cs="Arial" w:eastAsia="Arial" w:hAnsi="Arial"/>
                <w:sz w:val="16"/>
                <w:szCs w:val="16"/>
                <w:color w:val="auto"/>
              </w:rPr>
              <w:t>900,000</w:t>
            </w:r>
          </w:p>
        </w:tc>
        <w:tc>
          <w:tcPr>
            <w:tcW w:w="1560" w:type="dxa"/>
            <w:vAlign w:val="bottom"/>
            <w:vMerge w:val="restart"/>
            <w:shd w:val="clear" w:color="auto" w:fill="CCFFFF"/>
          </w:tcPr>
          <w:p>
            <w:pPr>
              <w:jc w:val="center"/>
              <w:spacing w:after="0"/>
              <w:rPr>
                <w:sz w:val="20"/>
                <w:szCs w:val="20"/>
                <w:color w:val="auto"/>
              </w:rPr>
            </w:pPr>
            <w:r>
              <w:rPr>
                <w:rFonts w:ascii="Arial" w:cs="Arial" w:eastAsia="Arial" w:hAnsi="Arial"/>
                <w:sz w:val="16"/>
                <w:szCs w:val="16"/>
                <w:color w:val="auto"/>
              </w:rPr>
              <w:t>350%</w:t>
            </w:r>
          </w:p>
        </w:tc>
        <w:tc>
          <w:tcPr>
            <w:tcW w:w="420" w:type="dxa"/>
            <w:vAlign w:val="bottom"/>
            <w:vMerge w:val="restart"/>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vMerge w:val="restart"/>
            <w:shd w:val="clear" w:color="auto" w:fill="CCFFFF"/>
          </w:tcPr>
          <w:p>
            <w:pPr>
              <w:jc w:val="right"/>
              <w:ind w:right="119"/>
              <w:spacing w:after="0"/>
              <w:rPr>
                <w:sz w:val="20"/>
                <w:szCs w:val="20"/>
                <w:color w:val="auto"/>
              </w:rPr>
            </w:pPr>
            <w:r>
              <w:rPr>
                <w:rFonts w:ascii="Arial" w:cs="Arial" w:eastAsia="Arial" w:hAnsi="Arial"/>
                <w:sz w:val="16"/>
                <w:szCs w:val="16"/>
                <w:color w:val="auto"/>
              </w:rPr>
              <w:t>3,150,000</w:t>
            </w:r>
          </w:p>
        </w:tc>
        <w:tc>
          <w:tcPr>
            <w:tcW w:w="420" w:type="dxa"/>
            <w:vAlign w:val="bottom"/>
            <w:vMerge w:val="restart"/>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3080" w:type="dxa"/>
            <w:vAlign w:val="bottom"/>
            <w:shd w:val="clear" w:color="auto" w:fill="CCFFFF"/>
          </w:tcPr>
          <w:p>
            <w:pPr>
              <w:spacing w:after="0"/>
              <w:rPr>
                <w:sz w:val="5"/>
                <w:szCs w:val="5"/>
                <w:color w:val="auto"/>
              </w:rPr>
            </w:pPr>
          </w:p>
        </w:tc>
        <w:tc>
          <w:tcPr>
            <w:tcW w:w="1920" w:type="dxa"/>
            <w:vAlign w:val="bottom"/>
            <w:vMerge w:val="continue"/>
            <w:shd w:val="clear" w:color="auto" w:fill="CCFFFF"/>
          </w:tcPr>
          <w:p>
            <w:pPr>
              <w:spacing w:after="0"/>
              <w:rPr>
                <w:sz w:val="5"/>
                <w:szCs w:val="5"/>
                <w:color w:val="auto"/>
              </w:rPr>
            </w:pPr>
          </w:p>
        </w:tc>
        <w:tc>
          <w:tcPr>
            <w:tcW w:w="1360" w:type="dxa"/>
            <w:vAlign w:val="bottom"/>
            <w:vMerge w:val="continue"/>
            <w:shd w:val="clear" w:color="auto" w:fill="CCFFFF"/>
          </w:tcPr>
          <w:p>
            <w:pPr>
              <w:spacing w:after="0"/>
              <w:rPr>
                <w:sz w:val="5"/>
                <w:szCs w:val="5"/>
                <w:color w:val="auto"/>
              </w:rPr>
            </w:pPr>
          </w:p>
        </w:tc>
        <w:tc>
          <w:tcPr>
            <w:tcW w:w="1560" w:type="dxa"/>
            <w:vAlign w:val="bottom"/>
            <w:vMerge w:val="continue"/>
            <w:shd w:val="clear" w:color="auto" w:fill="CCFFFF"/>
          </w:tcPr>
          <w:p>
            <w:pPr>
              <w:spacing w:after="0"/>
              <w:rPr>
                <w:sz w:val="5"/>
                <w:szCs w:val="5"/>
                <w:color w:val="auto"/>
              </w:rPr>
            </w:pPr>
          </w:p>
        </w:tc>
        <w:tc>
          <w:tcPr>
            <w:tcW w:w="420" w:type="dxa"/>
            <w:vAlign w:val="bottom"/>
            <w:vMerge w:val="continue"/>
            <w:shd w:val="clear" w:color="auto" w:fill="CCFFFF"/>
          </w:tcPr>
          <w:p>
            <w:pPr>
              <w:spacing w:after="0"/>
              <w:rPr>
                <w:sz w:val="5"/>
                <w:szCs w:val="5"/>
                <w:color w:val="auto"/>
              </w:rPr>
            </w:pPr>
          </w:p>
        </w:tc>
        <w:tc>
          <w:tcPr>
            <w:tcW w:w="1440" w:type="dxa"/>
            <w:vAlign w:val="bottom"/>
            <w:vMerge w:val="continue"/>
            <w:shd w:val="clear" w:color="auto" w:fill="CCFFFF"/>
          </w:tcPr>
          <w:p>
            <w:pPr>
              <w:spacing w:after="0"/>
              <w:rPr>
                <w:sz w:val="5"/>
                <w:szCs w:val="5"/>
                <w:color w:val="auto"/>
              </w:rPr>
            </w:pPr>
          </w:p>
        </w:tc>
        <w:tc>
          <w:tcPr>
            <w:tcW w:w="420" w:type="dxa"/>
            <w:vAlign w:val="bottom"/>
            <w:vMerge w:val="continue"/>
            <w:shd w:val="clear" w:color="auto" w:fill="CCFFFF"/>
          </w:tcPr>
          <w:p>
            <w:pPr>
              <w:spacing w:after="0"/>
              <w:rPr>
                <w:sz w:val="5"/>
                <w:szCs w:val="5"/>
                <w:color w:val="auto"/>
              </w:rPr>
            </w:pPr>
          </w:p>
        </w:tc>
        <w:tc>
          <w:tcPr>
            <w:tcW w:w="1220" w:type="dxa"/>
            <w:vAlign w:val="bottom"/>
            <w:vMerge w:val="continue"/>
            <w:shd w:val="clear" w:color="auto" w:fill="CCFFFF"/>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080" w:type="dxa"/>
            <w:vAlign w:val="bottom"/>
          </w:tcPr>
          <w:p>
            <w:pPr>
              <w:ind w:left="40"/>
              <w:spacing w:after="0"/>
              <w:rPr>
                <w:sz w:val="20"/>
                <w:szCs w:val="20"/>
                <w:color w:val="auto"/>
              </w:rPr>
            </w:pPr>
            <w:r>
              <w:rPr>
                <w:rFonts w:ascii="Arial" w:cs="Arial" w:eastAsia="Arial" w:hAnsi="Arial"/>
                <w:sz w:val="16"/>
                <w:szCs w:val="16"/>
                <w:color w:val="auto"/>
              </w:rPr>
              <w:t>Matthew J. Audette</w:t>
            </w:r>
          </w:p>
        </w:tc>
        <w:tc>
          <w:tcPr>
            <w:tcW w:w="1920" w:type="dxa"/>
            <w:vAlign w:val="bottom"/>
            <w:vMerge w:val="restart"/>
          </w:tcPr>
          <w:p>
            <w:pPr>
              <w:ind w:left="1660"/>
              <w:spacing w:after="0"/>
              <w:rPr>
                <w:sz w:val="20"/>
                <w:szCs w:val="20"/>
                <w:color w:val="auto"/>
              </w:rPr>
            </w:pPr>
            <w:r>
              <w:rPr>
                <w:rFonts w:ascii="Arial" w:cs="Arial" w:eastAsia="Arial" w:hAnsi="Arial"/>
                <w:sz w:val="16"/>
                <w:szCs w:val="16"/>
                <w:color w:val="auto"/>
              </w:rPr>
              <w:t>$</w:t>
            </w:r>
          </w:p>
        </w:tc>
        <w:tc>
          <w:tcPr>
            <w:tcW w:w="1360" w:type="dxa"/>
            <w:vAlign w:val="bottom"/>
            <w:vMerge w:val="restart"/>
          </w:tcPr>
          <w:p>
            <w:pPr>
              <w:jc w:val="right"/>
              <w:ind w:right="99"/>
              <w:spacing w:after="0"/>
              <w:rPr>
                <w:sz w:val="20"/>
                <w:szCs w:val="20"/>
                <w:color w:val="auto"/>
              </w:rPr>
            </w:pPr>
            <w:r>
              <w:rPr>
                <w:rFonts w:ascii="Arial" w:cs="Arial" w:eastAsia="Arial" w:hAnsi="Arial"/>
                <w:sz w:val="16"/>
                <w:szCs w:val="16"/>
                <w:color w:val="auto"/>
              </w:rPr>
              <w:t>600,000</w:t>
            </w:r>
          </w:p>
        </w:tc>
        <w:tc>
          <w:tcPr>
            <w:tcW w:w="1560" w:type="dxa"/>
            <w:vAlign w:val="bottom"/>
            <w:vMerge w:val="restart"/>
          </w:tcPr>
          <w:p>
            <w:pPr>
              <w:jc w:val="center"/>
              <w:spacing w:after="0"/>
              <w:rPr>
                <w:sz w:val="20"/>
                <w:szCs w:val="20"/>
                <w:color w:val="auto"/>
              </w:rPr>
            </w:pPr>
            <w:r>
              <w:rPr>
                <w:rFonts w:ascii="Arial" w:cs="Arial" w:eastAsia="Arial" w:hAnsi="Arial"/>
                <w:sz w:val="16"/>
                <w:szCs w:val="16"/>
                <w:color w:val="auto"/>
              </w:rPr>
              <w:t>175%</w:t>
            </w:r>
          </w:p>
        </w:tc>
        <w:tc>
          <w:tcPr>
            <w:tcW w:w="4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color w:val="auto"/>
              </w:rPr>
              <w:t>1,050,000</w:t>
            </w:r>
          </w:p>
        </w:tc>
        <w:tc>
          <w:tcPr>
            <w:tcW w:w="4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color w:val="auto"/>
              </w:rPr>
              <w:t>1,050,000</w:t>
            </w:r>
          </w:p>
        </w:tc>
        <w:tc>
          <w:tcPr>
            <w:tcW w:w="0" w:type="dxa"/>
            <w:vAlign w:val="bottom"/>
          </w:tcPr>
          <w:p>
            <w:pPr>
              <w:spacing w:after="0"/>
              <w:rPr>
                <w:sz w:val="1"/>
                <w:szCs w:val="1"/>
                <w:color w:val="auto"/>
              </w:rPr>
            </w:pPr>
          </w:p>
        </w:tc>
      </w:tr>
      <w:tr>
        <w:trPr>
          <w:trHeight w:val="64"/>
        </w:trPr>
        <w:tc>
          <w:tcPr>
            <w:tcW w:w="308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3"/>
        </w:trPr>
        <w:tc>
          <w:tcPr>
            <w:tcW w:w="3080" w:type="dxa"/>
            <w:vAlign w:val="bottom"/>
            <w:shd w:val="clear" w:color="auto" w:fill="CCFFFF"/>
          </w:tcPr>
          <w:p>
            <w:pPr>
              <w:ind w:left="40"/>
              <w:spacing w:after="0"/>
              <w:rPr>
                <w:sz w:val="20"/>
                <w:szCs w:val="20"/>
                <w:color w:val="auto"/>
              </w:rPr>
            </w:pPr>
            <w:r>
              <w:rPr>
                <w:rFonts w:ascii="Arial" w:cs="Arial" w:eastAsia="Arial" w:hAnsi="Arial"/>
                <w:sz w:val="16"/>
                <w:szCs w:val="16"/>
                <w:color w:val="auto"/>
              </w:rPr>
              <w:t>Dan H. Arnold</w:t>
            </w:r>
            <w:r>
              <w:rPr>
                <w:rFonts w:ascii="Arial" w:cs="Arial" w:eastAsia="Arial" w:hAnsi="Arial"/>
                <w:sz w:val="21"/>
                <w:szCs w:val="21"/>
                <w:color w:val="auto"/>
                <w:vertAlign w:val="superscript"/>
              </w:rPr>
              <w:t>(3)</w:t>
            </w:r>
          </w:p>
        </w:tc>
        <w:tc>
          <w:tcPr>
            <w:tcW w:w="1920" w:type="dxa"/>
            <w:vAlign w:val="bottom"/>
            <w:vMerge w:val="restart"/>
            <w:shd w:val="clear" w:color="auto" w:fill="CCFFFF"/>
          </w:tcPr>
          <w:p>
            <w:pPr>
              <w:ind w:left="1660"/>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CFFFF"/>
          </w:tcPr>
          <w:p>
            <w:pPr>
              <w:jc w:val="right"/>
              <w:ind w:right="99"/>
              <w:spacing w:after="0"/>
              <w:rPr>
                <w:sz w:val="20"/>
                <w:szCs w:val="20"/>
                <w:color w:val="auto"/>
              </w:rPr>
            </w:pPr>
            <w:r>
              <w:rPr>
                <w:rFonts w:ascii="Arial" w:cs="Arial" w:eastAsia="Arial" w:hAnsi="Arial"/>
                <w:sz w:val="16"/>
                <w:szCs w:val="16"/>
                <w:color w:val="auto"/>
              </w:rPr>
              <w:t>800,000</w:t>
            </w:r>
          </w:p>
        </w:tc>
        <w:tc>
          <w:tcPr>
            <w:tcW w:w="1560" w:type="dxa"/>
            <w:vAlign w:val="bottom"/>
            <w:vMerge w:val="restart"/>
            <w:shd w:val="clear" w:color="auto" w:fill="CCFFFF"/>
          </w:tcPr>
          <w:p>
            <w:pPr>
              <w:jc w:val="center"/>
              <w:spacing w:after="0"/>
              <w:rPr>
                <w:sz w:val="20"/>
                <w:szCs w:val="20"/>
                <w:color w:val="auto"/>
              </w:rPr>
            </w:pPr>
            <w:r>
              <w:rPr>
                <w:rFonts w:ascii="Arial" w:cs="Arial" w:eastAsia="Arial" w:hAnsi="Arial"/>
                <w:sz w:val="16"/>
                <w:szCs w:val="16"/>
                <w:color w:val="auto"/>
              </w:rPr>
              <w:t>350%</w:t>
            </w:r>
          </w:p>
        </w:tc>
        <w:tc>
          <w:tcPr>
            <w:tcW w:w="420" w:type="dxa"/>
            <w:vAlign w:val="bottom"/>
            <w:vMerge w:val="restart"/>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vMerge w:val="restart"/>
            <w:shd w:val="clear" w:color="auto" w:fill="CCFFFF"/>
          </w:tcPr>
          <w:p>
            <w:pPr>
              <w:jc w:val="right"/>
              <w:ind w:right="119"/>
              <w:spacing w:after="0"/>
              <w:rPr>
                <w:sz w:val="20"/>
                <w:szCs w:val="20"/>
                <w:color w:val="auto"/>
              </w:rPr>
            </w:pPr>
            <w:r>
              <w:rPr>
                <w:rFonts w:ascii="Arial" w:cs="Arial" w:eastAsia="Arial" w:hAnsi="Arial"/>
                <w:sz w:val="16"/>
                <w:szCs w:val="16"/>
                <w:color w:val="auto"/>
              </w:rPr>
              <w:t>2,800,000</w:t>
            </w:r>
          </w:p>
        </w:tc>
        <w:tc>
          <w:tcPr>
            <w:tcW w:w="420" w:type="dxa"/>
            <w:vAlign w:val="bottom"/>
            <w:vMerge w:val="restart"/>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FFFF"/>
          </w:tcPr>
          <w:p>
            <w:pPr>
              <w:jc w:val="right"/>
              <w:ind w:right="19"/>
              <w:spacing w:after="0"/>
              <w:rPr>
                <w:sz w:val="20"/>
                <w:szCs w:val="20"/>
                <w:color w:val="auto"/>
              </w:rPr>
            </w:pPr>
            <w:r>
              <w:rPr>
                <w:rFonts w:ascii="Arial" w:cs="Arial" w:eastAsia="Arial" w:hAnsi="Arial"/>
                <w:sz w:val="16"/>
                <w:szCs w:val="16"/>
                <w:color w:val="auto"/>
              </w:rPr>
              <w:t>2,800,000</w:t>
            </w:r>
          </w:p>
        </w:tc>
        <w:tc>
          <w:tcPr>
            <w:tcW w:w="0" w:type="dxa"/>
            <w:vAlign w:val="bottom"/>
          </w:tcPr>
          <w:p>
            <w:pPr>
              <w:spacing w:after="0"/>
              <w:rPr>
                <w:sz w:val="1"/>
                <w:szCs w:val="1"/>
                <w:color w:val="auto"/>
              </w:rPr>
            </w:pPr>
          </w:p>
        </w:tc>
      </w:tr>
      <w:tr>
        <w:trPr>
          <w:trHeight w:val="68"/>
        </w:trPr>
        <w:tc>
          <w:tcPr>
            <w:tcW w:w="3080" w:type="dxa"/>
            <w:vAlign w:val="bottom"/>
            <w:shd w:val="clear" w:color="auto" w:fill="CCFFFF"/>
          </w:tcPr>
          <w:p>
            <w:pPr>
              <w:spacing w:after="0"/>
              <w:rPr>
                <w:sz w:val="5"/>
                <w:szCs w:val="5"/>
                <w:color w:val="auto"/>
              </w:rPr>
            </w:pPr>
          </w:p>
        </w:tc>
        <w:tc>
          <w:tcPr>
            <w:tcW w:w="1920" w:type="dxa"/>
            <w:vAlign w:val="bottom"/>
            <w:vMerge w:val="continue"/>
            <w:shd w:val="clear" w:color="auto" w:fill="CCFFFF"/>
          </w:tcPr>
          <w:p>
            <w:pPr>
              <w:spacing w:after="0"/>
              <w:rPr>
                <w:sz w:val="5"/>
                <w:szCs w:val="5"/>
                <w:color w:val="auto"/>
              </w:rPr>
            </w:pPr>
          </w:p>
        </w:tc>
        <w:tc>
          <w:tcPr>
            <w:tcW w:w="1360" w:type="dxa"/>
            <w:vAlign w:val="bottom"/>
            <w:vMerge w:val="continue"/>
            <w:shd w:val="clear" w:color="auto" w:fill="CCFFFF"/>
          </w:tcPr>
          <w:p>
            <w:pPr>
              <w:spacing w:after="0"/>
              <w:rPr>
                <w:sz w:val="5"/>
                <w:szCs w:val="5"/>
                <w:color w:val="auto"/>
              </w:rPr>
            </w:pPr>
          </w:p>
        </w:tc>
        <w:tc>
          <w:tcPr>
            <w:tcW w:w="1560" w:type="dxa"/>
            <w:vAlign w:val="bottom"/>
            <w:vMerge w:val="continue"/>
            <w:shd w:val="clear" w:color="auto" w:fill="CCFFFF"/>
          </w:tcPr>
          <w:p>
            <w:pPr>
              <w:spacing w:after="0"/>
              <w:rPr>
                <w:sz w:val="5"/>
                <w:szCs w:val="5"/>
                <w:color w:val="auto"/>
              </w:rPr>
            </w:pPr>
          </w:p>
        </w:tc>
        <w:tc>
          <w:tcPr>
            <w:tcW w:w="420" w:type="dxa"/>
            <w:vAlign w:val="bottom"/>
            <w:vMerge w:val="continue"/>
            <w:shd w:val="clear" w:color="auto" w:fill="CCFFFF"/>
          </w:tcPr>
          <w:p>
            <w:pPr>
              <w:spacing w:after="0"/>
              <w:rPr>
                <w:sz w:val="5"/>
                <w:szCs w:val="5"/>
                <w:color w:val="auto"/>
              </w:rPr>
            </w:pPr>
          </w:p>
        </w:tc>
        <w:tc>
          <w:tcPr>
            <w:tcW w:w="1440" w:type="dxa"/>
            <w:vAlign w:val="bottom"/>
            <w:vMerge w:val="continue"/>
            <w:shd w:val="clear" w:color="auto" w:fill="CCFFFF"/>
          </w:tcPr>
          <w:p>
            <w:pPr>
              <w:spacing w:after="0"/>
              <w:rPr>
                <w:sz w:val="5"/>
                <w:szCs w:val="5"/>
                <w:color w:val="auto"/>
              </w:rPr>
            </w:pPr>
          </w:p>
        </w:tc>
        <w:tc>
          <w:tcPr>
            <w:tcW w:w="420" w:type="dxa"/>
            <w:vAlign w:val="bottom"/>
            <w:vMerge w:val="continue"/>
            <w:shd w:val="clear" w:color="auto" w:fill="CCFFFF"/>
          </w:tcPr>
          <w:p>
            <w:pPr>
              <w:spacing w:after="0"/>
              <w:rPr>
                <w:sz w:val="5"/>
                <w:szCs w:val="5"/>
                <w:color w:val="auto"/>
              </w:rPr>
            </w:pPr>
          </w:p>
        </w:tc>
        <w:tc>
          <w:tcPr>
            <w:tcW w:w="1220" w:type="dxa"/>
            <w:vAlign w:val="bottom"/>
            <w:vMerge w:val="continue"/>
            <w:shd w:val="clear" w:color="auto" w:fill="CCFFFF"/>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3080" w:type="dxa"/>
            <w:vAlign w:val="bottom"/>
          </w:tcPr>
          <w:p>
            <w:pPr>
              <w:ind w:left="40"/>
              <w:spacing w:after="0"/>
              <w:rPr>
                <w:sz w:val="20"/>
                <w:szCs w:val="20"/>
                <w:color w:val="auto"/>
              </w:rPr>
            </w:pPr>
            <w:r>
              <w:rPr>
                <w:rFonts w:ascii="Arial" w:cs="Arial" w:eastAsia="Arial" w:hAnsi="Arial"/>
                <w:sz w:val="16"/>
                <w:szCs w:val="16"/>
                <w:color w:val="auto"/>
              </w:rPr>
              <w:t>Tracy E. Calder</w:t>
            </w:r>
          </w:p>
        </w:tc>
        <w:tc>
          <w:tcPr>
            <w:tcW w:w="1920" w:type="dxa"/>
            <w:vAlign w:val="bottom"/>
          </w:tcPr>
          <w:p>
            <w:pPr>
              <w:ind w:left="16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442,000</w:t>
            </w:r>
          </w:p>
        </w:tc>
        <w:tc>
          <w:tcPr>
            <w:tcW w:w="1560" w:type="dxa"/>
            <w:vAlign w:val="bottom"/>
          </w:tcPr>
          <w:p>
            <w:pPr>
              <w:jc w:val="center"/>
              <w:spacing w:after="0"/>
              <w:rPr>
                <w:sz w:val="20"/>
                <w:szCs w:val="20"/>
                <w:color w:val="auto"/>
              </w:rPr>
            </w:pPr>
            <w:r>
              <w:rPr>
                <w:rFonts w:ascii="Arial" w:cs="Arial" w:eastAsia="Arial" w:hAnsi="Arial"/>
                <w:sz w:val="16"/>
                <w:szCs w:val="16"/>
                <w:color w:val="auto"/>
              </w:rPr>
              <w:t>72%</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320,000</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320,000</w:t>
            </w:r>
          </w:p>
        </w:tc>
        <w:tc>
          <w:tcPr>
            <w:tcW w:w="0" w:type="dxa"/>
            <w:vAlign w:val="bottom"/>
          </w:tcPr>
          <w:p>
            <w:pPr>
              <w:spacing w:after="0"/>
              <w:rPr>
                <w:sz w:val="1"/>
                <w:szCs w:val="1"/>
                <w:color w:val="auto"/>
              </w:rPr>
            </w:pPr>
          </w:p>
        </w:tc>
      </w:tr>
      <w:tr>
        <w:trPr>
          <w:trHeight w:val="273"/>
        </w:trPr>
        <w:tc>
          <w:tcPr>
            <w:tcW w:w="3080" w:type="dxa"/>
            <w:vAlign w:val="bottom"/>
            <w:tcBorders>
              <w:bottom w:val="single" w:sz="8" w:color="336699"/>
            </w:tcBorders>
            <w:shd w:val="clear" w:color="auto" w:fill="CCFFFF"/>
          </w:tcPr>
          <w:p>
            <w:pPr>
              <w:ind w:left="40"/>
              <w:spacing w:after="0"/>
              <w:rPr>
                <w:sz w:val="20"/>
                <w:szCs w:val="20"/>
                <w:color w:val="auto"/>
              </w:rPr>
            </w:pPr>
            <w:r>
              <w:rPr>
                <w:rFonts w:ascii="Arial" w:cs="Arial" w:eastAsia="Arial" w:hAnsi="Arial"/>
                <w:sz w:val="16"/>
                <w:szCs w:val="16"/>
                <w:color w:val="auto"/>
              </w:rPr>
              <w:t>Thomas Gooley</w:t>
            </w:r>
          </w:p>
        </w:tc>
        <w:tc>
          <w:tcPr>
            <w:tcW w:w="1920" w:type="dxa"/>
            <w:vAlign w:val="bottom"/>
            <w:tcBorders>
              <w:bottom w:val="single" w:sz="8" w:color="336699"/>
            </w:tcBorders>
            <w:shd w:val="clear" w:color="auto" w:fill="CCFFFF"/>
          </w:tcPr>
          <w:p>
            <w:pPr>
              <w:ind w:left="16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336699"/>
            </w:tcBorders>
            <w:shd w:val="clear" w:color="auto" w:fill="CCFFFF"/>
          </w:tcPr>
          <w:p>
            <w:pPr>
              <w:jc w:val="right"/>
              <w:ind w:right="99"/>
              <w:spacing w:after="0"/>
              <w:rPr>
                <w:sz w:val="20"/>
                <w:szCs w:val="20"/>
                <w:color w:val="auto"/>
              </w:rPr>
            </w:pPr>
            <w:r>
              <w:rPr>
                <w:rFonts w:ascii="Arial" w:cs="Arial" w:eastAsia="Arial" w:hAnsi="Arial"/>
                <w:sz w:val="16"/>
                <w:szCs w:val="16"/>
                <w:color w:val="auto"/>
              </w:rPr>
              <w:t>500,000</w:t>
            </w:r>
          </w:p>
        </w:tc>
        <w:tc>
          <w:tcPr>
            <w:tcW w:w="1560" w:type="dxa"/>
            <w:vAlign w:val="bottom"/>
            <w:tcBorders>
              <w:bottom w:val="single" w:sz="8" w:color="336699"/>
            </w:tcBorders>
            <w:shd w:val="clear" w:color="auto" w:fill="CCFFFF"/>
          </w:tcPr>
          <w:p>
            <w:pPr>
              <w:jc w:val="center"/>
              <w:spacing w:after="0"/>
              <w:rPr>
                <w:sz w:val="20"/>
                <w:szCs w:val="20"/>
                <w:color w:val="auto"/>
              </w:rPr>
            </w:pPr>
            <w:r>
              <w:rPr>
                <w:rFonts w:ascii="Arial" w:cs="Arial" w:eastAsia="Arial" w:hAnsi="Arial"/>
                <w:sz w:val="16"/>
                <w:szCs w:val="16"/>
                <w:color w:val="auto"/>
              </w:rPr>
              <w:t>150%</w:t>
            </w:r>
          </w:p>
        </w:tc>
        <w:tc>
          <w:tcPr>
            <w:tcW w:w="420" w:type="dxa"/>
            <w:vAlign w:val="bottom"/>
            <w:tcBorders>
              <w:bottom w:val="single" w:sz="8" w:color="336699"/>
            </w:tcBorders>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336699"/>
            </w:tcBorders>
            <w:shd w:val="clear" w:color="auto" w:fill="CCFFFF"/>
          </w:tcPr>
          <w:p>
            <w:pPr>
              <w:jc w:val="right"/>
              <w:ind w:right="119"/>
              <w:spacing w:after="0"/>
              <w:rPr>
                <w:sz w:val="20"/>
                <w:szCs w:val="20"/>
                <w:color w:val="auto"/>
              </w:rPr>
            </w:pPr>
            <w:r>
              <w:rPr>
                <w:rFonts w:ascii="Arial" w:cs="Arial" w:eastAsia="Arial" w:hAnsi="Arial"/>
                <w:sz w:val="16"/>
                <w:szCs w:val="16"/>
                <w:color w:val="auto"/>
              </w:rPr>
              <w:t>750,000</w:t>
            </w:r>
          </w:p>
        </w:tc>
        <w:tc>
          <w:tcPr>
            <w:tcW w:w="420" w:type="dxa"/>
            <w:vAlign w:val="bottom"/>
            <w:tcBorders>
              <w:bottom w:val="single" w:sz="8" w:color="336699"/>
            </w:tcBorders>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336699"/>
            </w:tcBorders>
            <w:shd w:val="clear" w:color="auto" w:fill="CCFFFF"/>
          </w:tcPr>
          <w:p>
            <w:pPr>
              <w:jc w:val="right"/>
              <w:ind w:right="19"/>
              <w:spacing w:after="0"/>
              <w:rPr>
                <w:sz w:val="20"/>
                <w:szCs w:val="20"/>
                <w:color w:val="auto"/>
              </w:rPr>
            </w:pPr>
            <w:r>
              <w:rPr>
                <w:rFonts w:ascii="Arial" w:cs="Arial" w:eastAsia="Arial" w:hAnsi="Arial"/>
                <w:sz w:val="16"/>
                <w:szCs w:val="16"/>
                <w:color w:val="auto"/>
              </w:rPr>
              <w:t>787,500</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31</w:t>
      </w:r>
    </w:p>
    <w:p>
      <w:pPr>
        <w:sectPr>
          <w:pgSz w:w="11900" w:h="16838" w:orient="portrait"/>
          <w:cols w:equalWidth="0" w:num="1">
            <w:col w:w="11420"/>
          </w:cols>
          <w:pgMar w:left="240" w:top="436" w:right="239" w:bottom="1440" w:gutter="0" w:footer="0" w:header="0"/>
          <w:type w:val="continuous"/>
        </w:sectPr>
      </w:pPr>
    </w:p>
    <w:bookmarkStart w:id="37" w:name="page38"/>
    <w:bookmarkEnd w:id="37"/>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381" w:lineRule="exact"/>
        <w:rPr>
          <w:sz w:val="20"/>
          <w:szCs w:val="20"/>
          <w:color w:val="auto"/>
        </w:rPr>
      </w:pPr>
    </w:p>
    <w:p>
      <w:pPr>
        <w:ind w:left="340" w:hanging="332"/>
        <w:spacing w:after="0" w:line="248"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These LTI awards were granted on March 13, 2017 for services provided during fiscal year 2016. Mr. Arnold received 50% of his LTI award as PSUs and 50% as stock options. The remaining NEOs received 40% of their awards as PSUs, 30% as stock options and 30% as RSUs. PSUs are eligible to become earned and vested based on the achievement of performance criteria over a three-year period, as described above. The stock options and RSUs are scheduled to vest ratably over a three-year period. In calculating the number of shares underlying stock options to be awarded, we divided the value of the grant by a number equal to: the average historical 30-day closing price per share of our Common Stock, inclusive of the date of grant, divided by 3.5. However, the exercise price of any such option is equal to the closing price of our Common Stock on the date of grant. In calculating the number of RSUs and PSUs awarded, we divided the value of the grant by a number equal to the average historical 30-day closing price per share of our Common Stock inclusive of the date of grant.</w:t>
      </w:r>
    </w:p>
    <w:p>
      <w:pPr>
        <w:spacing w:after="0" w:line="153"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Casady retired from the Company effective as of March 3, 2017 and accordingly did not receive an LTI award in 2017.</w:t>
      </w:r>
    </w:p>
    <w:p>
      <w:pPr>
        <w:spacing w:after="0" w:line="167" w:lineRule="exact"/>
        <w:rPr>
          <w:rFonts w:ascii="Arial" w:cs="Arial" w:eastAsia="Arial" w:hAnsi="Arial"/>
          <w:sz w:val="16"/>
          <w:szCs w:val="16"/>
          <w:color w:val="auto"/>
        </w:rPr>
      </w:pPr>
    </w:p>
    <w:p>
      <w:pPr>
        <w:ind w:left="340" w:right="640" w:hanging="332"/>
        <w:spacing w:after="0" w:line="260"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Arnold’s LTI award was based on his base salary and LTI target in effect on March 13, 2017 (the grant date), which were $800,000 and 350%,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54610</wp:posOffset>
            </wp:positionV>
            <wp:extent cx="5866130" cy="19894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66130" cy="198945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NEO LTI awards granted on March 13, 2017 by the Compensation Committee were based on 2016 targets as well as an NEO’s individual performance during 2016, leadership responsibilities, and potential, as well as retention considerations. In determining Mr. Arnold’s LTI award amount for 2016, the Compensation Committee conducted a two-step analysis:</w:t>
      </w:r>
    </w:p>
    <w:p>
      <w:pPr>
        <w:spacing w:after="0" w:line="209" w:lineRule="exact"/>
        <w:rPr>
          <w:sz w:val="20"/>
          <w:szCs w:val="20"/>
          <w:color w:val="auto"/>
        </w:rPr>
      </w:pPr>
    </w:p>
    <w:p>
      <w:pPr>
        <w:ind w:left="340" w:hanging="332"/>
        <w:spacing w:after="0" w:line="252"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First, with the assistance of the Compensation Consultant, the Compensation Committee benchmarked Mr. Arnold’s target total compensation (annual base salary, target annual cash bonus award and target annual LTI award) against the Company’s peer group and determined a competitive total compensation package, including LTI.</w:t>
      </w:r>
    </w:p>
    <w:p>
      <w:pPr>
        <w:spacing w:after="0" w:line="208" w:lineRule="exact"/>
        <w:rPr>
          <w:rFonts w:ascii="Arial" w:cs="Arial" w:eastAsia="Arial" w:hAnsi="Arial"/>
          <w:sz w:val="18"/>
          <w:szCs w:val="18"/>
          <w:color w:val="auto"/>
        </w:rPr>
      </w:pPr>
    </w:p>
    <w:p>
      <w:pPr>
        <w:ind w:left="340" w:right="80" w:hanging="332"/>
        <w:spacing w:after="0" w:line="252"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Second, in light of his role, experience, and tenure with the Company, as well as the desirability of his skill set, the Compensation Committee sought to reinforce the alignment of Mr. Arnold’s compensation with stockholder value creation over the long-term and granted a target LTI award for the year, consisting of stock options that are scheduled to vest ratably over three years and PSUs that generally cliff vest at the end of a three-year performance period,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32 | </w:t>
      </w:r>
      <w:r>
        <w:rPr>
          <w:rFonts w:ascii="Arial" w:cs="Arial" w:eastAsia="Arial" w:hAnsi="Arial"/>
          <w:sz w:val="18"/>
          <w:szCs w:val="18"/>
          <w:b w:val="1"/>
          <w:bCs w:val="1"/>
          <w:color w:val="003B71"/>
        </w:rPr>
        <w:t>2017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right="500"/>
        <w:spacing w:after="0" w:line="309" w:lineRule="auto"/>
        <w:rPr>
          <w:sz w:val="20"/>
          <w:szCs w:val="20"/>
          <w:color w:val="auto"/>
        </w:rPr>
      </w:pPr>
      <w:r>
        <w:rPr>
          <w:rFonts w:ascii="Arial" w:cs="Arial" w:eastAsia="Arial" w:hAnsi="Arial"/>
          <w:sz w:val="18"/>
          <w:szCs w:val="18"/>
          <w:color w:val="auto"/>
        </w:rPr>
        <w:t>to achievement of certain performance criteria during such period.</w:t>
      </w:r>
    </w:p>
    <w:p>
      <w:pPr>
        <w:spacing w:after="0" w:line="16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Board also granted Mr. Arnold an additional 38,809 RSUs on February 13, 2017, in recognition of his promotion to chief executive officer. These RSUs vest over a five-year period, with one-third vesting on each of the third, fourth, and fifth anniversary of the date of grant. The Board approved this vesting schedule to encourage retention over a longer period than is the typical period for vesting associated with time-based awards.</w:t>
      </w:r>
    </w:p>
    <w:p>
      <w:pPr>
        <w:spacing w:after="0" w:line="207"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LTI award amounts for Messrs. Audette and Gooley and Ms. Calder were primarily based on competitive market practices among the Company’s peer group, as well as other factors such as potential, retention, leadership responsibilities and individual performance.</w:t>
      </w:r>
    </w:p>
    <w:p>
      <w:pPr>
        <w:spacing w:after="0" w:line="18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LTI awards described in the table above and Mr. Arnold’s RSU award were all granted in 2017 and therefore are not reflected in our Summary Compensation table or Grants of Plan-Based Awards table. In accordance with SEC rules, the equity awards shown in our Summary Compensation table and Grants of Plan-Based Awards table appearing elsewhere in this proxy statement reflect LTI awards that were granted during calendar year 2016. The awards shown in such tables include the LTI awards</w:t>
      </w:r>
    </w:p>
    <w:p>
      <w:pPr>
        <w:sectPr>
          <w:pgSz w:w="11900" w:h="16838" w:orient="portrait"/>
          <w:cols w:equalWidth="0" w:num="2">
            <w:col w:w="5460" w:space="480"/>
            <w:col w:w="5460"/>
          </w:cols>
          <w:pgMar w:left="240" w:top="436" w:right="259" w:bottom="1440" w:gutter="0" w:footer="0" w:header="0"/>
          <w:type w:val="continuous"/>
        </w:sectPr>
      </w:pPr>
    </w:p>
    <w:bookmarkStart w:id="38" w:name="page39"/>
    <w:bookmarkEnd w:id="38"/>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ectPr>
          <w:pgSz w:w="11900" w:h="16838" w:orient="portrait"/>
          <w:cols w:equalWidth="0" w:num="1">
            <w:col w:w="11420"/>
          </w:cols>
          <w:pgMar w:left="240" w:top="4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granted in February 2016 for services performed in 2015.</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addition to our annual LTI awards, the Compensation Committee made certain one-time grants to our NEOs in 2016. Pursuant to the terms of her employment offer letter, in connection with her commencement of employment, Ms. Calder was granted 32,241 RSUs on February 25, 2016, which grant was intended to compensate her for equity awards that she forfeited when she left her previous employer. On June 13, 2016, Mr. Gooley was granted 2,928 RSUs and 23,907 stock options with an exercise price of $24.38, the closing price per share of our Common Stock on the date of grant. This grant was made in connection with Mr. Gooley’s anniversary of employment with the Company and in recognition of his leadership in improving the Company’s service and operations. Each of these LTI awards granted to Ms. Calder and Mr. Gooley, which are reflected in our Summary Compensation table and Grants of Plan-Based Awards table, vests ratably over three years.</w:t>
      </w:r>
    </w:p>
    <w:p>
      <w:pPr>
        <w:spacing w:after="0" w:line="21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Messrs. Audette, Arnold, and Gooley each received a one-time grant of 3,111 RSUs on February 25, 2016 in connection with our Compensation Committee’s decision to discontinue our automobile perquisite program (described below). These RSUs vest in full on the third anniversary of their grant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Additional Compensation Elements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Severance and Change-in-Control Benefits</w:t>
      </w:r>
    </w:p>
    <w:p>
      <w:pPr>
        <w:spacing w:after="0" w:line="24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Our Executive Severance Plan enables us to offer a form of protection to our executive officers in the event their employment with us is involuntarily terminated by the Company or is terminated for good reason by the executive (each, a “qualifying termination”). We believe that providing these benefits helps us compete for executive talent and may help us retain current key employees. All of our NEOs (other than Mr. Casady, who retired as chief executive officer effective January 3, 2017) are eligible for severance benefits under the Executive Severance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Executive Perquisites</w:t>
      </w:r>
    </w:p>
    <w:p>
      <w:pPr>
        <w:spacing w:after="0" w:line="24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February 2016, our Compensation Committee approved a new executive financial services policy, pursuant to which the Company’s executive officers are eligible to receive annual reimbursement of up to $15,000 for qualifying personal financial planning services. During 2016, we also provided our NEOs with a perquisite in the form of either use of a leased automobile or an automobile allowance (the “Automobile Program”). However, in February 2016, our Compensation Committee decided to phase out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Automobile Program; in lieu of such program, Messrs. Audette, Arnold and Gooley each received a one-time grant of RSUs, as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Other Compensation Components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336699"/>
        </w:rPr>
        <w:t xml:space="preserve">401(k) Plan. </w:t>
      </w:r>
      <w:r>
        <w:rPr>
          <w:rFonts w:ascii="Arial" w:cs="Arial" w:eastAsia="Arial" w:hAnsi="Arial"/>
          <w:sz w:val="17"/>
          <w:szCs w:val="17"/>
          <w:color w:val="000000"/>
        </w:rPr>
        <w:t>We maintain a retirement savings plan (the “401(k)</w:t>
      </w:r>
      <w:r>
        <w:rPr>
          <w:rFonts w:ascii="Arial" w:cs="Arial" w:eastAsia="Arial" w:hAnsi="Arial"/>
          <w:sz w:val="17"/>
          <w:szCs w:val="17"/>
          <w:i w:val="1"/>
          <w:iCs w:val="1"/>
          <w:color w:val="336699"/>
        </w:rPr>
        <w:t xml:space="preserve"> </w:t>
      </w:r>
      <w:r>
        <w:rPr>
          <w:rFonts w:ascii="Arial" w:cs="Arial" w:eastAsia="Arial" w:hAnsi="Arial"/>
          <w:sz w:val="17"/>
          <w:szCs w:val="17"/>
          <w:color w:val="000000"/>
        </w:rPr>
        <w:t>Plan”), for the benefit of all eligible employees, including our NEOs. Under the terms of the 401(k) Plan, employees may elect to make pre-tax 401(k) and Roth 401(k) contributions up to the statutorily prescribed limit. After one year of service, we match employee contributions on a pay period basis. For 2016, we provided a match in an amount equal to 65% of an employee's elective deferral up to 8% of his or her eligible compensation. An employee’s interests in his or her contributions are 100% vested when contributed. We provide this benefit to all of our eligible employees, and it is provided to our NEOs on the same basis as all other eligible employees.</w:t>
      </w:r>
    </w:p>
    <w:p>
      <w:pPr>
        <w:spacing w:after="0" w:line="174"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336699"/>
        </w:rPr>
        <w:t xml:space="preserve">Nonqualified Deferred Compensation. </w:t>
      </w:r>
      <w:r>
        <w:rPr>
          <w:rFonts w:ascii="Arial" w:cs="Arial" w:eastAsia="Arial" w:hAnsi="Arial"/>
          <w:sz w:val="18"/>
          <w:szCs w:val="18"/>
          <w:color w:val="000000"/>
        </w:rPr>
        <w:t>Mr. Arnold, previously an</w:t>
      </w:r>
      <w:r>
        <w:rPr>
          <w:rFonts w:ascii="Arial" w:cs="Arial" w:eastAsia="Arial" w:hAnsi="Arial"/>
          <w:sz w:val="18"/>
          <w:szCs w:val="18"/>
          <w:i w:val="1"/>
          <w:iCs w:val="1"/>
          <w:color w:val="336699"/>
        </w:rPr>
        <w:t xml:space="preserve"> </w:t>
      </w:r>
      <w:r>
        <w:rPr>
          <w:rFonts w:ascii="Arial" w:cs="Arial" w:eastAsia="Arial" w:hAnsi="Arial"/>
          <w:sz w:val="18"/>
          <w:szCs w:val="18"/>
          <w:color w:val="000000"/>
        </w:rPr>
        <w:t>executive of our wholly-owned indirect subsidiary, UVEST Financial Services Group, Inc. (“UVEST”), participates in the UVEST Executive Nonqualified “Excess” Plan (the “UVEST Plan”). The UVEST Plan allows certain highly compensated or management employees to defer up to 100% of their current compensation, which includes for this purpose base salary, service bonus, performance-based compensation, and commissions. Distributions of deferred amounts may be made only upon a qualifying distribution event, which, depending on the individual’s election, may be a separation from service, disability (as defined in the UVEST Plan), death, a change-in-control event (as defined in the UVEST Plan), an unforeseeable emergency, or a specified date, or may be the earliest of one or more of these events. At the time an election is made to defer compensation under the UVEST Plan, participants may choose, with respect to each potential qualifying distribution event, to receive amounts in either a lump sum or in equal annual installments over a number of years (but not to exceed five years). Deferred amounts are credited with an investment return determined as if the amounts were invested in one or more investment funds made available by the UVEST Plan and selected by a participant. The UVEST Plan is intended to be a nonqualified deferred compensation plan operated in compliance with Section 409A of the Internal Revenue Code. The amounts of compensation Mr. Arnold elected to defer under the UVEST Plan in 2016 are described in the table below titled “</w:t>
      </w:r>
      <w:r>
        <w:rPr>
          <w:rFonts w:ascii="Arial" w:cs="Arial" w:eastAsia="Arial" w:hAnsi="Arial"/>
          <w:sz w:val="18"/>
          <w:szCs w:val="18"/>
          <w:i w:val="1"/>
          <w:iCs w:val="1"/>
          <w:color w:val="000000"/>
        </w:rPr>
        <w:t>Nonqualified Deferred Compensation for the Year</w:t>
      </w:r>
      <w:r>
        <w:rPr>
          <w:rFonts w:ascii="Arial" w:cs="Arial" w:eastAsia="Arial" w:hAnsi="Arial"/>
          <w:sz w:val="18"/>
          <w:szCs w:val="18"/>
          <w:color w:val="000000"/>
        </w:rPr>
        <w:t xml:space="preserve"> </w:t>
      </w:r>
      <w:r>
        <w:rPr>
          <w:rFonts w:ascii="Arial" w:cs="Arial" w:eastAsia="Arial" w:hAnsi="Arial"/>
          <w:sz w:val="18"/>
          <w:szCs w:val="18"/>
          <w:i w:val="1"/>
          <w:iCs w:val="1"/>
          <w:color w:val="000000"/>
        </w:rPr>
        <w:t>Ended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33</w:t>
      </w:r>
    </w:p>
    <w:p>
      <w:pPr>
        <w:sectPr>
          <w:pgSz w:w="11900" w:h="16838" w:orient="portrait"/>
          <w:cols w:equalWidth="0" w:num="2">
            <w:col w:w="5460" w:space="480"/>
            <w:col w:w="5480"/>
          </w:cols>
          <w:pgMar w:left="240" w:top="436" w:right="239" w:bottom="1440" w:gutter="0" w:footer="0" w:header="0"/>
          <w:type w:val="continuous"/>
        </w:sectPr>
      </w:pPr>
    </w:p>
    <w:bookmarkStart w:id="39" w:name="page40"/>
    <w:bookmarkEnd w:id="39"/>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Goals, Objectives and Performance Evaluation</w:t>
      </w:r>
    </w:p>
    <w:p>
      <w:pPr>
        <w:spacing w:after="0" w:line="24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NEOs are primarily responsible for ensuring that the Company achieves its annual and long-term goals. At the beginning of 2016, our Board of Directors determined, with the input of the chief executive officer and the management team, the corporate goals and objectives for the year, including with regard to the Company’s financial performance. In evaluating incentive compensation at the end of the year, our Compensation Committee considered the Company’s overall performance against these corporate goals and objectives, including its Adjusted EBITDA results. The Compensation Committee determined that the Company generally performed well against its 2016 goals and objectives in light of its strong financial results and performance in key business indicators, although the Company’s net new advisory assets fell below expectations. See “</w:t>
      </w:r>
      <w:r>
        <w:rPr>
          <w:rFonts w:ascii="Arial" w:cs="Arial" w:eastAsia="Arial" w:hAnsi="Arial"/>
          <w:sz w:val="18"/>
          <w:szCs w:val="18"/>
          <w:i w:val="1"/>
          <w:iCs w:val="1"/>
          <w:color w:val="auto"/>
        </w:rPr>
        <w:t>Executive Summary—Summary of 2016 Operating Performance</w:t>
      </w:r>
      <w:r>
        <w:rPr>
          <w:rFonts w:ascii="Arial" w:cs="Arial" w:eastAsia="Arial" w:hAnsi="Arial"/>
          <w:sz w:val="18"/>
          <w:szCs w:val="18"/>
          <w:color w:val="auto"/>
        </w:rPr>
        <w:t>” for additional information about our 2016 performance, including our Adjusted EBITDA results. In making its evaluation, the Compensation Committee considered objective and subjective factors, and exercised its discretion to grant annual cash bonus awards above each NEO’s target award amount.</w:t>
      </w:r>
    </w:p>
    <w:p>
      <w:pPr>
        <w:spacing w:after="0" w:line="150" w:lineRule="exact"/>
        <w:rPr>
          <w:sz w:val="20"/>
          <w:szCs w:val="20"/>
          <w:color w:val="auto"/>
        </w:rPr>
      </w:pPr>
    </w:p>
    <w:p>
      <w:pPr>
        <w:ind w:left="260"/>
        <w:spacing w:after="0"/>
        <w:tabs>
          <w:tab w:leader="none" w:pos="4020" w:val="left"/>
        </w:tabs>
        <w:rPr>
          <w:sz w:val="20"/>
          <w:szCs w:val="20"/>
          <w:color w:val="auto"/>
        </w:rPr>
      </w:pPr>
      <w:r>
        <w:rPr>
          <w:rFonts w:ascii="Arial" w:cs="Arial" w:eastAsia="Arial" w:hAnsi="Arial"/>
          <w:sz w:val="18"/>
          <w:szCs w:val="18"/>
          <w:b w:val="1"/>
          <w:bCs w:val="1"/>
          <w:color w:val="336699"/>
        </w:rPr>
        <w:t>2016 Goal</w:t>
      </w:r>
      <w:r>
        <w:rPr>
          <w:sz w:val="20"/>
          <w:szCs w:val="20"/>
          <w:color w:val="auto"/>
        </w:rPr>
        <w:tab/>
      </w:r>
      <w:r>
        <w:rPr>
          <w:rFonts w:ascii="Arial" w:cs="Arial" w:eastAsia="Arial" w:hAnsi="Arial"/>
          <w:sz w:val="17"/>
          <w:szCs w:val="17"/>
          <w:b w:val="1"/>
          <w:bCs w:val="1"/>
          <w:color w:val="336699"/>
        </w:rPr>
        <w:t>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28575</wp:posOffset>
            </wp:positionV>
            <wp:extent cx="7031990" cy="8921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31990" cy="89217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p>
      <w:pPr>
        <w:spacing w:after="0" w:line="207" w:lineRule="exact"/>
        <w:rPr>
          <w:sz w:val="20"/>
          <w:szCs w:val="20"/>
          <w:color w:val="auto"/>
        </w:rPr>
      </w:pPr>
    </w:p>
    <w:p>
      <w:pPr>
        <w:ind w:left="260"/>
        <w:spacing w:after="0" w:line="275" w:lineRule="auto"/>
        <w:rPr>
          <w:sz w:val="20"/>
          <w:szCs w:val="20"/>
          <w:color w:val="auto"/>
        </w:rPr>
      </w:pPr>
      <w:r>
        <w:rPr>
          <w:rFonts w:ascii="Arial" w:cs="Arial" w:eastAsia="Arial" w:hAnsi="Arial"/>
          <w:sz w:val="17"/>
          <w:szCs w:val="17"/>
          <w:color w:val="auto"/>
        </w:rPr>
        <w:t>Drive LPL business growth by adding new advisors and helping existing advisors thrive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had a record recruiting year in 2016, as measured by recruited gross dealer concessions, which also exceeded our target for 2016. We also increased our advisor count by 323 from 14,054 to 14,377 over the course of the year. Our production retention rate was 97%, excluding the departure of an institutional client that was acquired by a bank with its own broker-dealer, up from 96% in 2015. Our net new advisory assets were below plan for 2016, although we experienced steady improvement throughout the year.</w:t>
      </w:r>
    </w:p>
    <w:p>
      <w:pPr>
        <w:spacing w:after="0" w:line="165" w:lineRule="exact"/>
        <w:rPr>
          <w:sz w:val="20"/>
          <w:szCs w:val="20"/>
          <w:color w:val="auto"/>
        </w:rPr>
      </w:pPr>
    </w:p>
    <w:p>
      <w:pPr>
        <w:sectPr>
          <w:pgSz w:w="11900" w:h="16838" w:orient="portrait"/>
          <w:cols w:equalWidth="0" w:num="2">
            <w:col w:w="3780" w:space="260"/>
            <w:col w:w="7380"/>
          </w:cols>
          <w:pgMar w:left="240" w:top="436" w:right="239" w:bottom="1440" w:gutter="0" w:footer="0" w:header="0"/>
          <w:type w:val="continuous"/>
        </w:sectPr>
      </w:pPr>
    </w:p>
    <w:p>
      <w:pPr>
        <w:ind w:left="260" w:right="40"/>
        <w:spacing w:after="0"/>
        <w:rPr>
          <w:sz w:val="20"/>
          <w:szCs w:val="20"/>
          <w:color w:val="auto"/>
        </w:rPr>
      </w:pPr>
      <w:r>
        <w:rPr>
          <w:rFonts w:ascii="Arial" w:cs="Arial" w:eastAsia="Arial" w:hAnsi="Arial"/>
          <w:sz w:val="18"/>
          <w:szCs w:val="18"/>
          <w:color w:val="auto"/>
        </w:rPr>
        <w:t>Deliver key technology portfolio focusing on ClientWorks, regulatory commitments, advisory platform, and service solutions</w:t>
      </w:r>
    </w:p>
    <w:p>
      <w:pPr>
        <w:spacing w:after="0" w:line="162" w:lineRule="exact"/>
        <w:rPr>
          <w:sz w:val="20"/>
          <w:szCs w:val="20"/>
          <w:color w:val="auto"/>
        </w:rPr>
      </w:pPr>
    </w:p>
    <w:p>
      <w:pPr>
        <w:ind w:left="260"/>
        <w:spacing w:after="0" w:line="246" w:lineRule="auto"/>
        <w:rPr>
          <w:sz w:val="20"/>
          <w:szCs w:val="20"/>
          <w:color w:val="auto"/>
        </w:rPr>
      </w:pPr>
      <w:r>
        <w:rPr>
          <w:rFonts w:ascii="Arial" w:cs="Arial" w:eastAsia="Arial" w:hAnsi="Arial"/>
          <w:sz w:val="18"/>
          <w:szCs w:val="18"/>
          <w:color w:val="auto"/>
        </w:rPr>
        <w:t>Provide high levels of service experience for clients</w:t>
      </w:r>
    </w:p>
    <w:p>
      <w:pPr>
        <w:spacing w:after="0" w:line="20" w:lineRule="exact"/>
        <w:rPr>
          <w:sz w:val="20"/>
          <w:szCs w:val="20"/>
          <w:color w:val="auto"/>
        </w:rPr>
      </w:pPr>
      <w:r>
        <w:rPr>
          <w:sz w:val="20"/>
          <w:szCs w:val="20"/>
          <w:color w:val="auto"/>
        </w:rPr>
        <w:br w:type="column"/>
      </w:r>
    </w:p>
    <w:p>
      <w:pPr>
        <w:ind w:right="240"/>
        <w:spacing w:after="0"/>
        <w:rPr>
          <w:sz w:val="20"/>
          <w:szCs w:val="20"/>
          <w:color w:val="auto"/>
        </w:rPr>
      </w:pPr>
      <w:r>
        <w:rPr>
          <w:rFonts w:ascii="Arial" w:cs="Arial" w:eastAsia="Arial" w:hAnsi="Arial"/>
          <w:sz w:val="18"/>
          <w:szCs w:val="18"/>
          <w:color w:val="auto"/>
        </w:rPr>
        <w:t>We met or exceeded our annual goals for stability, security, and portfolio delivery. We also met our key goal with regard to ClientWorks: availability to 100% of our advisors prior to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9525</wp:posOffset>
            </wp:positionV>
            <wp:extent cx="7031990" cy="10121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31990" cy="1012190"/>
                    </a:xfrm>
                    <a:prstGeom prst="rect">
                      <a:avLst/>
                    </a:prstGeom>
                    <a:noFill/>
                  </pic:spPr>
                </pic:pic>
              </a:graphicData>
            </a:graphic>
          </wp:anchor>
        </w:drawing>
      </w:r>
    </w:p>
    <w:p>
      <w:pPr>
        <w:spacing w:after="0" w:line="14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Our overall client service experience improved in 2016 due to implementation of several key service center initiatives along with an increased focus on metrics and accountability. We made progress in improving processes and policies, including inbound call support, proactive services, and the creation of specialized service teams. We also improved in key areas of focus related to operational efficiency, service support and technology. In addition, key performance indicators, including average speed to answer, exceeded target performance.</w:t>
      </w:r>
    </w:p>
    <w:p>
      <w:pPr>
        <w:spacing w:after="0" w:line="163" w:lineRule="exact"/>
        <w:rPr>
          <w:sz w:val="20"/>
          <w:szCs w:val="20"/>
          <w:color w:val="auto"/>
        </w:rPr>
      </w:pPr>
    </w:p>
    <w:p>
      <w:pPr>
        <w:sectPr>
          <w:pgSz w:w="11900" w:h="16838" w:orient="portrait"/>
          <w:cols w:equalWidth="0" w:num="2">
            <w:col w:w="3780" w:space="260"/>
            <w:col w:w="7380"/>
          </w:cols>
          <w:pgMar w:left="240" w:top="436" w:right="239" w:bottom="1440" w:gutter="0" w:footer="0" w:header="0"/>
          <w:type w:val="continuous"/>
        </w:sectPr>
      </w:pPr>
    </w:p>
    <w:p>
      <w:pPr>
        <w:ind w:left="260" w:right="280"/>
        <w:spacing w:after="0" w:line="275" w:lineRule="auto"/>
        <w:rPr>
          <w:sz w:val="20"/>
          <w:szCs w:val="20"/>
          <w:color w:val="auto"/>
        </w:rPr>
      </w:pPr>
      <w:r>
        <w:rPr>
          <w:rFonts w:ascii="Arial" w:cs="Arial" w:eastAsia="Arial" w:hAnsi="Arial"/>
          <w:sz w:val="17"/>
          <w:szCs w:val="17"/>
          <w:color w:val="auto"/>
        </w:rPr>
        <w:t>Achieve G&amp;A target through expense management and operational efficiency</w:t>
      </w:r>
    </w:p>
    <w:p>
      <w:pPr>
        <w:spacing w:after="0" w:line="335" w:lineRule="exact"/>
        <w:rPr>
          <w:sz w:val="20"/>
          <w:szCs w:val="20"/>
          <w:color w:val="auto"/>
        </w:rPr>
      </w:pPr>
    </w:p>
    <w:p>
      <w:pPr>
        <w:ind w:left="260" w:right="220"/>
        <w:spacing w:after="0" w:line="239" w:lineRule="auto"/>
        <w:rPr>
          <w:sz w:val="20"/>
          <w:szCs w:val="20"/>
          <w:color w:val="auto"/>
        </w:rPr>
      </w:pPr>
      <w:r>
        <w:rPr>
          <w:rFonts w:ascii="Arial" w:cs="Arial" w:eastAsia="Arial" w:hAnsi="Arial"/>
          <w:sz w:val="18"/>
          <w:szCs w:val="18"/>
          <w:color w:val="auto"/>
        </w:rPr>
        <w:t>Manage risk through successful DOL fiduciary rule implementation and the completion of multi-year GRC and Legal efforts</w:t>
      </w:r>
    </w:p>
    <w:p>
      <w:pPr>
        <w:spacing w:after="0" w:line="161" w:lineRule="exact"/>
        <w:rPr>
          <w:sz w:val="20"/>
          <w:szCs w:val="20"/>
          <w:color w:val="auto"/>
        </w:rPr>
      </w:pPr>
    </w:p>
    <w:p>
      <w:pPr>
        <w:ind w:left="260"/>
        <w:spacing w:after="0" w:line="239" w:lineRule="auto"/>
        <w:rPr>
          <w:sz w:val="20"/>
          <w:szCs w:val="20"/>
          <w:color w:val="auto"/>
        </w:rPr>
      </w:pPr>
      <w:r>
        <w:rPr>
          <w:rFonts w:ascii="Arial" w:cs="Arial" w:eastAsia="Arial" w:hAnsi="Arial"/>
          <w:sz w:val="18"/>
          <w:szCs w:val="18"/>
          <w:color w:val="auto"/>
        </w:rPr>
        <w:t>Be the destination of choice for employees and business partners by promoting a workplace that empowers diverse teams to work well together for clients and investors</w:t>
      </w:r>
    </w:p>
    <w:p>
      <w:pPr>
        <w:spacing w:after="0" w:line="20" w:lineRule="exact"/>
        <w:rPr>
          <w:sz w:val="20"/>
          <w:szCs w:val="20"/>
          <w:color w:val="auto"/>
        </w:rPr>
      </w:pPr>
      <w:r>
        <w:rPr>
          <w:sz w:val="20"/>
          <w:szCs w:val="20"/>
          <w:color w:val="auto"/>
        </w:rPr>
        <w:br w:type="column"/>
      </w:r>
    </w:p>
    <w:p>
      <w:pPr>
        <w:ind w:right="180"/>
        <w:spacing w:after="0"/>
        <w:rPr>
          <w:sz w:val="20"/>
          <w:szCs w:val="20"/>
          <w:color w:val="auto"/>
        </w:rPr>
      </w:pPr>
      <w:r>
        <w:rPr>
          <w:rFonts w:ascii="Arial" w:cs="Arial" w:eastAsia="Arial" w:hAnsi="Arial"/>
          <w:sz w:val="18"/>
          <w:szCs w:val="18"/>
          <w:color w:val="auto"/>
        </w:rPr>
        <w:t>Full-year expenses were favorable to budget due to strong expense management. Core G&amp;A, a non-GAAP metric, was $700 million, representing less than a 1% growth rate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9525</wp:posOffset>
            </wp:positionV>
            <wp:extent cx="7031990" cy="6261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31990" cy="626110"/>
                    </a:xfrm>
                    <a:prstGeom prst="rect">
                      <a:avLst/>
                    </a:prstGeom>
                    <a:noFill/>
                  </pic:spPr>
                </pic:pic>
              </a:graphicData>
            </a:graphic>
          </wp:anchor>
        </w:drawing>
      </w:r>
    </w:p>
    <w:p>
      <w:pPr>
        <w:spacing w:after="0" w:line="142"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The Company made measurable progress with its DOL fiduciary rule implementation plans. Compliance testing programs and execution of key controls and related initiatives were completed on target.</w:t>
      </w:r>
    </w:p>
    <w:p>
      <w:pPr>
        <w:spacing w:after="0" w:line="365"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Our employee engagement index was below the year-end target. This was primarily caused by workplace dynamics, including a decision to not generally grant merit increases in base compensation. The Company exceeded its retention target for top talent, however.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127000</wp:posOffset>
            </wp:positionV>
            <wp:extent cx="70319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86" w:lineRule="exact"/>
        <w:rPr>
          <w:sz w:val="20"/>
          <w:szCs w:val="20"/>
          <w:color w:val="auto"/>
        </w:rPr>
      </w:pPr>
    </w:p>
    <w:p>
      <w:pPr>
        <w:sectPr>
          <w:pgSz w:w="11900" w:h="16838" w:orient="portrait"/>
          <w:cols w:equalWidth="0" w:num="2">
            <w:col w:w="3680" w:space="360"/>
            <w:col w:w="7380"/>
          </w:cols>
          <w:pgMar w:left="240" w:top="436" w:right="239" w:bottom="1440" w:gutter="0" w:footer="0" w:header="0"/>
          <w:type w:val="continuous"/>
        </w:sectPr>
      </w:pPr>
    </w:p>
    <w:p>
      <w:pPr>
        <w:spacing w:after="0" w:line="9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we look forward to 2017, the Board of Directors has recommitted our management team to goal categories that are generally consistent with those adopted in 2016.</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34 | </w:t>
      </w:r>
      <w:r>
        <w:rPr>
          <w:rFonts w:ascii="Arial" w:cs="Arial" w:eastAsia="Arial" w:hAnsi="Arial"/>
          <w:sz w:val="18"/>
          <w:szCs w:val="18"/>
          <w:b w:val="1"/>
          <w:bCs w:val="1"/>
          <w:color w:val="003B71"/>
        </w:rPr>
        <w:t>2017 Proxy Statement</w:t>
      </w:r>
    </w:p>
    <w:p>
      <w:pPr>
        <w:sectPr>
          <w:pgSz w:w="11900" w:h="16838" w:orient="portrait"/>
          <w:cols w:equalWidth="0" w:num="1">
            <w:col w:w="11420"/>
          </w:cols>
          <w:pgMar w:left="240" w:top="436" w:right="239" w:bottom="1440" w:gutter="0" w:footer="0" w:header="0"/>
          <w:type w:val="continuous"/>
        </w:sectPr>
      </w:pPr>
    </w:p>
    <w:bookmarkStart w:id="40" w:name="page41"/>
    <w:bookmarkEnd w:id="40"/>
    <w:p>
      <w:pPr>
        <w:jc w:val="right"/>
        <w:ind w:right="6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Non-GAAP Financial Measures</w:t>
      </w:r>
    </w:p>
    <w:p>
      <w:pPr>
        <w:spacing w:after="0" w:line="13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believe that presenting certain non-GAAP measures by excluding or including certain items can be helpful to investors and analysts who may wish to use some or all of this information to analyze the Company’s current performance, prospects, and valuation. We use this non-GAAP information internally to evaluate operating performance and to formulate the budget for future periods. We believe that the non-GAAP measures and metrics discussed below are appropriate for evaluating the performance of the Company.</w:t>
      </w:r>
    </w:p>
    <w:p>
      <w:pPr>
        <w:sectPr>
          <w:pgSz w:w="11900" w:h="16838" w:orient="portrait"/>
          <w:cols w:equalWidth="0" w:num="1">
            <w:col w:w="11420"/>
          </w:cols>
          <w:pgMar w:left="240" w:top="436" w:right="239" w:bottom="1440" w:gutter="0" w:footer="0" w:header="0"/>
        </w:sectPr>
      </w:pPr>
    </w:p>
    <w:p>
      <w:pPr>
        <w:spacing w:after="0" w:line="78"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336699"/>
        </w:rPr>
        <w:t xml:space="preserve">Gross Profit. </w:t>
      </w:r>
      <w:r>
        <w:rPr>
          <w:rFonts w:ascii="Arial" w:cs="Arial" w:eastAsia="Arial" w:hAnsi="Arial"/>
          <w:sz w:val="18"/>
          <w:szCs w:val="18"/>
          <w:color w:val="000000"/>
        </w:rPr>
        <w:t>Gross Profit is calculated as net revenues less</w:t>
      </w:r>
      <w:r>
        <w:rPr>
          <w:rFonts w:ascii="Arial" w:cs="Arial" w:eastAsia="Arial" w:hAnsi="Arial"/>
          <w:sz w:val="18"/>
          <w:szCs w:val="18"/>
          <w:i w:val="1"/>
          <w:iCs w:val="1"/>
          <w:color w:val="336699"/>
        </w:rPr>
        <w:t xml:space="preserve"> </w:t>
      </w:r>
      <w:r>
        <w:rPr>
          <w:rFonts w:ascii="Arial" w:cs="Arial" w:eastAsia="Arial" w:hAnsi="Arial"/>
          <w:sz w:val="18"/>
          <w:szCs w:val="18"/>
          <w:color w:val="000000"/>
        </w:rPr>
        <w:t>commission and advisory expenses and brokerage, clearing, and exchange fees. All other expense categories, including depreciation and amortization, are considered general and administrative in nature. Because the Company’s Gross Profit amounts do not include any depreciation and amortization expense, the Company considers its Gross Profit amounts to be non-GAAP measures that may not be comparable to those of others in its industry. We believe that Gross Profit can be useful to investors because it shows the Company’s core operating performance before indirect costs that are general and administrative in nature.</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336699"/>
        </w:rPr>
        <w:t xml:space="preserve">Core G&amp;A. </w:t>
      </w:r>
      <w:r>
        <w:rPr>
          <w:rFonts w:ascii="Arial" w:cs="Arial" w:eastAsia="Arial" w:hAnsi="Arial"/>
          <w:sz w:val="18"/>
          <w:szCs w:val="18"/>
          <w:color w:val="000000"/>
        </w:rPr>
        <w:t>Core G&amp;A consists of total operating expenses, which</w:t>
      </w:r>
      <w:r>
        <w:rPr>
          <w:rFonts w:ascii="Arial" w:cs="Arial" w:eastAsia="Arial" w:hAnsi="Arial"/>
          <w:sz w:val="18"/>
          <w:szCs w:val="18"/>
          <w:i w:val="1"/>
          <w:iCs w:val="1"/>
          <w:color w:val="336699"/>
        </w:rPr>
        <w:t xml:space="preserve"> </w:t>
      </w:r>
      <w:r>
        <w:rPr>
          <w:rFonts w:ascii="Arial" w:cs="Arial" w:eastAsia="Arial" w:hAnsi="Arial"/>
          <w:sz w:val="18"/>
          <w:szCs w:val="18"/>
          <w:color w:val="000000"/>
        </w:rPr>
        <w:t>were $3.7 billion for the year ended December 31, 2016, excluding the following expenses: commission and advisory, regulatory charges, promotional, employee share-based compensation, depreciation and amortization, amortization of intangible assets, and brokerage, clearing, and exchange. We present Core G&amp;A because we believe Core G&amp;A reflects the corporate operating expense categories over which we can generally exercise a measure of control, compared with expense items over which we either cannot exercise control, such as commission and advisory expenses, or which we view as a promotional expense necessary to support advisor growth and retention, including conferences and transition assistance. Core G&amp;A is not a measure of the Company’s total operating expenses as calculated in accordance with GAAP. The Company does not provide an outlook for its total operating expenses because it contains expense components, such as commission and advisory expenses, that are market-driven and over which the Company cannot exercise control. Set forth below is a reconciliation of the Company's total operating expenses to Core G&amp;A for the year ended December 31, 2016.</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336699"/>
        </w:rPr>
        <w:t xml:space="preserve">Adjusted EBITDA. </w:t>
      </w:r>
      <w:r>
        <w:rPr>
          <w:rFonts w:ascii="Arial" w:cs="Arial" w:eastAsia="Arial" w:hAnsi="Arial"/>
          <w:sz w:val="18"/>
          <w:szCs w:val="18"/>
          <w:color w:val="000000"/>
        </w:rPr>
        <w:t>Adjusted EBITDA is defined as EBITDA (net</w:t>
      </w:r>
      <w:r>
        <w:rPr>
          <w:rFonts w:ascii="Arial" w:cs="Arial" w:eastAsia="Arial" w:hAnsi="Arial"/>
          <w:sz w:val="18"/>
          <w:szCs w:val="18"/>
          <w:i w:val="1"/>
          <w:iCs w:val="1"/>
          <w:color w:val="336699"/>
        </w:rPr>
        <w:t xml:space="preserve"> </w:t>
      </w:r>
      <w:r>
        <w:rPr>
          <w:rFonts w:ascii="Arial" w:cs="Arial" w:eastAsia="Arial" w:hAnsi="Arial"/>
          <w:sz w:val="18"/>
          <w:szCs w:val="18"/>
          <w:color w:val="000000"/>
        </w:rPr>
        <w:t>income plus interest expense, income tax expense, depreciation and amortization), further adjusted to exclude certain non-cash charges and other adjustments. We believe that Adjusted EBITDA can be a useful financial metric in assessing our historical operating performance from period to period by excluding certain items that we believe are not representative of our core business. Set forth below is a reconciliation of the Company's net income to Adjusted EBITDA for the years ended December 31, 2016, 2015, and 2014.</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336699"/>
        </w:rPr>
        <w:t xml:space="preserve">Credit Agreement EBITDA. </w:t>
      </w:r>
      <w:r>
        <w:rPr>
          <w:rFonts w:ascii="Arial" w:cs="Arial" w:eastAsia="Arial" w:hAnsi="Arial"/>
          <w:sz w:val="18"/>
          <w:szCs w:val="18"/>
          <w:color w:val="000000"/>
        </w:rPr>
        <w:t>Credit Agreement EBITDA is defined in</w:t>
      </w:r>
      <w:r>
        <w:rPr>
          <w:rFonts w:ascii="Arial" w:cs="Arial" w:eastAsia="Arial" w:hAnsi="Arial"/>
          <w:sz w:val="18"/>
          <w:szCs w:val="18"/>
          <w:i w:val="1"/>
          <w:iCs w:val="1"/>
          <w:color w:val="336699"/>
        </w:rPr>
        <w:t xml:space="preserve"> </w:t>
      </w:r>
      <w:r>
        <w:rPr>
          <w:rFonts w:ascii="Arial" w:cs="Arial" w:eastAsia="Arial" w:hAnsi="Arial"/>
          <w:sz w:val="18"/>
          <w:szCs w:val="18"/>
          <w:color w:val="000000"/>
        </w:rPr>
        <w:t>the Company’s credit agreement (“Credit Agreement”) as “Consolidated EBITDA,” which is Consolidated Net Income (as defined in the Credit Agreement) plus interest expense, tax expense, depreciation and amortization and further adjusted to exclude certain non-cash charges and other adjustments, including unusual or non-recurring charges and gains. We present Credit Agreement EBITDA because we believe that it can be a useful financial metric in understanding the Company’s debt capacity and covenant compliance under its Credit Agreement.</w:t>
      </w:r>
    </w:p>
    <w:p>
      <w:pPr>
        <w:spacing w:after="0" w:line="20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Gross Profit, Core G&amp;A, Adjusted EBITDA, and Credit Agreement EBITDA are not measures of the Company’s financial performance under GAAP and should not be considered as an alternative to net income or earnings per share or any other performance measure derived in accordance with GAAP, or as an alternative to cash flows from operating activities as a measure of profitability or liquidity. In addition, Adjusted EBITDA and Credit Agreement EBITDA can differ significantly from company to company depending on, among other things, long-term strategic decisions regarding capital structure, the tax jurisdictions in which companies operate, and capital investments.</w:t>
      </w:r>
    </w:p>
    <w:p>
      <w:pPr>
        <w:spacing w:after="0" w:line="202" w:lineRule="exact"/>
        <w:rPr>
          <w:sz w:val="20"/>
          <w:szCs w:val="20"/>
          <w:color w:val="auto"/>
        </w:rPr>
      </w:pPr>
    </w:p>
    <w:p>
      <w:pPr>
        <w:sectPr>
          <w:pgSz w:w="11900" w:h="16838" w:orient="portrait"/>
          <w:cols w:equalWidth="0" w:num="2">
            <w:col w:w="5480" w:space="460"/>
            <w:col w:w="5480"/>
          </w:cols>
          <w:pgMar w:left="240" w:top="436" w:right="239" w:bottom="1440" w:gutter="0" w:footer="0" w:header="0"/>
          <w:type w:val="continuous"/>
        </w:sectPr>
      </w:pPr>
    </w:p>
    <w:p>
      <w:pPr>
        <w:spacing w:after="0" w:line="11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You can find additional related information, including a reconciliation of the Company's net income to Credit Agreement EBITDA for the year ended December 31, 2016, within our Annual Report, under “Item 7. Management’s Discussion and Analysis of Financial Condition and Results of Operations—How We Evaluate Our Business.”</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35</w:t>
      </w:r>
    </w:p>
    <w:p>
      <w:pPr>
        <w:sectPr>
          <w:pgSz w:w="11900" w:h="16838" w:orient="portrait"/>
          <w:cols w:equalWidth="0" w:num="1">
            <w:col w:w="11420"/>
          </w:cols>
          <w:pgMar w:left="240" w:top="436" w:right="239" w:bottom="1440" w:gutter="0" w:footer="0" w:header="0"/>
          <w:type w:val="continuous"/>
        </w:sectPr>
      </w:pPr>
    </w:p>
    <w:bookmarkStart w:id="41" w:name="page42"/>
    <w:bookmarkEnd w:id="41"/>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32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Set forth below is a reconciliation of Core G&amp;A to the Company's total operating expenses for the twelve months ended December 31, 2016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160" w:type="dxa"/>
            <w:vAlign w:val="bottom"/>
            <w:shd w:val="clear" w:color="auto" w:fill="CCFFFF"/>
          </w:tcPr>
          <w:p>
            <w:pPr>
              <w:ind w:left="260"/>
              <w:spacing w:after="0"/>
              <w:rPr>
                <w:sz w:val="20"/>
                <w:szCs w:val="20"/>
                <w:color w:val="auto"/>
              </w:rPr>
            </w:pPr>
            <w:r>
              <w:rPr>
                <w:rFonts w:ascii="Arial" w:cs="Arial" w:eastAsia="Arial" w:hAnsi="Arial"/>
                <w:sz w:val="16"/>
                <w:szCs w:val="16"/>
                <w:color w:val="auto"/>
              </w:rPr>
              <w:t>Core G&amp;A</w:t>
            </w:r>
          </w:p>
        </w:tc>
        <w:tc>
          <w:tcPr>
            <w:tcW w:w="280" w:type="dxa"/>
            <w:vAlign w:val="bottom"/>
            <w:shd w:val="clear" w:color="auto" w:fill="CCFF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699,868</w:t>
            </w:r>
          </w:p>
        </w:tc>
      </w:tr>
      <w:tr>
        <w:trPr>
          <w:trHeight w:val="233"/>
        </w:trPr>
        <w:tc>
          <w:tcPr>
            <w:tcW w:w="10160" w:type="dxa"/>
            <w:vAlign w:val="bottom"/>
          </w:tcPr>
          <w:p>
            <w:pPr>
              <w:ind w:left="260"/>
              <w:spacing w:after="0"/>
              <w:rPr>
                <w:sz w:val="20"/>
                <w:szCs w:val="20"/>
                <w:color w:val="auto"/>
              </w:rPr>
            </w:pPr>
            <w:r>
              <w:rPr>
                <w:rFonts w:ascii="Arial" w:cs="Arial" w:eastAsia="Arial" w:hAnsi="Arial"/>
                <w:sz w:val="16"/>
                <w:szCs w:val="16"/>
                <w:color w:val="auto"/>
              </w:rPr>
              <w:t>Regulatory charges</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17,461</w:t>
            </w:r>
          </w:p>
        </w:tc>
      </w:tr>
      <w:tr>
        <w:trPr>
          <w:trHeight w:val="253"/>
        </w:trPr>
        <w:tc>
          <w:tcPr>
            <w:tcW w:w="10160" w:type="dxa"/>
            <w:vAlign w:val="bottom"/>
            <w:shd w:val="clear" w:color="auto" w:fill="CCFFFF"/>
          </w:tcPr>
          <w:p>
            <w:pPr>
              <w:ind w:left="260"/>
              <w:spacing w:after="0"/>
              <w:rPr>
                <w:sz w:val="20"/>
                <w:szCs w:val="20"/>
                <w:color w:val="auto"/>
              </w:rPr>
            </w:pPr>
            <w:r>
              <w:rPr>
                <w:rFonts w:ascii="Arial" w:cs="Arial" w:eastAsia="Arial" w:hAnsi="Arial"/>
                <w:sz w:val="16"/>
                <w:szCs w:val="16"/>
                <w:color w:val="auto"/>
              </w:rPr>
              <w:t>Promotional</w:t>
            </w:r>
          </w:p>
        </w:tc>
        <w:tc>
          <w:tcPr>
            <w:tcW w:w="280" w:type="dxa"/>
            <w:vAlign w:val="bottom"/>
            <w:shd w:val="clear" w:color="auto" w:fill="CCFFFF"/>
          </w:tcPr>
          <w:p>
            <w:pPr>
              <w:spacing w:after="0"/>
              <w:rPr>
                <w:sz w:val="21"/>
                <w:szCs w:val="21"/>
                <w:color w:val="auto"/>
              </w:rPr>
            </w:pPr>
          </w:p>
        </w:tc>
        <w:tc>
          <w:tcPr>
            <w:tcW w:w="98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148,612</w:t>
            </w:r>
          </w:p>
        </w:tc>
      </w:tr>
      <w:tr>
        <w:trPr>
          <w:trHeight w:val="237"/>
        </w:trPr>
        <w:tc>
          <w:tcPr>
            <w:tcW w:w="10160" w:type="dxa"/>
            <w:vAlign w:val="bottom"/>
            <w:tcBorders>
              <w:bottom w:val="single" w:sz="8" w:color="CCFFFF"/>
            </w:tcBorders>
          </w:tcPr>
          <w:p>
            <w:pPr>
              <w:ind w:left="260"/>
              <w:spacing w:after="0"/>
              <w:rPr>
                <w:sz w:val="20"/>
                <w:szCs w:val="20"/>
                <w:color w:val="auto"/>
              </w:rPr>
            </w:pPr>
            <w:r>
              <w:rPr>
                <w:rFonts w:ascii="Arial" w:cs="Arial" w:eastAsia="Arial" w:hAnsi="Arial"/>
                <w:sz w:val="16"/>
                <w:szCs w:val="16"/>
                <w:color w:val="auto"/>
              </w:rPr>
              <w:t>Employee share-based compensation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20,352</w:t>
            </w:r>
          </w:p>
        </w:tc>
      </w:tr>
      <w:tr>
        <w:trPr>
          <w:trHeight w:val="243"/>
        </w:trPr>
        <w:tc>
          <w:tcPr>
            <w:tcW w:w="10160" w:type="dxa"/>
            <w:vAlign w:val="bottom"/>
            <w:shd w:val="clear" w:color="auto" w:fill="CCFFFF"/>
          </w:tcPr>
          <w:p>
            <w:pPr>
              <w:ind w:left="420"/>
              <w:spacing w:after="0"/>
              <w:rPr>
                <w:sz w:val="20"/>
                <w:szCs w:val="20"/>
                <w:color w:val="auto"/>
              </w:rPr>
            </w:pPr>
            <w:r>
              <w:rPr>
                <w:rFonts w:ascii="Arial" w:cs="Arial" w:eastAsia="Arial" w:hAnsi="Arial"/>
                <w:sz w:val="16"/>
                <w:szCs w:val="16"/>
                <w:color w:val="auto"/>
              </w:rPr>
              <w:t>Total G&amp;A</w:t>
            </w:r>
          </w:p>
        </w:tc>
        <w:tc>
          <w:tcPr>
            <w:tcW w:w="280" w:type="dxa"/>
            <w:vAlign w:val="bottom"/>
            <w:shd w:val="clear" w:color="auto" w:fill="CCFFFF"/>
          </w:tcPr>
          <w:p>
            <w:pPr>
              <w:spacing w:after="0"/>
              <w:rPr>
                <w:sz w:val="21"/>
                <w:szCs w:val="21"/>
                <w:color w:val="auto"/>
              </w:rPr>
            </w:pPr>
          </w:p>
        </w:tc>
        <w:tc>
          <w:tcPr>
            <w:tcW w:w="98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886,293</w:t>
            </w:r>
          </w:p>
        </w:tc>
      </w:tr>
      <w:tr>
        <w:trPr>
          <w:trHeight w:val="233"/>
        </w:trPr>
        <w:tc>
          <w:tcPr>
            <w:tcW w:w="10160" w:type="dxa"/>
            <w:vAlign w:val="bottom"/>
          </w:tcPr>
          <w:p>
            <w:pPr>
              <w:ind w:left="260"/>
              <w:spacing w:after="0"/>
              <w:rPr>
                <w:sz w:val="20"/>
                <w:szCs w:val="20"/>
                <w:color w:val="auto"/>
              </w:rPr>
            </w:pPr>
            <w:r>
              <w:rPr>
                <w:rFonts w:ascii="Arial" w:cs="Arial" w:eastAsia="Arial" w:hAnsi="Arial"/>
                <w:sz w:val="16"/>
                <w:szCs w:val="16"/>
                <w:color w:val="auto"/>
              </w:rPr>
              <w:t>Commissions and advisory</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2,600,624</w:t>
            </w:r>
          </w:p>
        </w:tc>
      </w:tr>
      <w:tr>
        <w:trPr>
          <w:trHeight w:val="253"/>
        </w:trPr>
        <w:tc>
          <w:tcPr>
            <w:tcW w:w="10160" w:type="dxa"/>
            <w:vAlign w:val="bottom"/>
            <w:shd w:val="clear" w:color="auto" w:fill="CCFFFF"/>
          </w:tcPr>
          <w:p>
            <w:pPr>
              <w:ind w:left="260"/>
              <w:spacing w:after="0"/>
              <w:rPr>
                <w:sz w:val="20"/>
                <w:szCs w:val="20"/>
                <w:color w:val="auto"/>
              </w:rPr>
            </w:pPr>
            <w:r>
              <w:rPr>
                <w:rFonts w:ascii="Arial" w:cs="Arial" w:eastAsia="Arial" w:hAnsi="Arial"/>
                <w:sz w:val="16"/>
                <w:szCs w:val="16"/>
                <w:color w:val="auto"/>
              </w:rPr>
              <w:t>Depreciation &amp; amortization</w:t>
            </w:r>
          </w:p>
        </w:tc>
        <w:tc>
          <w:tcPr>
            <w:tcW w:w="280" w:type="dxa"/>
            <w:vAlign w:val="bottom"/>
            <w:shd w:val="clear" w:color="auto" w:fill="CCFFFF"/>
          </w:tcPr>
          <w:p>
            <w:pPr>
              <w:spacing w:after="0"/>
              <w:rPr>
                <w:sz w:val="21"/>
                <w:szCs w:val="21"/>
                <w:color w:val="auto"/>
              </w:rPr>
            </w:pPr>
          </w:p>
        </w:tc>
        <w:tc>
          <w:tcPr>
            <w:tcW w:w="98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75,928</w:t>
            </w:r>
          </w:p>
        </w:tc>
      </w:tr>
      <w:tr>
        <w:trPr>
          <w:trHeight w:val="233"/>
        </w:trPr>
        <w:tc>
          <w:tcPr>
            <w:tcW w:w="10160" w:type="dxa"/>
            <w:vAlign w:val="bottom"/>
          </w:tcPr>
          <w:p>
            <w:pPr>
              <w:ind w:left="26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38,035</w:t>
            </w:r>
          </w:p>
        </w:tc>
      </w:tr>
      <w:tr>
        <w:trPr>
          <w:trHeight w:val="246"/>
        </w:trPr>
        <w:tc>
          <w:tcPr>
            <w:tcW w:w="10160" w:type="dxa"/>
            <w:vAlign w:val="bottom"/>
            <w:shd w:val="clear" w:color="auto" w:fill="CCFFFF"/>
          </w:tcPr>
          <w:p>
            <w:pPr>
              <w:ind w:left="260"/>
              <w:spacing w:after="0"/>
              <w:rPr>
                <w:sz w:val="20"/>
                <w:szCs w:val="20"/>
                <w:color w:val="auto"/>
              </w:rPr>
            </w:pPr>
            <w:r>
              <w:rPr>
                <w:rFonts w:ascii="Arial" w:cs="Arial" w:eastAsia="Arial" w:hAnsi="Arial"/>
                <w:sz w:val="16"/>
                <w:szCs w:val="16"/>
                <w:color w:val="auto"/>
              </w:rPr>
              <w:t>Brokerage, clearing and exchange</w:t>
            </w:r>
          </w:p>
        </w:tc>
        <w:tc>
          <w:tcPr>
            <w:tcW w:w="280" w:type="dxa"/>
            <w:vAlign w:val="bottom"/>
            <w:tcBorders>
              <w:bottom w:val="single" w:sz="8" w:color="auto"/>
            </w:tcBorders>
            <w:shd w:val="clear" w:color="auto" w:fill="CCFFFF"/>
          </w:tcPr>
          <w:p>
            <w:pPr>
              <w:spacing w:after="0"/>
              <w:rPr>
                <w:sz w:val="21"/>
                <w:szCs w:val="21"/>
                <w:color w:val="auto"/>
              </w:rPr>
            </w:pPr>
          </w:p>
        </w:tc>
        <w:tc>
          <w:tcPr>
            <w:tcW w:w="980" w:type="dxa"/>
            <w:vAlign w:val="bottom"/>
            <w:tcBorders>
              <w:bottom w:val="single" w:sz="8" w:color="auto"/>
            </w:tcBorders>
            <w:shd w:val="clear" w:color="auto" w:fill="CCFFFF"/>
          </w:tcPr>
          <w:p>
            <w:pPr>
              <w:jc w:val="right"/>
              <w:ind w:right="19"/>
              <w:spacing w:after="0"/>
              <w:rPr>
                <w:sz w:val="20"/>
                <w:szCs w:val="20"/>
                <w:color w:val="auto"/>
              </w:rPr>
            </w:pPr>
            <w:r>
              <w:rPr>
                <w:rFonts w:ascii="Arial" w:cs="Arial" w:eastAsia="Arial" w:hAnsi="Arial"/>
                <w:sz w:val="16"/>
                <w:szCs w:val="16"/>
                <w:color w:val="auto"/>
              </w:rPr>
              <w:t>54,509</w:t>
            </w:r>
          </w:p>
        </w:tc>
      </w:tr>
      <w:tr>
        <w:trPr>
          <w:trHeight w:val="240"/>
        </w:trPr>
        <w:tc>
          <w:tcPr>
            <w:tcW w:w="10160" w:type="dxa"/>
            <w:vAlign w:val="bottom"/>
          </w:tcPr>
          <w:p>
            <w:pPr>
              <w:ind w:left="180"/>
              <w:spacing w:after="0"/>
              <w:rPr>
                <w:sz w:val="20"/>
                <w:szCs w:val="20"/>
                <w:color w:val="auto"/>
              </w:rPr>
            </w:pPr>
            <w:r>
              <w:rPr>
                <w:rFonts w:ascii="Arial" w:cs="Arial" w:eastAsia="Arial" w:hAnsi="Arial"/>
                <w:sz w:val="16"/>
                <w:szCs w:val="16"/>
                <w:color w:val="auto"/>
              </w:rPr>
              <w:t>Total operating expense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3,655,389</w:t>
            </w:r>
          </w:p>
        </w:tc>
      </w:tr>
      <w:tr>
        <w:trPr>
          <w:trHeight w:val="20"/>
        </w:trPr>
        <w:tc>
          <w:tcPr>
            <w:tcW w:w="10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Set forth below is a reconciliation of the Company's net income to Adjusted EBITDA for the twelve months ended December 31, 2016, 2015, and 2014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Borders>
              <w:bottom w:val="single" w:sz="8" w:color="CCFFFF"/>
            </w:tcBorders>
          </w:tcPr>
          <w:p>
            <w:pPr>
              <w:spacing w:after="0"/>
              <w:rPr>
                <w:sz w:val="19"/>
                <w:szCs w:val="19"/>
                <w:color w:val="auto"/>
              </w:rPr>
            </w:pPr>
          </w:p>
        </w:tc>
        <w:tc>
          <w:tcPr>
            <w:tcW w:w="280" w:type="dxa"/>
            <w:vAlign w:val="bottom"/>
            <w:tcBorders>
              <w:bottom w:val="single" w:sz="8" w:color="336699"/>
            </w:tcBorders>
          </w:tcPr>
          <w:p>
            <w:pPr>
              <w:spacing w:after="0"/>
              <w:rPr>
                <w:sz w:val="19"/>
                <w:szCs w:val="19"/>
                <w:color w:val="auto"/>
              </w:rPr>
            </w:pPr>
          </w:p>
        </w:tc>
        <w:tc>
          <w:tcPr>
            <w:tcW w:w="980" w:type="dxa"/>
            <w:vAlign w:val="bottom"/>
            <w:tcBorders>
              <w:bottom w:val="single" w:sz="8" w:color="336699"/>
            </w:tcBorders>
          </w:tcPr>
          <w:p>
            <w:pPr>
              <w:jc w:val="right"/>
              <w:ind w:right="379"/>
              <w:spacing w:after="0"/>
              <w:rPr>
                <w:sz w:val="20"/>
                <w:szCs w:val="20"/>
                <w:color w:val="auto"/>
              </w:rPr>
            </w:pPr>
            <w:r>
              <w:rPr>
                <w:rFonts w:ascii="Arial" w:cs="Arial" w:eastAsia="Arial" w:hAnsi="Arial"/>
                <w:sz w:val="16"/>
                <w:szCs w:val="16"/>
                <w:b w:val="1"/>
                <w:bCs w:val="1"/>
                <w:color w:val="336699"/>
              </w:rPr>
              <w:t>2016</w:t>
            </w:r>
          </w:p>
        </w:tc>
        <w:tc>
          <w:tcPr>
            <w:tcW w:w="100" w:type="dxa"/>
            <w:vAlign w:val="bottom"/>
            <w:tcBorders>
              <w:bottom w:val="single" w:sz="8" w:color="CCFFFF"/>
            </w:tcBorders>
          </w:tcPr>
          <w:p>
            <w:pPr>
              <w:spacing w:after="0"/>
              <w:rPr>
                <w:sz w:val="19"/>
                <w:szCs w:val="19"/>
                <w:color w:val="auto"/>
              </w:rPr>
            </w:pPr>
          </w:p>
        </w:tc>
        <w:tc>
          <w:tcPr>
            <w:tcW w:w="280" w:type="dxa"/>
            <w:vAlign w:val="bottom"/>
            <w:tcBorders>
              <w:bottom w:val="single" w:sz="8" w:color="336699"/>
            </w:tcBorders>
          </w:tcPr>
          <w:p>
            <w:pPr>
              <w:spacing w:after="0"/>
              <w:rPr>
                <w:sz w:val="19"/>
                <w:szCs w:val="19"/>
                <w:color w:val="auto"/>
              </w:rPr>
            </w:pPr>
          </w:p>
        </w:tc>
        <w:tc>
          <w:tcPr>
            <w:tcW w:w="980" w:type="dxa"/>
            <w:vAlign w:val="bottom"/>
            <w:tcBorders>
              <w:bottom w:val="single" w:sz="8" w:color="336699"/>
            </w:tcBorders>
          </w:tcPr>
          <w:p>
            <w:pPr>
              <w:jc w:val="right"/>
              <w:ind w:right="379"/>
              <w:spacing w:after="0"/>
              <w:rPr>
                <w:sz w:val="20"/>
                <w:szCs w:val="20"/>
                <w:color w:val="auto"/>
              </w:rPr>
            </w:pPr>
            <w:r>
              <w:rPr>
                <w:rFonts w:ascii="Arial" w:cs="Arial" w:eastAsia="Arial" w:hAnsi="Arial"/>
                <w:sz w:val="16"/>
                <w:szCs w:val="16"/>
                <w:b w:val="1"/>
                <w:bCs w:val="1"/>
                <w:color w:val="336699"/>
              </w:rPr>
              <w:t>2015</w:t>
            </w:r>
          </w:p>
        </w:tc>
        <w:tc>
          <w:tcPr>
            <w:tcW w:w="100" w:type="dxa"/>
            <w:vAlign w:val="bottom"/>
            <w:tcBorders>
              <w:bottom w:val="single" w:sz="8" w:color="CCFFFF"/>
            </w:tcBorders>
          </w:tcPr>
          <w:p>
            <w:pPr>
              <w:spacing w:after="0"/>
              <w:rPr>
                <w:sz w:val="19"/>
                <w:szCs w:val="19"/>
                <w:color w:val="auto"/>
              </w:rPr>
            </w:pPr>
          </w:p>
        </w:tc>
        <w:tc>
          <w:tcPr>
            <w:tcW w:w="280" w:type="dxa"/>
            <w:vAlign w:val="bottom"/>
            <w:tcBorders>
              <w:bottom w:val="single" w:sz="8" w:color="336699"/>
            </w:tcBorders>
          </w:tcPr>
          <w:p>
            <w:pPr>
              <w:spacing w:after="0"/>
              <w:rPr>
                <w:sz w:val="19"/>
                <w:szCs w:val="19"/>
                <w:color w:val="auto"/>
              </w:rPr>
            </w:pPr>
          </w:p>
        </w:tc>
        <w:tc>
          <w:tcPr>
            <w:tcW w:w="980" w:type="dxa"/>
            <w:vAlign w:val="bottom"/>
            <w:tcBorders>
              <w:bottom w:val="single" w:sz="8" w:color="336699"/>
            </w:tcBorders>
          </w:tcPr>
          <w:p>
            <w:pPr>
              <w:jc w:val="right"/>
              <w:ind w:right="359"/>
              <w:spacing w:after="0"/>
              <w:rPr>
                <w:sz w:val="20"/>
                <w:szCs w:val="20"/>
                <w:color w:val="auto"/>
              </w:rPr>
            </w:pPr>
            <w:r>
              <w:rPr>
                <w:rFonts w:ascii="Arial" w:cs="Arial" w:eastAsia="Arial" w:hAnsi="Arial"/>
                <w:sz w:val="16"/>
                <w:szCs w:val="16"/>
                <w:b w:val="1"/>
                <w:bCs w:val="1"/>
                <w:color w:val="336699"/>
              </w:rPr>
              <w:t>2014</w:t>
            </w:r>
          </w:p>
        </w:tc>
      </w:tr>
      <w:tr>
        <w:trPr>
          <w:trHeight w:val="257"/>
        </w:trPr>
        <w:tc>
          <w:tcPr>
            <w:tcW w:w="7440" w:type="dxa"/>
            <w:vAlign w:val="bottom"/>
            <w:shd w:val="clear" w:color="auto" w:fill="CCFFFF"/>
          </w:tcPr>
          <w:p>
            <w:pPr>
              <w:ind w:left="18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FF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191,931</w:t>
            </w:r>
          </w:p>
        </w:tc>
        <w:tc>
          <w:tcPr>
            <w:tcW w:w="100" w:type="dxa"/>
            <w:vAlign w:val="bottom"/>
            <w:shd w:val="clear" w:color="auto" w:fill="CCFFFF"/>
          </w:tcPr>
          <w:p>
            <w:pPr>
              <w:spacing w:after="0"/>
              <w:rPr>
                <w:sz w:val="22"/>
                <w:szCs w:val="22"/>
                <w:color w:val="auto"/>
              </w:rPr>
            </w:pPr>
          </w:p>
        </w:tc>
        <w:tc>
          <w:tcPr>
            <w:tcW w:w="280" w:type="dxa"/>
            <w:vAlign w:val="bottom"/>
            <w:shd w:val="clear" w:color="auto" w:fill="CCFF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168,784</w:t>
            </w:r>
          </w:p>
        </w:tc>
        <w:tc>
          <w:tcPr>
            <w:tcW w:w="100" w:type="dxa"/>
            <w:vAlign w:val="bottom"/>
            <w:shd w:val="clear" w:color="auto" w:fill="CCFFFF"/>
          </w:tcPr>
          <w:p>
            <w:pPr>
              <w:spacing w:after="0"/>
              <w:rPr>
                <w:sz w:val="22"/>
                <w:szCs w:val="22"/>
                <w:color w:val="auto"/>
              </w:rPr>
            </w:pPr>
          </w:p>
        </w:tc>
        <w:tc>
          <w:tcPr>
            <w:tcW w:w="280" w:type="dxa"/>
            <w:vAlign w:val="bottom"/>
            <w:shd w:val="clear" w:color="auto" w:fill="CCFF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178,043</w:t>
            </w:r>
          </w:p>
        </w:tc>
      </w:tr>
      <w:tr>
        <w:trPr>
          <w:trHeight w:val="260"/>
        </w:trPr>
        <w:tc>
          <w:tcPr>
            <w:tcW w:w="7440" w:type="dxa"/>
            <w:vAlign w:val="bottom"/>
          </w:tcPr>
          <w:p>
            <w:pPr>
              <w:ind w:left="260"/>
              <w:spacing w:after="0"/>
              <w:rPr>
                <w:sz w:val="20"/>
                <w:szCs w:val="20"/>
                <w:color w:val="auto"/>
              </w:rPr>
            </w:pPr>
            <w:r>
              <w:rPr>
                <w:rFonts w:ascii="Arial" w:cs="Arial" w:eastAsia="Arial" w:hAnsi="Arial"/>
                <w:sz w:val="16"/>
                <w:szCs w:val="16"/>
                <w:color w:val="auto"/>
              </w:rPr>
              <w:t>Non-operating interest expense</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96,478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59,136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51,538</w:t>
            </w:r>
          </w:p>
        </w:tc>
      </w:tr>
      <w:tr>
        <w:trPr>
          <w:trHeight w:val="280"/>
        </w:trPr>
        <w:tc>
          <w:tcPr>
            <w:tcW w:w="7440" w:type="dxa"/>
            <w:vAlign w:val="bottom"/>
            <w:shd w:val="clear" w:color="auto" w:fill="CCFFFF"/>
          </w:tcPr>
          <w:p>
            <w:pPr>
              <w:ind w:left="260"/>
              <w:spacing w:after="0"/>
              <w:rPr>
                <w:sz w:val="20"/>
                <w:szCs w:val="20"/>
                <w:color w:val="auto"/>
              </w:rPr>
            </w:pPr>
            <w:r>
              <w:rPr>
                <w:rFonts w:ascii="Arial" w:cs="Arial" w:eastAsia="Arial" w:hAnsi="Arial"/>
                <w:sz w:val="16"/>
                <w:szCs w:val="16"/>
                <w:color w:val="auto"/>
              </w:rPr>
              <w:t>Provision for income taxes</w:t>
            </w:r>
          </w:p>
        </w:tc>
        <w:tc>
          <w:tcPr>
            <w:tcW w:w="280" w:type="dxa"/>
            <w:vAlign w:val="bottom"/>
            <w:shd w:val="clear" w:color="auto" w:fill="CCFFFF"/>
          </w:tcPr>
          <w:p>
            <w:pPr>
              <w:spacing w:after="0"/>
              <w:rPr>
                <w:sz w:val="24"/>
                <w:szCs w:val="24"/>
                <w:color w:val="auto"/>
              </w:rPr>
            </w:pPr>
          </w:p>
        </w:tc>
        <w:tc>
          <w:tcPr>
            <w:tcW w:w="98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105,585</w:t>
            </w:r>
          </w:p>
        </w:tc>
        <w:tc>
          <w:tcPr>
            <w:tcW w:w="100" w:type="dxa"/>
            <w:vAlign w:val="bottom"/>
            <w:shd w:val="clear" w:color="auto" w:fill="CCFFFF"/>
          </w:tcPr>
          <w:p>
            <w:pPr>
              <w:spacing w:after="0"/>
              <w:rPr>
                <w:sz w:val="24"/>
                <w:szCs w:val="24"/>
                <w:color w:val="auto"/>
              </w:rPr>
            </w:pPr>
          </w:p>
        </w:tc>
        <w:tc>
          <w:tcPr>
            <w:tcW w:w="280" w:type="dxa"/>
            <w:vAlign w:val="bottom"/>
            <w:shd w:val="clear" w:color="auto" w:fill="CCFFFF"/>
          </w:tcPr>
          <w:p>
            <w:pPr>
              <w:spacing w:after="0"/>
              <w:rPr>
                <w:sz w:val="24"/>
                <w:szCs w:val="24"/>
                <w:color w:val="auto"/>
              </w:rPr>
            </w:pPr>
          </w:p>
        </w:tc>
        <w:tc>
          <w:tcPr>
            <w:tcW w:w="98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113,771</w:t>
            </w:r>
          </w:p>
        </w:tc>
        <w:tc>
          <w:tcPr>
            <w:tcW w:w="100" w:type="dxa"/>
            <w:vAlign w:val="bottom"/>
            <w:shd w:val="clear" w:color="auto" w:fill="CCFFFF"/>
          </w:tcPr>
          <w:p>
            <w:pPr>
              <w:spacing w:after="0"/>
              <w:rPr>
                <w:sz w:val="24"/>
                <w:szCs w:val="24"/>
                <w:color w:val="auto"/>
              </w:rPr>
            </w:pPr>
          </w:p>
        </w:tc>
        <w:tc>
          <w:tcPr>
            <w:tcW w:w="280" w:type="dxa"/>
            <w:vAlign w:val="bottom"/>
            <w:shd w:val="clear" w:color="auto" w:fill="CCFFFF"/>
          </w:tcPr>
          <w:p>
            <w:pPr>
              <w:spacing w:after="0"/>
              <w:rPr>
                <w:sz w:val="24"/>
                <w:szCs w:val="24"/>
                <w:color w:val="auto"/>
              </w:rPr>
            </w:pPr>
          </w:p>
        </w:tc>
        <w:tc>
          <w:tcPr>
            <w:tcW w:w="98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116,654</w:t>
            </w:r>
          </w:p>
        </w:tc>
      </w:tr>
      <w:tr>
        <w:trPr>
          <w:trHeight w:val="260"/>
        </w:trPr>
        <w:tc>
          <w:tcPr>
            <w:tcW w:w="744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75,928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73,383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57,977</w:t>
            </w:r>
          </w:p>
        </w:tc>
      </w:tr>
      <w:tr>
        <w:trPr>
          <w:trHeight w:val="273"/>
        </w:trPr>
        <w:tc>
          <w:tcPr>
            <w:tcW w:w="7440" w:type="dxa"/>
            <w:vAlign w:val="bottom"/>
            <w:shd w:val="clear" w:color="auto" w:fill="CCFFFF"/>
          </w:tcPr>
          <w:p>
            <w:pPr>
              <w:ind w:left="26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Borders>
              <w:bottom w:val="single" w:sz="8" w:color="auto"/>
            </w:tcBorders>
            <w:shd w:val="clear" w:color="auto" w:fill="CCFFFF"/>
          </w:tcPr>
          <w:p>
            <w:pPr>
              <w:spacing w:after="0"/>
              <w:rPr>
                <w:sz w:val="23"/>
                <w:szCs w:val="23"/>
                <w:color w:val="auto"/>
              </w:rPr>
            </w:pPr>
          </w:p>
        </w:tc>
        <w:tc>
          <w:tcPr>
            <w:tcW w:w="980" w:type="dxa"/>
            <w:vAlign w:val="bottom"/>
            <w:tcBorders>
              <w:bottom w:val="single" w:sz="8" w:color="auto"/>
            </w:tcBorders>
            <w:shd w:val="clear" w:color="auto" w:fill="CCFFFF"/>
          </w:tcPr>
          <w:p>
            <w:pPr>
              <w:jc w:val="right"/>
              <w:ind w:right="39"/>
              <w:spacing w:after="0"/>
              <w:rPr>
                <w:sz w:val="20"/>
                <w:szCs w:val="20"/>
                <w:color w:val="auto"/>
              </w:rPr>
            </w:pPr>
            <w:r>
              <w:rPr>
                <w:rFonts w:ascii="Arial" w:cs="Arial" w:eastAsia="Arial" w:hAnsi="Arial"/>
                <w:sz w:val="16"/>
                <w:szCs w:val="16"/>
                <w:color w:val="auto"/>
              </w:rPr>
              <w:t>38,035</w:t>
            </w:r>
          </w:p>
        </w:tc>
        <w:tc>
          <w:tcPr>
            <w:tcW w:w="100" w:type="dxa"/>
            <w:vAlign w:val="bottom"/>
            <w:tcBorders>
              <w:bottom w:val="single" w:sz="8" w:color="auto"/>
            </w:tcBorders>
            <w:shd w:val="clear" w:color="auto" w:fill="CCFFFF"/>
          </w:tcPr>
          <w:p>
            <w:pPr>
              <w:spacing w:after="0"/>
              <w:rPr>
                <w:sz w:val="23"/>
                <w:szCs w:val="23"/>
                <w:color w:val="auto"/>
              </w:rPr>
            </w:pPr>
          </w:p>
        </w:tc>
        <w:tc>
          <w:tcPr>
            <w:tcW w:w="280" w:type="dxa"/>
            <w:vAlign w:val="bottom"/>
            <w:tcBorders>
              <w:bottom w:val="single" w:sz="8" w:color="auto"/>
            </w:tcBorders>
            <w:shd w:val="clear" w:color="auto" w:fill="CCFFFF"/>
          </w:tcPr>
          <w:p>
            <w:pPr>
              <w:spacing w:after="0"/>
              <w:rPr>
                <w:sz w:val="23"/>
                <w:szCs w:val="23"/>
                <w:color w:val="auto"/>
              </w:rPr>
            </w:pPr>
          </w:p>
        </w:tc>
        <w:tc>
          <w:tcPr>
            <w:tcW w:w="980" w:type="dxa"/>
            <w:vAlign w:val="bottom"/>
            <w:tcBorders>
              <w:bottom w:val="single" w:sz="8" w:color="auto"/>
            </w:tcBorders>
            <w:shd w:val="clear" w:color="auto" w:fill="CCFFFF"/>
          </w:tcPr>
          <w:p>
            <w:pPr>
              <w:jc w:val="right"/>
              <w:ind w:right="39"/>
              <w:spacing w:after="0"/>
              <w:rPr>
                <w:sz w:val="20"/>
                <w:szCs w:val="20"/>
                <w:color w:val="auto"/>
              </w:rPr>
            </w:pPr>
            <w:r>
              <w:rPr>
                <w:rFonts w:ascii="Arial" w:cs="Arial" w:eastAsia="Arial" w:hAnsi="Arial"/>
                <w:sz w:val="16"/>
                <w:szCs w:val="16"/>
                <w:color w:val="auto"/>
              </w:rPr>
              <w:t>38,239</w:t>
            </w:r>
          </w:p>
        </w:tc>
        <w:tc>
          <w:tcPr>
            <w:tcW w:w="100" w:type="dxa"/>
            <w:vAlign w:val="bottom"/>
            <w:tcBorders>
              <w:bottom w:val="single" w:sz="8" w:color="auto"/>
            </w:tcBorders>
            <w:shd w:val="clear" w:color="auto" w:fill="CCFFFF"/>
          </w:tcPr>
          <w:p>
            <w:pPr>
              <w:spacing w:after="0"/>
              <w:rPr>
                <w:sz w:val="23"/>
                <w:szCs w:val="23"/>
                <w:color w:val="auto"/>
              </w:rPr>
            </w:pPr>
          </w:p>
        </w:tc>
        <w:tc>
          <w:tcPr>
            <w:tcW w:w="280" w:type="dxa"/>
            <w:vAlign w:val="bottom"/>
            <w:tcBorders>
              <w:bottom w:val="single" w:sz="8" w:color="auto"/>
            </w:tcBorders>
            <w:shd w:val="clear" w:color="auto" w:fill="CCFFFF"/>
          </w:tcPr>
          <w:p>
            <w:pPr>
              <w:spacing w:after="0"/>
              <w:rPr>
                <w:sz w:val="23"/>
                <w:szCs w:val="23"/>
                <w:color w:val="auto"/>
              </w:rPr>
            </w:pPr>
          </w:p>
        </w:tc>
        <w:tc>
          <w:tcPr>
            <w:tcW w:w="980" w:type="dxa"/>
            <w:vAlign w:val="bottom"/>
            <w:tcBorders>
              <w:bottom w:val="single" w:sz="8" w:color="auto"/>
            </w:tcBorders>
            <w:shd w:val="clear" w:color="auto" w:fill="CCFFFF"/>
          </w:tcPr>
          <w:p>
            <w:pPr>
              <w:jc w:val="right"/>
              <w:ind w:right="19"/>
              <w:spacing w:after="0"/>
              <w:rPr>
                <w:sz w:val="20"/>
                <w:szCs w:val="20"/>
                <w:color w:val="auto"/>
              </w:rPr>
            </w:pPr>
            <w:r>
              <w:rPr>
                <w:rFonts w:ascii="Arial" w:cs="Arial" w:eastAsia="Arial" w:hAnsi="Arial"/>
                <w:sz w:val="16"/>
                <w:szCs w:val="16"/>
                <w:color w:val="auto"/>
              </w:rPr>
              <w:t>38,868</w:t>
            </w:r>
          </w:p>
        </w:tc>
      </w:tr>
      <w:tr>
        <w:trPr>
          <w:trHeight w:val="260"/>
        </w:trPr>
        <w:tc>
          <w:tcPr>
            <w:tcW w:w="7440" w:type="dxa"/>
            <w:vAlign w:val="bottom"/>
          </w:tcPr>
          <w:p>
            <w:pPr>
              <w:ind w:left="420"/>
              <w:spacing w:after="0"/>
              <w:rPr>
                <w:sz w:val="20"/>
                <w:szCs w:val="20"/>
                <w:color w:val="auto"/>
              </w:rPr>
            </w:pPr>
            <w:r>
              <w:rPr>
                <w:rFonts w:ascii="Arial" w:cs="Arial" w:eastAsia="Arial" w:hAnsi="Arial"/>
                <w:sz w:val="16"/>
                <w:szCs w:val="16"/>
                <w:color w:val="auto"/>
              </w:rPr>
              <w:t>EBITDA</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507,957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453,313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443,080</w:t>
            </w:r>
          </w:p>
        </w:tc>
      </w:tr>
      <w:tr>
        <w:trPr>
          <w:trHeight w:val="280"/>
        </w:trPr>
        <w:tc>
          <w:tcPr>
            <w:tcW w:w="7440" w:type="dxa"/>
            <w:vAlign w:val="bottom"/>
            <w:shd w:val="clear" w:color="auto" w:fill="CCFFFF"/>
          </w:tcPr>
          <w:p>
            <w:pPr>
              <w:ind w:left="260"/>
              <w:spacing w:after="0"/>
              <w:rPr>
                <w:sz w:val="20"/>
                <w:szCs w:val="20"/>
                <w:color w:val="auto"/>
              </w:rPr>
            </w:pPr>
            <w:r>
              <w:rPr>
                <w:rFonts w:ascii="Arial" w:cs="Arial" w:eastAsia="Arial" w:hAnsi="Arial"/>
                <w:sz w:val="16"/>
                <w:szCs w:val="16"/>
                <w:color w:val="auto"/>
              </w:rPr>
              <w:t>EBITDA Adjustments:</w:t>
            </w:r>
          </w:p>
        </w:tc>
        <w:tc>
          <w:tcPr>
            <w:tcW w:w="280" w:type="dxa"/>
            <w:vAlign w:val="bottom"/>
            <w:shd w:val="clear" w:color="auto" w:fill="CCFFFF"/>
          </w:tcPr>
          <w:p>
            <w:pPr>
              <w:spacing w:after="0"/>
              <w:rPr>
                <w:sz w:val="24"/>
                <w:szCs w:val="24"/>
                <w:color w:val="auto"/>
              </w:rPr>
            </w:pPr>
          </w:p>
        </w:tc>
        <w:tc>
          <w:tcPr>
            <w:tcW w:w="980" w:type="dxa"/>
            <w:vAlign w:val="bottom"/>
            <w:shd w:val="clear" w:color="auto" w:fill="CCFFFF"/>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280" w:type="dxa"/>
            <w:vAlign w:val="bottom"/>
            <w:shd w:val="clear" w:color="auto" w:fill="CCFFFF"/>
          </w:tcPr>
          <w:p>
            <w:pPr>
              <w:spacing w:after="0"/>
              <w:rPr>
                <w:sz w:val="24"/>
                <w:szCs w:val="24"/>
                <w:color w:val="auto"/>
              </w:rPr>
            </w:pPr>
          </w:p>
        </w:tc>
        <w:tc>
          <w:tcPr>
            <w:tcW w:w="980" w:type="dxa"/>
            <w:vAlign w:val="bottom"/>
            <w:shd w:val="clear" w:color="auto" w:fill="CCFFFF"/>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280" w:type="dxa"/>
            <w:vAlign w:val="bottom"/>
            <w:shd w:val="clear" w:color="auto" w:fill="CCFFFF"/>
          </w:tcPr>
          <w:p>
            <w:pPr>
              <w:spacing w:after="0"/>
              <w:rPr>
                <w:sz w:val="24"/>
                <w:szCs w:val="24"/>
                <w:color w:val="auto"/>
              </w:rPr>
            </w:pPr>
          </w:p>
        </w:tc>
        <w:tc>
          <w:tcPr>
            <w:tcW w:w="980" w:type="dxa"/>
            <w:vAlign w:val="bottom"/>
            <w:shd w:val="clear" w:color="auto" w:fill="CCFFFF"/>
          </w:tcPr>
          <w:p>
            <w:pPr>
              <w:spacing w:after="0"/>
              <w:rPr>
                <w:sz w:val="24"/>
                <w:szCs w:val="24"/>
                <w:color w:val="auto"/>
              </w:rPr>
            </w:pPr>
          </w:p>
        </w:tc>
      </w:tr>
      <w:tr>
        <w:trPr>
          <w:trHeight w:val="270"/>
        </w:trPr>
        <w:tc>
          <w:tcPr>
            <w:tcW w:w="7440" w:type="dxa"/>
            <w:vAlign w:val="bottom"/>
          </w:tcPr>
          <w:p>
            <w:pPr>
              <w:ind w:left="420"/>
              <w:spacing w:after="0"/>
              <w:rPr>
                <w:sz w:val="20"/>
                <w:szCs w:val="20"/>
                <w:color w:val="auto"/>
              </w:rPr>
            </w:pPr>
            <w:r>
              <w:rPr>
                <w:rFonts w:ascii="Arial" w:cs="Arial" w:eastAsia="Arial" w:hAnsi="Arial"/>
                <w:sz w:val="16"/>
                <w:szCs w:val="16"/>
                <w:color w:val="auto"/>
              </w:rPr>
              <w:t>Employee share-based compensation expense</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20,352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23,296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21,246</w:t>
            </w:r>
          </w:p>
        </w:tc>
      </w:tr>
      <w:tr>
        <w:trPr>
          <w:trHeight w:val="270"/>
        </w:trPr>
        <w:tc>
          <w:tcPr>
            <w:tcW w:w="7440" w:type="dxa"/>
            <w:vAlign w:val="bottom"/>
            <w:shd w:val="clear" w:color="auto" w:fill="CCFFFF"/>
          </w:tcPr>
          <w:p>
            <w:pPr>
              <w:ind w:left="420"/>
              <w:spacing w:after="0"/>
              <w:rPr>
                <w:sz w:val="20"/>
                <w:szCs w:val="20"/>
                <w:color w:val="auto"/>
              </w:rPr>
            </w:pPr>
            <w:r>
              <w:rPr>
                <w:rFonts w:ascii="Arial" w:cs="Arial" w:eastAsia="Arial" w:hAnsi="Arial"/>
                <w:sz w:val="16"/>
                <w:szCs w:val="16"/>
                <w:color w:val="auto"/>
              </w:rPr>
              <w:t>Acquisition and integration related expenses</w:t>
            </w:r>
            <w:r>
              <w:rPr>
                <w:rFonts w:ascii="Arial" w:cs="Arial" w:eastAsia="Arial" w:hAnsi="Arial"/>
                <w:sz w:val="21"/>
                <w:szCs w:val="21"/>
                <w:color w:val="auto"/>
                <w:vertAlign w:val="superscript"/>
              </w:rPr>
              <w:t>(2)</w:t>
            </w:r>
          </w:p>
        </w:tc>
        <w:tc>
          <w:tcPr>
            <w:tcW w:w="280" w:type="dxa"/>
            <w:vAlign w:val="bottom"/>
            <w:shd w:val="clear" w:color="auto" w:fill="CCFFFF"/>
          </w:tcPr>
          <w:p>
            <w:pPr>
              <w:spacing w:after="0"/>
              <w:rPr>
                <w:sz w:val="23"/>
                <w:szCs w:val="23"/>
                <w:color w:val="auto"/>
              </w:rPr>
            </w:pPr>
          </w:p>
        </w:tc>
        <w:tc>
          <w:tcPr>
            <w:tcW w:w="1080" w:type="dxa"/>
            <w:vAlign w:val="bottom"/>
            <w:gridSpan w:val="2"/>
            <w:shd w:val="clear" w:color="auto" w:fill="CC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FFFF"/>
          </w:tcPr>
          <w:p>
            <w:pPr>
              <w:spacing w:after="0"/>
              <w:rPr>
                <w:sz w:val="23"/>
                <w:szCs w:val="23"/>
                <w:color w:val="auto"/>
              </w:rPr>
            </w:pPr>
          </w:p>
        </w:tc>
        <w:tc>
          <w:tcPr>
            <w:tcW w:w="98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FFFF"/>
          </w:tcPr>
          <w:p>
            <w:pPr>
              <w:spacing w:after="0"/>
              <w:rPr>
                <w:sz w:val="23"/>
                <w:szCs w:val="23"/>
                <w:color w:val="auto"/>
              </w:rPr>
            </w:pPr>
          </w:p>
        </w:tc>
        <w:tc>
          <w:tcPr>
            <w:tcW w:w="280" w:type="dxa"/>
            <w:vAlign w:val="bottom"/>
            <w:shd w:val="clear" w:color="auto" w:fill="CCFFFF"/>
          </w:tcPr>
          <w:p>
            <w:pPr>
              <w:spacing w:after="0"/>
              <w:rPr>
                <w:sz w:val="23"/>
                <w:szCs w:val="23"/>
                <w:color w:val="auto"/>
              </w:rPr>
            </w:pPr>
          </w:p>
        </w:tc>
        <w:tc>
          <w:tcPr>
            <w:tcW w:w="98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1,414</w:t>
            </w:r>
          </w:p>
        </w:tc>
      </w:tr>
      <w:tr>
        <w:trPr>
          <w:trHeight w:val="270"/>
        </w:trPr>
        <w:tc>
          <w:tcPr>
            <w:tcW w:w="7440" w:type="dxa"/>
            <w:vAlign w:val="bottom"/>
          </w:tcPr>
          <w:p>
            <w:pPr>
              <w:ind w:left="420"/>
              <w:spacing w:after="0"/>
              <w:rPr>
                <w:sz w:val="20"/>
                <w:szCs w:val="20"/>
                <w:color w:val="auto"/>
              </w:rPr>
            </w:pPr>
            <w:r>
              <w:rPr>
                <w:rFonts w:ascii="Arial" w:cs="Arial" w:eastAsia="Arial" w:hAnsi="Arial"/>
                <w:sz w:val="16"/>
                <w:szCs w:val="16"/>
                <w:color w:val="auto"/>
              </w:rPr>
              <w:t>Restructuring and conversion costs</w:t>
            </w:r>
            <w:r>
              <w:rPr>
                <w:rFonts w:ascii="Arial" w:cs="Arial" w:eastAsia="Arial" w:hAnsi="Arial"/>
                <w:sz w:val="21"/>
                <w:szCs w:val="21"/>
                <w:color w:val="auto"/>
                <w:vertAlign w:val="superscript"/>
              </w:rPr>
              <w:t>(3)</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11,976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34,783</w:t>
            </w:r>
          </w:p>
        </w:tc>
      </w:tr>
      <w:tr>
        <w:trPr>
          <w:trHeight w:val="270"/>
        </w:trPr>
        <w:tc>
          <w:tcPr>
            <w:tcW w:w="7440" w:type="dxa"/>
            <w:vAlign w:val="bottom"/>
            <w:shd w:val="clear" w:color="auto" w:fill="CCFFFF"/>
          </w:tcPr>
          <w:p>
            <w:pPr>
              <w:ind w:left="420"/>
              <w:spacing w:after="0"/>
              <w:rPr>
                <w:sz w:val="20"/>
                <w:szCs w:val="20"/>
                <w:color w:val="auto"/>
              </w:rPr>
            </w:pPr>
            <w:r>
              <w:rPr>
                <w:rFonts w:ascii="Arial" w:cs="Arial" w:eastAsia="Arial" w:hAnsi="Arial"/>
                <w:sz w:val="16"/>
                <w:szCs w:val="16"/>
                <w:color w:val="auto"/>
              </w:rPr>
              <w:t>Debt amendment and extinguishment costs</w:t>
            </w:r>
            <w:r>
              <w:rPr>
                <w:rFonts w:ascii="Arial" w:cs="Arial" w:eastAsia="Arial" w:hAnsi="Arial"/>
                <w:sz w:val="21"/>
                <w:szCs w:val="21"/>
                <w:color w:val="auto"/>
                <w:vertAlign w:val="superscript"/>
              </w:rPr>
              <w:t>(4)</w:t>
            </w:r>
          </w:p>
        </w:tc>
        <w:tc>
          <w:tcPr>
            <w:tcW w:w="280" w:type="dxa"/>
            <w:vAlign w:val="bottom"/>
            <w:shd w:val="clear" w:color="auto" w:fill="CCFFFF"/>
          </w:tcPr>
          <w:p>
            <w:pPr>
              <w:spacing w:after="0"/>
              <w:rPr>
                <w:sz w:val="23"/>
                <w:szCs w:val="23"/>
                <w:color w:val="auto"/>
              </w:rPr>
            </w:pPr>
          </w:p>
        </w:tc>
        <w:tc>
          <w:tcPr>
            <w:tcW w:w="1080" w:type="dxa"/>
            <w:vAlign w:val="bottom"/>
            <w:gridSpan w:val="2"/>
            <w:shd w:val="clear" w:color="auto" w:fill="CC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FFFF"/>
          </w:tcPr>
          <w:p>
            <w:pPr>
              <w:spacing w:after="0"/>
              <w:rPr>
                <w:sz w:val="23"/>
                <w:szCs w:val="23"/>
                <w:color w:val="auto"/>
              </w:rPr>
            </w:pPr>
          </w:p>
        </w:tc>
        <w:tc>
          <w:tcPr>
            <w:tcW w:w="1080" w:type="dxa"/>
            <w:vAlign w:val="bottom"/>
            <w:gridSpan w:val="2"/>
            <w:shd w:val="clear" w:color="auto" w:fill="CC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FFFF"/>
          </w:tcPr>
          <w:p>
            <w:pPr>
              <w:spacing w:after="0"/>
              <w:rPr>
                <w:sz w:val="23"/>
                <w:szCs w:val="23"/>
                <w:color w:val="auto"/>
              </w:rPr>
            </w:pPr>
          </w:p>
        </w:tc>
        <w:tc>
          <w:tcPr>
            <w:tcW w:w="98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4,361</w:t>
            </w:r>
          </w:p>
        </w:tc>
      </w:tr>
      <w:tr>
        <w:trPr>
          <w:trHeight w:val="270"/>
        </w:trPr>
        <w:tc>
          <w:tcPr>
            <w:tcW w:w="7440" w:type="dxa"/>
            <w:vAlign w:val="bottom"/>
            <w:tcBorders>
              <w:bottom w:val="single" w:sz="8" w:color="CCFFFF"/>
            </w:tcBorders>
          </w:tcPr>
          <w:p>
            <w:pPr>
              <w:ind w:left="4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(5)</w:t>
            </w: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11,623</w:t>
            </w:r>
          </w:p>
        </w:tc>
      </w:tr>
      <w:tr>
        <w:trPr>
          <w:trHeight w:val="261"/>
        </w:trPr>
        <w:tc>
          <w:tcPr>
            <w:tcW w:w="7440" w:type="dxa"/>
            <w:vAlign w:val="bottom"/>
            <w:tcBorders>
              <w:bottom w:val="single" w:sz="8" w:color="CCFFFF"/>
            </w:tcBorders>
            <w:shd w:val="clear" w:color="auto" w:fill="CCFFFF"/>
          </w:tcPr>
          <w:p>
            <w:pPr>
              <w:ind w:left="18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shd w:val="clear" w:color="auto" w:fill="CCFF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FFFF"/>
          </w:tcPr>
          <w:p>
            <w:pPr>
              <w:jc w:val="right"/>
              <w:ind w:right="39"/>
              <w:spacing w:after="0"/>
              <w:rPr>
                <w:sz w:val="20"/>
                <w:szCs w:val="20"/>
                <w:color w:val="auto"/>
              </w:rPr>
            </w:pPr>
            <w:r>
              <w:rPr>
                <w:rFonts w:ascii="Arial" w:cs="Arial" w:eastAsia="Arial" w:hAnsi="Arial"/>
                <w:sz w:val="16"/>
                <w:szCs w:val="16"/>
                <w:color w:val="auto"/>
              </w:rPr>
              <w:t>528,309</w:t>
            </w:r>
          </w:p>
        </w:tc>
        <w:tc>
          <w:tcPr>
            <w:tcW w:w="100" w:type="dxa"/>
            <w:vAlign w:val="bottom"/>
            <w:tcBorders>
              <w:bottom w:val="single" w:sz="8" w:color="auto"/>
            </w:tcBorders>
            <w:shd w:val="clear" w:color="auto" w:fill="CCFFFF"/>
          </w:tcPr>
          <w:p>
            <w:pPr>
              <w:spacing w:after="0"/>
              <w:rPr>
                <w:sz w:val="22"/>
                <w:szCs w:val="22"/>
                <w:color w:val="auto"/>
              </w:rPr>
            </w:pPr>
          </w:p>
        </w:tc>
        <w:tc>
          <w:tcPr>
            <w:tcW w:w="280" w:type="dxa"/>
            <w:vAlign w:val="bottom"/>
            <w:tcBorders>
              <w:bottom w:val="single" w:sz="8" w:color="auto"/>
            </w:tcBorders>
            <w:shd w:val="clear" w:color="auto" w:fill="CCFF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FFFF"/>
          </w:tcPr>
          <w:p>
            <w:pPr>
              <w:jc w:val="right"/>
              <w:ind w:right="39"/>
              <w:spacing w:after="0"/>
              <w:rPr>
                <w:sz w:val="20"/>
                <w:szCs w:val="20"/>
                <w:color w:val="auto"/>
              </w:rPr>
            </w:pPr>
            <w:r>
              <w:rPr>
                <w:rFonts w:ascii="Arial" w:cs="Arial" w:eastAsia="Arial" w:hAnsi="Arial"/>
                <w:sz w:val="16"/>
                <w:szCs w:val="16"/>
                <w:color w:val="auto"/>
              </w:rPr>
              <w:t>489,116</w:t>
            </w:r>
          </w:p>
        </w:tc>
        <w:tc>
          <w:tcPr>
            <w:tcW w:w="100" w:type="dxa"/>
            <w:vAlign w:val="bottom"/>
            <w:tcBorders>
              <w:bottom w:val="single" w:sz="8" w:color="auto"/>
            </w:tcBorders>
            <w:shd w:val="clear" w:color="auto" w:fill="CCFFFF"/>
          </w:tcPr>
          <w:p>
            <w:pPr>
              <w:spacing w:after="0"/>
              <w:rPr>
                <w:sz w:val="22"/>
                <w:szCs w:val="22"/>
                <w:color w:val="auto"/>
              </w:rPr>
            </w:pPr>
          </w:p>
        </w:tc>
        <w:tc>
          <w:tcPr>
            <w:tcW w:w="280" w:type="dxa"/>
            <w:vAlign w:val="bottom"/>
            <w:tcBorders>
              <w:bottom w:val="single" w:sz="8" w:color="auto"/>
            </w:tcBorders>
            <w:shd w:val="clear" w:color="auto" w:fill="CCFF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FFFF"/>
          </w:tcPr>
          <w:p>
            <w:pPr>
              <w:jc w:val="right"/>
              <w:ind w:right="19"/>
              <w:spacing w:after="0"/>
              <w:rPr>
                <w:sz w:val="20"/>
                <w:szCs w:val="20"/>
                <w:color w:val="auto"/>
              </w:rPr>
            </w:pPr>
            <w:r>
              <w:rPr>
                <w:rFonts w:ascii="Arial" w:cs="Arial" w:eastAsia="Arial" w:hAnsi="Arial"/>
                <w:sz w:val="16"/>
                <w:szCs w:val="16"/>
                <w:color w:val="auto"/>
              </w:rPr>
              <w:t>516,507</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340" w:right="400" w:hanging="332"/>
        <w:spacing w:after="0" w:line="25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share-based compensation expenses for equity awards granted to employees, officers, and directors. Such awards are measured based on the grant-date fair value and recognized over the requisite service period of the individual awards, which generally equals the vesting period.</w:t>
      </w:r>
    </w:p>
    <w:p>
      <w:pPr>
        <w:spacing w:after="0" w:line="93"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w:t>
      </w:r>
    </w:p>
    <w:p>
      <w:pPr>
        <w:spacing w:after="0" w:line="117" w:lineRule="exact"/>
        <w:rPr>
          <w:rFonts w:ascii="Arial" w:cs="Arial" w:eastAsia="Arial" w:hAnsi="Arial"/>
          <w:sz w:val="18"/>
          <w:szCs w:val="18"/>
          <w:color w:val="auto"/>
        </w:rPr>
      </w:pPr>
    </w:p>
    <w:p>
      <w:pPr>
        <w:jc w:val="both"/>
        <w:ind w:left="340" w:right="160" w:hanging="332"/>
        <w:spacing w:after="0" w:line="25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organizational restructuring charges, conversion, and other related costs primarily resulting from the expansion of our Service Value Commitment initiative. Results for 2015 also include charges related to the restructuring of the business of our subsidiary, Fortigent Holdings Company, Inc.</w:t>
      </w:r>
    </w:p>
    <w:p>
      <w:pPr>
        <w:spacing w:after="0" w:line="93" w:lineRule="exact"/>
        <w:rPr>
          <w:rFonts w:ascii="Arial" w:cs="Arial" w:eastAsia="Arial" w:hAnsi="Arial"/>
          <w:sz w:val="18"/>
          <w:szCs w:val="18"/>
          <w:color w:val="auto"/>
        </w:rPr>
      </w:pPr>
    </w:p>
    <w:p>
      <w:pPr>
        <w:ind w:left="340" w:right="40" w:hanging="332"/>
        <w:spacing w:after="0" w:line="25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expenses incurred resulting from the early extinguishment and repayment of amounts outstanding on our prior senior secured credit facilities, including the accelerated recognition of unamortized debt issuance costs that had no future economic benefit, as well as various other charges incurred in connection with the repayment under prior senior secured credit facilities and the establishment of new or amended senior secured credit facilities.</w:t>
      </w:r>
    </w:p>
    <w:p>
      <w:pPr>
        <w:spacing w:after="0" w:line="96" w:lineRule="exact"/>
        <w:rPr>
          <w:rFonts w:ascii="Arial" w:cs="Arial" w:eastAsia="Arial" w:hAnsi="Arial"/>
          <w:sz w:val="18"/>
          <w:szCs w:val="18"/>
          <w:color w:val="auto"/>
        </w:rPr>
      </w:pPr>
    </w:p>
    <w:p>
      <w:pPr>
        <w:ind w:left="340" w:right="80" w:hanging="332"/>
        <w:spacing w:after="0" w:line="262"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Results for the year ended December 31, 2014 include approximately $9.6 million in parallel rent, property tax, common area maintenance expenses, and fixed asset disposals incurred in connection with our relocation to our San Diego office building.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36 | </w:t>
      </w:r>
      <w:r>
        <w:rPr>
          <w:rFonts w:ascii="Arial" w:cs="Arial" w:eastAsia="Arial" w:hAnsi="Arial"/>
          <w:sz w:val="18"/>
          <w:szCs w:val="18"/>
          <w:b w:val="1"/>
          <w:bCs w:val="1"/>
          <w:color w:val="003B71"/>
        </w:rPr>
        <w:t>2017 Proxy Statement</w:t>
      </w:r>
    </w:p>
    <w:p>
      <w:pPr>
        <w:sectPr>
          <w:pgSz w:w="11900" w:h="16838" w:orient="portrait"/>
          <w:cols w:equalWidth="0" w:num="1">
            <w:col w:w="11420"/>
          </w:cols>
          <w:pgMar w:left="240" w:top="436"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66"/>
        </w:trPr>
        <w:tc>
          <w:tcPr>
            <w:tcW w:w="40" w:type="dxa"/>
            <w:vAlign w:val="bottom"/>
          </w:tcPr>
          <w:p>
            <w:pPr>
              <w:spacing w:after="0"/>
              <w:rPr>
                <w:sz w:val="23"/>
                <w:szCs w:val="23"/>
                <w:color w:val="auto"/>
              </w:rPr>
            </w:pPr>
          </w:p>
        </w:tc>
        <w:tc>
          <w:tcPr>
            <w:tcW w:w="5680" w:type="dxa"/>
            <w:vAlign w:val="bottom"/>
            <w:tcBorders>
              <w:bottom w:val="single" w:sz="8" w:color="003B71"/>
            </w:tcBorders>
          </w:tcPr>
          <w:p>
            <w:pPr>
              <w:spacing w:after="0"/>
              <w:rPr>
                <w:sz w:val="23"/>
                <w:szCs w:val="23"/>
                <w:color w:val="auto"/>
              </w:rPr>
            </w:pPr>
          </w:p>
        </w:tc>
        <w:tc>
          <w:tcPr>
            <w:tcW w:w="5680" w:type="dxa"/>
            <w:vAlign w:val="bottom"/>
            <w:tcBorders>
              <w:bottom w:val="single" w:sz="8" w:color="003B71"/>
            </w:tcBorders>
          </w:tcPr>
          <w:p>
            <w:pPr>
              <w:ind w:left="1880"/>
              <w:spacing w:after="0"/>
              <w:rPr>
                <w:sz w:val="20"/>
                <w:szCs w:val="20"/>
                <w:color w:val="auto"/>
              </w:rPr>
            </w:pPr>
            <w:r>
              <w:rPr>
                <w:rFonts w:ascii="Arial" w:cs="Arial" w:eastAsia="Arial" w:hAnsi="Arial"/>
                <w:sz w:val="20"/>
                <w:szCs w:val="20"/>
                <w:b w:val="1"/>
                <w:bCs w:val="1"/>
                <w:color w:val="003B71"/>
                <w:w w:val="99"/>
              </w:rPr>
              <w:t>Compensation Discussion and Analysis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81"/>
        </w:trPr>
        <w:tc>
          <w:tcPr>
            <w:tcW w:w="5720" w:type="dxa"/>
            <w:vAlign w:val="bottom"/>
            <w:gridSpan w:val="2"/>
          </w:tcPr>
          <w:p>
            <w:pPr>
              <w:spacing w:after="0"/>
              <w:rPr>
                <w:sz w:val="20"/>
                <w:szCs w:val="20"/>
                <w:color w:val="auto"/>
              </w:rPr>
            </w:pPr>
            <w:r>
              <w:rPr>
                <w:rFonts w:ascii="Arial" w:cs="Arial" w:eastAsia="Arial" w:hAnsi="Arial"/>
                <w:sz w:val="20"/>
                <w:szCs w:val="20"/>
                <w:b w:val="1"/>
                <w:bCs w:val="1"/>
                <w:color w:val="336699"/>
              </w:rPr>
              <w:t>How Compensation Decisions Were Made</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assessment materials are also discussed with the full Board in an</w:t>
            </w:r>
          </w:p>
        </w:tc>
        <w:tc>
          <w:tcPr>
            <w:tcW w:w="0" w:type="dxa"/>
            <w:vAlign w:val="bottom"/>
          </w:tcPr>
          <w:p>
            <w:pPr>
              <w:spacing w:after="0"/>
              <w:rPr>
                <w:sz w:val="1"/>
                <w:szCs w:val="1"/>
                <w:color w:val="auto"/>
              </w:rPr>
            </w:pPr>
          </w:p>
        </w:tc>
      </w:tr>
      <w:tr>
        <w:trPr>
          <w:trHeight w:val="216"/>
        </w:trPr>
        <w:tc>
          <w:tcPr>
            <w:tcW w:w="5720" w:type="dxa"/>
            <w:vAlign w:val="bottom"/>
            <w:gridSpan w:val="2"/>
            <w:vMerge w:val="restart"/>
          </w:tcPr>
          <w:p>
            <w:pPr>
              <w:spacing w:after="0"/>
              <w:rPr>
                <w:sz w:val="20"/>
                <w:szCs w:val="20"/>
                <w:color w:val="auto"/>
              </w:rPr>
            </w:pPr>
            <w:r>
              <w:rPr>
                <w:rFonts w:ascii="Arial" w:cs="Arial" w:eastAsia="Arial" w:hAnsi="Arial"/>
                <w:sz w:val="18"/>
                <w:szCs w:val="18"/>
                <w:i w:val="1"/>
                <w:iCs w:val="1"/>
                <w:color w:val="336699"/>
              </w:rPr>
              <w:t>Role of Compensation Committee</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executive session led by the chair of the Compensation Committee,</w:t>
            </w:r>
          </w:p>
        </w:tc>
        <w:tc>
          <w:tcPr>
            <w:tcW w:w="0" w:type="dxa"/>
            <w:vAlign w:val="bottom"/>
          </w:tcPr>
          <w:p>
            <w:pPr>
              <w:spacing w:after="0"/>
              <w:rPr>
                <w:sz w:val="1"/>
                <w:szCs w:val="1"/>
                <w:color w:val="auto"/>
              </w:rPr>
            </w:pPr>
          </w:p>
        </w:tc>
      </w:tr>
      <w:tr>
        <w:trPr>
          <w:trHeight w:val="216"/>
        </w:trPr>
        <w:tc>
          <w:tcPr>
            <w:tcW w:w="5720" w:type="dxa"/>
            <w:vAlign w:val="bottom"/>
            <w:gridSpan w:val="2"/>
            <w:vMerge w:val="continue"/>
          </w:tcPr>
          <w:p>
            <w:pPr>
              <w:spacing w:after="0"/>
              <w:rPr>
                <w:sz w:val="18"/>
                <w:szCs w:val="18"/>
                <w:color w:val="auto"/>
              </w:rPr>
            </w:pP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and after such discussion, feedback and compensation decisions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are provided to the chief executive officer by the chair of the</w:t>
            </w: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Our Compensation Committee is composed entirely of directors who</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Compensation Committee.</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meet the NASDAQ standards for independence, including the</w:t>
            </w:r>
          </w:p>
        </w:tc>
        <w:tc>
          <w:tcPr>
            <w:tcW w:w="5700" w:type="dxa"/>
            <w:vAlign w:val="bottom"/>
            <w:gridSpan w:val="2"/>
            <w:vMerge w:val="restart"/>
          </w:tcPr>
          <w:p>
            <w:pPr>
              <w:ind w:left="220"/>
              <w:spacing w:after="0"/>
              <w:rPr>
                <w:sz w:val="20"/>
                <w:szCs w:val="20"/>
                <w:color w:val="auto"/>
              </w:rPr>
            </w:pPr>
            <w:r>
              <w:rPr>
                <w:rFonts w:ascii="Arial" w:cs="Arial" w:eastAsia="Arial" w:hAnsi="Arial"/>
                <w:sz w:val="18"/>
                <w:szCs w:val="18"/>
                <w:i w:val="1"/>
                <w:iCs w:val="1"/>
                <w:color w:val="336699"/>
              </w:rPr>
              <w:t>Role of Executive Officers</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heightened standards applicable to Compensation Committee</w:t>
            </w:r>
          </w:p>
        </w:tc>
        <w:tc>
          <w:tcPr>
            <w:tcW w:w="5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members. The Compensation Committee is responsible for</w:t>
            </w:r>
          </w:p>
        </w:tc>
        <w:tc>
          <w:tcPr>
            <w:tcW w:w="5700" w:type="dxa"/>
            <w:vAlign w:val="bottom"/>
            <w:gridSpan w:val="2"/>
            <w:vMerge w:val="restart"/>
          </w:tcPr>
          <w:p>
            <w:pPr>
              <w:ind w:left="220"/>
              <w:spacing w:after="0"/>
              <w:rPr>
                <w:sz w:val="20"/>
                <w:szCs w:val="20"/>
                <w:color w:val="auto"/>
              </w:rPr>
            </w:pPr>
            <w:r>
              <w:rPr>
                <w:rFonts w:ascii="Arial" w:cs="Arial" w:eastAsia="Arial" w:hAnsi="Arial"/>
                <w:sz w:val="18"/>
                <w:szCs w:val="18"/>
                <w:color w:val="auto"/>
              </w:rPr>
              <w:t>At the beginning of each year, our executive officers develop the</w:t>
            </w: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establishing our human resources policies, including our</w:t>
            </w:r>
          </w:p>
        </w:tc>
        <w:tc>
          <w:tcPr>
            <w:tcW w:w="57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compensation philosophy, and overseeing our executive</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corporate goals and objectives that they believe should be achieved</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compensation policies and program. Our Compensation Committee</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for the Company to be successful, which are reviewed with the</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reviews and gives final approval of the total compensation payable</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Compensation Committee and the Board for the purpose of</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to each of our NEOs, as well as the structure and implementation of</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establishing how executive performance will be assessed. These</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the Company’s overall compensation programs. In establishing total</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objectives are derived largely from the Company’s annual financial</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target compensation levels for our NEOs, the Compensation</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and strategic planning sessions, and are prioritized and aligned with</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Committee, with input from the Compensation Consultant,</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the Company’s long-term strategic plan. The objectives include both</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determines the ranges of market compensation that it believes will</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quantitative financial measurements and qualitative strategic and</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enable us to effectively compete for and retain high-performing,</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operational goals. The chief executive officer and the chief financial</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qualified executives. The Compensation Committee’s charter sets</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officer provide quarterly reports to the Compensation Committee</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forth the Compensation Committee’s responsibilities.</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assessing the Company’s performance against the corporate goals</w:t>
            </w:r>
          </w:p>
        </w:tc>
        <w:tc>
          <w:tcPr>
            <w:tcW w:w="0" w:type="dxa"/>
            <w:vAlign w:val="bottom"/>
          </w:tcPr>
          <w:p>
            <w:pPr>
              <w:spacing w:after="0"/>
              <w:rPr>
                <w:sz w:val="1"/>
                <w:szCs w:val="1"/>
                <w:color w:val="auto"/>
              </w:rPr>
            </w:pPr>
          </w:p>
        </w:tc>
      </w:tr>
      <w:tr>
        <w:trPr>
          <w:trHeight w:val="217"/>
        </w:trPr>
        <w:tc>
          <w:tcPr>
            <w:tcW w:w="5720" w:type="dxa"/>
            <w:vAlign w:val="bottom"/>
            <w:gridSpan w:val="2"/>
            <w:vMerge w:val="restart"/>
          </w:tcPr>
          <w:p>
            <w:pPr>
              <w:spacing w:after="0"/>
              <w:rPr>
                <w:sz w:val="20"/>
                <w:szCs w:val="20"/>
                <w:color w:val="auto"/>
              </w:rPr>
            </w:pPr>
            <w:r>
              <w:rPr>
                <w:rFonts w:ascii="Arial" w:cs="Arial" w:eastAsia="Arial" w:hAnsi="Arial"/>
                <w:sz w:val="18"/>
                <w:szCs w:val="18"/>
                <w:i w:val="1"/>
                <w:iCs w:val="1"/>
                <w:color w:val="336699"/>
              </w:rPr>
              <w:t>CEO Assessment Process</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and objectives.</w:t>
            </w:r>
          </w:p>
        </w:tc>
        <w:tc>
          <w:tcPr>
            <w:tcW w:w="0" w:type="dxa"/>
            <w:vAlign w:val="bottom"/>
          </w:tcPr>
          <w:p>
            <w:pPr>
              <w:spacing w:after="0"/>
              <w:rPr>
                <w:sz w:val="1"/>
                <w:szCs w:val="1"/>
                <w:color w:val="auto"/>
              </w:rPr>
            </w:pPr>
          </w:p>
        </w:tc>
      </w:tr>
      <w:tr>
        <w:trPr>
          <w:trHeight w:val="230"/>
        </w:trPr>
        <w:tc>
          <w:tcPr>
            <w:tcW w:w="5720" w:type="dxa"/>
            <w:vAlign w:val="bottom"/>
            <w:gridSpan w:val="2"/>
            <w:vMerge w:val="continue"/>
          </w:tcPr>
          <w:p>
            <w:pPr>
              <w:spacing w:after="0"/>
              <w:rPr>
                <w:sz w:val="19"/>
                <w:szCs w:val="19"/>
                <w:color w:val="auto"/>
              </w:rPr>
            </w:pPr>
          </w:p>
        </w:tc>
        <w:tc>
          <w:tcPr>
            <w:tcW w:w="5700" w:type="dxa"/>
            <w:vAlign w:val="bottom"/>
            <w:gridSpan w:val="2"/>
            <w:vMerge w:val="restart"/>
          </w:tcPr>
          <w:p>
            <w:pPr>
              <w:ind w:left="220"/>
              <w:spacing w:after="0"/>
              <w:rPr>
                <w:sz w:val="20"/>
                <w:szCs w:val="20"/>
                <w:color w:val="auto"/>
              </w:rPr>
            </w:pPr>
            <w:r>
              <w:rPr>
                <w:rFonts w:ascii="Arial" w:cs="Arial" w:eastAsia="Arial" w:hAnsi="Arial"/>
                <w:sz w:val="18"/>
                <w:szCs w:val="18"/>
                <w:color w:val="auto"/>
              </w:rPr>
              <w:t>Our chief executive officer annually reviews the individual</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57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At the beginning of each year, the Compensation Committee sets</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performance of each of his direct reports, including the NEOs (but</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individualized annual goals for our chief executive officer based on</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excluding himself), and provides the Compensation Committee with</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the corporate goals approved by our Board and additional feedback</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evaluations of each such direct report as well as recommendations</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from our non-employee directors. Previous individualized goals have</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regarding such person’s base salary level, annual cash bonus, and</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included achievement of financial results, providing strategic vision</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LTI award. Our chief human capital officer also attends</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and leadership, leading organizational development, and effective</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Compensation Committee meetings and assists the Compensation</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management of external relationships.</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Committee and the chief executive officer in recommending the final</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compensation levels for our NEOs. Both the chief executive officer</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At the end of each year, the Compensation Committee requests that</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and the chief human capital officer leave the meetings during</w:t>
            </w: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our chief executive officer prepare a written self-evaluation of</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discussions of compensation actions affecting them personally.</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performance against the year’s corporate and individualized goals.</w:t>
            </w:r>
          </w:p>
        </w:tc>
        <w:tc>
          <w:tcPr>
            <w:tcW w:w="5700" w:type="dxa"/>
            <w:vAlign w:val="bottom"/>
            <w:gridSpan w:val="2"/>
            <w:vMerge w:val="restart"/>
          </w:tcPr>
          <w:p>
            <w:pPr>
              <w:ind w:left="220"/>
              <w:spacing w:after="0"/>
              <w:rPr>
                <w:sz w:val="20"/>
                <w:szCs w:val="20"/>
                <w:color w:val="auto"/>
              </w:rPr>
            </w:pPr>
            <w:r>
              <w:rPr>
                <w:rFonts w:ascii="Arial" w:cs="Arial" w:eastAsia="Arial" w:hAnsi="Arial"/>
                <w:sz w:val="18"/>
                <w:szCs w:val="18"/>
                <w:i w:val="1"/>
                <w:iCs w:val="1"/>
                <w:color w:val="336699"/>
              </w:rPr>
              <w:t>Role of Compensation Consultant</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The chair of our Compensation Committee then distributes the</w:t>
            </w:r>
          </w:p>
        </w:tc>
        <w:tc>
          <w:tcPr>
            <w:tcW w:w="5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completed self-evaluation to each non-employee director, who</w:t>
            </w:r>
          </w:p>
        </w:tc>
        <w:tc>
          <w:tcPr>
            <w:tcW w:w="5700" w:type="dxa"/>
            <w:vAlign w:val="bottom"/>
            <w:gridSpan w:val="2"/>
            <w:vMerge w:val="restart"/>
          </w:tcPr>
          <w:p>
            <w:pPr>
              <w:ind w:left="220"/>
              <w:spacing w:after="0"/>
              <w:rPr>
                <w:sz w:val="20"/>
                <w:szCs w:val="20"/>
                <w:color w:val="auto"/>
              </w:rPr>
            </w:pPr>
            <w:r>
              <w:rPr>
                <w:rFonts w:ascii="Arial" w:cs="Arial" w:eastAsia="Arial" w:hAnsi="Arial"/>
                <w:sz w:val="18"/>
                <w:szCs w:val="18"/>
                <w:color w:val="auto"/>
              </w:rPr>
              <w:t>Our Compensation Committee has the authority to engage its own</w:t>
            </w: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completes an assessment of the chief executive officer’s</w:t>
            </w:r>
          </w:p>
        </w:tc>
        <w:tc>
          <w:tcPr>
            <w:tcW w:w="57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performance relative to the individualized goals. In addition, our chief</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advisors to assist it in carrying out its responsibilities. The</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human capital officer facilitates a group assessment of the chief</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Compensation Committee has engaged the Compensation</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executive officer’s performance by the members of our management</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Consultant to advise on compensation matters and provide</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committee. Our chief human capital officer provides a summary of</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experiential guidance on what is considered fair and competitive</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the group assessment to our Compensation Committee, which then</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w w:val="99"/>
              </w:rPr>
              <w:t>practice in our industry, primarily with respect to the compensation of</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considers the chief executive officer’s self-evaluation, the results of</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our executive officers. In 2016, the Compensation Consultant</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the non-employee directors’ assessments, and the results of the</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worked directly with the Compensation Committee and management</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group assessment in evaluating the chief executive officer’s</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to develop recommendations for compensation levels for our</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performance and, together with input from the Compensation</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executive officers. In addition, the Compensation Consultant</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Consultant, in evaluating the chief executive officer’s compensation</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provided competitive compensation program and policy data as well</w:t>
            </w: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for the year. The</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as</w:t>
            </w:r>
          </w:p>
        </w:tc>
        <w:tc>
          <w:tcPr>
            <w:tcW w:w="0" w:type="dxa"/>
            <w:vAlign w:val="bottom"/>
          </w:tcPr>
          <w:p>
            <w:pPr>
              <w:spacing w:after="0"/>
              <w:rPr>
                <w:sz w:val="1"/>
                <w:szCs w:val="1"/>
                <w:color w:val="auto"/>
              </w:rPr>
            </w:pPr>
          </w:p>
        </w:tc>
      </w:tr>
      <w:tr>
        <w:trPr>
          <w:trHeight w:val="567"/>
        </w:trPr>
        <w:tc>
          <w:tcPr>
            <w:tcW w:w="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5700" w:type="dxa"/>
            <w:vAlign w:val="bottom"/>
            <w:gridSpan w:val="2"/>
          </w:tcPr>
          <w:p>
            <w:pPr>
              <w:ind w:left="3480"/>
              <w:spacing w:after="0"/>
              <w:rPr>
                <w:sz w:val="20"/>
                <w:szCs w:val="20"/>
                <w:color w:val="auto"/>
              </w:rPr>
            </w:pPr>
            <w:r>
              <w:rPr>
                <w:rFonts w:ascii="Arial" w:cs="Arial" w:eastAsia="Arial" w:hAnsi="Arial"/>
                <w:sz w:val="18"/>
                <w:szCs w:val="18"/>
                <w:b w:val="1"/>
                <w:bCs w:val="1"/>
                <w:color w:val="003B71"/>
                <w:w w:val="99"/>
              </w:rPr>
              <w:t xml:space="preserve">2017 Proxy Statement </w:t>
            </w:r>
            <w:r>
              <w:rPr>
                <w:rFonts w:ascii="Arial" w:cs="Arial" w:eastAsia="Arial" w:hAnsi="Arial"/>
                <w:sz w:val="18"/>
                <w:szCs w:val="18"/>
                <w:color w:val="003B71"/>
                <w:w w:val="99"/>
              </w:rPr>
              <w:t>| 37</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436" w:right="239" w:bottom="1440" w:gutter="0" w:footer="0" w:header="0"/>
        </w:sect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20585" cy="283210"/>
                    </a:xfrm>
                    <a:prstGeom prst="rect">
                      <a:avLst/>
                    </a:prstGeom>
                    <a:noFill/>
                  </pic:spPr>
                </pic:pic>
              </a:graphicData>
            </a:graphic>
          </wp:anchor>
        </w:drawing>
      </w:r>
    </w:p>
    <w:bookmarkStart w:id="43" w:name="page44"/>
    <w:bookmarkEnd w:id="43"/>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ectPr>
          <w:pgSz w:w="11900" w:h="16838" w:orient="portrait"/>
          <w:cols w:equalWidth="0" w:num="1">
            <w:col w:w="11420"/>
          </w:cols>
          <w:pgMar w:left="240" w:top="4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information concerning compensation plan design. Finally, the Compensation Consultant conducted a risk assessment of the Company’s executive compensation policies and practices.</w:t>
      </w:r>
    </w:p>
    <w:p>
      <w:pPr>
        <w:spacing w:after="0" w:line="20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Compensation Committee has assessed the independence of the Compensation Consultant pursuant to SEC rules and has determined that the work provided by the Compensation Consultant did not raise a conflict of interest.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Benchmarking</w:t>
      </w:r>
    </w:p>
    <w:p>
      <w:pPr>
        <w:spacing w:after="0" w:line="24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believe that a competitive pay package is a critical tool in our efforts to attract and retain qualified executives. During 2016, the Compensation Committee engaged the Compensation Consultant to prepare an analysis to benchmark and assess our overall compensation program and practices against marketplace standards. This included a review of our peer group, to which no changes were made in 2016. The Compensation Committee’s purpose in requesting this analysis was to ensure that the Company’s executive compensation practices are competitive with our peers. Working with the Compensation Consultant, the Compensation Committee reviewed the total compensation that each of our named executive officers is eligible to receive against the compensation levels of comparable positions within our peer group.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companies within our peer group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34734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0" w:type="dxa"/>
            <w:vAlign w:val="bottom"/>
          </w:tcPr>
          <w:p>
            <w:pPr>
              <w:spacing w:after="0"/>
              <w:rPr>
                <w:sz w:val="16"/>
                <w:szCs w:val="16"/>
                <w:color w:val="auto"/>
              </w:rPr>
            </w:pPr>
          </w:p>
        </w:tc>
        <w:tc>
          <w:tcPr>
            <w:tcW w:w="2340" w:type="dxa"/>
            <w:vAlign w:val="bottom"/>
          </w:tcPr>
          <w:p>
            <w:pPr>
              <w:ind w:left="60"/>
              <w:spacing w:after="0"/>
              <w:rPr>
                <w:sz w:val="20"/>
                <w:szCs w:val="20"/>
                <w:color w:val="auto"/>
              </w:rPr>
            </w:pPr>
            <w:r>
              <w:rPr>
                <w:rFonts w:ascii="Arial" w:cs="Arial" w:eastAsia="Arial" w:hAnsi="Arial"/>
                <w:sz w:val="16"/>
                <w:szCs w:val="16"/>
                <w:color w:val="auto"/>
              </w:rPr>
              <w:t>Alliance Data Systems,</w:t>
            </w:r>
          </w:p>
        </w:tc>
        <w:tc>
          <w:tcPr>
            <w:tcW w:w="540" w:type="dxa"/>
            <w:vAlign w:val="bottom"/>
          </w:tcPr>
          <w:p>
            <w:pPr>
              <w:spacing w:after="0"/>
              <w:rPr>
                <w:sz w:val="16"/>
                <w:szCs w:val="16"/>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Fidelity National</w:t>
            </w:r>
          </w:p>
        </w:tc>
      </w:tr>
      <w:tr>
        <w:trPr>
          <w:trHeight w:val="195"/>
        </w:trPr>
        <w:tc>
          <w:tcPr>
            <w:tcW w:w="280" w:type="dxa"/>
            <w:vAlign w:val="bottom"/>
          </w:tcPr>
          <w:p>
            <w:pPr>
              <w:ind w:left="180"/>
              <w:spacing w:after="0"/>
              <w:rPr>
                <w:sz w:val="20"/>
                <w:szCs w:val="20"/>
                <w:color w:val="auto"/>
              </w:rPr>
            </w:pPr>
            <w:r>
              <w:rPr>
                <w:rFonts w:ascii="Arial" w:cs="Arial" w:eastAsia="Arial" w:hAnsi="Arial"/>
                <w:sz w:val="7"/>
                <w:szCs w:val="7"/>
                <w:color w:val="auto"/>
              </w:rPr>
              <w:t>n</w:t>
            </w:r>
          </w:p>
        </w:tc>
        <w:tc>
          <w:tcPr>
            <w:tcW w:w="2340" w:type="dxa"/>
            <w:vAlign w:val="bottom"/>
          </w:tcPr>
          <w:p>
            <w:pPr>
              <w:ind w:left="60"/>
              <w:spacing w:after="0"/>
              <w:rPr>
                <w:sz w:val="20"/>
                <w:szCs w:val="20"/>
                <w:color w:val="auto"/>
              </w:rPr>
            </w:pPr>
            <w:r>
              <w:rPr>
                <w:rFonts w:ascii="Arial" w:cs="Arial" w:eastAsia="Arial" w:hAnsi="Arial"/>
                <w:sz w:val="16"/>
                <w:szCs w:val="16"/>
                <w:color w:val="auto"/>
              </w:rPr>
              <w:t>Corp.</w:t>
            </w:r>
          </w:p>
        </w:tc>
        <w:tc>
          <w:tcPr>
            <w:tcW w:w="540" w:type="dxa"/>
            <w:vAlign w:val="bottom"/>
          </w:tcPr>
          <w:p>
            <w:pPr>
              <w:ind w:left="440"/>
              <w:spacing w:after="0"/>
              <w:rPr>
                <w:sz w:val="20"/>
                <w:szCs w:val="20"/>
                <w:color w:val="auto"/>
              </w:rPr>
            </w:pPr>
            <w:r>
              <w:rPr>
                <w:rFonts w:ascii="Arial" w:cs="Arial" w:eastAsia="Arial" w:hAnsi="Arial"/>
                <w:sz w:val="7"/>
                <w:szCs w:val="7"/>
                <w:color w:val="auto"/>
              </w:rPr>
              <w:t>n</w:t>
            </w:r>
          </w:p>
        </w:tc>
        <w:tc>
          <w:tcPr>
            <w:tcW w:w="2320" w:type="dxa"/>
            <w:vAlign w:val="bottom"/>
          </w:tcPr>
          <w:p>
            <w:pPr>
              <w:ind w:left="80"/>
              <w:spacing w:after="0"/>
              <w:rPr>
                <w:sz w:val="20"/>
                <w:szCs w:val="20"/>
                <w:color w:val="auto"/>
              </w:rPr>
            </w:pPr>
            <w:r>
              <w:rPr>
                <w:rFonts w:ascii="Arial" w:cs="Arial" w:eastAsia="Arial" w:hAnsi="Arial"/>
                <w:sz w:val="16"/>
                <w:szCs w:val="16"/>
                <w:color w:val="auto"/>
              </w:rPr>
              <w:t>Information Systems</w:t>
            </w:r>
          </w:p>
        </w:tc>
      </w:tr>
      <w:tr>
        <w:trPr>
          <w:trHeight w:val="243"/>
        </w:trPr>
        <w:tc>
          <w:tcPr>
            <w:tcW w:w="280" w:type="dxa"/>
            <w:vAlign w:val="bottom"/>
          </w:tcPr>
          <w:p>
            <w:pPr>
              <w:ind w:left="180"/>
              <w:spacing w:after="0"/>
              <w:rPr>
                <w:sz w:val="20"/>
                <w:szCs w:val="20"/>
                <w:color w:val="auto"/>
              </w:rPr>
            </w:pPr>
            <w:r>
              <w:rPr>
                <w:rFonts w:ascii="Arial" w:cs="Arial" w:eastAsia="Arial" w:hAnsi="Arial"/>
                <w:sz w:val="7"/>
                <w:szCs w:val="7"/>
                <w:color w:val="auto"/>
              </w:rPr>
              <w:t>n</w:t>
            </w:r>
          </w:p>
        </w:tc>
        <w:tc>
          <w:tcPr>
            <w:tcW w:w="2340" w:type="dxa"/>
            <w:vAlign w:val="bottom"/>
          </w:tcPr>
          <w:p>
            <w:pPr>
              <w:ind w:left="60"/>
              <w:spacing w:after="0"/>
              <w:rPr>
                <w:sz w:val="20"/>
                <w:szCs w:val="20"/>
                <w:color w:val="auto"/>
              </w:rPr>
            </w:pPr>
            <w:r>
              <w:rPr>
                <w:rFonts w:ascii="Arial" w:cs="Arial" w:eastAsia="Arial" w:hAnsi="Arial"/>
                <w:sz w:val="16"/>
                <w:szCs w:val="16"/>
                <w:color w:val="auto"/>
              </w:rPr>
              <w:t>Ameriprise Financial, Inc.</w:t>
            </w:r>
          </w:p>
        </w:tc>
        <w:tc>
          <w:tcPr>
            <w:tcW w:w="540" w:type="dxa"/>
            <w:vAlign w:val="bottom"/>
          </w:tcPr>
          <w:p>
            <w:pPr>
              <w:ind w:left="440"/>
              <w:spacing w:after="0"/>
              <w:rPr>
                <w:sz w:val="20"/>
                <w:szCs w:val="20"/>
                <w:color w:val="auto"/>
              </w:rPr>
            </w:pPr>
            <w:r>
              <w:rPr>
                <w:rFonts w:ascii="Arial" w:cs="Arial" w:eastAsia="Arial" w:hAnsi="Arial"/>
                <w:sz w:val="7"/>
                <w:szCs w:val="7"/>
                <w:color w:val="auto"/>
              </w:rPr>
              <w:t>n</w:t>
            </w:r>
          </w:p>
        </w:tc>
        <w:tc>
          <w:tcPr>
            <w:tcW w:w="2320" w:type="dxa"/>
            <w:vAlign w:val="bottom"/>
          </w:tcPr>
          <w:p>
            <w:pPr>
              <w:ind w:left="80"/>
              <w:spacing w:after="0"/>
              <w:rPr>
                <w:sz w:val="20"/>
                <w:szCs w:val="20"/>
                <w:color w:val="auto"/>
              </w:rPr>
            </w:pPr>
            <w:r>
              <w:rPr>
                <w:rFonts w:ascii="Arial" w:cs="Arial" w:eastAsia="Arial" w:hAnsi="Arial"/>
                <w:sz w:val="16"/>
                <w:szCs w:val="16"/>
                <w:color w:val="auto"/>
              </w:rPr>
              <w:t>Fiserv, Inc.</w:t>
            </w:r>
          </w:p>
        </w:tc>
      </w:tr>
      <w:tr>
        <w:trPr>
          <w:trHeight w:val="238"/>
        </w:trPr>
        <w:tc>
          <w:tcPr>
            <w:tcW w:w="280" w:type="dxa"/>
            <w:vAlign w:val="bottom"/>
          </w:tcPr>
          <w:p>
            <w:pPr>
              <w:spacing w:after="0"/>
              <w:rPr>
                <w:sz w:val="20"/>
                <w:szCs w:val="20"/>
                <w:color w:val="auto"/>
              </w:rPr>
            </w:pPr>
          </w:p>
        </w:tc>
        <w:tc>
          <w:tcPr>
            <w:tcW w:w="2340" w:type="dxa"/>
            <w:vAlign w:val="bottom"/>
          </w:tcPr>
          <w:p>
            <w:pPr>
              <w:ind w:left="60"/>
              <w:spacing w:after="0"/>
              <w:rPr>
                <w:sz w:val="20"/>
                <w:szCs w:val="20"/>
                <w:color w:val="auto"/>
              </w:rPr>
            </w:pPr>
            <w:r>
              <w:rPr>
                <w:rFonts w:ascii="Arial" w:cs="Arial" w:eastAsia="Arial" w:hAnsi="Arial"/>
                <w:sz w:val="16"/>
                <w:szCs w:val="16"/>
                <w:color w:val="auto"/>
              </w:rPr>
              <w:t>Broadridge Financial</w:t>
            </w:r>
          </w:p>
        </w:tc>
        <w:tc>
          <w:tcPr>
            <w:tcW w:w="540" w:type="dxa"/>
            <w:vAlign w:val="bottom"/>
          </w:tcPr>
          <w:p>
            <w:pPr>
              <w:spacing w:after="0"/>
              <w:rPr>
                <w:sz w:val="20"/>
                <w:szCs w:val="20"/>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Raymond James</w:t>
            </w:r>
          </w:p>
        </w:tc>
      </w:tr>
      <w:tr>
        <w:trPr>
          <w:trHeight w:val="195"/>
        </w:trPr>
        <w:tc>
          <w:tcPr>
            <w:tcW w:w="280" w:type="dxa"/>
            <w:vAlign w:val="bottom"/>
          </w:tcPr>
          <w:p>
            <w:pPr>
              <w:ind w:left="180"/>
              <w:spacing w:after="0"/>
              <w:rPr>
                <w:sz w:val="20"/>
                <w:szCs w:val="20"/>
                <w:color w:val="auto"/>
              </w:rPr>
            </w:pPr>
            <w:r>
              <w:rPr>
                <w:rFonts w:ascii="Arial" w:cs="Arial" w:eastAsia="Arial" w:hAnsi="Arial"/>
                <w:sz w:val="7"/>
                <w:szCs w:val="7"/>
                <w:color w:val="auto"/>
              </w:rPr>
              <w:t>n</w:t>
            </w:r>
          </w:p>
        </w:tc>
        <w:tc>
          <w:tcPr>
            <w:tcW w:w="2340" w:type="dxa"/>
            <w:vAlign w:val="bottom"/>
          </w:tcPr>
          <w:p>
            <w:pPr>
              <w:ind w:left="60"/>
              <w:spacing w:after="0"/>
              <w:rPr>
                <w:sz w:val="20"/>
                <w:szCs w:val="20"/>
                <w:color w:val="auto"/>
              </w:rPr>
            </w:pPr>
            <w:r>
              <w:rPr>
                <w:rFonts w:ascii="Arial" w:cs="Arial" w:eastAsia="Arial" w:hAnsi="Arial"/>
                <w:sz w:val="16"/>
                <w:szCs w:val="16"/>
                <w:color w:val="auto"/>
              </w:rPr>
              <w:t>Solutions, Inc.</w:t>
            </w:r>
          </w:p>
        </w:tc>
        <w:tc>
          <w:tcPr>
            <w:tcW w:w="540" w:type="dxa"/>
            <w:vAlign w:val="bottom"/>
          </w:tcPr>
          <w:p>
            <w:pPr>
              <w:ind w:left="440"/>
              <w:spacing w:after="0"/>
              <w:rPr>
                <w:sz w:val="20"/>
                <w:szCs w:val="20"/>
                <w:color w:val="auto"/>
              </w:rPr>
            </w:pPr>
            <w:r>
              <w:rPr>
                <w:rFonts w:ascii="Arial" w:cs="Arial" w:eastAsia="Arial" w:hAnsi="Arial"/>
                <w:sz w:val="7"/>
                <w:szCs w:val="7"/>
                <w:color w:val="auto"/>
              </w:rPr>
              <w:t>n</w:t>
            </w:r>
          </w:p>
        </w:tc>
        <w:tc>
          <w:tcPr>
            <w:tcW w:w="2320" w:type="dxa"/>
            <w:vAlign w:val="bottom"/>
          </w:tcPr>
          <w:p>
            <w:pPr>
              <w:ind w:left="80"/>
              <w:spacing w:after="0"/>
              <w:rPr>
                <w:sz w:val="20"/>
                <w:szCs w:val="20"/>
                <w:color w:val="auto"/>
              </w:rPr>
            </w:pPr>
            <w:r>
              <w:rPr>
                <w:rFonts w:ascii="Arial" w:cs="Arial" w:eastAsia="Arial" w:hAnsi="Arial"/>
                <w:sz w:val="16"/>
                <w:szCs w:val="16"/>
                <w:color w:val="auto"/>
              </w:rPr>
              <w:t>Financial, Inc.</w:t>
            </w:r>
          </w:p>
        </w:tc>
      </w:tr>
      <w:tr>
        <w:trPr>
          <w:trHeight w:val="238"/>
        </w:trPr>
        <w:tc>
          <w:tcPr>
            <w:tcW w:w="280" w:type="dxa"/>
            <w:vAlign w:val="bottom"/>
          </w:tcPr>
          <w:p>
            <w:pPr>
              <w:spacing w:after="0"/>
              <w:rPr>
                <w:sz w:val="20"/>
                <w:szCs w:val="20"/>
                <w:color w:val="auto"/>
              </w:rPr>
            </w:pPr>
          </w:p>
        </w:tc>
        <w:tc>
          <w:tcPr>
            <w:tcW w:w="2340" w:type="dxa"/>
            <w:vAlign w:val="bottom"/>
          </w:tcPr>
          <w:p>
            <w:pPr>
              <w:ind w:left="60"/>
              <w:spacing w:after="0"/>
              <w:rPr>
                <w:sz w:val="20"/>
                <w:szCs w:val="20"/>
                <w:color w:val="auto"/>
              </w:rPr>
            </w:pPr>
            <w:r>
              <w:rPr>
                <w:rFonts w:ascii="Arial" w:cs="Arial" w:eastAsia="Arial" w:hAnsi="Arial"/>
                <w:sz w:val="16"/>
                <w:szCs w:val="16"/>
                <w:color w:val="auto"/>
              </w:rPr>
              <w:t>Charles Schwab &amp; Co.,</w:t>
            </w:r>
          </w:p>
        </w:tc>
        <w:tc>
          <w:tcPr>
            <w:tcW w:w="540" w:type="dxa"/>
            <w:vAlign w:val="bottom"/>
          </w:tcPr>
          <w:p>
            <w:pPr>
              <w:spacing w:after="0"/>
              <w:rPr>
                <w:sz w:val="20"/>
                <w:szCs w:val="20"/>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SEI Investments</w:t>
            </w:r>
          </w:p>
        </w:tc>
      </w:tr>
      <w:tr>
        <w:trPr>
          <w:trHeight w:val="195"/>
        </w:trPr>
        <w:tc>
          <w:tcPr>
            <w:tcW w:w="280" w:type="dxa"/>
            <w:vAlign w:val="bottom"/>
          </w:tcPr>
          <w:p>
            <w:pPr>
              <w:ind w:left="180"/>
              <w:spacing w:after="0"/>
              <w:rPr>
                <w:sz w:val="20"/>
                <w:szCs w:val="20"/>
                <w:color w:val="auto"/>
              </w:rPr>
            </w:pPr>
            <w:r>
              <w:rPr>
                <w:rFonts w:ascii="Arial" w:cs="Arial" w:eastAsia="Arial" w:hAnsi="Arial"/>
                <w:sz w:val="7"/>
                <w:szCs w:val="7"/>
                <w:color w:val="auto"/>
              </w:rPr>
              <w:t>n</w:t>
            </w:r>
          </w:p>
        </w:tc>
        <w:tc>
          <w:tcPr>
            <w:tcW w:w="2340" w:type="dxa"/>
            <w:vAlign w:val="bottom"/>
          </w:tcPr>
          <w:p>
            <w:pPr>
              <w:ind w:left="60"/>
              <w:spacing w:after="0"/>
              <w:rPr>
                <w:sz w:val="20"/>
                <w:szCs w:val="20"/>
                <w:color w:val="auto"/>
              </w:rPr>
            </w:pPr>
            <w:r>
              <w:rPr>
                <w:rFonts w:ascii="Arial" w:cs="Arial" w:eastAsia="Arial" w:hAnsi="Arial"/>
                <w:sz w:val="16"/>
                <w:szCs w:val="16"/>
                <w:color w:val="auto"/>
              </w:rPr>
              <w:t>Inc.</w:t>
            </w:r>
          </w:p>
        </w:tc>
        <w:tc>
          <w:tcPr>
            <w:tcW w:w="540" w:type="dxa"/>
            <w:vAlign w:val="bottom"/>
          </w:tcPr>
          <w:p>
            <w:pPr>
              <w:ind w:left="440"/>
              <w:spacing w:after="0"/>
              <w:rPr>
                <w:sz w:val="20"/>
                <w:szCs w:val="20"/>
                <w:color w:val="auto"/>
              </w:rPr>
            </w:pPr>
            <w:r>
              <w:rPr>
                <w:rFonts w:ascii="Arial" w:cs="Arial" w:eastAsia="Arial" w:hAnsi="Arial"/>
                <w:sz w:val="7"/>
                <w:szCs w:val="7"/>
                <w:color w:val="auto"/>
              </w:rPr>
              <w:t>n</w:t>
            </w:r>
          </w:p>
        </w:tc>
        <w:tc>
          <w:tcPr>
            <w:tcW w:w="2320" w:type="dxa"/>
            <w:vAlign w:val="bottom"/>
          </w:tcPr>
          <w:p>
            <w:pPr>
              <w:ind w:left="80"/>
              <w:spacing w:after="0"/>
              <w:rPr>
                <w:sz w:val="20"/>
                <w:szCs w:val="20"/>
                <w:color w:val="auto"/>
              </w:rPr>
            </w:pPr>
            <w:r>
              <w:rPr>
                <w:rFonts w:ascii="Arial" w:cs="Arial" w:eastAsia="Arial" w:hAnsi="Arial"/>
                <w:sz w:val="16"/>
                <w:szCs w:val="16"/>
                <w:color w:val="auto"/>
              </w:rPr>
              <w:t>Company</w:t>
            </w:r>
          </w:p>
        </w:tc>
      </w:tr>
      <w:tr>
        <w:trPr>
          <w:trHeight w:val="243"/>
        </w:trPr>
        <w:tc>
          <w:tcPr>
            <w:tcW w:w="280" w:type="dxa"/>
            <w:vAlign w:val="bottom"/>
          </w:tcPr>
          <w:p>
            <w:pPr>
              <w:ind w:left="180"/>
              <w:spacing w:after="0"/>
              <w:rPr>
                <w:sz w:val="20"/>
                <w:szCs w:val="20"/>
                <w:color w:val="auto"/>
              </w:rPr>
            </w:pPr>
            <w:r>
              <w:rPr>
                <w:rFonts w:ascii="Arial" w:cs="Arial" w:eastAsia="Arial" w:hAnsi="Arial"/>
                <w:sz w:val="7"/>
                <w:szCs w:val="7"/>
                <w:color w:val="auto"/>
              </w:rPr>
              <w:t>n</w:t>
            </w:r>
          </w:p>
        </w:tc>
        <w:tc>
          <w:tcPr>
            <w:tcW w:w="2340" w:type="dxa"/>
            <w:vAlign w:val="bottom"/>
          </w:tcPr>
          <w:p>
            <w:pPr>
              <w:ind w:left="60"/>
              <w:spacing w:after="0"/>
              <w:rPr>
                <w:sz w:val="20"/>
                <w:szCs w:val="20"/>
                <w:color w:val="auto"/>
              </w:rPr>
            </w:pPr>
            <w:r>
              <w:rPr>
                <w:rFonts w:ascii="Arial" w:cs="Arial" w:eastAsia="Arial" w:hAnsi="Arial"/>
                <w:sz w:val="16"/>
                <w:szCs w:val="16"/>
                <w:color w:val="auto"/>
              </w:rPr>
              <w:t>DST Systems, Inc.</w:t>
            </w:r>
          </w:p>
        </w:tc>
        <w:tc>
          <w:tcPr>
            <w:tcW w:w="540" w:type="dxa"/>
            <w:vAlign w:val="bottom"/>
          </w:tcPr>
          <w:p>
            <w:pPr>
              <w:ind w:left="440"/>
              <w:spacing w:after="0"/>
              <w:rPr>
                <w:sz w:val="20"/>
                <w:szCs w:val="20"/>
                <w:color w:val="auto"/>
              </w:rPr>
            </w:pPr>
            <w:r>
              <w:rPr>
                <w:rFonts w:ascii="Arial" w:cs="Arial" w:eastAsia="Arial" w:hAnsi="Arial"/>
                <w:sz w:val="7"/>
                <w:szCs w:val="7"/>
                <w:color w:val="auto"/>
              </w:rPr>
              <w:t>n</w:t>
            </w:r>
          </w:p>
        </w:tc>
        <w:tc>
          <w:tcPr>
            <w:tcW w:w="2320" w:type="dxa"/>
            <w:vAlign w:val="bottom"/>
          </w:tcPr>
          <w:p>
            <w:pPr>
              <w:ind w:left="80"/>
              <w:spacing w:after="0"/>
              <w:rPr>
                <w:sz w:val="20"/>
                <w:szCs w:val="20"/>
                <w:color w:val="auto"/>
              </w:rPr>
            </w:pPr>
            <w:r>
              <w:rPr>
                <w:rFonts w:ascii="Arial" w:cs="Arial" w:eastAsia="Arial" w:hAnsi="Arial"/>
                <w:sz w:val="16"/>
                <w:szCs w:val="16"/>
                <w:color w:val="auto"/>
              </w:rPr>
              <w:t>Stifel Financial Corp.</w:t>
            </w:r>
          </w:p>
        </w:tc>
      </w:tr>
      <w:tr>
        <w:trPr>
          <w:trHeight w:val="243"/>
        </w:trPr>
        <w:tc>
          <w:tcPr>
            <w:tcW w:w="280" w:type="dxa"/>
            <w:vAlign w:val="bottom"/>
          </w:tcPr>
          <w:p>
            <w:pPr>
              <w:ind w:left="180"/>
              <w:spacing w:after="0"/>
              <w:rPr>
                <w:sz w:val="20"/>
                <w:szCs w:val="20"/>
                <w:color w:val="auto"/>
              </w:rPr>
            </w:pPr>
            <w:r>
              <w:rPr>
                <w:rFonts w:ascii="Arial" w:cs="Arial" w:eastAsia="Arial" w:hAnsi="Arial"/>
                <w:sz w:val="7"/>
                <w:szCs w:val="7"/>
                <w:color w:val="auto"/>
              </w:rPr>
              <w:t>n</w:t>
            </w:r>
          </w:p>
        </w:tc>
        <w:tc>
          <w:tcPr>
            <w:tcW w:w="2340" w:type="dxa"/>
            <w:vAlign w:val="bottom"/>
          </w:tcPr>
          <w:p>
            <w:pPr>
              <w:ind w:left="60"/>
              <w:spacing w:after="0"/>
              <w:rPr>
                <w:sz w:val="20"/>
                <w:szCs w:val="20"/>
                <w:color w:val="auto"/>
              </w:rPr>
            </w:pPr>
            <w:r>
              <w:rPr>
                <w:rFonts w:ascii="Arial" w:cs="Arial" w:eastAsia="Arial" w:hAnsi="Arial"/>
                <w:sz w:val="16"/>
                <w:szCs w:val="16"/>
                <w:color w:val="auto"/>
              </w:rPr>
              <w:t>E*Trade Financial Corp.</w:t>
            </w:r>
          </w:p>
        </w:tc>
        <w:tc>
          <w:tcPr>
            <w:tcW w:w="540" w:type="dxa"/>
            <w:vAlign w:val="bottom"/>
          </w:tcPr>
          <w:p>
            <w:pPr>
              <w:ind w:left="440"/>
              <w:spacing w:after="0"/>
              <w:rPr>
                <w:sz w:val="20"/>
                <w:szCs w:val="20"/>
                <w:color w:val="auto"/>
              </w:rPr>
            </w:pPr>
            <w:r>
              <w:rPr>
                <w:rFonts w:ascii="Arial" w:cs="Arial" w:eastAsia="Arial" w:hAnsi="Arial"/>
                <w:sz w:val="7"/>
                <w:szCs w:val="7"/>
                <w:color w:val="auto"/>
              </w:rPr>
              <w:t>n</w:t>
            </w:r>
          </w:p>
        </w:tc>
        <w:tc>
          <w:tcPr>
            <w:tcW w:w="2320" w:type="dxa"/>
            <w:vAlign w:val="bottom"/>
          </w:tcPr>
          <w:p>
            <w:pPr>
              <w:ind w:left="80"/>
              <w:spacing w:after="0"/>
              <w:rPr>
                <w:sz w:val="20"/>
                <w:szCs w:val="20"/>
                <w:color w:val="auto"/>
              </w:rPr>
            </w:pPr>
            <w:r>
              <w:rPr>
                <w:rFonts w:ascii="Arial" w:cs="Arial" w:eastAsia="Arial" w:hAnsi="Arial"/>
                <w:sz w:val="16"/>
                <w:szCs w:val="16"/>
                <w:color w:val="auto"/>
              </w:rPr>
              <w:t>TD Ameritrade Inc.</w:t>
            </w:r>
          </w:p>
        </w:tc>
      </w:tr>
      <w:tr>
        <w:trPr>
          <w:trHeight w:val="256"/>
        </w:trPr>
        <w:tc>
          <w:tcPr>
            <w:tcW w:w="280" w:type="dxa"/>
            <w:vAlign w:val="bottom"/>
            <w:tcBorders>
              <w:bottom w:val="single" w:sz="8" w:color="auto"/>
            </w:tcBorders>
          </w:tcPr>
          <w:p>
            <w:pPr>
              <w:ind w:left="180"/>
              <w:spacing w:after="0"/>
              <w:rPr>
                <w:sz w:val="20"/>
                <w:szCs w:val="20"/>
                <w:color w:val="auto"/>
              </w:rPr>
            </w:pPr>
            <w:r>
              <w:rPr>
                <w:rFonts w:ascii="Arial" w:cs="Arial" w:eastAsia="Arial" w:hAnsi="Arial"/>
                <w:sz w:val="7"/>
                <w:szCs w:val="7"/>
                <w:color w:val="auto"/>
              </w:rPr>
              <w:t>n</w:t>
            </w:r>
          </w:p>
        </w:tc>
        <w:tc>
          <w:tcPr>
            <w:tcW w:w="2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Eaton Vance Corp.</w:t>
            </w:r>
          </w:p>
        </w:tc>
        <w:tc>
          <w:tcPr>
            <w:tcW w:w="540" w:type="dxa"/>
            <w:vAlign w:val="bottom"/>
            <w:tcBorders>
              <w:bottom w:val="single" w:sz="8" w:color="auto"/>
            </w:tcBorders>
          </w:tcPr>
          <w:p>
            <w:pPr>
              <w:ind w:left="440"/>
              <w:spacing w:after="0"/>
              <w:rPr>
                <w:sz w:val="20"/>
                <w:szCs w:val="20"/>
                <w:color w:val="auto"/>
              </w:rPr>
            </w:pPr>
            <w:r>
              <w:rPr>
                <w:rFonts w:ascii="Arial" w:cs="Arial" w:eastAsia="Arial" w:hAnsi="Arial"/>
                <w:sz w:val="7"/>
                <w:szCs w:val="7"/>
                <w:color w:val="auto"/>
              </w:rPr>
              <w:t>n</w:t>
            </w:r>
          </w:p>
        </w:tc>
        <w:tc>
          <w:tcPr>
            <w:tcW w:w="23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Waddell &amp; Reed Inc.</w:t>
            </w:r>
          </w:p>
        </w:tc>
      </w:tr>
    </w:tbl>
    <w:p>
      <w:pPr>
        <w:spacing w:after="0" w:line="1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goal is to ensure that we continue to measure our compensation practices against organizations that compete with us for key executives, that are considered important benchmarks in our industry, and that are comparable in size and scope to our business. As companies comprising our peer group change due to merger, acquisition, market capitalization, or business model, the Compensation Committee will consider appropriate changes to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38 | </w:t>
      </w:r>
      <w:r>
        <w:rPr>
          <w:rFonts w:ascii="Arial" w:cs="Arial" w:eastAsia="Arial" w:hAnsi="Arial"/>
          <w:sz w:val="18"/>
          <w:szCs w:val="18"/>
          <w:b w:val="1"/>
          <w:bCs w:val="1"/>
          <w:color w:val="003B71"/>
        </w:rPr>
        <w:t>2017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For the year ended December 31, 2016, revenue and market capitalization were as follows (in billions):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200" w:type="dxa"/>
            <w:vAlign w:val="bottom"/>
            <w:tcBorders>
              <w:bottom w:val="single" w:sz="8" w:color="336699"/>
            </w:tcBorders>
          </w:tcPr>
          <w:p>
            <w:pPr>
              <w:spacing w:after="0"/>
              <w:rPr>
                <w:sz w:val="19"/>
                <w:szCs w:val="19"/>
                <w:color w:val="auto"/>
              </w:rPr>
            </w:pPr>
          </w:p>
        </w:tc>
        <w:tc>
          <w:tcPr>
            <w:tcW w:w="1100" w:type="dxa"/>
            <w:vAlign w:val="bottom"/>
            <w:tcBorders>
              <w:bottom w:val="single" w:sz="8" w:color="336699"/>
            </w:tcBorders>
          </w:tcPr>
          <w:p>
            <w:pPr>
              <w:jc w:val="right"/>
              <w:spacing w:after="0"/>
              <w:rPr>
                <w:sz w:val="20"/>
                <w:szCs w:val="20"/>
                <w:color w:val="auto"/>
              </w:rPr>
            </w:pPr>
            <w:r>
              <w:rPr>
                <w:rFonts w:ascii="Arial" w:cs="Arial" w:eastAsia="Arial" w:hAnsi="Arial"/>
                <w:sz w:val="16"/>
                <w:szCs w:val="16"/>
                <w:b w:val="1"/>
                <w:bCs w:val="1"/>
                <w:color w:val="336699"/>
              </w:rPr>
              <w:t>Revenue</w:t>
            </w:r>
          </w:p>
        </w:tc>
        <w:tc>
          <w:tcPr>
            <w:tcW w:w="380" w:type="dxa"/>
            <w:vAlign w:val="bottom"/>
            <w:tcBorders>
              <w:bottom w:val="single" w:sz="8" w:color="336699"/>
            </w:tcBorders>
          </w:tcPr>
          <w:p>
            <w:pPr>
              <w:spacing w:after="0"/>
              <w:rPr>
                <w:sz w:val="19"/>
                <w:szCs w:val="19"/>
                <w:color w:val="auto"/>
              </w:rPr>
            </w:pPr>
          </w:p>
        </w:tc>
        <w:tc>
          <w:tcPr>
            <w:tcW w:w="1780" w:type="dxa"/>
            <w:vAlign w:val="bottom"/>
            <w:tcBorders>
              <w:bottom w:val="single" w:sz="8" w:color="336699"/>
            </w:tcBorders>
            <w:gridSpan w:val="2"/>
          </w:tcPr>
          <w:p>
            <w:pPr>
              <w:jc w:val="right"/>
              <w:spacing w:after="0"/>
              <w:rPr>
                <w:sz w:val="20"/>
                <w:szCs w:val="20"/>
                <w:color w:val="auto"/>
              </w:rPr>
            </w:pPr>
            <w:r>
              <w:rPr>
                <w:rFonts w:ascii="Arial" w:cs="Arial" w:eastAsia="Arial" w:hAnsi="Arial"/>
                <w:sz w:val="16"/>
                <w:szCs w:val="16"/>
                <w:b w:val="1"/>
                <w:bCs w:val="1"/>
                <w:color w:val="336699"/>
              </w:rPr>
              <w:t>Market Capitalization</w:t>
            </w:r>
          </w:p>
        </w:tc>
      </w:tr>
      <w:tr>
        <w:trPr>
          <w:trHeight w:val="250"/>
        </w:trPr>
        <w:tc>
          <w:tcPr>
            <w:tcW w:w="2200" w:type="dxa"/>
            <w:vAlign w:val="bottom"/>
            <w:tcBorders>
              <w:bottom w:val="single" w:sz="8" w:color="CCFFFF"/>
            </w:tcBorders>
            <w:shd w:val="clear" w:color="auto" w:fill="CCFFFF"/>
          </w:tcPr>
          <w:p>
            <w:pPr>
              <w:ind w:left="20"/>
              <w:spacing w:after="0"/>
              <w:rPr>
                <w:sz w:val="20"/>
                <w:szCs w:val="20"/>
                <w:color w:val="auto"/>
              </w:rPr>
            </w:pPr>
            <w:r>
              <w:rPr>
                <w:rFonts w:ascii="Arial" w:cs="Arial" w:eastAsia="Arial" w:hAnsi="Arial"/>
                <w:sz w:val="16"/>
                <w:szCs w:val="16"/>
                <w:color w:val="auto"/>
              </w:rPr>
              <w:t>Peer Group (Median)</w:t>
            </w:r>
          </w:p>
        </w:tc>
        <w:tc>
          <w:tcPr>
            <w:tcW w:w="1100" w:type="dxa"/>
            <w:vAlign w:val="bottom"/>
            <w:tcBorders>
              <w:bottom w:val="single" w:sz="8" w:color="CCFFFF"/>
            </w:tcBorders>
            <w:shd w:val="clear" w:color="auto" w:fill="CCFFFF"/>
          </w:tcPr>
          <w:p>
            <w:pPr>
              <w:jc w:val="right"/>
              <w:ind w:right="7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3.1</w:t>
            </w:r>
          </w:p>
        </w:tc>
        <w:tc>
          <w:tcPr>
            <w:tcW w:w="960" w:type="dxa"/>
            <w:vAlign w:val="bottom"/>
            <w:tcBorders>
              <w:bottom w:val="single" w:sz="8" w:color="CCFFFF"/>
            </w:tcBorders>
            <w:shd w:val="clear" w:color="auto" w:fill="CCFFFF"/>
          </w:tcPr>
          <w:p>
            <w:pPr>
              <w:jc w:val="right"/>
              <w:ind w:right="4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9.7</w:t>
            </w:r>
          </w:p>
        </w:tc>
      </w:tr>
      <w:tr>
        <w:trPr>
          <w:trHeight w:val="264"/>
        </w:trPr>
        <w:tc>
          <w:tcPr>
            <w:tcW w:w="2200" w:type="dxa"/>
            <w:vAlign w:val="bottom"/>
            <w:tcBorders>
              <w:bottom w:val="single" w:sz="8" w:color="003E7E"/>
            </w:tcBorders>
          </w:tcPr>
          <w:p>
            <w:pPr>
              <w:ind w:left="20"/>
              <w:spacing w:after="0"/>
              <w:rPr>
                <w:sz w:val="20"/>
                <w:szCs w:val="20"/>
                <w:color w:val="auto"/>
              </w:rPr>
            </w:pPr>
            <w:r>
              <w:rPr>
                <w:rFonts w:ascii="Arial" w:cs="Arial" w:eastAsia="Arial" w:hAnsi="Arial"/>
                <w:sz w:val="16"/>
                <w:szCs w:val="16"/>
                <w:color w:val="auto"/>
              </w:rPr>
              <w:t>LPL Financial Holdings Inc.</w:t>
            </w:r>
          </w:p>
        </w:tc>
        <w:tc>
          <w:tcPr>
            <w:tcW w:w="1100" w:type="dxa"/>
            <w:vAlign w:val="bottom"/>
            <w:tcBorders>
              <w:bottom w:val="single" w:sz="8" w:color="003E7E"/>
            </w:tcBorders>
          </w:tcPr>
          <w:p>
            <w:pPr>
              <w:jc w:val="right"/>
              <w:ind w:right="7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003E7E"/>
            </w:tcBorders>
          </w:tcPr>
          <w:p>
            <w:pPr>
              <w:jc w:val="right"/>
              <w:ind w:right="39"/>
              <w:spacing w:after="0"/>
              <w:rPr>
                <w:sz w:val="20"/>
                <w:szCs w:val="20"/>
                <w:color w:val="auto"/>
              </w:rPr>
            </w:pPr>
            <w:r>
              <w:rPr>
                <w:rFonts w:ascii="Arial" w:cs="Arial" w:eastAsia="Arial" w:hAnsi="Arial"/>
                <w:sz w:val="16"/>
                <w:szCs w:val="16"/>
                <w:color w:val="auto"/>
              </w:rPr>
              <w:t>4.0</w:t>
            </w:r>
          </w:p>
        </w:tc>
        <w:tc>
          <w:tcPr>
            <w:tcW w:w="960" w:type="dxa"/>
            <w:vAlign w:val="bottom"/>
            <w:tcBorders>
              <w:bottom w:val="single" w:sz="8" w:color="003E7E"/>
            </w:tcBorders>
          </w:tcPr>
          <w:p>
            <w:pPr>
              <w:jc w:val="right"/>
              <w:ind w:right="4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003E7E"/>
            </w:tcBorders>
          </w:tcPr>
          <w:p>
            <w:pPr>
              <w:jc w:val="right"/>
              <w:spacing w:after="0"/>
              <w:rPr>
                <w:sz w:val="20"/>
                <w:szCs w:val="20"/>
                <w:color w:val="auto"/>
              </w:rPr>
            </w:pPr>
            <w:r>
              <w:rPr>
                <w:rFonts w:ascii="Arial" w:cs="Arial" w:eastAsia="Arial" w:hAnsi="Arial"/>
                <w:sz w:val="16"/>
                <w:szCs w:val="16"/>
                <w:color w:val="auto"/>
              </w:rPr>
              <w:t>3.1</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Compensation Policies and Practices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No Employment Agreements</w:t>
      </w:r>
    </w:p>
    <w:p>
      <w:pPr>
        <w:spacing w:after="0" w:line="24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do not have individual employment agreements with any of our executive officers, including our named executive officers, although we have a practice of entering into offer letters with new executive officers that generally lay out the expected terms and conditions of their employment, including potential levels of compensation. Our executives serve at the will of the Board, and their rights to severance benefits following a termination of employment, if any, will be determined under our Executive Severance Plan, which applies uniformly to our executives at the managing director level and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Executive Severance Plan</w:t>
      </w:r>
    </w:p>
    <w:p>
      <w:pPr>
        <w:spacing w:after="0" w:line="24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Under our Executive Severance Plan, participants who experience a qualifying termination are eligible to receive continued payment of base salary for one year, an amount equal to the most recent annual bonus paid or payable to the executive and a subsidy of COBRA continuation benefits for one year.</w:t>
      </w:r>
    </w:p>
    <w:p>
      <w:pPr>
        <w:spacing w:after="0" w:line="206"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Additional benefits, including possible accelerated vesting of time-based equity and equity-based awards, are described elsewhere in this proxy statement under “</w:t>
      </w:r>
      <w:r>
        <w:rPr>
          <w:rFonts w:ascii="Arial" w:cs="Arial" w:eastAsia="Arial" w:hAnsi="Arial"/>
          <w:sz w:val="18"/>
          <w:szCs w:val="18"/>
          <w:i w:val="1"/>
          <w:iCs w:val="1"/>
          <w:color w:val="auto"/>
        </w:rPr>
        <w:t>Potential Payments upon Termination or</w:t>
      </w:r>
      <w:r>
        <w:rPr>
          <w:rFonts w:ascii="Arial" w:cs="Arial" w:eastAsia="Arial" w:hAnsi="Arial"/>
          <w:sz w:val="18"/>
          <w:szCs w:val="18"/>
          <w:color w:val="auto"/>
        </w:rPr>
        <w:t xml:space="preserve"> </w:t>
      </w:r>
      <w:r>
        <w:rPr>
          <w:rFonts w:ascii="Arial" w:cs="Arial" w:eastAsia="Arial" w:hAnsi="Arial"/>
          <w:sz w:val="18"/>
          <w:szCs w:val="18"/>
          <w:i w:val="1"/>
          <w:iCs w:val="1"/>
          <w:color w:val="auto"/>
        </w:rPr>
        <w:t>Change-in-Control for the Year Ended December 31, 2016</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Stock Ownership Guidelines</w:t>
      </w:r>
    </w:p>
    <w:p>
      <w:pPr>
        <w:spacing w:after="0" w:line="24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adopted stock ownership guidelines that are intended to better align the interests of our executive officers with the interests of our stockholders. Each executive at the managing director level and above (which includes our NEOs) is required to achieve and maintain ownership of our Common Stock at a threshold equal to three times his or her base salary, while our CEO is required to achieve and maintain a threshold equal to six times his base salary. Generally, executive officers have five years from the time they become an executive officer to meet the minimum ownership requirements. The after-tax spread value of all vested stock options, as well as all outstanding shares, held by the executive count as shares for purposes of satisfying the minimum ownership requirement. Unvested stock options,</w:t>
      </w:r>
    </w:p>
    <w:p>
      <w:pPr>
        <w:sectPr>
          <w:pgSz w:w="11900" w:h="16838" w:orient="portrait"/>
          <w:cols w:equalWidth="0" w:num="2">
            <w:col w:w="5480" w:space="460"/>
            <w:col w:w="5480"/>
          </w:cols>
          <w:pgMar w:left="240" w:top="436" w:right="239" w:bottom="1440" w:gutter="0" w:footer="0" w:header="0"/>
          <w:type w:val="continuous"/>
        </w:sectPr>
      </w:pPr>
    </w:p>
    <w:bookmarkStart w:id="44" w:name="page45"/>
    <w:bookmarkEnd w:id="44"/>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ectPr>
          <w:pgSz w:w="11900" w:h="16838" w:orient="portrait"/>
          <w:cols w:equalWidth="0" w:num="1">
            <w:col w:w="11420"/>
          </w:cols>
          <w:pgMar w:left="240" w:top="4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unvested PSUs and unvested RSUs do not count. Our stock ownership guidelines may be found on our website at www.lpl.com.</w:t>
      </w:r>
    </w:p>
    <w:p>
      <w:pPr>
        <w:spacing w:after="0" w:line="19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As of April 11, 2017, Mr. Arnold was the only NEO who satisfied the minimum stock ownership requirement pursuant to our guidelines, Messrs. Audette and Gooley and Ms. Calder each joined the Company within the last five years, and Mr. Casady was no longer subject to the guidelines. Under the stock ownership guidelines, an NEO is not required to purchase additional shares to satisfy the ownership requirement in the event of a decline in the Company’s stock price, but the NEO is generally prohibited from selling or transferring shares until the minimum ownership requirement has been achieved.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Anti-Hedging and Anti-Pledging Policy</w:t>
      </w:r>
    </w:p>
    <w:p>
      <w:pPr>
        <w:spacing w:after="0" w:line="24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believe that hedging transactions may permit executives to own Company securities obtained through our executive compensation program or otherwise without the full risks and rewards of ownership. When that occurs, an executive may no longer have the same objectives as the Company’s other stockholders. As a result, we have adopted a policy, included within our Insider Trading Policy, which prohibits executives from hedging or engaging in monetization transactions, including through the use of puts and call options, collars, exchange funds, prepaid variable forwards, and equity swaps. We also prohibit executives from holding Company securities in a margin account, because a margin or foreclosure sale may occur when an executive is aware of material nonpublic information or otherwise not permitted to trade.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Rule 10b5-1 Plan Policy</w:t>
      </w:r>
    </w:p>
    <w:p>
      <w:pPr>
        <w:spacing w:after="0" w:line="24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has adopted a policy (the “10b5-1 Policy”) for all executive officers and directors of the Company who adopt Rule 10b5-1 plans for trading in Company securities. The 10b5-1 Policy is designed to prevent inadvertent violations of the federal securities laws when implementing Rule 10b5-1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Annual Compensation Risk Assessment</w:t>
      </w:r>
    </w:p>
    <w:p>
      <w:pPr>
        <w:spacing w:after="0" w:line="243"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The Compensation Committee annually reviews our executive compensation policies and practices to ensure that they do not encourage unnecessary and excessive risks. The Compensation Consultant provided a “comfort letter” in connection with the 2016 review, the results of which are discussed elsewhere in this proxy statement under “</w:t>
      </w:r>
      <w:r>
        <w:rPr>
          <w:rFonts w:ascii="Arial" w:cs="Arial" w:eastAsia="Arial" w:hAnsi="Arial"/>
          <w:sz w:val="18"/>
          <w:szCs w:val="18"/>
          <w:i w:val="1"/>
          <w:iCs w:val="1"/>
          <w:color w:val="auto"/>
        </w:rPr>
        <w:t>Information Regarding Board and Committee</w:t>
      </w:r>
      <w:r>
        <w:rPr>
          <w:rFonts w:ascii="Arial" w:cs="Arial" w:eastAsia="Arial" w:hAnsi="Arial"/>
          <w:sz w:val="18"/>
          <w:szCs w:val="18"/>
          <w:color w:val="auto"/>
        </w:rPr>
        <w:t xml:space="preserve"> </w:t>
      </w:r>
      <w:r>
        <w:rPr>
          <w:rFonts w:ascii="Arial" w:cs="Arial" w:eastAsia="Arial" w:hAnsi="Arial"/>
          <w:sz w:val="18"/>
          <w:szCs w:val="18"/>
          <w:i w:val="1"/>
          <w:iCs w:val="1"/>
          <w:color w:val="auto"/>
        </w:rPr>
        <w:t>Structure—Risk Management and Compensation Policies and Practices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Say-on-Pay Feedback from Stockholders</w:t>
      </w:r>
    </w:p>
    <w:p>
      <w:pPr>
        <w:spacing w:after="0" w:line="24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2011, we held an advisory vote on the frequency with which our executive compensation program would be submitted to our stockholders for an advisory vote, commonly referred to as a “say-on-pay” vote. Our stockholders recommended that say-on-pay votes occur every three years. In light of developing market practices, however, our Compensation Committee determined in 2014 that it would be advisable to hold say-on-pay votes on the compensation of our named executive officers on an annual basis. Each year, the Compensation Committee carefully considers the results of the prior year’s advisory vote as it reviews and determines the total compensation packages for our NEOs in the current year. In 2016, we received support for our executive compensation program at our 2016 annual meeting of stockholders, as 80% of the total votes cast on the advisory vote on say-on-pay voted to approve the proposal. At the Annual Meeting, we will hold another advisory vote on the frequency with which our executive compensation program will be submitted to our stockholders for an advisory vote. The Board is recommending that say-on-pay votes occur every year, consistent with our current practice.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Equity Grant Practices</w:t>
      </w:r>
    </w:p>
    <w:p>
      <w:pPr>
        <w:spacing w:after="0" w:line="24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exercise price of each stock option awarded under our 2010 Plan is the closing price of the Common Stock on the date of grant. For equity grants in March 2017, the Compensation Committee determined the number of shares underlying the awards as follows.</w:t>
      </w:r>
    </w:p>
    <w:p>
      <w:pPr>
        <w:spacing w:after="0" w:line="204" w:lineRule="exact"/>
        <w:rPr>
          <w:sz w:val="20"/>
          <w:szCs w:val="20"/>
          <w:color w:val="auto"/>
        </w:rPr>
      </w:pPr>
    </w:p>
    <w:p>
      <w:pPr>
        <w:ind w:left="1300" w:right="380" w:hanging="974"/>
        <w:spacing w:after="0" w:line="254" w:lineRule="auto"/>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stock options, by dividing the value of the award by a number equal to: the 30-day trailing average closing price per share of our Common Stock divided by 3.5; and</w:t>
      </w:r>
    </w:p>
    <w:p>
      <w:pPr>
        <w:spacing w:after="0" w:line="204" w:lineRule="exact"/>
        <w:rPr>
          <w:rFonts w:ascii="Arial" w:cs="Arial" w:eastAsia="Arial" w:hAnsi="Arial"/>
          <w:sz w:val="18"/>
          <w:szCs w:val="18"/>
          <w:color w:val="auto"/>
        </w:rPr>
      </w:pPr>
    </w:p>
    <w:p>
      <w:pPr>
        <w:ind w:left="660" w:right="60" w:hanging="334"/>
        <w:spacing w:after="0" w:line="25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RSUs and PSUs, by dividing the value of the award by the 30-day trailing average closing price per share of our Common Stock.</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accordance with Delaware law, for 2016, the Board delegated to a committee, the sole member of which was Mr. Casady, who was then chair of the Board and chief executive officer of the Company (the “Equity Committee”), the authority to grant to an eligible participant under the 2010 Plan, other than an executive officer:</w:t>
      </w:r>
    </w:p>
    <w:p>
      <w:pPr>
        <w:spacing w:after="0" w:line="206" w:lineRule="exact"/>
        <w:rPr>
          <w:sz w:val="20"/>
          <w:szCs w:val="20"/>
          <w:color w:val="auto"/>
        </w:rPr>
      </w:pPr>
    </w:p>
    <w:p>
      <w:pPr>
        <w:ind w:left="320" w:right="80" w:hanging="318"/>
        <w:spacing w:after="0" w:line="254" w:lineRule="auto"/>
        <w:tabs>
          <w:tab w:leader="none" w:pos="320" w:val="left"/>
        </w:tabs>
        <w:numPr>
          <w:ilvl w:val="0"/>
          <w:numId w:val="28"/>
        </w:numPr>
        <w:rPr>
          <w:rFonts w:ascii="Arial" w:cs="Arial" w:eastAsia="Arial" w:hAnsi="Arial"/>
          <w:sz w:val="18"/>
          <w:szCs w:val="18"/>
          <w:color w:val="221E1F"/>
        </w:rPr>
      </w:pPr>
      <w:r>
        <w:rPr>
          <w:rFonts w:ascii="Arial" w:cs="Arial" w:eastAsia="Arial" w:hAnsi="Arial"/>
          <w:sz w:val="18"/>
          <w:szCs w:val="18"/>
          <w:color w:val="auto"/>
        </w:rPr>
        <w:t>stock options to purchase up to a number of shares of Common Stock as determined by dividing $500,000 by a number equal to either (i) the closing price per share of the Common Stock on the date of grant divided by 3.5 or (ii) the</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39</w:t>
      </w:r>
    </w:p>
    <w:p>
      <w:pPr>
        <w:sectPr>
          <w:pgSz w:w="11900" w:h="16838" w:orient="portrait"/>
          <w:cols w:equalWidth="0" w:num="2">
            <w:col w:w="5480" w:space="460"/>
            <w:col w:w="5480"/>
          </w:cols>
          <w:pgMar w:left="240" w:top="436" w:right="239" w:bottom="1440" w:gutter="0" w:footer="0" w:header="0"/>
          <w:type w:val="continuous"/>
        </w:sectPr>
      </w:pPr>
    </w:p>
    <w:bookmarkStart w:id="45" w:name="page46"/>
    <w:bookmarkEnd w:id="45"/>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ectPr>
          <w:pgSz w:w="11900" w:h="16838" w:orient="portrait"/>
          <w:cols w:equalWidth="0" w:num="1">
            <w:col w:w="11400"/>
          </w:cols>
          <w:pgMar w:left="240" w:top="43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right="80"/>
        <w:spacing w:after="0" w:line="303" w:lineRule="auto"/>
        <w:rPr>
          <w:sz w:val="20"/>
          <w:szCs w:val="20"/>
          <w:color w:val="auto"/>
        </w:rPr>
      </w:pPr>
      <w:r>
        <w:rPr>
          <w:rFonts w:ascii="Arial" w:cs="Arial" w:eastAsia="Arial" w:hAnsi="Arial"/>
          <w:sz w:val="18"/>
          <w:szCs w:val="18"/>
          <w:color w:val="auto"/>
        </w:rPr>
        <w:t>average of the closing price per share of the Common Stock for the trailing 30 consecutive trading days inclusive of the date of grant divided by 3.5; and</w:t>
      </w:r>
    </w:p>
    <w:p>
      <w:pPr>
        <w:spacing w:after="0" w:line="175" w:lineRule="exact"/>
        <w:rPr>
          <w:sz w:val="20"/>
          <w:szCs w:val="20"/>
          <w:color w:val="auto"/>
        </w:rPr>
      </w:pPr>
    </w:p>
    <w:p>
      <w:pPr>
        <w:ind w:left="340" w:right="20" w:hanging="332"/>
        <w:spacing w:after="0" w:line="252" w:lineRule="auto"/>
        <w:tabs>
          <w:tab w:leader="none" w:pos="340" w:val="left"/>
        </w:tabs>
        <w:numPr>
          <w:ilvl w:val="0"/>
          <w:numId w:val="29"/>
        </w:numPr>
        <w:rPr>
          <w:rFonts w:ascii="Arial" w:cs="Arial" w:eastAsia="Arial" w:hAnsi="Arial"/>
          <w:sz w:val="18"/>
          <w:szCs w:val="18"/>
          <w:color w:val="221E1F"/>
        </w:rPr>
      </w:pPr>
      <w:r>
        <w:rPr>
          <w:rFonts w:ascii="Arial" w:cs="Arial" w:eastAsia="Arial" w:hAnsi="Arial"/>
          <w:sz w:val="18"/>
          <w:szCs w:val="18"/>
          <w:color w:val="auto"/>
        </w:rPr>
        <w:t>RSUs, with any individual grant limited to a number of RSUs determined by dividing $500,000 by a number equal to either (i) the closing price per share of Common Stock on the date of grant or (ii) the average closing price per share of the Common Stock for the trailing 30 consecutive trading days inclusive of the date of grant.</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stock options and RSUs granted pursuant to this delegated authority vest, in the discretion of the Equity Committee, either (i) ratably over three years or (ii) in full on the second or third anniversary of the grant date. Options granted pursuant to this delegated authority prior to December 17, 2013 vest either (i) ratably over four or five years or (ii) in full on the second or third anniversary of the grant date.</w:t>
      </w:r>
    </w:p>
    <w:p>
      <w:pPr>
        <w:spacing w:after="0" w:line="20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Effective February 24, 2017, Mr. Arnold is the sole member of the Equity Committee.</w:t>
      </w:r>
    </w:p>
    <w:p>
      <w:pPr>
        <w:spacing w:after="0" w:line="1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the Compensation Committee has delegated to our chief human capital officer the authority to grant to an employee of the Company, other than an executive officer:</w:t>
      </w:r>
    </w:p>
    <w:p>
      <w:pPr>
        <w:spacing w:after="0" w:line="202" w:lineRule="exact"/>
        <w:rPr>
          <w:sz w:val="20"/>
          <w:szCs w:val="20"/>
          <w:color w:val="auto"/>
        </w:rPr>
      </w:pPr>
    </w:p>
    <w:p>
      <w:pPr>
        <w:ind w:left="340" w:hanging="332"/>
        <w:spacing w:after="0" w:line="253" w:lineRule="auto"/>
        <w:tabs>
          <w:tab w:leader="none" w:pos="340" w:val="left"/>
        </w:tabs>
        <w:numPr>
          <w:ilvl w:val="0"/>
          <w:numId w:val="30"/>
        </w:numPr>
        <w:rPr>
          <w:rFonts w:ascii="Arial" w:cs="Arial" w:eastAsia="Arial" w:hAnsi="Arial"/>
          <w:sz w:val="18"/>
          <w:szCs w:val="18"/>
          <w:color w:val="221E1F"/>
        </w:rPr>
      </w:pPr>
      <w:r>
        <w:rPr>
          <w:rFonts w:ascii="Arial" w:cs="Arial" w:eastAsia="Arial" w:hAnsi="Arial"/>
          <w:sz w:val="18"/>
          <w:szCs w:val="18"/>
          <w:color w:val="auto"/>
        </w:rPr>
        <w:t>stock options to purchase up to a number of shares of Common Stock as determined by dividing $500,000 by a number equal to: the average of the closing price per share of the Common Stock for the trailing 30 consecutive trading days inclusive of the date of grant divided by 3.5; and</w:t>
      </w:r>
    </w:p>
    <w:p>
      <w:pPr>
        <w:spacing w:after="0" w:line="205" w:lineRule="exact"/>
        <w:rPr>
          <w:rFonts w:ascii="Arial" w:cs="Arial" w:eastAsia="Arial" w:hAnsi="Arial"/>
          <w:sz w:val="18"/>
          <w:szCs w:val="18"/>
          <w:color w:val="221E1F"/>
        </w:rPr>
      </w:pPr>
    </w:p>
    <w:p>
      <w:pPr>
        <w:ind w:left="340" w:hanging="332"/>
        <w:spacing w:after="0" w:line="274" w:lineRule="auto"/>
        <w:tabs>
          <w:tab w:leader="none" w:pos="340" w:val="left"/>
        </w:tabs>
        <w:numPr>
          <w:ilvl w:val="0"/>
          <w:numId w:val="30"/>
        </w:numPr>
        <w:rPr>
          <w:rFonts w:ascii="Arial" w:cs="Arial" w:eastAsia="Arial" w:hAnsi="Arial"/>
          <w:sz w:val="17"/>
          <w:szCs w:val="17"/>
          <w:color w:val="221E1F"/>
        </w:rPr>
      </w:pPr>
      <w:r>
        <w:rPr>
          <w:rFonts w:ascii="Arial" w:cs="Arial" w:eastAsia="Arial" w:hAnsi="Arial"/>
          <w:sz w:val="17"/>
          <w:szCs w:val="17"/>
          <w:color w:val="auto"/>
        </w:rPr>
        <w:t>RSUs, with any individual grant limited to the number of RSUs determined by dividing $500,000 by a number equal to the average closing price share of the Common Stock for the trailing 30 consecutive trading days inclusive of the date of grant.</w:t>
      </w:r>
    </w:p>
    <w:p>
      <w:pPr>
        <w:spacing w:after="0" w:line="18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stock options and RSUs currently granted pursuant to this delegated authority vest ratably over three years, and, in addition to the individual limits described above, the total aggregate number of shares of Common Stock underlying stock options and RSUs granted by the chief human capital officer in any fiscal year may not exceed one million shares. Stock options granted pursuant to this delegated authority prior to December 17, 2013 vest ratably over four or five years.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40 | </w:t>
      </w:r>
      <w:r>
        <w:rPr>
          <w:rFonts w:ascii="Arial" w:cs="Arial" w:eastAsia="Arial" w:hAnsi="Arial"/>
          <w:sz w:val="18"/>
          <w:szCs w:val="18"/>
          <w:b w:val="1"/>
          <w:bCs w:val="1"/>
          <w:color w:val="003B71"/>
        </w:rPr>
        <w:t>2017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162(m) Policy and Bonus Plan and PSUs</w:t>
      </w:r>
    </w:p>
    <w:p>
      <w:pPr>
        <w:spacing w:after="0" w:line="24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Pursuant to Section 162(m) of the Internal Revenue Code, compensation in excess of $1 million that is paid to certain executive officers is not deductible unless it qualifies as “performance-based compensation.” Our Compensation Committee believes that, in establishing the cash and equity incentive compensation programs for the Company’s executive officers, the potential deductibility of the compensation payable under those programs should be only one of a number of relevant factors taken into consideration. From time to time, the Compensation Committee may, and reserves the right to, award or approve compensation that is not deductible under Section 162(m) in order to provide competitive levels of total compensation to our executive officers in a manner designed to incentivize achievement of our strategic goals and objectives.</w:t>
      </w:r>
    </w:p>
    <w:p>
      <w:pPr>
        <w:spacing w:after="0" w:line="21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Our annual cash bonus awards to executive officers are generally granted under the Bonus Plan and intended to qualify as “performance-based compensation” under Section 162(m). Within the first 90 days of the annual performance period, the Compensation Committee establishes our objective performance criteria for the period and grants eligible participants a maximum potential award under the Bonus Plan based on that performance criteria. Following the conclusion of the performance period, the Compensation Committee certifies whether the objective performance criteria were satisfied. If satisfied, the Compensation Committee may exercise discretion to determine the actual amount of the annual cash bonus awards to be paid to each participant under the Bonus Plan, subject to the pre-established maximums for each participant. Our PSUs are also intended to qualify as “performance-based compensation” under Section 162(m). See “— </w:t>
      </w:r>
      <w:r>
        <w:rPr>
          <w:rFonts w:ascii="Arial" w:cs="Arial" w:eastAsia="Arial" w:hAnsi="Arial"/>
          <w:sz w:val="18"/>
          <w:szCs w:val="18"/>
          <w:i w:val="1"/>
          <w:iCs w:val="1"/>
          <w:color w:val="auto"/>
        </w:rPr>
        <w:t>Long-Term Equity Incentive Awards</w:t>
      </w:r>
      <w:r>
        <w:rPr>
          <w:rFonts w:ascii="Arial" w:cs="Arial" w:eastAsia="Arial" w:hAnsi="Arial"/>
          <w:sz w:val="18"/>
          <w:szCs w:val="18"/>
          <w:color w:val="auto"/>
        </w:rPr>
        <w:t>” for a description of our PSUs.</w:t>
      </w:r>
    </w:p>
    <w:p>
      <w:pPr>
        <w:sectPr>
          <w:pgSz w:w="11900" w:h="16838" w:orient="portrait"/>
          <w:cols w:equalWidth="0" w:num="2">
            <w:col w:w="5460" w:space="480"/>
            <w:col w:w="5460"/>
          </w:cols>
          <w:pgMar w:left="240" w:top="436" w:right="259" w:bottom="1440" w:gutter="0" w:footer="0" w:header="0"/>
          <w:type w:val="continuous"/>
        </w:sectPr>
      </w:pPr>
    </w:p>
    <w:bookmarkStart w:id="46" w:name="page47"/>
    <w:bookmarkEnd w:id="46"/>
    <w:p>
      <w:pPr>
        <w:jc w:val="right"/>
        <w:ind w:left="6500" w:right="60"/>
        <w:spacing w:after="0" w:line="258" w:lineRule="auto"/>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3257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20585" cy="325755"/>
                    </a:xfrm>
                    <a:prstGeom prst="rect">
                      <a:avLst/>
                    </a:prstGeom>
                    <a:noFill/>
                  </pic:spPr>
                </pic:pic>
              </a:graphicData>
            </a:graphic>
          </wp:anchor>
        </w:drawing>
        <w:t>Report of the Compensation and Human Resources Committee of the Board of Directors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336699"/>
        </w:rPr>
        <w:t>Report of the Compensation and Human Resources Committee of the Board of Directors</w:t>
      </w:r>
    </w:p>
    <w:p>
      <w:pPr>
        <w:spacing w:after="0" w:line="31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following independent directors, who constitute the Compensation Committee, have reviewed the Compensation Discussion and Analysis with our management and recommended that it be included in this proxy statement.</w:t>
      </w:r>
    </w:p>
    <w:p>
      <w:pPr>
        <w:spacing w:after="0" w:line="273" w:lineRule="exact"/>
        <w:rPr>
          <w:sz w:val="20"/>
          <w:szCs w:val="20"/>
          <w:color w:val="auto"/>
        </w:rPr>
      </w:pPr>
    </w:p>
    <w:p>
      <w:pPr>
        <w:jc w:val="center"/>
        <w:ind w:left="5540"/>
        <w:spacing w:after="0"/>
        <w:rPr>
          <w:sz w:val="20"/>
          <w:szCs w:val="20"/>
          <w:color w:val="auto"/>
        </w:rPr>
      </w:pPr>
      <w:r>
        <w:rPr>
          <w:rFonts w:ascii="Arial" w:cs="Arial" w:eastAsia="Arial" w:hAnsi="Arial"/>
          <w:sz w:val="18"/>
          <w:szCs w:val="18"/>
          <w:color w:val="auto"/>
        </w:rPr>
        <w:t>Anne M. Mulcahy, Chair</w:t>
      </w:r>
    </w:p>
    <w:p>
      <w:pPr>
        <w:jc w:val="center"/>
        <w:ind w:left="5540"/>
        <w:spacing w:after="0" w:line="234" w:lineRule="auto"/>
        <w:rPr>
          <w:sz w:val="20"/>
          <w:szCs w:val="20"/>
          <w:color w:val="auto"/>
        </w:rPr>
      </w:pPr>
      <w:r>
        <w:rPr>
          <w:rFonts w:ascii="Arial" w:cs="Arial" w:eastAsia="Arial" w:hAnsi="Arial"/>
          <w:sz w:val="18"/>
          <w:szCs w:val="18"/>
          <w:color w:val="auto"/>
        </w:rPr>
        <w:t>John J. Brennan</w:t>
      </w:r>
    </w:p>
    <w:p>
      <w:pPr>
        <w:spacing w:after="0" w:line="1" w:lineRule="exact"/>
        <w:rPr>
          <w:sz w:val="20"/>
          <w:szCs w:val="20"/>
          <w:color w:val="auto"/>
        </w:rPr>
      </w:pPr>
    </w:p>
    <w:p>
      <w:pPr>
        <w:jc w:val="center"/>
        <w:ind w:left="5540"/>
        <w:spacing w:after="0"/>
        <w:rPr>
          <w:sz w:val="20"/>
          <w:szCs w:val="20"/>
          <w:color w:val="auto"/>
        </w:rPr>
      </w:pPr>
      <w:r>
        <w:rPr>
          <w:rFonts w:ascii="Arial" w:cs="Arial" w:eastAsia="Arial" w:hAnsi="Arial"/>
          <w:sz w:val="18"/>
          <w:szCs w:val="18"/>
          <w:color w:val="auto"/>
        </w:rPr>
        <w:t>James S. Riepe</w:t>
      </w:r>
    </w:p>
    <w:p>
      <w:pPr>
        <w:spacing w:after="0" w:line="50"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April 11, 2017</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41</w:t>
      </w:r>
    </w:p>
    <w:p>
      <w:pPr>
        <w:sectPr>
          <w:pgSz w:w="11900" w:h="16838" w:orient="portrait"/>
          <w:cols w:equalWidth="0" w:num="1">
            <w:col w:w="11420"/>
          </w:cols>
          <w:pgMar w:left="240" w:top="288" w:right="239" w:bottom="1440" w:gutter="0" w:footer="0" w:header="0"/>
        </w:sectPr>
      </w:pPr>
    </w:p>
    <w:bookmarkStart w:id="47" w:name="page48"/>
    <w:bookmarkEnd w:id="47"/>
    <w:p>
      <w:pPr>
        <w:jc w:val="right"/>
        <w:ind w:right="6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36699"/>
        </w:rPr>
        <w:t>Compensation of Named Executive Officers</w:t>
      </w:r>
    </w:p>
    <w:p>
      <w:pPr>
        <w:sectPr>
          <w:pgSz w:w="11900" w:h="16838" w:orient="portrait"/>
          <w:cols w:equalWidth="0" w:num="1">
            <w:col w:w="11420"/>
          </w:cols>
          <w:pgMar w:left="240" w:top="436" w:right="239" w:bottom="1440" w:gutter="0" w:footer="0" w:header="0"/>
        </w:sectPr>
      </w:pPr>
    </w:p>
    <w:p>
      <w:pPr>
        <w:spacing w:after="0" w:line="30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Except where otherwise noted, the equity awards shown in the Summary Compensation table and Grants of Plan-Based Awards table for the fiscal year 2016 were granted in February 2016 in respect of services performed in 2015. Please refer to the Compensation Discussion and Analysis included in last year’s proxy statement for a discussion of these awards. Equity awards in respect of services performed in 2016 that were granted in 2017 do not appear in the Summary Compensation Table or Grants of Plan-Based Awards table in accordance with SEC rules. Please refer to the Compensation Discussion and Analysis in this proxy statement for a discussion of these awards.</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tables in the following sections of this proxy statement provide information required by the SEC regarding compensation paid to or earned by our NEOs. The footnotes to these tables provide important information to explain the values presented in the tables and are an important part of our disclosures.</w:t>
      </w:r>
    </w:p>
    <w:p>
      <w:pPr>
        <w:spacing w:after="0" w:line="1475" w:lineRule="exact"/>
        <w:rPr>
          <w:sz w:val="20"/>
          <w:szCs w:val="20"/>
          <w:color w:val="auto"/>
        </w:rPr>
      </w:pPr>
    </w:p>
    <w:p>
      <w:pPr>
        <w:sectPr>
          <w:pgSz w:w="11900" w:h="16838" w:orient="portrait"/>
          <w:cols w:equalWidth="0" w:num="2">
            <w:col w:w="5480" w:space="460"/>
            <w:col w:w="5480"/>
          </w:cols>
          <w:pgMar w:left="240" w:top="436" w:right="239" w:bottom="1440" w:gutter="0" w:footer="0" w:header="0"/>
          <w:type w:val="continuous"/>
        </w:sectPr>
      </w:pPr>
    </w:p>
    <w:p>
      <w:pPr>
        <w:spacing w:after="0"/>
        <w:rPr>
          <w:sz w:val="20"/>
          <w:szCs w:val="20"/>
          <w:color w:val="auto"/>
        </w:rPr>
      </w:pPr>
      <w:r>
        <w:rPr>
          <w:rFonts w:ascii="Arial" w:cs="Arial" w:eastAsia="Arial" w:hAnsi="Arial"/>
          <w:sz w:val="20"/>
          <w:szCs w:val="20"/>
          <w:b w:val="1"/>
          <w:bCs w:val="1"/>
          <w:color w:val="336699"/>
        </w:rPr>
        <w:t>Summary Compensation Table for Year Ended December 31, 2016</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the total compensation for the years ended December 31, 2016, 2015, and 2014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NEOs: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336699"/>
                <w:w w:val="89"/>
              </w:rPr>
              <w:t>Stock</w:t>
            </w:r>
          </w:p>
        </w:tc>
        <w:tc>
          <w:tcPr>
            <w:tcW w:w="540" w:type="dxa"/>
            <w:vAlign w:val="bottom"/>
          </w:tcPr>
          <w:p>
            <w:pPr>
              <w:spacing w:after="0"/>
              <w:rPr>
                <w:sz w:val="14"/>
                <w:szCs w:val="14"/>
                <w:color w:val="auto"/>
              </w:rPr>
            </w:pPr>
          </w:p>
        </w:tc>
        <w:tc>
          <w:tcPr>
            <w:tcW w:w="92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336699"/>
                <w:w w:val="97"/>
              </w:rPr>
              <w:t>Option</w:t>
            </w:r>
          </w:p>
        </w:tc>
        <w:tc>
          <w:tcPr>
            <w:tcW w:w="4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336699"/>
                <w:w w:val="96"/>
              </w:rPr>
              <w:t>Non-Equity</w:t>
            </w:r>
          </w:p>
        </w:tc>
        <w:tc>
          <w:tcPr>
            <w:tcW w:w="360" w:type="dxa"/>
            <w:vAlign w:val="bottom"/>
          </w:tcPr>
          <w:p>
            <w:pPr>
              <w:spacing w:after="0"/>
              <w:rPr>
                <w:sz w:val="14"/>
                <w:szCs w:val="14"/>
                <w:color w:val="auto"/>
              </w:rPr>
            </w:pPr>
          </w:p>
        </w:tc>
        <w:tc>
          <w:tcPr>
            <w:tcW w:w="13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336699"/>
                <w:w w:val="98"/>
              </w:rPr>
              <w:t>All Other</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vMerge w:val="restart"/>
          </w:tcPr>
          <w:p>
            <w:pPr>
              <w:ind w:left="720"/>
              <w:spacing w:after="0"/>
              <w:rPr>
                <w:sz w:val="20"/>
                <w:szCs w:val="20"/>
                <w:color w:val="auto"/>
              </w:rPr>
            </w:pPr>
            <w:r>
              <w:rPr>
                <w:rFonts w:ascii="Arial" w:cs="Arial" w:eastAsia="Arial" w:hAnsi="Arial"/>
                <w:sz w:val="14"/>
                <w:szCs w:val="14"/>
                <w:b w:val="1"/>
                <w:bCs w:val="1"/>
                <w:color w:val="336699"/>
              </w:rPr>
              <w:t>Name and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336699"/>
                <w:w w:val="95"/>
              </w:rPr>
              <w:t>Salary</w:t>
            </w:r>
          </w:p>
        </w:tc>
        <w:tc>
          <w:tcPr>
            <w:tcW w:w="44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336699"/>
              </w:rPr>
              <w:t>Bonus</w:t>
            </w:r>
          </w:p>
        </w:tc>
        <w:tc>
          <w:tcPr>
            <w:tcW w:w="4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336699"/>
                <w:w w:val="93"/>
              </w:rPr>
              <w:t>Incentive Plan</w:t>
            </w:r>
          </w:p>
        </w:tc>
        <w:tc>
          <w:tcPr>
            <w:tcW w:w="3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9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336699"/>
              </w:rPr>
              <w:t>Total</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4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336699"/>
              </w:rPr>
              <w:t>Year</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336699"/>
                <w:w w:val="94"/>
              </w:rPr>
              <w:t>Awards</w:t>
            </w:r>
          </w:p>
        </w:tc>
        <w:tc>
          <w:tcPr>
            <w:tcW w:w="540" w:type="dxa"/>
            <w:vAlign w:val="bottom"/>
          </w:tcPr>
          <w:p>
            <w:pPr>
              <w:spacing w:after="0"/>
              <w:rPr>
                <w:sz w:val="12"/>
                <w:szCs w:val="12"/>
                <w:color w:val="auto"/>
              </w:rPr>
            </w:pPr>
          </w:p>
        </w:tc>
        <w:tc>
          <w:tcPr>
            <w:tcW w:w="9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336699"/>
                <w:w w:val="90"/>
              </w:rPr>
              <w:t>Awards</w:t>
            </w:r>
          </w:p>
        </w:tc>
        <w:tc>
          <w:tcPr>
            <w:tcW w:w="4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336699"/>
                <w:w w:val="90"/>
              </w:rPr>
              <w:t>Compensation</w:t>
            </w:r>
          </w:p>
        </w:tc>
        <w:tc>
          <w:tcPr>
            <w:tcW w:w="360" w:type="dxa"/>
            <w:vAlign w:val="bottom"/>
          </w:tcPr>
          <w:p>
            <w:pPr>
              <w:spacing w:after="0"/>
              <w:rPr>
                <w:sz w:val="12"/>
                <w:szCs w:val="12"/>
                <w:color w:val="auto"/>
              </w:rPr>
            </w:pPr>
          </w:p>
        </w:tc>
        <w:tc>
          <w:tcPr>
            <w:tcW w:w="13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336699"/>
                <w:w w:val="92"/>
              </w:rPr>
              <w:t>Compensation</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80" w:type="dxa"/>
            <w:vAlign w:val="bottom"/>
            <w:tcBorders>
              <w:bottom w:val="single" w:sz="8" w:color="336699"/>
            </w:tcBorders>
          </w:tcPr>
          <w:p>
            <w:pPr>
              <w:ind w:left="500"/>
              <w:spacing w:after="0"/>
              <w:rPr>
                <w:sz w:val="20"/>
                <w:szCs w:val="20"/>
                <w:color w:val="auto"/>
              </w:rPr>
            </w:pPr>
            <w:r>
              <w:rPr>
                <w:rFonts w:ascii="Arial" w:cs="Arial" w:eastAsia="Arial" w:hAnsi="Arial"/>
                <w:sz w:val="14"/>
                <w:szCs w:val="14"/>
                <w:b w:val="1"/>
                <w:bCs w:val="1"/>
                <w:color w:val="336699"/>
              </w:rPr>
              <w:t>Principal Position</w:t>
            </w:r>
          </w:p>
        </w:tc>
        <w:tc>
          <w:tcPr>
            <w:tcW w:w="460" w:type="dxa"/>
            <w:vAlign w:val="bottom"/>
            <w:tcBorders>
              <w:bottom w:val="single" w:sz="8" w:color="336699"/>
            </w:tcBorders>
            <w:vMerge w:val="continue"/>
          </w:tcPr>
          <w:p>
            <w:pPr>
              <w:spacing w:after="0"/>
              <w:rPr>
                <w:sz w:val="16"/>
                <w:szCs w:val="16"/>
                <w:color w:val="auto"/>
              </w:rPr>
            </w:pPr>
          </w:p>
        </w:tc>
        <w:tc>
          <w:tcPr>
            <w:tcW w:w="780" w:type="dxa"/>
            <w:vAlign w:val="bottom"/>
            <w:tcBorders>
              <w:bottom w:val="single" w:sz="8" w:color="336699"/>
            </w:tcBorders>
            <w:gridSpan w:val="2"/>
          </w:tcPr>
          <w:p>
            <w:pPr>
              <w:jc w:val="center"/>
              <w:ind w:left="88"/>
              <w:spacing w:after="0"/>
              <w:rPr>
                <w:sz w:val="20"/>
                <w:szCs w:val="20"/>
                <w:color w:val="auto"/>
              </w:rPr>
            </w:pPr>
            <w:r>
              <w:rPr>
                <w:rFonts w:ascii="Arial" w:cs="Arial" w:eastAsia="Arial" w:hAnsi="Arial"/>
                <w:sz w:val="14"/>
                <w:szCs w:val="14"/>
                <w:b w:val="1"/>
                <w:bCs w:val="1"/>
                <w:color w:val="336699"/>
              </w:rPr>
              <w:t>($)</w:t>
            </w:r>
          </w:p>
        </w:tc>
        <w:tc>
          <w:tcPr>
            <w:tcW w:w="440" w:type="dxa"/>
            <w:vAlign w:val="bottom"/>
            <w:tcBorders>
              <w:bottom w:val="single" w:sz="8" w:color="336699"/>
            </w:tcBorders>
          </w:tcPr>
          <w:p>
            <w:pPr>
              <w:spacing w:after="0"/>
              <w:rPr>
                <w:sz w:val="16"/>
                <w:szCs w:val="16"/>
                <w:color w:val="auto"/>
              </w:rPr>
            </w:pPr>
          </w:p>
        </w:tc>
        <w:tc>
          <w:tcPr>
            <w:tcW w:w="720" w:type="dxa"/>
            <w:vAlign w:val="bottom"/>
            <w:tcBorders>
              <w:bottom w:val="single" w:sz="8" w:color="336699"/>
            </w:tcBorders>
          </w:tcPr>
          <w:p>
            <w:pPr>
              <w:jc w:val="right"/>
              <w:ind w:right="148"/>
              <w:spacing w:after="0"/>
              <w:rPr>
                <w:sz w:val="20"/>
                <w:szCs w:val="20"/>
                <w:color w:val="auto"/>
              </w:rPr>
            </w:pPr>
            <w:r>
              <w:rPr>
                <w:rFonts w:ascii="Arial" w:cs="Arial" w:eastAsia="Arial" w:hAnsi="Arial"/>
                <w:sz w:val="14"/>
                <w:szCs w:val="14"/>
                <w:b w:val="1"/>
                <w:bCs w:val="1"/>
                <w:color w:val="336699"/>
              </w:rPr>
              <w:t>($)</w:t>
            </w:r>
          </w:p>
        </w:tc>
        <w:tc>
          <w:tcPr>
            <w:tcW w:w="460" w:type="dxa"/>
            <w:vAlign w:val="bottom"/>
            <w:tcBorders>
              <w:bottom w:val="single" w:sz="8" w:color="336699"/>
            </w:tcBorders>
          </w:tcPr>
          <w:p>
            <w:pPr>
              <w:spacing w:after="0"/>
              <w:rPr>
                <w:sz w:val="16"/>
                <w:szCs w:val="16"/>
                <w:color w:val="auto"/>
              </w:rPr>
            </w:pPr>
          </w:p>
        </w:tc>
        <w:tc>
          <w:tcPr>
            <w:tcW w:w="800" w:type="dxa"/>
            <w:vAlign w:val="bottom"/>
            <w:tcBorders>
              <w:bottom w:val="single" w:sz="8" w:color="336699"/>
            </w:tcBorders>
          </w:tcPr>
          <w:p>
            <w:pPr>
              <w:jc w:val="center"/>
              <w:spacing w:after="0"/>
              <w:rPr>
                <w:sz w:val="20"/>
                <w:szCs w:val="20"/>
                <w:color w:val="auto"/>
              </w:rPr>
            </w:pPr>
            <w:r>
              <w:rPr>
                <w:rFonts w:ascii="Arial" w:cs="Arial" w:eastAsia="Arial" w:hAnsi="Arial"/>
                <w:sz w:val="14"/>
                <w:szCs w:val="14"/>
                <w:b w:val="1"/>
                <w:bCs w:val="1"/>
                <w:color w:val="336699"/>
                <w:w w:val="99"/>
              </w:rPr>
              <w:t>($)(1)</w:t>
            </w:r>
          </w:p>
        </w:tc>
        <w:tc>
          <w:tcPr>
            <w:tcW w:w="540" w:type="dxa"/>
            <w:vAlign w:val="bottom"/>
            <w:tcBorders>
              <w:bottom w:val="single" w:sz="8" w:color="336699"/>
            </w:tcBorders>
          </w:tcPr>
          <w:p>
            <w:pPr>
              <w:spacing w:after="0"/>
              <w:rPr>
                <w:sz w:val="16"/>
                <w:szCs w:val="16"/>
                <w:color w:val="auto"/>
              </w:rPr>
            </w:pPr>
          </w:p>
        </w:tc>
        <w:tc>
          <w:tcPr>
            <w:tcW w:w="920" w:type="dxa"/>
            <w:vAlign w:val="bottom"/>
            <w:tcBorders>
              <w:bottom w:val="single" w:sz="8" w:color="336699"/>
            </w:tcBorders>
          </w:tcPr>
          <w:p>
            <w:pPr>
              <w:jc w:val="center"/>
              <w:ind w:left="28"/>
              <w:spacing w:after="0"/>
              <w:rPr>
                <w:sz w:val="20"/>
                <w:szCs w:val="20"/>
                <w:color w:val="auto"/>
              </w:rPr>
            </w:pPr>
            <w:r>
              <w:rPr>
                <w:rFonts w:ascii="Arial" w:cs="Arial" w:eastAsia="Arial" w:hAnsi="Arial"/>
                <w:sz w:val="14"/>
                <w:szCs w:val="14"/>
                <w:b w:val="1"/>
                <w:bCs w:val="1"/>
                <w:color w:val="336699"/>
                <w:w w:val="99"/>
              </w:rPr>
              <w:t>($)(1)</w:t>
            </w:r>
          </w:p>
        </w:tc>
        <w:tc>
          <w:tcPr>
            <w:tcW w:w="400" w:type="dxa"/>
            <w:vAlign w:val="bottom"/>
            <w:tcBorders>
              <w:bottom w:val="single" w:sz="8" w:color="336699"/>
            </w:tcBorders>
          </w:tcPr>
          <w:p>
            <w:pPr>
              <w:spacing w:after="0"/>
              <w:rPr>
                <w:sz w:val="16"/>
                <w:szCs w:val="16"/>
                <w:color w:val="auto"/>
              </w:rPr>
            </w:pPr>
          </w:p>
        </w:tc>
        <w:tc>
          <w:tcPr>
            <w:tcW w:w="1180" w:type="dxa"/>
            <w:vAlign w:val="bottom"/>
            <w:tcBorders>
              <w:bottom w:val="single" w:sz="8" w:color="336699"/>
            </w:tcBorders>
          </w:tcPr>
          <w:p>
            <w:pPr>
              <w:jc w:val="center"/>
              <w:spacing w:after="0"/>
              <w:rPr>
                <w:sz w:val="20"/>
                <w:szCs w:val="20"/>
                <w:color w:val="auto"/>
              </w:rPr>
            </w:pPr>
            <w:r>
              <w:rPr>
                <w:rFonts w:ascii="Arial" w:cs="Arial" w:eastAsia="Arial" w:hAnsi="Arial"/>
                <w:sz w:val="14"/>
                <w:szCs w:val="14"/>
                <w:b w:val="1"/>
                <w:bCs w:val="1"/>
                <w:color w:val="336699"/>
                <w:w w:val="99"/>
              </w:rPr>
              <w:t>($)(2)</w:t>
            </w:r>
          </w:p>
        </w:tc>
        <w:tc>
          <w:tcPr>
            <w:tcW w:w="360" w:type="dxa"/>
            <w:vAlign w:val="bottom"/>
            <w:tcBorders>
              <w:bottom w:val="single" w:sz="8" w:color="336699"/>
            </w:tcBorders>
          </w:tcPr>
          <w:p>
            <w:pPr>
              <w:spacing w:after="0"/>
              <w:rPr>
                <w:sz w:val="16"/>
                <w:szCs w:val="16"/>
                <w:color w:val="auto"/>
              </w:rPr>
            </w:pPr>
          </w:p>
        </w:tc>
        <w:tc>
          <w:tcPr>
            <w:tcW w:w="1320" w:type="dxa"/>
            <w:vAlign w:val="bottom"/>
            <w:tcBorders>
              <w:bottom w:val="single" w:sz="8" w:color="336699"/>
            </w:tcBorders>
          </w:tcPr>
          <w:p>
            <w:pPr>
              <w:jc w:val="center"/>
              <w:ind w:right="68"/>
              <w:spacing w:after="0"/>
              <w:rPr>
                <w:sz w:val="20"/>
                <w:szCs w:val="20"/>
                <w:color w:val="auto"/>
              </w:rPr>
            </w:pPr>
            <w:r>
              <w:rPr>
                <w:rFonts w:ascii="Arial" w:cs="Arial" w:eastAsia="Arial" w:hAnsi="Arial"/>
                <w:sz w:val="14"/>
                <w:szCs w:val="14"/>
                <w:b w:val="1"/>
                <w:bCs w:val="1"/>
                <w:color w:val="336699"/>
                <w:w w:val="99"/>
              </w:rPr>
              <w:t>($)(3)</w:t>
            </w:r>
          </w:p>
        </w:tc>
        <w:tc>
          <w:tcPr>
            <w:tcW w:w="960" w:type="dxa"/>
            <w:vAlign w:val="bottom"/>
            <w:tcBorders>
              <w:bottom w:val="single" w:sz="8" w:color="336699"/>
            </w:tcBorders>
          </w:tcPr>
          <w:p>
            <w:pPr>
              <w:jc w:val="right"/>
              <w:ind w:right="348"/>
              <w:spacing w:after="0"/>
              <w:rPr>
                <w:sz w:val="20"/>
                <w:szCs w:val="20"/>
                <w:color w:val="auto"/>
              </w:rPr>
            </w:pPr>
            <w:r>
              <w:rPr>
                <w:rFonts w:ascii="Arial" w:cs="Arial" w:eastAsia="Arial" w:hAnsi="Arial"/>
                <w:sz w:val="14"/>
                <w:szCs w:val="14"/>
                <w:b w:val="1"/>
                <w:bCs w:val="1"/>
                <w:color w:val="336699"/>
              </w:rPr>
              <w:t>($)</w:t>
            </w:r>
          </w:p>
        </w:tc>
        <w:tc>
          <w:tcPr>
            <w:tcW w:w="0" w:type="dxa"/>
            <w:vAlign w:val="bottom"/>
          </w:tcPr>
          <w:p>
            <w:pPr>
              <w:spacing w:after="0"/>
              <w:rPr>
                <w:sz w:val="1"/>
                <w:szCs w:val="1"/>
                <w:color w:val="auto"/>
              </w:rPr>
            </w:pPr>
          </w:p>
        </w:tc>
      </w:tr>
      <w:tr>
        <w:trPr>
          <w:trHeight w:val="175"/>
        </w:trPr>
        <w:tc>
          <w:tcPr>
            <w:tcW w:w="2080" w:type="dxa"/>
            <w:vAlign w:val="bottom"/>
            <w:shd w:val="clear" w:color="auto" w:fill="CCFFFF"/>
          </w:tcPr>
          <w:p>
            <w:pPr>
              <w:ind w:left="40"/>
              <w:spacing w:after="0"/>
              <w:rPr>
                <w:sz w:val="20"/>
                <w:szCs w:val="20"/>
                <w:color w:val="auto"/>
              </w:rPr>
            </w:pPr>
            <w:r>
              <w:rPr>
                <w:rFonts w:ascii="Arial" w:cs="Arial" w:eastAsia="Arial" w:hAnsi="Arial"/>
                <w:sz w:val="14"/>
                <w:szCs w:val="14"/>
                <w:color w:val="auto"/>
              </w:rPr>
              <w:t>Mark S. Casady</w:t>
            </w:r>
          </w:p>
        </w:tc>
        <w:tc>
          <w:tcPr>
            <w:tcW w:w="460" w:type="dxa"/>
            <w:vAlign w:val="bottom"/>
            <w:shd w:val="clear" w:color="auto" w:fill="CCFFFF"/>
          </w:tcPr>
          <w:p>
            <w:pPr>
              <w:jc w:val="right"/>
              <w:spacing w:after="0"/>
              <w:rPr>
                <w:sz w:val="20"/>
                <w:szCs w:val="20"/>
                <w:color w:val="auto"/>
              </w:rPr>
            </w:pPr>
            <w:r>
              <w:rPr>
                <w:rFonts w:ascii="Arial" w:cs="Arial" w:eastAsia="Arial" w:hAnsi="Arial"/>
                <w:sz w:val="14"/>
                <w:szCs w:val="14"/>
                <w:color w:val="auto"/>
              </w:rPr>
              <w:t>2016</w:t>
            </w:r>
          </w:p>
        </w:tc>
        <w:tc>
          <w:tcPr>
            <w:tcW w:w="780" w:type="dxa"/>
            <w:vAlign w:val="bottom"/>
            <w:gridSpan w:val="2"/>
            <w:shd w:val="clear" w:color="auto" w:fill="CCFFFF"/>
          </w:tcPr>
          <w:p>
            <w:pPr>
              <w:jc w:val="center"/>
              <w:ind w:left="68"/>
              <w:spacing w:after="0"/>
              <w:rPr>
                <w:sz w:val="20"/>
                <w:szCs w:val="20"/>
                <w:color w:val="auto"/>
              </w:rPr>
            </w:pPr>
            <w:r>
              <w:rPr>
                <w:rFonts w:ascii="Arial" w:cs="Arial" w:eastAsia="Arial" w:hAnsi="Arial"/>
                <w:sz w:val="14"/>
                <w:szCs w:val="14"/>
                <w:color w:val="auto"/>
                <w:w w:val="94"/>
              </w:rPr>
              <w:t>900,000</w:t>
            </w:r>
          </w:p>
        </w:tc>
        <w:tc>
          <w:tcPr>
            <w:tcW w:w="440" w:type="dxa"/>
            <w:vAlign w:val="bottom"/>
            <w:shd w:val="clear" w:color="auto" w:fill="CCFFFF"/>
          </w:tcPr>
          <w:p>
            <w:pPr>
              <w:spacing w:after="0"/>
              <w:rPr>
                <w:sz w:val="15"/>
                <w:szCs w:val="15"/>
                <w:color w:val="auto"/>
              </w:rPr>
            </w:pPr>
          </w:p>
        </w:tc>
        <w:tc>
          <w:tcPr>
            <w:tcW w:w="720" w:type="dxa"/>
            <w:vAlign w:val="bottom"/>
            <w:shd w:val="clear" w:color="auto" w:fill="CCFF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FFFF"/>
          </w:tcPr>
          <w:p>
            <w:pPr>
              <w:spacing w:after="0"/>
              <w:rPr>
                <w:sz w:val="15"/>
                <w:szCs w:val="15"/>
                <w:color w:val="auto"/>
              </w:rPr>
            </w:pPr>
          </w:p>
        </w:tc>
        <w:tc>
          <w:tcPr>
            <w:tcW w:w="800" w:type="dxa"/>
            <w:vAlign w:val="bottom"/>
            <w:shd w:val="clear" w:color="auto" w:fill="CCFF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FFFF"/>
          </w:tcPr>
          <w:p>
            <w:pPr>
              <w:spacing w:after="0"/>
              <w:rPr>
                <w:sz w:val="15"/>
                <w:szCs w:val="15"/>
                <w:color w:val="auto"/>
              </w:rPr>
            </w:pPr>
          </w:p>
        </w:tc>
        <w:tc>
          <w:tcPr>
            <w:tcW w:w="920" w:type="dxa"/>
            <w:vAlign w:val="bottom"/>
            <w:shd w:val="clear" w:color="auto" w:fill="CCFFFF"/>
          </w:tcPr>
          <w:p>
            <w:pPr>
              <w:jc w:val="right"/>
              <w:spacing w:after="0"/>
              <w:rPr>
                <w:sz w:val="20"/>
                <w:szCs w:val="20"/>
                <w:color w:val="auto"/>
              </w:rPr>
            </w:pPr>
            <w:r>
              <w:rPr>
                <w:rFonts w:ascii="Arial" w:cs="Arial" w:eastAsia="Arial" w:hAnsi="Arial"/>
                <w:sz w:val="14"/>
                <w:szCs w:val="14"/>
                <w:color w:val="auto"/>
              </w:rPr>
              <w:t>1,844,706</w:t>
            </w:r>
          </w:p>
        </w:tc>
        <w:tc>
          <w:tcPr>
            <w:tcW w:w="400" w:type="dxa"/>
            <w:vAlign w:val="bottom"/>
            <w:shd w:val="clear" w:color="auto" w:fill="CCFFFF"/>
          </w:tcPr>
          <w:p>
            <w:pPr>
              <w:spacing w:after="0"/>
              <w:rPr>
                <w:sz w:val="15"/>
                <w:szCs w:val="15"/>
                <w:color w:val="auto"/>
              </w:rPr>
            </w:pPr>
          </w:p>
        </w:tc>
        <w:tc>
          <w:tcPr>
            <w:tcW w:w="1180" w:type="dxa"/>
            <w:vAlign w:val="bottom"/>
            <w:shd w:val="clear" w:color="auto" w:fill="CCFFFF"/>
          </w:tcPr>
          <w:p>
            <w:pPr>
              <w:jc w:val="right"/>
              <w:spacing w:after="0"/>
              <w:rPr>
                <w:sz w:val="20"/>
                <w:szCs w:val="20"/>
                <w:color w:val="auto"/>
              </w:rPr>
            </w:pPr>
            <w:r>
              <w:rPr>
                <w:rFonts w:ascii="Arial" w:cs="Arial" w:eastAsia="Arial" w:hAnsi="Arial"/>
                <w:sz w:val="14"/>
                <w:szCs w:val="14"/>
                <w:color w:val="auto"/>
              </w:rPr>
              <w:t>2,500,000</w:t>
            </w:r>
          </w:p>
        </w:tc>
        <w:tc>
          <w:tcPr>
            <w:tcW w:w="360" w:type="dxa"/>
            <w:vAlign w:val="bottom"/>
            <w:shd w:val="clear" w:color="auto" w:fill="CCFFFF"/>
          </w:tcPr>
          <w:p>
            <w:pPr>
              <w:spacing w:after="0"/>
              <w:rPr>
                <w:sz w:val="15"/>
                <w:szCs w:val="15"/>
                <w:color w:val="auto"/>
              </w:rPr>
            </w:pPr>
          </w:p>
        </w:tc>
        <w:tc>
          <w:tcPr>
            <w:tcW w:w="1320" w:type="dxa"/>
            <w:vAlign w:val="bottom"/>
            <w:shd w:val="clear" w:color="auto" w:fill="CCFFFF"/>
          </w:tcPr>
          <w:p>
            <w:pPr>
              <w:jc w:val="right"/>
              <w:ind w:right="188"/>
              <w:spacing w:after="0"/>
              <w:rPr>
                <w:sz w:val="20"/>
                <w:szCs w:val="20"/>
                <w:color w:val="auto"/>
              </w:rPr>
            </w:pPr>
            <w:r>
              <w:rPr>
                <w:rFonts w:ascii="Arial" w:cs="Arial" w:eastAsia="Arial" w:hAnsi="Arial"/>
                <w:sz w:val="14"/>
                <w:szCs w:val="14"/>
                <w:color w:val="auto"/>
              </w:rPr>
              <w:t>39,559</w:t>
            </w:r>
          </w:p>
        </w:tc>
        <w:tc>
          <w:tcPr>
            <w:tcW w:w="960" w:type="dxa"/>
            <w:vAlign w:val="bottom"/>
            <w:shd w:val="clear" w:color="auto" w:fill="CCFFFF"/>
          </w:tcPr>
          <w:p>
            <w:pPr>
              <w:jc w:val="right"/>
              <w:ind w:right="28"/>
              <w:spacing w:after="0"/>
              <w:rPr>
                <w:sz w:val="20"/>
                <w:szCs w:val="20"/>
                <w:color w:val="auto"/>
              </w:rPr>
            </w:pPr>
            <w:r>
              <w:rPr>
                <w:rFonts w:ascii="Arial" w:cs="Arial" w:eastAsia="Arial" w:hAnsi="Arial"/>
                <w:sz w:val="14"/>
                <w:szCs w:val="14"/>
                <w:color w:val="auto"/>
              </w:rPr>
              <w:t>5,284,265</w:t>
            </w:r>
          </w:p>
        </w:tc>
        <w:tc>
          <w:tcPr>
            <w:tcW w:w="0" w:type="dxa"/>
            <w:vAlign w:val="bottom"/>
          </w:tcPr>
          <w:p>
            <w:pPr>
              <w:spacing w:after="0"/>
              <w:rPr>
                <w:sz w:val="1"/>
                <w:szCs w:val="1"/>
                <w:color w:val="auto"/>
              </w:rPr>
            </w:pPr>
          </w:p>
        </w:tc>
      </w:tr>
      <w:tr>
        <w:trPr>
          <w:trHeight w:val="182"/>
        </w:trPr>
        <w:tc>
          <w:tcPr>
            <w:tcW w:w="2080" w:type="dxa"/>
            <w:vAlign w:val="bottom"/>
            <w:shd w:val="clear" w:color="auto" w:fill="CCFFFF"/>
          </w:tcPr>
          <w:p>
            <w:pPr>
              <w:ind w:left="40"/>
              <w:spacing w:after="0"/>
              <w:rPr>
                <w:sz w:val="20"/>
                <w:szCs w:val="20"/>
                <w:color w:val="auto"/>
              </w:rPr>
            </w:pPr>
            <w:r>
              <w:rPr>
                <w:rFonts w:ascii="Arial" w:cs="Arial" w:eastAsia="Arial" w:hAnsi="Arial"/>
                <w:sz w:val="14"/>
                <w:szCs w:val="14"/>
                <w:color w:val="auto"/>
              </w:rPr>
              <w:t>Former CEO</w:t>
            </w:r>
          </w:p>
        </w:tc>
        <w:tc>
          <w:tcPr>
            <w:tcW w:w="460" w:type="dxa"/>
            <w:vAlign w:val="bottom"/>
            <w:vMerge w:val="restart"/>
            <w:shd w:val="clear" w:color="auto" w:fill="CCFFFF"/>
          </w:tcPr>
          <w:p>
            <w:pPr>
              <w:jc w:val="right"/>
              <w:spacing w:after="0"/>
              <w:rPr>
                <w:sz w:val="20"/>
                <w:szCs w:val="20"/>
                <w:color w:val="auto"/>
              </w:rPr>
            </w:pPr>
            <w:r>
              <w:rPr>
                <w:rFonts w:ascii="Arial" w:cs="Arial" w:eastAsia="Arial" w:hAnsi="Arial"/>
                <w:sz w:val="14"/>
                <w:szCs w:val="14"/>
                <w:color w:val="auto"/>
              </w:rPr>
              <w:t>2015</w:t>
            </w:r>
          </w:p>
        </w:tc>
        <w:tc>
          <w:tcPr>
            <w:tcW w:w="120" w:type="dxa"/>
            <w:vAlign w:val="bottom"/>
            <w:shd w:val="clear" w:color="auto" w:fill="CCFFFF"/>
          </w:tcPr>
          <w:p>
            <w:pPr>
              <w:spacing w:after="0"/>
              <w:rPr>
                <w:sz w:val="15"/>
                <w:szCs w:val="15"/>
                <w:color w:val="auto"/>
              </w:rPr>
            </w:pPr>
          </w:p>
        </w:tc>
        <w:tc>
          <w:tcPr>
            <w:tcW w:w="660" w:type="dxa"/>
            <w:vAlign w:val="bottom"/>
            <w:vMerge w:val="restart"/>
            <w:shd w:val="clear" w:color="auto" w:fill="CCFFFF"/>
          </w:tcPr>
          <w:p>
            <w:pPr>
              <w:jc w:val="center"/>
              <w:spacing w:after="0"/>
              <w:rPr>
                <w:sz w:val="20"/>
                <w:szCs w:val="20"/>
                <w:color w:val="auto"/>
              </w:rPr>
            </w:pPr>
            <w:r>
              <w:rPr>
                <w:rFonts w:ascii="Arial" w:cs="Arial" w:eastAsia="Arial" w:hAnsi="Arial"/>
                <w:sz w:val="14"/>
                <w:szCs w:val="14"/>
                <w:color w:val="auto"/>
                <w:w w:val="94"/>
              </w:rPr>
              <w:t>900,000</w:t>
            </w:r>
          </w:p>
        </w:tc>
        <w:tc>
          <w:tcPr>
            <w:tcW w:w="440" w:type="dxa"/>
            <w:vAlign w:val="bottom"/>
            <w:shd w:val="clear" w:color="auto" w:fill="CCFFFF"/>
          </w:tcPr>
          <w:p>
            <w:pPr>
              <w:spacing w:after="0"/>
              <w:rPr>
                <w:sz w:val="15"/>
                <w:szCs w:val="15"/>
                <w:color w:val="auto"/>
              </w:rPr>
            </w:pPr>
          </w:p>
        </w:tc>
        <w:tc>
          <w:tcPr>
            <w:tcW w:w="720" w:type="dxa"/>
            <w:vAlign w:val="bottom"/>
            <w:vMerge w:val="restart"/>
            <w:shd w:val="clear" w:color="auto" w:fill="CCFF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FFFF"/>
          </w:tcPr>
          <w:p>
            <w:pPr>
              <w:spacing w:after="0"/>
              <w:rPr>
                <w:sz w:val="15"/>
                <w:szCs w:val="15"/>
                <w:color w:val="auto"/>
              </w:rPr>
            </w:pPr>
          </w:p>
        </w:tc>
        <w:tc>
          <w:tcPr>
            <w:tcW w:w="800" w:type="dxa"/>
            <w:vAlign w:val="bottom"/>
            <w:vMerge w:val="restart"/>
            <w:shd w:val="clear" w:color="auto" w:fill="CCFF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FFFF"/>
          </w:tcPr>
          <w:p>
            <w:pPr>
              <w:spacing w:after="0"/>
              <w:rPr>
                <w:sz w:val="15"/>
                <w:szCs w:val="15"/>
                <w:color w:val="auto"/>
              </w:rPr>
            </w:pPr>
          </w:p>
        </w:tc>
        <w:tc>
          <w:tcPr>
            <w:tcW w:w="920" w:type="dxa"/>
            <w:vAlign w:val="bottom"/>
            <w:vMerge w:val="restart"/>
            <w:shd w:val="clear" w:color="auto" w:fill="CCFFFF"/>
          </w:tcPr>
          <w:p>
            <w:pPr>
              <w:jc w:val="right"/>
              <w:spacing w:after="0"/>
              <w:rPr>
                <w:sz w:val="20"/>
                <w:szCs w:val="20"/>
                <w:color w:val="auto"/>
              </w:rPr>
            </w:pPr>
            <w:r>
              <w:rPr>
                <w:rFonts w:ascii="Arial" w:cs="Arial" w:eastAsia="Arial" w:hAnsi="Arial"/>
                <w:sz w:val="14"/>
                <w:szCs w:val="14"/>
                <w:color w:val="auto"/>
              </w:rPr>
              <w:t>3,519,400</w:t>
            </w:r>
          </w:p>
        </w:tc>
        <w:tc>
          <w:tcPr>
            <w:tcW w:w="400" w:type="dxa"/>
            <w:vAlign w:val="bottom"/>
            <w:shd w:val="clear" w:color="auto" w:fill="CCFFFF"/>
          </w:tcPr>
          <w:p>
            <w:pPr>
              <w:spacing w:after="0"/>
              <w:rPr>
                <w:sz w:val="15"/>
                <w:szCs w:val="15"/>
                <w:color w:val="auto"/>
              </w:rPr>
            </w:pPr>
          </w:p>
        </w:tc>
        <w:tc>
          <w:tcPr>
            <w:tcW w:w="1180" w:type="dxa"/>
            <w:vAlign w:val="bottom"/>
            <w:vMerge w:val="restart"/>
            <w:shd w:val="clear" w:color="auto" w:fill="CCFFFF"/>
          </w:tcPr>
          <w:p>
            <w:pPr>
              <w:jc w:val="right"/>
              <w:spacing w:after="0"/>
              <w:rPr>
                <w:sz w:val="20"/>
                <w:szCs w:val="20"/>
                <w:color w:val="auto"/>
              </w:rPr>
            </w:pPr>
            <w:r>
              <w:rPr>
                <w:rFonts w:ascii="Arial" w:cs="Arial" w:eastAsia="Arial" w:hAnsi="Arial"/>
                <w:sz w:val="14"/>
                <w:szCs w:val="14"/>
                <w:color w:val="auto"/>
              </w:rPr>
              <w:t>1,237,500</w:t>
            </w:r>
          </w:p>
        </w:tc>
        <w:tc>
          <w:tcPr>
            <w:tcW w:w="360" w:type="dxa"/>
            <w:vAlign w:val="bottom"/>
            <w:shd w:val="clear" w:color="auto" w:fill="CCFFFF"/>
          </w:tcPr>
          <w:p>
            <w:pPr>
              <w:spacing w:after="0"/>
              <w:rPr>
                <w:sz w:val="15"/>
                <w:szCs w:val="15"/>
                <w:color w:val="auto"/>
              </w:rPr>
            </w:pPr>
          </w:p>
        </w:tc>
        <w:tc>
          <w:tcPr>
            <w:tcW w:w="1320" w:type="dxa"/>
            <w:vAlign w:val="bottom"/>
            <w:vMerge w:val="restart"/>
            <w:shd w:val="clear" w:color="auto" w:fill="CCFFFF"/>
          </w:tcPr>
          <w:p>
            <w:pPr>
              <w:jc w:val="right"/>
              <w:ind w:right="188"/>
              <w:spacing w:after="0"/>
              <w:rPr>
                <w:sz w:val="20"/>
                <w:szCs w:val="20"/>
                <w:color w:val="auto"/>
              </w:rPr>
            </w:pPr>
            <w:r>
              <w:rPr>
                <w:rFonts w:ascii="Arial" w:cs="Arial" w:eastAsia="Arial" w:hAnsi="Arial"/>
                <w:sz w:val="14"/>
                <w:szCs w:val="14"/>
                <w:color w:val="auto"/>
              </w:rPr>
              <w:t>52,475</w:t>
            </w:r>
          </w:p>
        </w:tc>
        <w:tc>
          <w:tcPr>
            <w:tcW w:w="960" w:type="dxa"/>
            <w:vAlign w:val="bottom"/>
            <w:vMerge w:val="restart"/>
            <w:shd w:val="clear" w:color="auto" w:fill="CCFFFF"/>
          </w:tcPr>
          <w:p>
            <w:pPr>
              <w:jc w:val="right"/>
              <w:ind w:right="28"/>
              <w:spacing w:after="0"/>
              <w:rPr>
                <w:sz w:val="20"/>
                <w:szCs w:val="20"/>
                <w:color w:val="auto"/>
              </w:rPr>
            </w:pPr>
            <w:r>
              <w:rPr>
                <w:rFonts w:ascii="Arial" w:cs="Arial" w:eastAsia="Arial" w:hAnsi="Arial"/>
                <w:sz w:val="14"/>
                <w:szCs w:val="14"/>
                <w:color w:val="auto"/>
              </w:rPr>
              <w:t>5,709,375</w:t>
            </w:r>
          </w:p>
        </w:tc>
        <w:tc>
          <w:tcPr>
            <w:tcW w:w="0" w:type="dxa"/>
            <w:vAlign w:val="bottom"/>
          </w:tcPr>
          <w:p>
            <w:pPr>
              <w:spacing w:after="0"/>
              <w:rPr>
                <w:sz w:val="1"/>
                <w:szCs w:val="1"/>
                <w:color w:val="auto"/>
              </w:rPr>
            </w:pPr>
          </w:p>
        </w:tc>
      </w:tr>
      <w:tr>
        <w:trPr>
          <w:trHeight w:val="170"/>
        </w:trPr>
        <w:tc>
          <w:tcPr>
            <w:tcW w:w="2080" w:type="dxa"/>
            <w:vAlign w:val="bottom"/>
            <w:shd w:val="clear" w:color="auto" w:fill="CCFFFF"/>
          </w:tcPr>
          <w:p>
            <w:pPr>
              <w:spacing w:after="0"/>
              <w:rPr>
                <w:sz w:val="14"/>
                <w:szCs w:val="14"/>
                <w:color w:val="auto"/>
              </w:rPr>
            </w:pPr>
          </w:p>
        </w:tc>
        <w:tc>
          <w:tcPr>
            <w:tcW w:w="460" w:type="dxa"/>
            <w:vAlign w:val="bottom"/>
            <w:vMerge w:val="continue"/>
            <w:shd w:val="clear" w:color="auto" w:fill="CCFFFF"/>
          </w:tcPr>
          <w:p>
            <w:pPr>
              <w:spacing w:after="0"/>
              <w:rPr>
                <w:sz w:val="14"/>
                <w:szCs w:val="14"/>
                <w:color w:val="auto"/>
              </w:rPr>
            </w:pPr>
          </w:p>
        </w:tc>
        <w:tc>
          <w:tcPr>
            <w:tcW w:w="120" w:type="dxa"/>
            <w:vAlign w:val="bottom"/>
            <w:shd w:val="clear" w:color="auto" w:fill="CCFFFF"/>
          </w:tcPr>
          <w:p>
            <w:pPr>
              <w:spacing w:after="0"/>
              <w:rPr>
                <w:sz w:val="14"/>
                <w:szCs w:val="14"/>
                <w:color w:val="auto"/>
              </w:rPr>
            </w:pPr>
          </w:p>
        </w:tc>
        <w:tc>
          <w:tcPr>
            <w:tcW w:w="660" w:type="dxa"/>
            <w:vAlign w:val="bottom"/>
            <w:vMerge w:val="continue"/>
            <w:shd w:val="clear" w:color="auto" w:fill="CCFFFF"/>
          </w:tcPr>
          <w:p>
            <w:pPr>
              <w:spacing w:after="0"/>
              <w:rPr>
                <w:sz w:val="14"/>
                <w:szCs w:val="14"/>
                <w:color w:val="auto"/>
              </w:rPr>
            </w:pPr>
          </w:p>
        </w:tc>
        <w:tc>
          <w:tcPr>
            <w:tcW w:w="440" w:type="dxa"/>
            <w:vAlign w:val="bottom"/>
            <w:shd w:val="clear" w:color="auto" w:fill="CCFFFF"/>
          </w:tcPr>
          <w:p>
            <w:pPr>
              <w:spacing w:after="0"/>
              <w:rPr>
                <w:sz w:val="14"/>
                <w:szCs w:val="14"/>
                <w:color w:val="auto"/>
              </w:rPr>
            </w:pPr>
          </w:p>
        </w:tc>
        <w:tc>
          <w:tcPr>
            <w:tcW w:w="720" w:type="dxa"/>
            <w:vAlign w:val="bottom"/>
            <w:vMerge w:val="continue"/>
            <w:shd w:val="clear" w:color="auto" w:fill="CCFFFF"/>
          </w:tcPr>
          <w:p>
            <w:pPr>
              <w:spacing w:after="0"/>
              <w:rPr>
                <w:sz w:val="14"/>
                <w:szCs w:val="14"/>
                <w:color w:val="auto"/>
              </w:rPr>
            </w:pPr>
          </w:p>
        </w:tc>
        <w:tc>
          <w:tcPr>
            <w:tcW w:w="460" w:type="dxa"/>
            <w:vAlign w:val="bottom"/>
            <w:shd w:val="clear" w:color="auto" w:fill="CCFFFF"/>
          </w:tcPr>
          <w:p>
            <w:pPr>
              <w:spacing w:after="0"/>
              <w:rPr>
                <w:sz w:val="14"/>
                <w:szCs w:val="14"/>
                <w:color w:val="auto"/>
              </w:rPr>
            </w:pPr>
          </w:p>
        </w:tc>
        <w:tc>
          <w:tcPr>
            <w:tcW w:w="800" w:type="dxa"/>
            <w:vAlign w:val="bottom"/>
            <w:vMerge w:val="continue"/>
            <w:shd w:val="clear" w:color="auto" w:fill="CCFFFF"/>
          </w:tcPr>
          <w:p>
            <w:pPr>
              <w:spacing w:after="0"/>
              <w:rPr>
                <w:sz w:val="14"/>
                <w:szCs w:val="14"/>
                <w:color w:val="auto"/>
              </w:rPr>
            </w:pPr>
          </w:p>
        </w:tc>
        <w:tc>
          <w:tcPr>
            <w:tcW w:w="540" w:type="dxa"/>
            <w:vAlign w:val="bottom"/>
            <w:shd w:val="clear" w:color="auto" w:fill="CCFFFF"/>
          </w:tcPr>
          <w:p>
            <w:pPr>
              <w:spacing w:after="0"/>
              <w:rPr>
                <w:sz w:val="14"/>
                <w:szCs w:val="14"/>
                <w:color w:val="auto"/>
              </w:rPr>
            </w:pPr>
          </w:p>
        </w:tc>
        <w:tc>
          <w:tcPr>
            <w:tcW w:w="920" w:type="dxa"/>
            <w:vAlign w:val="bottom"/>
            <w:vMerge w:val="continue"/>
            <w:shd w:val="clear" w:color="auto" w:fill="CCFFFF"/>
          </w:tcPr>
          <w:p>
            <w:pPr>
              <w:spacing w:after="0"/>
              <w:rPr>
                <w:sz w:val="14"/>
                <w:szCs w:val="14"/>
                <w:color w:val="auto"/>
              </w:rPr>
            </w:pPr>
          </w:p>
        </w:tc>
        <w:tc>
          <w:tcPr>
            <w:tcW w:w="400" w:type="dxa"/>
            <w:vAlign w:val="bottom"/>
            <w:shd w:val="clear" w:color="auto" w:fill="CCFFFF"/>
          </w:tcPr>
          <w:p>
            <w:pPr>
              <w:spacing w:after="0"/>
              <w:rPr>
                <w:sz w:val="14"/>
                <w:szCs w:val="14"/>
                <w:color w:val="auto"/>
              </w:rPr>
            </w:pPr>
          </w:p>
        </w:tc>
        <w:tc>
          <w:tcPr>
            <w:tcW w:w="1180" w:type="dxa"/>
            <w:vAlign w:val="bottom"/>
            <w:vMerge w:val="continue"/>
            <w:shd w:val="clear" w:color="auto" w:fill="CCFFFF"/>
          </w:tcPr>
          <w:p>
            <w:pPr>
              <w:spacing w:after="0"/>
              <w:rPr>
                <w:sz w:val="14"/>
                <w:szCs w:val="14"/>
                <w:color w:val="auto"/>
              </w:rPr>
            </w:pPr>
          </w:p>
        </w:tc>
        <w:tc>
          <w:tcPr>
            <w:tcW w:w="360" w:type="dxa"/>
            <w:vAlign w:val="bottom"/>
            <w:shd w:val="clear" w:color="auto" w:fill="CCFFFF"/>
          </w:tcPr>
          <w:p>
            <w:pPr>
              <w:spacing w:after="0"/>
              <w:rPr>
                <w:sz w:val="14"/>
                <w:szCs w:val="14"/>
                <w:color w:val="auto"/>
              </w:rPr>
            </w:pPr>
          </w:p>
        </w:tc>
        <w:tc>
          <w:tcPr>
            <w:tcW w:w="1320" w:type="dxa"/>
            <w:vAlign w:val="bottom"/>
            <w:vMerge w:val="continue"/>
            <w:shd w:val="clear" w:color="auto" w:fill="CCFFFF"/>
          </w:tcPr>
          <w:p>
            <w:pPr>
              <w:spacing w:after="0"/>
              <w:rPr>
                <w:sz w:val="14"/>
                <w:szCs w:val="14"/>
                <w:color w:val="auto"/>
              </w:rPr>
            </w:pPr>
          </w:p>
        </w:tc>
        <w:tc>
          <w:tcPr>
            <w:tcW w:w="960" w:type="dxa"/>
            <w:vAlign w:val="bottom"/>
            <w:vMerge w:val="continue"/>
            <w:shd w:val="clear" w:color="auto" w:fill="CCFFFF"/>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2080" w:type="dxa"/>
            <w:vAlign w:val="bottom"/>
            <w:shd w:val="clear" w:color="auto" w:fill="CCFFFF"/>
          </w:tcPr>
          <w:p>
            <w:pPr>
              <w:spacing w:after="0"/>
              <w:rPr>
                <w:sz w:val="24"/>
                <w:szCs w:val="24"/>
                <w:color w:val="auto"/>
              </w:rPr>
            </w:pPr>
          </w:p>
        </w:tc>
        <w:tc>
          <w:tcPr>
            <w:tcW w:w="460" w:type="dxa"/>
            <w:vAlign w:val="bottom"/>
            <w:shd w:val="clear" w:color="auto" w:fill="CCFFFF"/>
          </w:tcPr>
          <w:p>
            <w:pPr>
              <w:jc w:val="right"/>
              <w:spacing w:after="0"/>
              <w:rPr>
                <w:sz w:val="20"/>
                <w:szCs w:val="20"/>
                <w:color w:val="auto"/>
              </w:rPr>
            </w:pPr>
            <w:r>
              <w:rPr>
                <w:rFonts w:ascii="Arial" w:cs="Arial" w:eastAsia="Arial" w:hAnsi="Arial"/>
                <w:sz w:val="14"/>
                <w:szCs w:val="14"/>
                <w:color w:val="auto"/>
              </w:rPr>
              <w:t>2014</w:t>
            </w:r>
          </w:p>
        </w:tc>
        <w:tc>
          <w:tcPr>
            <w:tcW w:w="120" w:type="dxa"/>
            <w:vAlign w:val="bottom"/>
            <w:shd w:val="clear" w:color="auto" w:fill="CCFFFF"/>
          </w:tcPr>
          <w:p>
            <w:pPr>
              <w:spacing w:after="0"/>
              <w:rPr>
                <w:sz w:val="24"/>
                <w:szCs w:val="24"/>
                <w:color w:val="auto"/>
              </w:rPr>
            </w:pPr>
          </w:p>
        </w:tc>
        <w:tc>
          <w:tcPr>
            <w:tcW w:w="660" w:type="dxa"/>
            <w:vAlign w:val="bottom"/>
            <w:shd w:val="clear" w:color="auto" w:fill="CCFFFF"/>
          </w:tcPr>
          <w:p>
            <w:pPr>
              <w:jc w:val="center"/>
              <w:spacing w:after="0"/>
              <w:rPr>
                <w:sz w:val="20"/>
                <w:szCs w:val="20"/>
                <w:color w:val="auto"/>
              </w:rPr>
            </w:pPr>
            <w:r>
              <w:rPr>
                <w:rFonts w:ascii="Arial" w:cs="Arial" w:eastAsia="Arial" w:hAnsi="Arial"/>
                <w:sz w:val="14"/>
                <w:szCs w:val="14"/>
                <w:color w:val="auto"/>
                <w:w w:val="94"/>
              </w:rPr>
              <w:t>885,479</w:t>
            </w:r>
          </w:p>
        </w:tc>
        <w:tc>
          <w:tcPr>
            <w:tcW w:w="440" w:type="dxa"/>
            <w:vAlign w:val="bottom"/>
            <w:shd w:val="clear" w:color="auto" w:fill="CCFFFF"/>
          </w:tcPr>
          <w:p>
            <w:pPr>
              <w:ind w:left="60"/>
              <w:spacing w:after="0"/>
              <w:rPr>
                <w:sz w:val="20"/>
                <w:szCs w:val="20"/>
                <w:color w:val="auto"/>
              </w:rPr>
            </w:pPr>
            <w:r>
              <w:rPr>
                <w:rFonts w:ascii="Arial" w:cs="Arial" w:eastAsia="Arial" w:hAnsi="Arial"/>
                <w:sz w:val="13"/>
                <w:szCs w:val="13"/>
                <w:color w:val="auto"/>
              </w:rPr>
              <w:t>(4)</w:t>
            </w:r>
          </w:p>
        </w:tc>
        <w:tc>
          <w:tcPr>
            <w:tcW w:w="720" w:type="dxa"/>
            <w:vAlign w:val="bottom"/>
            <w:shd w:val="clear" w:color="auto" w:fill="CCFF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FFFF"/>
          </w:tcPr>
          <w:p>
            <w:pPr>
              <w:spacing w:after="0"/>
              <w:rPr>
                <w:sz w:val="24"/>
                <w:szCs w:val="24"/>
                <w:color w:val="auto"/>
              </w:rPr>
            </w:pPr>
          </w:p>
        </w:tc>
        <w:tc>
          <w:tcPr>
            <w:tcW w:w="800" w:type="dxa"/>
            <w:vAlign w:val="bottom"/>
            <w:shd w:val="clear" w:color="auto" w:fill="CCFF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FFFF"/>
          </w:tcPr>
          <w:p>
            <w:pPr>
              <w:spacing w:after="0"/>
              <w:rPr>
                <w:sz w:val="24"/>
                <w:szCs w:val="24"/>
                <w:color w:val="auto"/>
              </w:rPr>
            </w:pPr>
          </w:p>
        </w:tc>
        <w:tc>
          <w:tcPr>
            <w:tcW w:w="920" w:type="dxa"/>
            <w:vAlign w:val="bottom"/>
            <w:shd w:val="clear" w:color="auto" w:fill="CCFFFF"/>
          </w:tcPr>
          <w:p>
            <w:pPr>
              <w:jc w:val="right"/>
              <w:spacing w:after="0"/>
              <w:rPr>
                <w:sz w:val="20"/>
                <w:szCs w:val="20"/>
                <w:color w:val="auto"/>
              </w:rPr>
            </w:pPr>
            <w:r>
              <w:rPr>
                <w:rFonts w:ascii="Arial" w:cs="Arial" w:eastAsia="Arial" w:hAnsi="Arial"/>
                <w:sz w:val="14"/>
                <w:szCs w:val="14"/>
                <w:color w:val="auto"/>
              </w:rPr>
              <w:t>3,079,998</w:t>
            </w:r>
          </w:p>
        </w:tc>
        <w:tc>
          <w:tcPr>
            <w:tcW w:w="400" w:type="dxa"/>
            <w:vAlign w:val="bottom"/>
            <w:shd w:val="clear" w:color="auto" w:fill="CCFFFF"/>
          </w:tcPr>
          <w:p>
            <w:pPr>
              <w:spacing w:after="0"/>
              <w:rPr>
                <w:sz w:val="24"/>
                <w:szCs w:val="24"/>
                <w:color w:val="auto"/>
              </w:rPr>
            </w:pPr>
          </w:p>
        </w:tc>
        <w:tc>
          <w:tcPr>
            <w:tcW w:w="1180" w:type="dxa"/>
            <w:vAlign w:val="bottom"/>
            <w:shd w:val="clear" w:color="auto" w:fill="CCFFFF"/>
          </w:tcPr>
          <w:p>
            <w:pPr>
              <w:jc w:val="right"/>
              <w:spacing w:after="0"/>
              <w:rPr>
                <w:sz w:val="20"/>
                <w:szCs w:val="20"/>
                <w:color w:val="auto"/>
              </w:rPr>
            </w:pPr>
            <w:r>
              <w:rPr>
                <w:rFonts w:ascii="Arial" w:cs="Arial" w:eastAsia="Arial" w:hAnsi="Arial"/>
                <w:sz w:val="14"/>
                <w:szCs w:val="14"/>
                <w:color w:val="auto"/>
              </w:rPr>
              <w:t>1,485,000</w:t>
            </w:r>
          </w:p>
        </w:tc>
        <w:tc>
          <w:tcPr>
            <w:tcW w:w="360" w:type="dxa"/>
            <w:vAlign w:val="bottom"/>
            <w:shd w:val="clear" w:color="auto" w:fill="CCFFFF"/>
          </w:tcPr>
          <w:p>
            <w:pPr>
              <w:spacing w:after="0"/>
              <w:rPr>
                <w:sz w:val="24"/>
                <w:szCs w:val="24"/>
                <w:color w:val="auto"/>
              </w:rPr>
            </w:pPr>
          </w:p>
        </w:tc>
        <w:tc>
          <w:tcPr>
            <w:tcW w:w="1320" w:type="dxa"/>
            <w:vAlign w:val="bottom"/>
            <w:shd w:val="clear" w:color="auto" w:fill="CCFFFF"/>
          </w:tcPr>
          <w:p>
            <w:pPr>
              <w:jc w:val="right"/>
              <w:ind w:right="188"/>
              <w:spacing w:after="0"/>
              <w:rPr>
                <w:sz w:val="20"/>
                <w:szCs w:val="20"/>
                <w:color w:val="auto"/>
              </w:rPr>
            </w:pPr>
            <w:r>
              <w:rPr>
                <w:rFonts w:ascii="Arial" w:cs="Arial" w:eastAsia="Arial" w:hAnsi="Arial"/>
                <w:sz w:val="14"/>
                <w:szCs w:val="14"/>
                <w:color w:val="auto"/>
              </w:rPr>
              <w:t>71,440</w:t>
            </w:r>
          </w:p>
        </w:tc>
        <w:tc>
          <w:tcPr>
            <w:tcW w:w="960" w:type="dxa"/>
            <w:vAlign w:val="bottom"/>
            <w:shd w:val="clear" w:color="auto" w:fill="CCFFFF"/>
          </w:tcPr>
          <w:p>
            <w:pPr>
              <w:jc w:val="right"/>
              <w:ind w:right="28"/>
              <w:spacing w:after="0"/>
              <w:rPr>
                <w:sz w:val="20"/>
                <w:szCs w:val="20"/>
                <w:color w:val="auto"/>
              </w:rPr>
            </w:pPr>
            <w:r>
              <w:rPr>
                <w:rFonts w:ascii="Arial" w:cs="Arial" w:eastAsia="Arial" w:hAnsi="Arial"/>
                <w:sz w:val="14"/>
                <w:szCs w:val="14"/>
                <w:color w:val="auto"/>
              </w:rPr>
              <w:t>5,521,917</w:t>
            </w:r>
          </w:p>
        </w:tc>
        <w:tc>
          <w:tcPr>
            <w:tcW w:w="0" w:type="dxa"/>
            <w:vAlign w:val="bottom"/>
          </w:tcPr>
          <w:p>
            <w:pPr>
              <w:spacing w:after="0"/>
              <w:rPr>
                <w:sz w:val="1"/>
                <w:szCs w:val="1"/>
                <w:color w:val="auto"/>
              </w:rPr>
            </w:pPr>
          </w:p>
        </w:tc>
      </w:tr>
      <w:tr>
        <w:trPr>
          <w:trHeight w:val="272"/>
        </w:trPr>
        <w:tc>
          <w:tcPr>
            <w:tcW w:w="2080" w:type="dxa"/>
            <w:vAlign w:val="bottom"/>
          </w:tcPr>
          <w:p>
            <w:pPr>
              <w:ind w:left="40"/>
              <w:spacing w:after="0"/>
              <w:rPr>
                <w:sz w:val="20"/>
                <w:szCs w:val="20"/>
                <w:color w:val="auto"/>
              </w:rPr>
            </w:pPr>
            <w:r>
              <w:rPr>
                <w:rFonts w:ascii="Arial" w:cs="Arial" w:eastAsia="Arial" w:hAnsi="Arial"/>
                <w:sz w:val="14"/>
                <w:szCs w:val="14"/>
                <w:color w:val="auto"/>
              </w:rPr>
              <w:t>Matthew J. Audette</w:t>
            </w:r>
            <w:r>
              <w:rPr>
                <w:rFonts w:ascii="Arial" w:cs="Arial" w:eastAsia="Arial" w:hAnsi="Arial"/>
                <w:sz w:val="8"/>
                <w:szCs w:val="8"/>
                <w:color w:val="auto"/>
              </w:rPr>
              <w:t>(5)</w:t>
            </w:r>
          </w:p>
        </w:tc>
        <w:tc>
          <w:tcPr>
            <w:tcW w:w="460" w:type="dxa"/>
            <w:vAlign w:val="bottom"/>
          </w:tcPr>
          <w:p>
            <w:pPr>
              <w:jc w:val="right"/>
              <w:spacing w:after="0"/>
              <w:rPr>
                <w:sz w:val="20"/>
                <w:szCs w:val="20"/>
                <w:color w:val="auto"/>
              </w:rPr>
            </w:pPr>
            <w:r>
              <w:rPr>
                <w:rFonts w:ascii="Arial" w:cs="Arial" w:eastAsia="Arial" w:hAnsi="Arial"/>
                <w:sz w:val="14"/>
                <w:szCs w:val="14"/>
                <w:color w:val="auto"/>
              </w:rPr>
              <w:t>2016</w:t>
            </w:r>
          </w:p>
        </w:tc>
        <w:tc>
          <w:tcPr>
            <w:tcW w:w="78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600,000</w:t>
            </w:r>
          </w:p>
        </w:tc>
        <w:tc>
          <w:tcPr>
            <w:tcW w:w="44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273,192</w:t>
            </w:r>
          </w:p>
        </w:tc>
        <w:tc>
          <w:tcPr>
            <w:tcW w:w="540" w:type="dxa"/>
            <w:vAlign w:val="bottom"/>
          </w:tcPr>
          <w:p>
            <w:pPr>
              <w:ind w:left="60"/>
              <w:spacing w:after="0"/>
              <w:rPr>
                <w:sz w:val="20"/>
                <w:szCs w:val="20"/>
                <w:color w:val="auto"/>
              </w:rPr>
            </w:pPr>
            <w:r>
              <w:rPr>
                <w:rFonts w:ascii="Arial" w:cs="Arial" w:eastAsia="Arial" w:hAnsi="Arial"/>
                <w:sz w:val="13"/>
                <w:szCs w:val="13"/>
                <w:color w:val="auto"/>
              </w:rPr>
              <w:t>(6)</w:t>
            </w:r>
          </w:p>
        </w:tc>
        <w:tc>
          <w:tcPr>
            <w:tcW w:w="920" w:type="dxa"/>
            <w:vAlign w:val="bottom"/>
          </w:tcPr>
          <w:p>
            <w:pPr>
              <w:jc w:val="right"/>
              <w:spacing w:after="0"/>
              <w:rPr>
                <w:sz w:val="20"/>
                <w:szCs w:val="20"/>
                <w:color w:val="auto"/>
              </w:rPr>
            </w:pPr>
            <w:r>
              <w:rPr>
                <w:rFonts w:ascii="Arial" w:cs="Arial" w:eastAsia="Arial" w:hAnsi="Arial"/>
                <w:sz w:val="14"/>
                <w:szCs w:val="14"/>
                <w:color w:val="auto"/>
              </w:rPr>
              <w:t>430,431</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1,218,000</w:t>
            </w:r>
          </w:p>
        </w:tc>
        <w:tc>
          <w:tcPr>
            <w:tcW w:w="360" w:type="dxa"/>
            <w:vAlign w:val="bottom"/>
          </w:tcPr>
          <w:p>
            <w:pPr>
              <w:spacing w:after="0"/>
              <w:rPr>
                <w:sz w:val="23"/>
                <w:szCs w:val="23"/>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80,417</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2,602,040</w:t>
            </w:r>
          </w:p>
        </w:tc>
        <w:tc>
          <w:tcPr>
            <w:tcW w:w="0" w:type="dxa"/>
            <w:vAlign w:val="bottom"/>
          </w:tcPr>
          <w:p>
            <w:pPr>
              <w:spacing w:after="0"/>
              <w:rPr>
                <w:sz w:val="1"/>
                <w:szCs w:val="1"/>
                <w:color w:val="auto"/>
              </w:rPr>
            </w:pPr>
          </w:p>
        </w:tc>
      </w:tr>
      <w:tr>
        <w:trPr>
          <w:trHeight w:val="290"/>
        </w:trPr>
        <w:tc>
          <w:tcPr>
            <w:tcW w:w="2080" w:type="dxa"/>
            <w:vAlign w:val="bottom"/>
          </w:tcPr>
          <w:p>
            <w:pPr>
              <w:ind w:left="40"/>
              <w:spacing w:after="0"/>
              <w:rPr>
                <w:sz w:val="20"/>
                <w:szCs w:val="20"/>
                <w:color w:val="auto"/>
              </w:rPr>
            </w:pPr>
            <w:r>
              <w:rPr>
                <w:rFonts w:ascii="Arial" w:cs="Arial" w:eastAsia="Arial" w:hAnsi="Arial"/>
                <w:sz w:val="14"/>
                <w:szCs w:val="14"/>
                <w:color w:val="auto"/>
              </w:rPr>
              <w:t>Chief Financial Officer</w:t>
            </w:r>
          </w:p>
        </w:tc>
        <w:tc>
          <w:tcPr>
            <w:tcW w:w="460" w:type="dxa"/>
            <w:vAlign w:val="bottom"/>
          </w:tcPr>
          <w:p>
            <w:pPr>
              <w:jc w:val="right"/>
              <w:spacing w:after="0"/>
              <w:rPr>
                <w:sz w:val="20"/>
                <w:szCs w:val="20"/>
                <w:color w:val="auto"/>
              </w:rPr>
            </w:pPr>
            <w:r>
              <w:rPr>
                <w:rFonts w:ascii="Arial" w:cs="Arial" w:eastAsia="Arial" w:hAnsi="Arial"/>
                <w:sz w:val="14"/>
                <w:szCs w:val="14"/>
                <w:color w:val="auto"/>
              </w:rPr>
              <w:t>2015</w:t>
            </w:r>
          </w:p>
        </w:tc>
        <w:tc>
          <w:tcPr>
            <w:tcW w:w="78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156,164</w:t>
            </w:r>
          </w:p>
        </w:tc>
        <w:tc>
          <w:tcPr>
            <w:tcW w:w="44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250,000</w:t>
            </w:r>
          </w:p>
        </w:tc>
        <w:tc>
          <w:tcPr>
            <w:tcW w:w="460" w:type="dxa"/>
            <w:vAlign w:val="bottom"/>
          </w:tcPr>
          <w:p>
            <w:pPr>
              <w:ind w:left="60"/>
              <w:spacing w:after="0"/>
              <w:rPr>
                <w:sz w:val="20"/>
                <w:szCs w:val="20"/>
                <w:color w:val="auto"/>
              </w:rPr>
            </w:pPr>
            <w:r>
              <w:rPr>
                <w:rFonts w:ascii="Arial" w:cs="Arial" w:eastAsia="Arial" w:hAnsi="Arial"/>
                <w:sz w:val="13"/>
                <w:szCs w:val="13"/>
                <w:color w:val="auto"/>
              </w:rPr>
              <w:t>(7)</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714,465</w:t>
            </w:r>
          </w:p>
        </w:tc>
        <w:tc>
          <w:tcPr>
            <w:tcW w:w="540" w:type="dxa"/>
            <w:vAlign w:val="bottom"/>
          </w:tcPr>
          <w:p>
            <w:pPr>
              <w:ind w:left="60"/>
              <w:spacing w:after="0"/>
              <w:rPr>
                <w:sz w:val="20"/>
                <w:szCs w:val="20"/>
                <w:color w:val="auto"/>
              </w:rPr>
            </w:pPr>
            <w:r>
              <w:rPr>
                <w:rFonts w:ascii="Arial" w:cs="Arial" w:eastAsia="Arial" w:hAnsi="Arial"/>
                <w:sz w:val="13"/>
                <w:szCs w:val="13"/>
                <w:color w:val="auto"/>
              </w:rPr>
              <w:t>(8)</w:t>
            </w:r>
          </w:p>
        </w:tc>
        <w:tc>
          <w:tcPr>
            <w:tcW w:w="920" w:type="dxa"/>
            <w:vAlign w:val="bottom"/>
          </w:tcPr>
          <w:p>
            <w:pPr>
              <w:jc w:val="right"/>
              <w:spacing w:after="0"/>
              <w:rPr>
                <w:sz w:val="20"/>
                <w:szCs w:val="20"/>
                <w:color w:val="auto"/>
              </w:rPr>
            </w:pPr>
            <w:r>
              <w:rPr>
                <w:rFonts w:ascii="Arial" w:cs="Arial" w:eastAsia="Arial" w:hAnsi="Arial"/>
                <w:sz w:val="14"/>
                <w:szCs w:val="14"/>
                <w:color w:val="auto"/>
              </w:rPr>
              <w:t>141,983</w:t>
            </w:r>
          </w:p>
        </w:tc>
        <w:tc>
          <w:tcPr>
            <w:tcW w:w="400" w:type="dxa"/>
            <w:vAlign w:val="bottom"/>
          </w:tcPr>
          <w:p>
            <w:pPr>
              <w:jc w:val="right"/>
              <w:ind w:right="117"/>
              <w:spacing w:after="0"/>
              <w:rPr>
                <w:sz w:val="20"/>
                <w:szCs w:val="20"/>
                <w:color w:val="auto"/>
              </w:rPr>
            </w:pPr>
            <w:r>
              <w:rPr>
                <w:rFonts w:ascii="Arial" w:cs="Arial" w:eastAsia="Arial" w:hAnsi="Arial"/>
                <w:sz w:val="13"/>
                <w:szCs w:val="13"/>
                <w:color w:val="auto"/>
              </w:rPr>
              <w:t>(8)</w:t>
            </w:r>
          </w:p>
        </w:tc>
        <w:tc>
          <w:tcPr>
            <w:tcW w:w="1180" w:type="dxa"/>
            <w:vAlign w:val="bottom"/>
          </w:tcPr>
          <w:p>
            <w:pPr>
              <w:jc w:val="right"/>
              <w:spacing w:after="0"/>
              <w:rPr>
                <w:sz w:val="20"/>
                <w:szCs w:val="20"/>
                <w:color w:val="auto"/>
              </w:rPr>
            </w:pPr>
            <w:r>
              <w:rPr>
                <w:rFonts w:ascii="Arial" w:cs="Arial" w:eastAsia="Arial" w:hAnsi="Arial"/>
                <w:sz w:val="14"/>
                <w:szCs w:val="14"/>
                <w:color w:val="auto"/>
              </w:rPr>
              <w:t>273,315</w:t>
            </w:r>
          </w:p>
        </w:tc>
        <w:tc>
          <w:tcPr>
            <w:tcW w:w="360" w:type="dxa"/>
            <w:vAlign w:val="bottom"/>
          </w:tcPr>
          <w:p>
            <w:pPr>
              <w:jc w:val="right"/>
              <w:ind w:right="77"/>
              <w:spacing w:after="0"/>
              <w:rPr>
                <w:sz w:val="20"/>
                <w:szCs w:val="20"/>
                <w:color w:val="auto"/>
              </w:rPr>
            </w:pPr>
            <w:r>
              <w:rPr>
                <w:rFonts w:ascii="Arial" w:cs="Arial" w:eastAsia="Arial" w:hAnsi="Arial"/>
                <w:sz w:val="13"/>
                <w:szCs w:val="13"/>
                <w:color w:val="auto"/>
              </w:rPr>
              <w:t>(9)</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174,377</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1,710,304</w:t>
            </w:r>
          </w:p>
        </w:tc>
        <w:tc>
          <w:tcPr>
            <w:tcW w:w="0" w:type="dxa"/>
            <w:vAlign w:val="bottom"/>
          </w:tcPr>
          <w:p>
            <w:pPr>
              <w:spacing w:after="0"/>
              <w:rPr>
                <w:sz w:val="1"/>
                <w:szCs w:val="1"/>
                <w:color w:val="auto"/>
              </w:rPr>
            </w:pPr>
          </w:p>
        </w:tc>
      </w:tr>
      <w:tr>
        <w:trPr>
          <w:trHeight w:val="222"/>
        </w:trPr>
        <w:tc>
          <w:tcPr>
            <w:tcW w:w="2080" w:type="dxa"/>
            <w:vAlign w:val="bottom"/>
            <w:shd w:val="clear" w:color="auto" w:fill="CCFFFF"/>
          </w:tcPr>
          <w:p>
            <w:pPr>
              <w:ind w:left="40"/>
              <w:spacing w:after="0"/>
              <w:rPr>
                <w:sz w:val="20"/>
                <w:szCs w:val="20"/>
                <w:color w:val="auto"/>
              </w:rPr>
            </w:pPr>
            <w:r>
              <w:rPr>
                <w:rFonts w:ascii="Arial" w:cs="Arial" w:eastAsia="Arial" w:hAnsi="Arial"/>
                <w:sz w:val="14"/>
                <w:szCs w:val="14"/>
                <w:color w:val="auto"/>
              </w:rPr>
              <w:t>Dan H. Arnold</w:t>
            </w:r>
          </w:p>
        </w:tc>
        <w:tc>
          <w:tcPr>
            <w:tcW w:w="460" w:type="dxa"/>
            <w:vAlign w:val="bottom"/>
            <w:shd w:val="clear" w:color="auto" w:fill="CCFFFF"/>
          </w:tcPr>
          <w:p>
            <w:pPr>
              <w:jc w:val="right"/>
              <w:spacing w:after="0"/>
              <w:rPr>
                <w:sz w:val="20"/>
                <w:szCs w:val="20"/>
                <w:color w:val="auto"/>
              </w:rPr>
            </w:pPr>
            <w:r>
              <w:rPr>
                <w:rFonts w:ascii="Arial" w:cs="Arial" w:eastAsia="Arial" w:hAnsi="Arial"/>
                <w:sz w:val="14"/>
                <w:szCs w:val="14"/>
                <w:color w:val="auto"/>
              </w:rPr>
              <w:t>2016</w:t>
            </w:r>
          </w:p>
        </w:tc>
        <w:tc>
          <w:tcPr>
            <w:tcW w:w="780" w:type="dxa"/>
            <w:vAlign w:val="bottom"/>
            <w:gridSpan w:val="2"/>
            <w:shd w:val="clear" w:color="auto" w:fill="CCFFFF"/>
          </w:tcPr>
          <w:p>
            <w:pPr>
              <w:jc w:val="center"/>
              <w:ind w:left="68"/>
              <w:spacing w:after="0"/>
              <w:rPr>
                <w:sz w:val="20"/>
                <w:szCs w:val="20"/>
                <w:color w:val="auto"/>
              </w:rPr>
            </w:pPr>
            <w:r>
              <w:rPr>
                <w:rFonts w:ascii="Arial" w:cs="Arial" w:eastAsia="Arial" w:hAnsi="Arial"/>
                <w:sz w:val="14"/>
                <w:szCs w:val="14"/>
                <w:color w:val="auto"/>
                <w:w w:val="94"/>
              </w:rPr>
              <w:t>666,120</w:t>
            </w:r>
          </w:p>
        </w:tc>
        <w:tc>
          <w:tcPr>
            <w:tcW w:w="440" w:type="dxa"/>
            <w:vAlign w:val="bottom"/>
            <w:shd w:val="clear" w:color="auto" w:fill="CCFFFF"/>
          </w:tcPr>
          <w:p>
            <w:pPr>
              <w:ind w:left="60"/>
              <w:spacing w:after="0"/>
              <w:rPr>
                <w:sz w:val="20"/>
                <w:szCs w:val="20"/>
                <w:color w:val="auto"/>
              </w:rPr>
            </w:pPr>
            <w:r>
              <w:rPr>
                <w:rFonts w:ascii="Arial" w:cs="Arial" w:eastAsia="Arial" w:hAnsi="Arial"/>
                <w:sz w:val="13"/>
                <w:szCs w:val="13"/>
                <w:color w:val="auto"/>
              </w:rPr>
              <w:t>(10)</w:t>
            </w:r>
          </w:p>
        </w:tc>
        <w:tc>
          <w:tcPr>
            <w:tcW w:w="720" w:type="dxa"/>
            <w:vAlign w:val="bottom"/>
            <w:shd w:val="clear" w:color="auto" w:fill="CCFF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FFFF"/>
          </w:tcPr>
          <w:p>
            <w:pPr>
              <w:spacing w:after="0"/>
              <w:rPr>
                <w:sz w:val="19"/>
                <w:szCs w:val="19"/>
                <w:color w:val="auto"/>
              </w:rPr>
            </w:pPr>
          </w:p>
        </w:tc>
        <w:tc>
          <w:tcPr>
            <w:tcW w:w="800" w:type="dxa"/>
            <w:vAlign w:val="bottom"/>
            <w:shd w:val="clear" w:color="auto" w:fill="CCFFFF"/>
          </w:tcPr>
          <w:p>
            <w:pPr>
              <w:jc w:val="right"/>
              <w:ind w:right="8"/>
              <w:spacing w:after="0"/>
              <w:rPr>
                <w:sz w:val="20"/>
                <w:szCs w:val="20"/>
                <w:color w:val="auto"/>
              </w:rPr>
            </w:pPr>
            <w:r>
              <w:rPr>
                <w:rFonts w:ascii="Arial" w:cs="Arial" w:eastAsia="Arial" w:hAnsi="Arial"/>
                <w:sz w:val="14"/>
                <w:szCs w:val="14"/>
                <w:color w:val="auto"/>
              </w:rPr>
              <w:t>282,202</w:t>
            </w:r>
          </w:p>
        </w:tc>
        <w:tc>
          <w:tcPr>
            <w:tcW w:w="540" w:type="dxa"/>
            <w:vAlign w:val="bottom"/>
            <w:shd w:val="clear" w:color="auto" w:fill="CCFFFF"/>
          </w:tcPr>
          <w:p>
            <w:pPr>
              <w:ind w:left="60"/>
              <w:spacing w:after="0"/>
              <w:rPr>
                <w:sz w:val="20"/>
                <w:szCs w:val="20"/>
                <w:color w:val="auto"/>
              </w:rPr>
            </w:pPr>
            <w:r>
              <w:rPr>
                <w:rFonts w:ascii="Arial" w:cs="Arial" w:eastAsia="Arial" w:hAnsi="Arial"/>
                <w:sz w:val="13"/>
                <w:szCs w:val="13"/>
                <w:color w:val="auto"/>
              </w:rPr>
              <w:t>(6)</w:t>
            </w:r>
          </w:p>
        </w:tc>
        <w:tc>
          <w:tcPr>
            <w:tcW w:w="920" w:type="dxa"/>
            <w:vAlign w:val="bottom"/>
            <w:shd w:val="clear" w:color="auto" w:fill="CCFFFF"/>
          </w:tcPr>
          <w:p>
            <w:pPr>
              <w:jc w:val="right"/>
              <w:spacing w:after="0"/>
              <w:rPr>
                <w:sz w:val="20"/>
                <w:szCs w:val="20"/>
                <w:color w:val="auto"/>
              </w:rPr>
            </w:pPr>
            <w:r>
              <w:rPr>
                <w:rFonts w:ascii="Arial" w:cs="Arial" w:eastAsia="Arial" w:hAnsi="Arial"/>
                <w:sz w:val="14"/>
                <w:szCs w:val="14"/>
                <w:color w:val="auto"/>
              </w:rPr>
              <w:t>448,364</w:t>
            </w:r>
          </w:p>
        </w:tc>
        <w:tc>
          <w:tcPr>
            <w:tcW w:w="400" w:type="dxa"/>
            <w:vAlign w:val="bottom"/>
            <w:shd w:val="clear" w:color="auto" w:fill="CCFFFF"/>
          </w:tcPr>
          <w:p>
            <w:pPr>
              <w:spacing w:after="0"/>
              <w:rPr>
                <w:sz w:val="19"/>
                <w:szCs w:val="19"/>
                <w:color w:val="auto"/>
              </w:rPr>
            </w:pPr>
          </w:p>
        </w:tc>
        <w:tc>
          <w:tcPr>
            <w:tcW w:w="1180" w:type="dxa"/>
            <w:vAlign w:val="bottom"/>
            <w:shd w:val="clear" w:color="auto" w:fill="CCFFFF"/>
          </w:tcPr>
          <w:p>
            <w:pPr>
              <w:jc w:val="right"/>
              <w:spacing w:after="0"/>
              <w:rPr>
                <w:sz w:val="20"/>
                <w:szCs w:val="20"/>
                <w:color w:val="auto"/>
              </w:rPr>
            </w:pPr>
            <w:r>
              <w:rPr>
                <w:rFonts w:ascii="Arial" w:cs="Arial" w:eastAsia="Arial" w:hAnsi="Arial"/>
                <w:sz w:val="14"/>
                <w:szCs w:val="14"/>
                <w:color w:val="auto"/>
              </w:rPr>
              <w:t>1,400,000</w:t>
            </w:r>
          </w:p>
        </w:tc>
        <w:tc>
          <w:tcPr>
            <w:tcW w:w="360" w:type="dxa"/>
            <w:vAlign w:val="bottom"/>
            <w:shd w:val="clear" w:color="auto" w:fill="CCFFFF"/>
          </w:tcPr>
          <w:p>
            <w:pPr>
              <w:spacing w:after="0"/>
              <w:rPr>
                <w:sz w:val="19"/>
                <w:szCs w:val="19"/>
                <w:color w:val="auto"/>
              </w:rPr>
            </w:pPr>
          </w:p>
        </w:tc>
        <w:tc>
          <w:tcPr>
            <w:tcW w:w="1320" w:type="dxa"/>
            <w:vAlign w:val="bottom"/>
            <w:shd w:val="clear" w:color="auto" w:fill="CCFFFF"/>
          </w:tcPr>
          <w:p>
            <w:pPr>
              <w:jc w:val="right"/>
              <w:ind w:right="188"/>
              <w:spacing w:after="0"/>
              <w:rPr>
                <w:sz w:val="20"/>
                <w:szCs w:val="20"/>
                <w:color w:val="auto"/>
              </w:rPr>
            </w:pPr>
            <w:r>
              <w:rPr>
                <w:rFonts w:ascii="Arial" w:cs="Arial" w:eastAsia="Arial" w:hAnsi="Arial"/>
                <w:sz w:val="14"/>
                <w:szCs w:val="14"/>
                <w:color w:val="auto"/>
              </w:rPr>
              <w:t>103,182</w:t>
            </w:r>
          </w:p>
        </w:tc>
        <w:tc>
          <w:tcPr>
            <w:tcW w:w="960" w:type="dxa"/>
            <w:vAlign w:val="bottom"/>
            <w:shd w:val="clear" w:color="auto" w:fill="CCFFFF"/>
          </w:tcPr>
          <w:p>
            <w:pPr>
              <w:jc w:val="right"/>
              <w:ind w:right="28"/>
              <w:spacing w:after="0"/>
              <w:rPr>
                <w:sz w:val="20"/>
                <w:szCs w:val="20"/>
                <w:color w:val="auto"/>
              </w:rPr>
            </w:pPr>
            <w:r>
              <w:rPr>
                <w:rFonts w:ascii="Arial" w:cs="Arial" w:eastAsia="Arial" w:hAnsi="Arial"/>
                <w:sz w:val="14"/>
                <w:szCs w:val="14"/>
                <w:color w:val="auto"/>
              </w:rPr>
              <w:t>2,899,868</w:t>
            </w:r>
          </w:p>
        </w:tc>
        <w:tc>
          <w:tcPr>
            <w:tcW w:w="0" w:type="dxa"/>
            <w:vAlign w:val="bottom"/>
          </w:tcPr>
          <w:p>
            <w:pPr>
              <w:spacing w:after="0"/>
              <w:rPr>
                <w:sz w:val="1"/>
                <w:szCs w:val="1"/>
                <w:color w:val="auto"/>
              </w:rPr>
            </w:pPr>
          </w:p>
        </w:tc>
      </w:tr>
      <w:tr>
        <w:trPr>
          <w:trHeight w:val="182"/>
        </w:trPr>
        <w:tc>
          <w:tcPr>
            <w:tcW w:w="2080" w:type="dxa"/>
            <w:vAlign w:val="bottom"/>
            <w:shd w:val="clear" w:color="auto" w:fill="CCFFFF"/>
          </w:tcPr>
          <w:p>
            <w:pPr>
              <w:ind w:left="40"/>
              <w:spacing w:after="0"/>
              <w:rPr>
                <w:sz w:val="20"/>
                <w:szCs w:val="20"/>
                <w:color w:val="auto"/>
              </w:rPr>
            </w:pPr>
            <w:r>
              <w:rPr>
                <w:rFonts w:ascii="Arial" w:cs="Arial" w:eastAsia="Arial" w:hAnsi="Arial"/>
                <w:sz w:val="14"/>
                <w:szCs w:val="14"/>
                <w:color w:val="auto"/>
              </w:rPr>
              <w:t>President, CEO</w:t>
            </w:r>
          </w:p>
        </w:tc>
        <w:tc>
          <w:tcPr>
            <w:tcW w:w="460" w:type="dxa"/>
            <w:vAlign w:val="bottom"/>
            <w:vMerge w:val="restart"/>
            <w:shd w:val="clear" w:color="auto" w:fill="CCFFFF"/>
          </w:tcPr>
          <w:p>
            <w:pPr>
              <w:jc w:val="right"/>
              <w:spacing w:after="0"/>
              <w:rPr>
                <w:sz w:val="20"/>
                <w:szCs w:val="20"/>
                <w:color w:val="auto"/>
              </w:rPr>
            </w:pPr>
            <w:r>
              <w:rPr>
                <w:rFonts w:ascii="Arial" w:cs="Arial" w:eastAsia="Arial" w:hAnsi="Arial"/>
                <w:sz w:val="14"/>
                <w:szCs w:val="14"/>
                <w:color w:val="auto"/>
              </w:rPr>
              <w:t>2015</w:t>
            </w:r>
          </w:p>
        </w:tc>
        <w:tc>
          <w:tcPr>
            <w:tcW w:w="120" w:type="dxa"/>
            <w:vAlign w:val="bottom"/>
            <w:shd w:val="clear" w:color="auto" w:fill="CCFFFF"/>
          </w:tcPr>
          <w:p>
            <w:pPr>
              <w:spacing w:after="0"/>
              <w:rPr>
                <w:sz w:val="15"/>
                <w:szCs w:val="15"/>
                <w:color w:val="auto"/>
              </w:rPr>
            </w:pPr>
          </w:p>
        </w:tc>
        <w:tc>
          <w:tcPr>
            <w:tcW w:w="660" w:type="dxa"/>
            <w:vAlign w:val="bottom"/>
            <w:vMerge w:val="restart"/>
            <w:shd w:val="clear" w:color="auto" w:fill="CCFFFF"/>
          </w:tcPr>
          <w:p>
            <w:pPr>
              <w:jc w:val="center"/>
              <w:spacing w:after="0"/>
              <w:rPr>
                <w:sz w:val="20"/>
                <w:szCs w:val="20"/>
                <w:color w:val="auto"/>
              </w:rPr>
            </w:pPr>
            <w:r>
              <w:rPr>
                <w:rFonts w:ascii="Arial" w:cs="Arial" w:eastAsia="Arial" w:hAnsi="Arial"/>
                <w:sz w:val="14"/>
                <w:szCs w:val="14"/>
                <w:color w:val="auto"/>
                <w:w w:val="94"/>
              </w:rPr>
              <w:t>606,644</w:t>
            </w:r>
          </w:p>
        </w:tc>
        <w:tc>
          <w:tcPr>
            <w:tcW w:w="440" w:type="dxa"/>
            <w:vAlign w:val="bottom"/>
            <w:vMerge w:val="restart"/>
            <w:shd w:val="clear" w:color="auto" w:fill="CCFFFF"/>
          </w:tcPr>
          <w:p>
            <w:pPr>
              <w:ind w:left="60"/>
              <w:spacing w:after="0"/>
              <w:rPr>
                <w:sz w:val="20"/>
                <w:szCs w:val="20"/>
                <w:color w:val="auto"/>
              </w:rPr>
            </w:pPr>
            <w:r>
              <w:rPr>
                <w:rFonts w:ascii="Arial" w:cs="Arial" w:eastAsia="Arial" w:hAnsi="Arial"/>
                <w:sz w:val="13"/>
                <w:szCs w:val="13"/>
                <w:color w:val="auto"/>
              </w:rPr>
              <w:t>(11)</w:t>
            </w:r>
          </w:p>
        </w:tc>
        <w:tc>
          <w:tcPr>
            <w:tcW w:w="720" w:type="dxa"/>
            <w:vAlign w:val="bottom"/>
            <w:vMerge w:val="restart"/>
            <w:shd w:val="clear" w:color="auto" w:fill="CCFF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FFFF"/>
          </w:tcPr>
          <w:p>
            <w:pPr>
              <w:spacing w:after="0"/>
              <w:rPr>
                <w:sz w:val="15"/>
                <w:szCs w:val="15"/>
                <w:color w:val="auto"/>
              </w:rPr>
            </w:pPr>
          </w:p>
        </w:tc>
        <w:tc>
          <w:tcPr>
            <w:tcW w:w="800" w:type="dxa"/>
            <w:vAlign w:val="bottom"/>
            <w:vMerge w:val="restart"/>
            <w:shd w:val="clear" w:color="auto" w:fill="CCFFFF"/>
          </w:tcPr>
          <w:p>
            <w:pPr>
              <w:jc w:val="right"/>
              <w:ind w:right="8"/>
              <w:spacing w:after="0"/>
              <w:rPr>
                <w:sz w:val="20"/>
                <w:szCs w:val="20"/>
                <w:color w:val="auto"/>
              </w:rPr>
            </w:pPr>
            <w:r>
              <w:rPr>
                <w:rFonts w:ascii="Arial" w:cs="Arial" w:eastAsia="Arial" w:hAnsi="Arial"/>
                <w:sz w:val="14"/>
                <w:szCs w:val="14"/>
                <w:color w:val="auto"/>
              </w:rPr>
              <w:t>157,673</w:t>
            </w:r>
          </w:p>
        </w:tc>
        <w:tc>
          <w:tcPr>
            <w:tcW w:w="540" w:type="dxa"/>
            <w:vAlign w:val="bottom"/>
            <w:shd w:val="clear" w:color="auto" w:fill="CCFFFF"/>
          </w:tcPr>
          <w:p>
            <w:pPr>
              <w:spacing w:after="0"/>
              <w:rPr>
                <w:sz w:val="15"/>
                <w:szCs w:val="15"/>
                <w:color w:val="auto"/>
              </w:rPr>
            </w:pPr>
          </w:p>
        </w:tc>
        <w:tc>
          <w:tcPr>
            <w:tcW w:w="920" w:type="dxa"/>
            <w:vAlign w:val="bottom"/>
            <w:vMerge w:val="restart"/>
            <w:shd w:val="clear" w:color="auto" w:fill="CCFFFF"/>
          </w:tcPr>
          <w:p>
            <w:pPr>
              <w:jc w:val="right"/>
              <w:spacing w:after="0"/>
              <w:rPr>
                <w:sz w:val="20"/>
                <w:szCs w:val="20"/>
                <w:color w:val="auto"/>
              </w:rPr>
            </w:pPr>
            <w:r>
              <w:rPr>
                <w:rFonts w:ascii="Arial" w:cs="Arial" w:eastAsia="Arial" w:hAnsi="Arial"/>
                <w:sz w:val="14"/>
                <w:szCs w:val="14"/>
                <w:color w:val="auto"/>
              </w:rPr>
              <w:t>223,148</w:t>
            </w:r>
          </w:p>
        </w:tc>
        <w:tc>
          <w:tcPr>
            <w:tcW w:w="400" w:type="dxa"/>
            <w:vAlign w:val="bottom"/>
            <w:shd w:val="clear" w:color="auto" w:fill="CCFFFF"/>
          </w:tcPr>
          <w:p>
            <w:pPr>
              <w:spacing w:after="0"/>
              <w:rPr>
                <w:sz w:val="15"/>
                <w:szCs w:val="15"/>
                <w:color w:val="auto"/>
              </w:rPr>
            </w:pPr>
          </w:p>
        </w:tc>
        <w:tc>
          <w:tcPr>
            <w:tcW w:w="1180" w:type="dxa"/>
            <w:vAlign w:val="bottom"/>
            <w:vMerge w:val="restart"/>
            <w:shd w:val="clear" w:color="auto" w:fill="CCFFFF"/>
          </w:tcPr>
          <w:p>
            <w:pPr>
              <w:jc w:val="right"/>
              <w:spacing w:after="0"/>
              <w:rPr>
                <w:sz w:val="20"/>
                <w:szCs w:val="20"/>
                <w:color w:val="auto"/>
              </w:rPr>
            </w:pPr>
            <w:r>
              <w:rPr>
                <w:rFonts w:ascii="Arial" w:cs="Arial" w:eastAsia="Arial" w:hAnsi="Arial"/>
                <w:sz w:val="14"/>
                <w:szCs w:val="14"/>
                <w:color w:val="auto"/>
              </w:rPr>
              <w:t>820,313</w:t>
            </w:r>
          </w:p>
        </w:tc>
        <w:tc>
          <w:tcPr>
            <w:tcW w:w="360" w:type="dxa"/>
            <w:vAlign w:val="bottom"/>
            <w:shd w:val="clear" w:color="auto" w:fill="CCFFFF"/>
          </w:tcPr>
          <w:p>
            <w:pPr>
              <w:spacing w:after="0"/>
              <w:rPr>
                <w:sz w:val="15"/>
                <w:szCs w:val="15"/>
                <w:color w:val="auto"/>
              </w:rPr>
            </w:pPr>
          </w:p>
        </w:tc>
        <w:tc>
          <w:tcPr>
            <w:tcW w:w="1320" w:type="dxa"/>
            <w:vAlign w:val="bottom"/>
            <w:vMerge w:val="restart"/>
            <w:shd w:val="clear" w:color="auto" w:fill="CCFFFF"/>
          </w:tcPr>
          <w:p>
            <w:pPr>
              <w:jc w:val="right"/>
              <w:ind w:right="188"/>
              <w:spacing w:after="0"/>
              <w:rPr>
                <w:sz w:val="20"/>
                <w:szCs w:val="20"/>
                <w:color w:val="auto"/>
              </w:rPr>
            </w:pPr>
            <w:r>
              <w:rPr>
                <w:rFonts w:ascii="Arial" w:cs="Arial" w:eastAsia="Arial" w:hAnsi="Arial"/>
                <w:sz w:val="14"/>
                <w:szCs w:val="14"/>
                <w:color w:val="auto"/>
              </w:rPr>
              <w:t>37,542</w:t>
            </w:r>
          </w:p>
        </w:tc>
        <w:tc>
          <w:tcPr>
            <w:tcW w:w="960" w:type="dxa"/>
            <w:vAlign w:val="bottom"/>
            <w:vMerge w:val="restart"/>
            <w:shd w:val="clear" w:color="auto" w:fill="CCFFFF"/>
          </w:tcPr>
          <w:p>
            <w:pPr>
              <w:jc w:val="right"/>
              <w:ind w:right="28"/>
              <w:spacing w:after="0"/>
              <w:rPr>
                <w:sz w:val="20"/>
                <w:szCs w:val="20"/>
                <w:color w:val="auto"/>
              </w:rPr>
            </w:pPr>
            <w:r>
              <w:rPr>
                <w:rFonts w:ascii="Arial" w:cs="Arial" w:eastAsia="Arial" w:hAnsi="Arial"/>
                <w:sz w:val="14"/>
                <w:szCs w:val="14"/>
                <w:color w:val="auto"/>
              </w:rPr>
              <w:t>1,845,320</w:t>
            </w:r>
          </w:p>
        </w:tc>
        <w:tc>
          <w:tcPr>
            <w:tcW w:w="0" w:type="dxa"/>
            <w:vAlign w:val="bottom"/>
          </w:tcPr>
          <w:p>
            <w:pPr>
              <w:spacing w:after="0"/>
              <w:rPr>
                <w:sz w:val="1"/>
                <w:szCs w:val="1"/>
                <w:color w:val="auto"/>
              </w:rPr>
            </w:pPr>
          </w:p>
        </w:tc>
      </w:tr>
      <w:tr>
        <w:trPr>
          <w:trHeight w:val="130"/>
        </w:trPr>
        <w:tc>
          <w:tcPr>
            <w:tcW w:w="2080" w:type="dxa"/>
            <w:vAlign w:val="bottom"/>
            <w:shd w:val="clear" w:color="auto" w:fill="CCFFFF"/>
          </w:tcPr>
          <w:p>
            <w:pPr>
              <w:spacing w:after="0"/>
              <w:rPr>
                <w:sz w:val="11"/>
                <w:szCs w:val="11"/>
                <w:color w:val="auto"/>
              </w:rPr>
            </w:pPr>
          </w:p>
        </w:tc>
        <w:tc>
          <w:tcPr>
            <w:tcW w:w="460" w:type="dxa"/>
            <w:vAlign w:val="bottom"/>
            <w:vMerge w:val="continue"/>
            <w:shd w:val="clear" w:color="auto" w:fill="CCFFFF"/>
          </w:tcPr>
          <w:p>
            <w:pPr>
              <w:spacing w:after="0"/>
              <w:rPr>
                <w:sz w:val="11"/>
                <w:szCs w:val="11"/>
                <w:color w:val="auto"/>
              </w:rPr>
            </w:pPr>
          </w:p>
        </w:tc>
        <w:tc>
          <w:tcPr>
            <w:tcW w:w="120" w:type="dxa"/>
            <w:vAlign w:val="bottom"/>
            <w:shd w:val="clear" w:color="auto" w:fill="CCFFFF"/>
          </w:tcPr>
          <w:p>
            <w:pPr>
              <w:spacing w:after="0"/>
              <w:rPr>
                <w:sz w:val="11"/>
                <w:szCs w:val="11"/>
                <w:color w:val="auto"/>
              </w:rPr>
            </w:pPr>
          </w:p>
        </w:tc>
        <w:tc>
          <w:tcPr>
            <w:tcW w:w="660" w:type="dxa"/>
            <w:vAlign w:val="bottom"/>
            <w:vMerge w:val="continue"/>
            <w:shd w:val="clear" w:color="auto" w:fill="CCFFFF"/>
          </w:tcPr>
          <w:p>
            <w:pPr>
              <w:spacing w:after="0"/>
              <w:rPr>
                <w:sz w:val="11"/>
                <w:szCs w:val="11"/>
                <w:color w:val="auto"/>
              </w:rPr>
            </w:pPr>
          </w:p>
        </w:tc>
        <w:tc>
          <w:tcPr>
            <w:tcW w:w="440" w:type="dxa"/>
            <w:vAlign w:val="bottom"/>
            <w:vMerge w:val="continue"/>
            <w:shd w:val="clear" w:color="auto" w:fill="CCFFFF"/>
          </w:tcPr>
          <w:p>
            <w:pPr>
              <w:spacing w:after="0"/>
              <w:rPr>
                <w:sz w:val="11"/>
                <w:szCs w:val="11"/>
                <w:color w:val="auto"/>
              </w:rPr>
            </w:pPr>
          </w:p>
        </w:tc>
        <w:tc>
          <w:tcPr>
            <w:tcW w:w="720" w:type="dxa"/>
            <w:vAlign w:val="bottom"/>
            <w:vMerge w:val="continue"/>
            <w:shd w:val="clear" w:color="auto" w:fill="CCFFFF"/>
          </w:tcPr>
          <w:p>
            <w:pPr>
              <w:spacing w:after="0"/>
              <w:rPr>
                <w:sz w:val="11"/>
                <w:szCs w:val="11"/>
                <w:color w:val="auto"/>
              </w:rPr>
            </w:pPr>
          </w:p>
        </w:tc>
        <w:tc>
          <w:tcPr>
            <w:tcW w:w="460" w:type="dxa"/>
            <w:vAlign w:val="bottom"/>
            <w:shd w:val="clear" w:color="auto" w:fill="CCFFFF"/>
          </w:tcPr>
          <w:p>
            <w:pPr>
              <w:spacing w:after="0"/>
              <w:rPr>
                <w:sz w:val="11"/>
                <w:szCs w:val="11"/>
                <w:color w:val="auto"/>
              </w:rPr>
            </w:pPr>
          </w:p>
        </w:tc>
        <w:tc>
          <w:tcPr>
            <w:tcW w:w="800" w:type="dxa"/>
            <w:vAlign w:val="bottom"/>
            <w:vMerge w:val="continue"/>
            <w:shd w:val="clear" w:color="auto" w:fill="CCFFFF"/>
          </w:tcPr>
          <w:p>
            <w:pPr>
              <w:spacing w:after="0"/>
              <w:rPr>
                <w:sz w:val="11"/>
                <w:szCs w:val="11"/>
                <w:color w:val="auto"/>
              </w:rPr>
            </w:pPr>
          </w:p>
        </w:tc>
        <w:tc>
          <w:tcPr>
            <w:tcW w:w="540" w:type="dxa"/>
            <w:vAlign w:val="bottom"/>
            <w:shd w:val="clear" w:color="auto" w:fill="CCFFFF"/>
          </w:tcPr>
          <w:p>
            <w:pPr>
              <w:spacing w:after="0"/>
              <w:rPr>
                <w:sz w:val="11"/>
                <w:szCs w:val="11"/>
                <w:color w:val="auto"/>
              </w:rPr>
            </w:pPr>
          </w:p>
        </w:tc>
        <w:tc>
          <w:tcPr>
            <w:tcW w:w="920" w:type="dxa"/>
            <w:vAlign w:val="bottom"/>
            <w:vMerge w:val="continue"/>
            <w:shd w:val="clear" w:color="auto" w:fill="CCFFFF"/>
          </w:tcPr>
          <w:p>
            <w:pPr>
              <w:spacing w:after="0"/>
              <w:rPr>
                <w:sz w:val="11"/>
                <w:szCs w:val="11"/>
                <w:color w:val="auto"/>
              </w:rPr>
            </w:pPr>
          </w:p>
        </w:tc>
        <w:tc>
          <w:tcPr>
            <w:tcW w:w="400" w:type="dxa"/>
            <w:vAlign w:val="bottom"/>
            <w:shd w:val="clear" w:color="auto" w:fill="CCFFFF"/>
          </w:tcPr>
          <w:p>
            <w:pPr>
              <w:spacing w:after="0"/>
              <w:rPr>
                <w:sz w:val="11"/>
                <w:szCs w:val="11"/>
                <w:color w:val="auto"/>
              </w:rPr>
            </w:pPr>
          </w:p>
        </w:tc>
        <w:tc>
          <w:tcPr>
            <w:tcW w:w="1180" w:type="dxa"/>
            <w:vAlign w:val="bottom"/>
            <w:vMerge w:val="continue"/>
            <w:shd w:val="clear" w:color="auto" w:fill="CCFFFF"/>
          </w:tcPr>
          <w:p>
            <w:pPr>
              <w:spacing w:after="0"/>
              <w:rPr>
                <w:sz w:val="11"/>
                <w:szCs w:val="11"/>
                <w:color w:val="auto"/>
              </w:rPr>
            </w:pPr>
          </w:p>
        </w:tc>
        <w:tc>
          <w:tcPr>
            <w:tcW w:w="360" w:type="dxa"/>
            <w:vAlign w:val="bottom"/>
            <w:shd w:val="clear" w:color="auto" w:fill="CCFFFF"/>
          </w:tcPr>
          <w:p>
            <w:pPr>
              <w:spacing w:after="0"/>
              <w:rPr>
                <w:sz w:val="11"/>
                <w:szCs w:val="11"/>
                <w:color w:val="auto"/>
              </w:rPr>
            </w:pPr>
          </w:p>
        </w:tc>
        <w:tc>
          <w:tcPr>
            <w:tcW w:w="1320" w:type="dxa"/>
            <w:vAlign w:val="bottom"/>
            <w:vMerge w:val="continue"/>
            <w:shd w:val="clear" w:color="auto" w:fill="CCFFFF"/>
          </w:tcPr>
          <w:p>
            <w:pPr>
              <w:spacing w:after="0"/>
              <w:rPr>
                <w:sz w:val="11"/>
                <w:szCs w:val="11"/>
                <w:color w:val="auto"/>
              </w:rPr>
            </w:pPr>
          </w:p>
        </w:tc>
        <w:tc>
          <w:tcPr>
            <w:tcW w:w="960" w:type="dxa"/>
            <w:vAlign w:val="bottom"/>
            <w:vMerge w:val="continue"/>
            <w:shd w:val="clear" w:color="auto" w:fill="CCFFFF"/>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2080" w:type="dxa"/>
            <w:vAlign w:val="bottom"/>
            <w:shd w:val="clear" w:color="auto" w:fill="CCFFFF"/>
          </w:tcPr>
          <w:p>
            <w:pPr>
              <w:spacing w:after="0"/>
              <w:rPr>
                <w:sz w:val="24"/>
                <w:szCs w:val="24"/>
                <w:color w:val="auto"/>
              </w:rPr>
            </w:pPr>
          </w:p>
        </w:tc>
        <w:tc>
          <w:tcPr>
            <w:tcW w:w="460" w:type="dxa"/>
            <w:vAlign w:val="bottom"/>
            <w:shd w:val="clear" w:color="auto" w:fill="CCFFFF"/>
          </w:tcPr>
          <w:p>
            <w:pPr>
              <w:jc w:val="right"/>
              <w:spacing w:after="0"/>
              <w:rPr>
                <w:sz w:val="20"/>
                <w:szCs w:val="20"/>
                <w:color w:val="auto"/>
              </w:rPr>
            </w:pPr>
            <w:r>
              <w:rPr>
                <w:rFonts w:ascii="Arial" w:cs="Arial" w:eastAsia="Arial" w:hAnsi="Arial"/>
                <w:sz w:val="14"/>
                <w:szCs w:val="14"/>
                <w:color w:val="auto"/>
              </w:rPr>
              <w:t>2014</w:t>
            </w:r>
          </w:p>
        </w:tc>
        <w:tc>
          <w:tcPr>
            <w:tcW w:w="120" w:type="dxa"/>
            <w:vAlign w:val="bottom"/>
            <w:shd w:val="clear" w:color="auto" w:fill="CCFFFF"/>
          </w:tcPr>
          <w:p>
            <w:pPr>
              <w:spacing w:after="0"/>
              <w:rPr>
                <w:sz w:val="24"/>
                <w:szCs w:val="24"/>
                <w:color w:val="auto"/>
              </w:rPr>
            </w:pPr>
          </w:p>
        </w:tc>
        <w:tc>
          <w:tcPr>
            <w:tcW w:w="660" w:type="dxa"/>
            <w:vAlign w:val="bottom"/>
            <w:shd w:val="clear" w:color="auto" w:fill="CCFFFF"/>
          </w:tcPr>
          <w:p>
            <w:pPr>
              <w:jc w:val="center"/>
              <w:spacing w:after="0"/>
              <w:rPr>
                <w:sz w:val="20"/>
                <w:szCs w:val="20"/>
                <w:color w:val="auto"/>
              </w:rPr>
            </w:pPr>
            <w:r>
              <w:rPr>
                <w:rFonts w:ascii="Arial" w:cs="Arial" w:eastAsia="Arial" w:hAnsi="Arial"/>
                <w:sz w:val="14"/>
                <w:szCs w:val="14"/>
                <w:color w:val="auto"/>
                <w:w w:val="94"/>
              </w:rPr>
              <w:t>542,740</w:t>
            </w:r>
          </w:p>
        </w:tc>
        <w:tc>
          <w:tcPr>
            <w:tcW w:w="440" w:type="dxa"/>
            <w:vAlign w:val="bottom"/>
            <w:shd w:val="clear" w:color="auto" w:fill="CCFFFF"/>
          </w:tcPr>
          <w:p>
            <w:pPr>
              <w:ind w:left="60"/>
              <w:spacing w:after="0"/>
              <w:rPr>
                <w:sz w:val="20"/>
                <w:szCs w:val="20"/>
                <w:color w:val="auto"/>
              </w:rPr>
            </w:pPr>
            <w:r>
              <w:rPr>
                <w:rFonts w:ascii="Arial" w:cs="Arial" w:eastAsia="Arial" w:hAnsi="Arial"/>
                <w:sz w:val="13"/>
                <w:szCs w:val="13"/>
                <w:color w:val="auto"/>
              </w:rPr>
              <w:t>(12)</w:t>
            </w:r>
          </w:p>
        </w:tc>
        <w:tc>
          <w:tcPr>
            <w:tcW w:w="720" w:type="dxa"/>
            <w:vAlign w:val="bottom"/>
            <w:shd w:val="clear" w:color="auto" w:fill="CCFF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FFFF"/>
          </w:tcPr>
          <w:p>
            <w:pPr>
              <w:spacing w:after="0"/>
              <w:rPr>
                <w:sz w:val="24"/>
                <w:szCs w:val="24"/>
                <w:color w:val="auto"/>
              </w:rPr>
            </w:pPr>
          </w:p>
        </w:tc>
        <w:tc>
          <w:tcPr>
            <w:tcW w:w="800" w:type="dxa"/>
            <w:vAlign w:val="bottom"/>
            <w:shd w:val="clear" w:color="auto" w:fill="CCFFFF"/>
          </w:tcPr>
          <w:p>
            <w:pPr>
              <w:jc w:val="right"/>
              <w:ind w:right="8"/>
              <w:spacing w:after="0"/>
              <w:rPr>
                <w:sz w:val="20"/>
                <w:szCs w:val="20"/>
                <w:color w:val="auto"/>
              </w:rPr>
            </w:pPr>
            <w:r>
              <w:rPr>
                <w:rFonts w:ascii="Arial" w:cs="Arial" w:eastAsia="Arial" w:hAnsi="Arial"/>
                <w:sz w:val="14"/>
                <w:szCs w:val="14"/>
                <w:color w:val="auto"/>
              </w:rPr>
              <w:t>648,473</w:t>
            </w:r>
          </w:p>
        </w:tc>
        <w:tc>
          <w:tcPr>
            <w:tcW w:w="540" w:type="dxa"/>
            <w:vAlign w:val="bottom"/>
            <w:shd w:val="clear" w:color="auto" w:fill="CCFFFF"/>
          </w:tcPr>
          <w:p>
            <w:pPr>
              <w:spacing w:after="0"/>
              <w:rPr>
                <w:sz w:val="24"/>
                <w:szCs w:val="24"/>
                <w:color w:val="auto"/>
              </w:rPr>
            </w:pPr>
          </w:p>
        </w:tc>
        <w:tc>
          <w:tcPr>
            <w:tcW w:w="920" w:type="dxa"/>
            <w:vAlign w:val="bottom"/>
            <w:shd w:val="clear" w:color="auto" w:fill="CCFFFF"/>
          </w:tcPr>
          <w:p>
            <w:pPr>
              <w:jc w:val="right"/>
              <w:spacing w:after="0"/>
              <w:rPr>
                <w:sz w:val="20"/>
                <w:szCs w:val="20"/>
                <w:color w:val="auto"/>
              </w:rPr>
            </w:pPr>
            <w:r>
              <w:rPr>
                <w:rFonts w:ascii="Arial" w:cs="Arial" w:eastAsia="Arial" w:hAnsi="Arial"/>
                <w:sz w:val="14"/>
                <w:szCs w:val="14"/>
                <w:color w:val="auto"/>
              </w:rPr>
              <w:t>419,980</w:t>
            </w:r>
          </w:p>
        </w:tc>
        <w:tc>
          <w:tcPr>
            <w:tcW w:w="400" w:type="dxa"/>
            <w:vAlign w:val="bottom"/>
            <w:shd w:val="clear" w:color="auto" w:fill="CCFFFF"/>
          </w:tcPr>
          <w:p>
            <w:pPr>
              <w:spacing w:after="0"/>
              <w:rPr>
                <w:sz w:val="24"/>
                <w:szCs w:val="24"/>
                <w:color w:val="auto"/>
              </w:rPr>
            </w:pPr>
          </w:p>
        </w:tc>
        <w:tc>
          <w:tcPr>
            <w:tcW w:w="1180" w:type="dxa"/>
            <w:vAlign w:val="bottom"/>
            <w:shd w:val="clear" w:color="auto" w:fill="CCFFFF"/>
          </w:tcPr>
          <w:p>
            <w:pPr>
              <w:jc w:val="right"/>
              <w:spacing w:after="0"/>
              <w:rPr>
                <w:sz w:val="20"/>
                <w:szCs w:val="20"/>
                <w:color w:val="auto"/>
              </w:rPr>
            </w:pPr>
            <w:r>
              <w:rPr>
                <w:rFonts w:ascii="Arial" w:cs="Arial" w:eastAsia="Arial" w:hAnsi="Arial"/>
                <w:sz w:val="14"/>
                <w:szCs w:val="14"/>
                <w:color w:val="auto"/>
              </w:rPr>
              <w:t>536,250</w:t>
            </w:r>
          </w:p>
        </w:tc>
        <w:tc>
          <w:tcPr>
            <w:tcW w:w="360" w:type="dxa"/>
            <w:vAlign w:val="bottom"/>
            <w:shd w:val="clear" w:color="auto" w:fill="CCFFFF"/>
          </w:tcPr>
          <w:p>
            <w:pPr>
              <w:spacing w:after="0"/>
              <w:rPr>
                <w:sz w:val="24"/>
                <w:szCs w:val="24"/>
                <w:color w:val="auto"/>
              </w:rPr>
            </w:pPr>
          </w:p>
        </w:tc>
        <w:tc>
          <w:tcPr>
            <w:tcW w:w="1320" w:type="dxa"/>
            <w:vAlign w:val="bottom"/>
            <w:shd w:val="clear" w:color="auto" w:fill="CCFFFF"/>
          </w:tcPr>
          <w:p>
            <w:pPr>
              <w:jc w:val="right"/>
              <w:ind w:right="188"/>
              <w:spacing w:after="0"/>
              <w:rPr>
                <w:sz w:val="20"/>
                <w:szCs w:val="20"/>
                <w:color w:val="auto"/>
              </w:rPr>
            </w:pPr>
            <w:r>
              <w:rPr>
                <w:rFonts w:ascii="Arial" w:cs="Arial" w:eastAsia="Arial" w:hAnsi="Arial"/>
                <w:sz w:val="14"/>
                <w:szCs w:val="14"/>
                <w:color w:val="auto"/>
              </w:rPr>
              <w:t>51,087</w:t>
            </w:r>
          </w:p>
        </w:tc>
        <w:tc>
          <w:tcPr>
            <w:tcW w:w="960" w:type="dxa"/>
            <w:vAlign w:val="bottom"/>
            <w:shd w:val="clear" w:color="auto" w:fill="CCFFFF"/>
          </w:tcPr>
          <w:p>
            <w:pPr>
              <w:jc w:val="right"/>
              <w:ind w:right="28"/>
              <w:spacing w:after="0"/>
              <w:rPr>
                <w:sz w:val="20"/>
                <w:szCs w:val="20"/>
                <w:color w:val="auto"/>
              </w:rPr>
            </w:pPr>
            <w:r>
              <w:rPr>
                <w:rFonts w:ascii="Arial" w:cs="Arial" w:eastAsia="Arial" w:hAnsi="Arial"/>
                <w:sz w:val="14"/>
                <w:szCs w:val="14"/>
                <w:color w:val="auto"/>
              </w:rPr>
              <w:t>2,198,530</w:t>
            </w:r>
          </w:p>
        </w:tc>
        <w:tc>
          <w:tcPr>
            <w:tcW w:w="0" w:type="dxa"/>
            <w:vAlign w:val="bottom"/>
          </w:tcPr>
          <w:p>
            <w:pPr>
              <w:spacing w:after="0"/>
              <w:rPr>
                <w:sz w:val="1"/>
                <w:szCs w:val="1"/>
                <w:color w:val="auto"/>
              </w:rPr>
            </w:pPr>
          </w:p>
        </w:tc>
      </w:tr>
      <w:tr>
        <w:trPr>
          <w:trHeight w:val="157"/>
        </w:trPr>
        <w:tc>
          <w:tcPr>
            <w:tcW w:w="2080" w:type="dxa"/>
            <w:vAlign w:val="bottom"/>
          </w:tcPr>
          <w:p>
            <w:pPr>
              <w:ind w:left="40"/>
              <w:spacing w:after="0" w:line="157" w:lineRule="exact"/>
              <w:rPr>
                <w:sz w:val="20"/>
                <w:szCs w:val="20"/>
                <w:color w:val="auto"/>
              </w:rPr>
            </w:pPr>
            <w:r>
              <w:rPr>
                <w:rFonts w:ascii="Arial" w:cs="Arial" w:eastAsia="Arial" w:hAnsi="Arial"/>
                <w:sz w:val="14"/>
                <w:szCs w:val="14"/>
                <w:color w:val="auto"/>
              </w:rPr>
              <w:t>Tracy E. Calder</w:t>
            </w:r>
            <w:r>
              <w:rPr>
                <w:rFonts w:ascii="Arial" w:cs="Arial" w:eastAsia="Arial" w:hAnsi="Arial"/>
                <w:sz w:val="8"/>
                <w:szCs w:val="8"/>
                <w:color w:val="auto"/>
              </w:rPr>
              <w:t>(13)</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80" w:type="dxa"/>
            <w:vAlign w:val="bottom"/>
          </w:tcPr>
          <w:p>
            <w:pPr>
              <w:ind w:left="40"/>
              <w:spacing w:after="0"/>
              <w:rPr>
                <w:sz w:val="20"/>
                <w:szCs w:val="20"/>
                <w:color w:val="auto"/>
              </w:rPr>
            </w:pPr>
            <w:r>
              <w:rPr>
                <w:rFonts w:ascii="Arial" w:cs="Arial" w:eastAsia="Arial" w:hAnsi="Arial"/>
                <w:sz w:val="14"/>
                <w:szCs w:val="14"/>
                <w:color w:val="auto"/>
              </w:rPr>
              <w:t>Deputy Chief Risk Officer</w:t>
            </w:r>
          </w:p>
        </w:tc>
        <w:tc>
          <w:tcPr>
            <w:tcW w:w="460" w:type="dxa"/>
            <w:vAlign w:val="bottom"/>
          </w:tcPr>
          <w:p>
            <w:pPr>
              <w:jc w:val="right"/>
              <w:spacing w:after="0"/>
              <w:rPr>
                <w:sz w:val="20"/>
                <w:szCs w:val="20"/>
                <w:color w:val="auto"/>
              </w:rPr>
            </w:pPr>
            <w:r>
              <w:rPr>
                <w:rFonts w:ascii="Arial" w:cs="Arial" w:eastAsia="Arial" w:hAnsi="Arial"/>
                <w:sz w:val="14"/>
                <w:szCs w:val="14"/>
                <w:color w:val="auto"/>
              </w:rPr>
              <w:t>2016</w:t>
            </w:r>
          </w:p>
        </w:tc>
        <w:tc>
          <w:tcPr>
            <w:tcW w:w="78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413,016</w:t>
            </w:r>
          </w:p>
        </w:tc>
        <w:tc>
          <w:tcPr>
            <w:tcW w:w="440" w:type="dxa"/>
            <w:vAlign w:val="bottom"/>
          </w:tcPr>
          <w:p>
            <w:pPr>
              <w:ind w:left="60"/>
              <w:spacing w:after="0"/>
              <w:rPr>
                <w:sz w:val="20"/>
                <w:szCs w:val="20"/>
                <w:color w:val="auto"/>
              </w:rPr>
            </w:pPr>
            <w:r>
              <w:rPr>
                <w:rFonts w:ascii="Arial" w:cs="Arial" w:eastAsia="Arial" w:hAnsi="Arial"/>
                <w:sz w:val="13"/>
                <w:szCs w:val="13"/>
                <w:color w:val="auto"/>
              </w:rPr>
              <w:t>(14)</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497,000</w:t>
            </w:r>
          </w:p>
        </w:tc>
        <w:tc>
          <w:tcPr>
            <w:tcW w:w="460" w:type="dxa"/>
            <w:vAlign w:val="bottom"/>
          </w:tcPr>
          <w:p>
            <w:pPr>
              <w:ind w:left="60"/>
              <w:spacing w:after="0"/>
              <w:rPr>
                <w:sz w:val="20"/>
                <w:szCs w:val="20"/>
                <w:color w:val="auto"/>
              </w:rPr>
            </w:pPr>
            <w:r>
              <w:rPr>
                <w:rFonts w:ascii="Arial" w:cs="Arial" w:eastAsia="Arial" w:hAnsi="Arial"/>
                <w:sz w:val="13"/>
                <w:szCs w:val="13"/>
                <w:color w:val="auto"/>
              </w:rPr>
              <w:t>(15)</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671,113</w:t>
            </w:r>
          </w:p>
        </w:tc>
        <w:tc>
          <w:tcPr>
            <w:tcW w:w="540" w:type="dxa"/>
            <w:vAlign w:val="bottom"/>
          </w:tcPr>
          <w:p>
            <w:pPr>
              <w:ind w:left="60"/>
              <w:spacing w:after="0"/>
              <w:rPr>
                <w:sz w:val="20"/>
                <w:szCs w:val="20"/>
                <w:color w:val="auto"/>
              </w:rPr>
            </w:pPr>
            <w:r>
              <w:rPr>
                <w:rFonts w:ascii="Arial" w:cs="Arial" w:eastAsia="Arial" w:hAnsi="Arial"/>
                <w:sz w:val="13"/>
                <w:szCs w:val="13"/>
                <w:color w:val="auto"/>
              </w:rPr>
              <w:t>(16)</w:t>
            </w:r>
          </w:p>
        </w:tc>
        <w:tc>
          <w:tcPr>
            <w:tcW w:w="920" w:type="dxa"/>
            <w:vAlign w:val="bottom"/>
          </w:tcPr>
          <w:p>
            <w:pPr>
              <w:jc w:val="right"/>
              <w:spacing w:after="0"/>
              <w:rPr>
                <w:sz w:val="20"/>
                <w:szCs w:val="20"/>
                <w:color w:val="auto"/>
              </w:rPr>
            </w:pPr>
            <w:r>
              <w:rPr>
                <w:rFonts w:ascii="Arial" w:cs="Arial" w:eastAsia="Arial" w:hAnsi="Arial"/>
                <w:sz w:val="14"/>
                <w:szCs w:val="14"/>
                <w:color w:val="auto"/>
              </w:rPr>
              <w:t>131,178</w:t>
            </w:r>
          </w:p>
        </w:tc>
        <w:tc>
          <w:tcPr>
            <w:tcW w:w="4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425,000</w:t>
            </w:r>
          </w:p>
        </w:tc>
        <w:tc>
          <w:tcPr>
            <w:tcW w:w="360" w:type="dxa"/>
            <w:vAlign w:val="bottom"/>
          </w:tcPr>
          <w:p>
            <w:pPr>
              <w:spacing w:after="0"/>
              <w:rPr>
                <w:sz w:val="16"/>
                <w:szCs w:val="16"/>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276,011</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2,413,318</w:t>
            </w:r>
          </w:p>
        </w:tc>
        <w:tc>
          <w:tcPr>
            <w:tcW w:w="0" w:type="dxa"/>
            <w:vAlign w:val="bottom"/>
          </w:tcPr>
          <w:p>
            <w:pPr>
              <w:spacing w:after="0"/>
              <w:rPr>
                <w:sz w:val="1"/>
                <w:szCs w:val="1"/>
                <w:color w:val="auto"/>
              </w:rPr>
            </w:pPr>
          </w:p>
        </w:tc>
      </w:tr>
      <w:tr>
        <w:trPr>
          <w:trHeight w:val="163"/>
        </w:trPr>
        <w:tc>
          <w:tcPr>
            <w:tcW w:w="2080" w:type="dxa"/>
            <w:vAlign w:val="bottom"/>
            <w:shd w:val="clear" w:color="auto" w:fill="CCFFFF"/>
          </w:tcPr>
          <w:p>
            <w:pPr>
              <w:ind w:left="40"/>
              <w:spacing w:after="0"/>
              <w:rPr>
                <w:sz w:val="20"/>
                <w:szCs w:val="20"/>
                <w:color w:val="auto"/>
              </w:rPr>
            </w:pPr>
            <w:r>
              <w:rPr>
                <w:rFonts w:ascii="Arial" w:cs="Arial" w:eastAsia="Arial" w:hAnsi="Arial"/>
                <w:sz w:val="14"/>
                <w:szCs w:val="14"/>
                <w:color w:val="auto"/>
              </w:rPr>
              <w:t>Thomas Gooley</w:t>
            </w:r>
            <w:r>
              <w:rPr>
                <w:rFonts w:ascii="Arial" w:cs="Arial" w:eastAsia="Arial" w:hAnsi="Arial"/>
                <w:sz w:val="8"/>
                <w:szCs w:val="8"/>
                <w:color w:val="auto"/>
              </w:rPr>
              <w:t>(17)</w:t>
            </w:r>
          </w:p>
        </w:tc>
        <w:tc>
          <w:tcPr>
            <w:tcW w:w="460" w:type="dxa"/>
            <w:vAlign w:val="bottom"/>
            <w:shd w:val="clear" w:color="auto" w:fill="CCFFFF"/>
          </w:tcPr>
          <w:p>
            <w:pPr>
              <w:spacing w:after="0"/>
              <w:rPr>
                <w:sz w:val="14"/>
                <w:szCs w:val="14"/>
                <w:color w:val="auto"/>
              </w:rPr>
            </w:pPr>
          </w:p>
        </w:tc>
        <w:tc>
          <w:tcPr>
            <w:tcW w:w="120" w:type="dxa"/>
            <w:vAlign w:val="bottom"/>
            <w:shd w:val="clear" w:color="auto" w:fill="CCFFFF"/>
          </w:tcPr>
          <w:p>
            <w:pPr>
              <w:spacing w:after="0"/>
              <w:rPr>
                <w:sz w:val="14"/>
                <w:szCs w:val="14"/>
                <w:color w:val="auto"/>
              </w:rPr>
            </w:pPr>
          </w:p>
        </w:tc>
        <w:tc>
          <w:tcPr>
            <w:tcW w:w="660" w:type="dxa"/>
            <w:vAlign w:val="bottom"/>
            <w:shd w:val="clear" w:color="auto" w:fill="CCFFFF"/>
          </w:tcPr>
          <w:p>
            <w:pPr>
              <w:spacing w:after="0"/>
              <w:rPr>
                <w:sz w:val="14"/>
                <w:szCs w:val="14"/>
                <w:color w:val="auto"/>
              </w:rPr>
            </w:pPr>
          </w:p>
        </w:tc>
        <w:tc>
          <w:tcPr>
            <w:tcW w:w="440" w:type="dxa"/>
            <w:vAlign w:val="bottom"/>
            <w:shd w:val="clear" w:color="auto" w:fill="CCFFFF"/>
          </w:tcPr>
          <w:p>
            <w:pPr>
              <w:spacing w:after="0"/>
              <w:rPr>
                <w:sz w:val="14"/>
                <w:szCs w:val="14"/>
                <w:color w:val="auto"/>
              </w:rPr>
            </w:pPr>
          </w:p>
        </w:tc>
        <w:tc>
          <w:tcPr>
            <w:tcW w:w="720" w:type="dxa"/>
            <w:vAlign w:val="bottom"/>
            <w:shd w:val="clear" w:color="auto" w:fill="CCFFFF"/>
          </w:tcPr>
          <w:p>
            <w:pPr>
              <w:spacing w:after="0"/>
              <w:rPr>
                <w:sz w:val="14"/>
                <w:szCs w:val="14"/>
                <w:color w:val="auto"/>
              </w:rPr>
            </w:pPr>
          </w:p>
        </w:tc>
        <w:tc>
          <w:tcPr>
            <w:tcW w:w="460" w:type="dxa"/>
            <w:vAlign w:val="bottom"/>
            <w:shd w:val="clear" w:color="auto" w:fill="CCFFFF"/>
          </w:tcPr>
          <w:p>
            <w:pPr>
              <w:spacing w:after="0"/>
              <w:rPr>
                <w:sz w:val="14"/>
                <w:szCs w:val="14"/>
                <w:color w:val="auto"/>
              </w:rPr>
            </w:pPr>
          </w:p>
        </w:tc>
        <w:tc>
          <w:tcPr>
            <w:tcW w:w="800" w:type="dxa"/>
            <w:vAlign w:val="bottom"/>
            <w:shd w:val="clear" w:color="auto" w:fill="CCFFFF"/>
          </w:tcPr>
          <w:p>
            <w:pPr>
              <w:spacing w:after="0"/>
              <w:rPr>
                <w:sz w:val="14"/>
                <w:szCs w:val="14"/>
                <w:color w:val="auto"/>
              </w:rPr>
            </w:pPr>
          </w:p>
        </w:tc>
        <w:tc>
          <w:tcPr>
            <w:tcW w:w="540" w:type="dxa"/>
            <w:vAlign w:val="bottom"/>
            <w:shd w:val="clear" w:color="auto" w:fill="CCFFFF"/>
          </w:tcPr>
          <w:p>
            <w:pPr>
              <w:spacing w:after="0"/>
              <w:rPr>
                <w:sz w:val="14"/>
                <w:szCs w:val="14"/>
                <w:color w:val="auto"/>
              </w:rPr>
            </w:pPr>
          </w:p>
        </w:tc>
        <w:tc>
          <w:tcPr>
            <w:tcW w:w="920" w:type="dxa"/>
            <w:vAlign w:val="bottom"/>
            <w:shd w:val="clear" w:color="auto" w:fill="CCFFFF"/>
          </w:tcPr>
          <w:p>
            <w:pPr>
              <w:spacing w:after="0"/>
              <w:rPr>
                <w:sz w:val="14"/>
                <w:szCs w:val="14"/>
                <w:color w:val="auto"/>
              </w:rPr>
            </w:pPr>
          </w:p>
        </w:tc>
        <w:tc>
          <w:tcPr>
            <w:tcW w:w="400" w:type="dxa"/>
            <w:vAlign w:val="bottom"/>
            <w:shd w:val="clear" w:color="auto" w:fill="CCFFFF"/>
          </w:tcPr>
          <w:p>
            <w:pPr>
              <w:spacing w:after="0"/>
              <w:rPr>
                <w:sz w:val="14"/>
                <w:szCs w:val="14"/>
                <w:color w:val="auto"/>
              </w:rPr>
            </w:pPr>
          </w:p>
        </w:tc>
        <w:tc>
          <w:tcPr>
            <w:tcW w:w="1180" w:type="dxa"/>
            <w:vAlign w:val="bottom"/>
            <w:shd w:val="clear" w:color="auto" w:fill="CCFFFF"/>
          </w:tcPr>
          <w:p>
            <w:pPr>
              <w:spacing w:after="0"/>
              <w:rPr>
                <w:sz w:val="14"/>
                <w:szCs w:val="14"/>
                <w:color w:val="auto"/>
              </w:rPr>
            </w:pPr>
          </w:p>
        </w:tc>
        <w:tc>
          <w:tcPr>
            <w:tcW w:w="360" w:type="dxa"/>
            <w:vAlign w:val="bottom"/>
            <w:shd w:val="clear" w:color="auto" w:fill="CCFFFF"/>
          </w:tcPr>
          <w:p>
            <w:pPr>
              <w:spacing w:after="0"/>
              <w:rPr>
                <w:sz w:val="14"/>
                <w:szCs w:val="14"/>
                <w:color w:val="auto"/>
              </w:rPr>
            </w:pPr>
          </w:p>
        </w:tc>
        <w:tc>
          <w:tcPr>
            <w:tcW w:w="1320" w:type="dxa"/>
            <w:vAlign w:val="bottom"/>
            <w:shd w:val="clear" w:color="auto" w:fill="CCFFFF"/>
          </w:tcPr>
          <w:p>
            <w:pPr>
              <w:spacing w:after="0"/>
              <w:rPr>
                <w:sz w:val="14"/>
                <w:szCs w:val="14"/>
                <w:color w:val="auto"/>
              </w:rPr>
            </w:pPr>
          </w:p>
        </w:tc>
        <w:tc>
          <w:tcPr>
            <w:tcW w:w="960" w:type="dxa"/>
            <w:vAlign w:val="bottom"/>
            <w:shd w:val="clear" w:color="auto" w:fill="CC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FFFF"/>
          </w:tcPr>
          <w:p>
            <w:pPr>
              <w:ind w:left="40"/>
              <w:spacing w:after="0" w:line="149" w:lineRule="exact"/>
              <w:rPr>
                <w:sz w:val="20"/>
                <w:szCs w:val="20"/>
                <w:color w:val="auto"/>
              </w:rPr>
            </w:pPr>
            <w:r>
              <w:rPr>
                <w:rFonts w:ascii="Arial" w:cs="Arial" w:eastAsia="Arial" w:hAnsi="Arial"/>
                <w:sz w:val="14"/>
                <w:szCs w:val="14"/>
                <w:color w:val="auto"/>
              </w:rPr>
              <w:t>Managing Director, Service,</w:t>
            </w:r>
          </w:p>
        </w:tc>
        <w:tc>
          <w:tcPr>
            <w:tcW w:w="460" w:type="dxa"/>
            <w:vAlign w:val="bottom"/>
            <w:shd w:val="clear" w:color="auto" w:fill="CCFFFF"/>
          </w:tcPr>
          <w:p>
            <w:pPr>
              <w:spacing w:after="0"/>
              <w:rPr>
                <w:sz w:val="12"/>
                <w:szCs w:val="12"/>
                <w:color w:val="auto"/>
              </w:rPr>
            </w:pPr>
          </w:p>
        </w:tc>
        <w:tc>
          <w:tcPr>
            <w:tcW w:w="120" w:type="dxa"/>
            <w:vAlign w:val="bottom"/>
            <w:shd w:val="clear" w:color="auto" w:fill="CCFFFF"/>
          </w:tcPr>
          <w:p>
            <w:pPr>
              <w:spacing w:after="0"/>
              <w:rPr>
                <w:sz w:val="12"/>
                <w:szCs w:val="12"/>
                <w:color w:val="auto"/>
              </w:rPr>
            </w:pPr>
          </w:p>
        </w:tc>
        <w:tc>
          <w:tcPr>
            <w:tcW w:w="660" w:type="dxa"/>
            <w:vAlign w:val="bottom"/>
            <w:shd w:val="clear" w:color="auto" w:fill="CCFFFF"/>
          </w:tcPr>
          <w:p>
            <w:pPr>
              <w:spacing w:after="0"/>
              <w:rPr>
                <w:sz w:val="12"/>
                <w:szCs w:val="12"/>
                <w:color w:val="auto"/>
              </w:rPr>
            </w:pPr>
          </w:p>
        </w:tc>
        <w:tc>
          <w:tcPr>
            <w:tcW w:w="440" w:type="dxa"/>
            <w:vAlign w:val="bottom"/>
            <w:shd w:val="clear" w:color="auto" w:fill="CCFFFF"/>
          </w:tcPr>
          <w:p>
            <w:pPr>
              <w:spacing w:after="0"/>
              <w:rPr>
                <w:sz w:val="12"/>
                <w:szCs w:val="12"/>
                <w:color w:val="auto"/>
              </w:rPr>
            </w:pPr>
          </w:p>
        </w:tc>
        <w:tc>
          <w:tcPr>
            <w:tcW w:w="720" w:type="dxa"/>
            <w:vAlign w:val="bottom"/>
            <w:shd w:val="clear" w:color="auto" w:fill="CCFFFF"/>
          </w:tcPr>
          <w:p>
            <w:pPr>
              <w:spacing w:after="0"/>
              <w:rPr>
                <w:sz w:val="12"/>
                <w:szCs w:val="12"/>
                <w:color w:val="auto"/>
              </w:rPr>
            </w:pPr>
          </w:p>
        </w:tc>
        <w:tc>
          <w:tcPr>
            <w:tcW w:w="460" w:type="dxa"/>
            <w:vAlign w:val="bottom"/>
            <w:shd w:val="clear" w:color="auto" w:fill="CCFFFF"/>
          </w:tcPr>
          <w:p>
            <w:pPr>
              <w:spacing w:after="0"/>
              <w:rPr>
                <w:sz w:val="12"/>
                <w:szCs w:val="12"/>
                <w:color w:val="auto"/>
              </w:rPr>
            </w:pPr>
          </w:p>
        </w:tc>
        <w:tc>
          <w:tcPr>
            <w:tcW w:w="800" w:type="dxa"/>
            <w:vAlign w:val="bottom"/>
            <w:shd w:val="clear" w:color="auto" w:fill="CCFFFF"/>
          </w:tcPr>
          <w:p>
            <w:pPr>
              <w:spacing w:after="0"/>
              <w:rPr>
                <w:sz w:val="12"/>
                <w:szCs w:val="12"/>
                <w:color w:val="auto"/>
              </w:rPr>
            </w:pPr>
          </w:p>
        </w:tc>
        <w:tc>
          <w:tcPr>
            <w:tcW w:w="540" w:type="dxa"/>
            <w:vAlign w:val="bottom"/>
            <w:shd w:val="clear" w:color="auto" w:fill="CCFFFF"/>
          </w:tcPr>
          <w:p>
            <w:pPr>
              <w:spacing w:after="0"/>
              <w:rPr>
                <w:sz w:val="12"/>
                <w:szCs w:val="12"/>
                <w:color w:val="auto"/>
              </w:rPr>
            </w:pPr>
          </w:p>
        </w:tc>
        <w:tc>
          <w:tcPr>
            <w:tcW w:w="920" w:type="dxa"/>
            <w:vAlign w:val="bottom"/>
            <w:shd w:val="clear" w:color="auto" w:fill="CCFFFF"/>
          </w:tcPr>
          <w:p>
            <w:pPr>
              <w:spacing w:after="0"/>
              <w:rPr>
                <w:sz w:val="12"/>
                <w:szCs w:val="12"/>
                <w:color w:val="auto"/>
              </w:rPr>
            </w:pPr>
          </w:p>
        </w:tc>
        <w:tc>
          <w:tcPr>
            <w:tcW w:w="400" w:type="dxa"/>
            <w:vAlign w:val="bottom"/>
            <w:shd w:val="clear" w:color="auto" w:fill="CCFFFF"/>
          </w:tcPr>
          <w:p>
            <w:pPr>
              <w:spacing w:after="0"/>
              <w:rPr>
                <w:sz w:val="12"/>
                <w:szCs w:val="12"/>
                <w:color w:val="auto"/>
              </w:rPr>
            </w:pPr>
          </w:p>
        </w:tc>
        <w:tc>
          <w:tcPr>
            <w:tcW w:w="1180" w:type="dxa"/>
            <w:vAlign w:val="bottom"/>
            <w:shd w:val="clear" w:color="auto" w:fill="CCFFFF"/>
          </w:tcPr>
          <w:p>
            <w:pPr>
              <w:spacing w:after="0"/>
              <w:rPr>
                <w:sz w:val="12"/>
                <w:szCs w:val="12"/>
                <w:color w:val="auto"/>
              </w:rPr>
            </w:pPr>
          </w:p>
        </w:tc>
        <w:tc>
          <w:tcPr>
            <w:tcW w:w="360" w:type="dxa"/>
            <w:vAlign w:val="bottom"/>
            <w:shd w:val="clear" w:color="auto" w:fill="CCFFFF"/>
          </w:tcPr>
          <w:p>
            <w:pPr>
              <w:spacing w:after="0"/>
              <w:rPr>
                <w:sz w:val="12"/>
                <w:szCs w:val="12"/>
                <w:color w:val="auto"/>
              </w:rPr>
            </w:pPr>
          </w:p>
        </w:tc>
        <w:tc>
          <w:tcPr>
            <w:tcW w:w="1320" w:type="dxa"/>
            <w:vAlign w:val="bottom"/>
            <w:shd w:val="clear" w:color="auto" w:fill="CCFFFF"/>
          </w:tcPr>
          <w:p>
            <w:pPr>
              <w:spacing w:after="0"/>
              <w:rPr>
                <w:sz w:val="12"/>
                <w:szCs w:val="12"/>
                <w:color w:val="auto"/>
              </w:rPr>
            </w:pPr>
          </w:p>
        </w:tc>
        <w:tc>
          <w:tcPr>
            <w:tcW w:w="960" w:type="dxa"/>
            <w:vAlign w:val="bottom"/>
            <w:shd w:val="clear" w:color="auto" w:fill="CCFF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80" w:type="dxa"/>
            <w:vAlign w:val="bottom"/>
            <w:tcBorders>
              <w:bottom w:val="single" w:sz="8" w:color="336699"/>
            </w:tcBorders>
            <w:shd w:val="clear" w:color="auto" w:fill="CCFFFF"/>
          </w:tcPr>
          <w:p>
            <w:pPr>
              <w:ind w:left="40"/>
              <w:spacing w:after="0"/>
              <w:rPr>
                <w:sz w:val="20"/>
                <w:szCs w:val="20"/>
                <w:color w:val="auto"/>
              </w:rPr>
            </w:pPr>
            <w:r>
              <w:rPr>
                <w:rFonts w:ascii="Arial" w:cs="Arial" w:eastAsia="Arial" w:hAnsi="Arial"/>
                <w:sz w:val="14"/>
                <w:szCs w:val="14"/>
                <w:color w:val="auto"/>
              </w:rPr>
              <w:t>Trading and Operations</w:t>
            </w:r>
          </w:p>
        </w:tc>
        <w:tc>
          <w:tcPr>
            <w:tcW w:w="46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4"/>
                <w:szCs w:val="14"/>
                <w:color w:val="auto"/>
              </w:rPr>
              <w:t>2016</w:t>
            </w:r>
          </w:p>
        </w:tc>
        <w:tc>
          <w:tcPr>
            <w:tcW w:w="780" w:type="dxa"/>
            <w:vAlign w:val="bottom"/>
            <w:tcBorders>
              <w:bottom w:val="single" w:sz="8" w:color="336699"/>
            </w:tcBorders>
            <w:gridSpan w:val="2"/>
            <w:shd w:val="clear" w:color="auto" w:fill="CCFFFF"/>
          </w:tcPr>
          <w:p>
            <w:pPr>
              <w:jc w:val="center"/>
              <w:ind w:left="68"/>
              <w:spacing w:after="0"/>
              <w:rPr>
                <w:sz w:val="20"/>
                <w:szCs w:val="20"/>
                <w:color w:val="auto"/>
              </w:rPr>
            </w:pPr>
            <w:r>
              <w:rPr>
                <w:rFonts w:ascii="Arial" w:cs="Arial" w:eastAsia="Arial" w:hAnsi="Arial"/>
                <w:sz w:val="14"/>
                <w:szCs w:val="14"/>
                <w:color w:val="auto"/>
                <w:w w:val="94"/>
              </w:rPr>
              <w:t>500,000</w:t>
            </w:r>
          </w:p>
        </w:tc>
        <w:tc>
          <w:tcPr>
            <w:tcW w:w="440" w:type="dxa"/>
            <w:vAlign w:val="bottom"/>
            <w:tcBorders>
              <w:bottom w:val="single" w:sz="8" w:color="336699"/>
            </w:tcBorders>
            <w:shd w:val="clear" w:color="auto" w:fill="CCFFFF"/>
          </w:tcPr>
          <w:p>
            <w:pPr>
              <w:spacing w:after="0"/>
              <w:rPr>
                <w:sz w:val="16"/>
                <w:szCs w:val="16"/>
                <w:color w:val="auto"/>
              </w:rPr>
            </w:pPr>
          </w:p>
        </w:tc>
        <w:tc>
          <w:tcPr>
            <w:tcW w:w="720" w:type="dxa"/>
            <w:vAlign w:val="bottom"/>
            <w:tcBorders>
              <w:bottom w:val="single" w:sz="8" w:color="336699"/>
            </w:tcBorders>
            <w:shd w:val="clear" w:color="auto" w:fill="CCFF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336699"/>
            </w:tcBorders>
            <w:shd w:val="clear" w:color="auto" w:fill="CCFFFF"/>
          </w:tcPr>
          <w:p>
            <w:pPr>
              <w:spacing w:after="0"/>
              <w:rPr>
                <w:sz w:val="16"/>
                <w:szCs w:val="16"/>
                <w:color w:val="auto"/>
              </w:rPr>
            </w:pPr>
          </w:p>
        </w:tc>
        <w:tc>
          <w:tcPr>
            <w:tcW w:w="800" w:type="dxa"/>
            <w:vAlign w:val="bottom"/>
            <w:tcBorders>
              <w:bottom w:val="single" w:sz="8" w:color="336699"/>
            </w:tcBorders>
            <w:shd w:val="clear" w:color="auto" w:fill="CCFFFF"/>
          </w:tcPr>
          <w:p>
            <w:pPr>
              <w:jc w:val="right"/>
              <w:ind w:right="8"/>
              <w:spacing w:after="0"/>
              <w:rPr>
                <w:sz w:val="20"/>
                <w:szCs w:val="20"/>
                <w:color w:val="auto"/>
              </w:rPr>
            </w:pPr>
            <w:r>
              <w:rPr>
                <w:rFonts w:ascii="Arial" w:cs="Arial" w:eastAsia="Arial" w:hAnsi="Arial"/>
                <w:sz w:val="14"/>
                <w:szCs w:val="14"/>
                <w:color w:val="auto"/>
              </w:rPr>
              <w:t>225,875</w:t>
            </w:r>
          </w:p>
        </w:tc>
        <w:tc>
          <w:tcPr>
            <w:tcW w:w="540" w:type="dxa"/>
            <w:vAlign w:val="bottom"/>
            <w:tcBorders>
              <w:bottom w:val="single" w:sz="8" w:color="336699"/>
            </w:tcBorders>
            <w:shd w:val="clear" w:color="auto" w:fill="CCFFFF"/>
          </w:tcPr>
          <w:p>
            <w:pPr>
              <w:ind w:left="60"/>
              <w:spacing w:after="0"/>
              <w:rPr>
                <w:sz w:val="20"/>
                <w:szCs w:val="20"/>
                <w:color w:val="auto"/>
              </w:rPr>
            </w:pPr>
            <w:r>
              <w:rPr>
                <w:rFonts w:ascii="Arial" w:cs="Arial" w:eastAsia="Arial" w:hAnsi="Arial"/>
                <w:sz w:val="13"/>
                <w:szCs w:val="13"/>
                <w:color w:val="auto"/>
              </w:rPr>
              <w:t>(6)</w:t>
            </w:r>
          </w:p>
        </w:tc>
        <w:tc>
          <w:tcPr>
            <w:tcW w:w="92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4"/>
                <w:szCs w:val="14"/>
                <w:color w:val="auto"/>
              </w:rPr>
              <w:t>327,841</w:t>
            </w:r>
          </w:p>
        </w:tc>
        <w:tc>
          <w:tcPr>
            <w:tcW w:w="400" w:type="dxa"/>
            <w:vAlign w:val="bottom"/>
            <w:tcBorders>
              <w:bottom w:val="single" w:sz="8" w:color="336699"/>
            </w:tcBorders>
            <w:shd w:val="clear" w:color="auto" w:fill="CCFFFF"/>
          </w:tcPr>
          <w:p>
            <w:pPr>
              <w:spacing w:after="0"/>
              <w:rPr>
                <w:sz w:val="16"/>
                <w:szCs w:val="16"/>
                <w:color w:val="auto"/>
              </w:rPr>
            </w:pPr>
          </w:p>
        </w:tc>
        <w:tc>
          <w:tcPr>
            <w:tcW w:w="118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4"/>
                <w:szCs w:val="14"/>
                <w:color w:val="auto"/>
              </w:rPr>
              <w:t>910,000</w:t>
            </w:r>
          </w:p>
        </w:tc>
        <w:tc>
          <w:tcPr>
            <w:tcW w:w="360" w:type="dxa"/>
            <w:vAlign w:val="bottom"/>
            <w:tcBorders>
              <w:bottom w:val="single" w:sz="8" w:color="336699"/>
            </w:tcBorders>
            <w:shd w:val="clear" w:color="auto" w:fill="CCFFFF"/>
          </w:tcPr>
          <w:p>
            <w:pPr>
              <w:spacing w:after="0"/>
              <w:rPr>
                <w:sz w:val="16"/>
                <w:szCs w:val="16"/>
                <w:color w:val="auto"/>
              </w:rPr>
            </w:pPr>
          </w:p>
        </w:tc>
        <w:tc>
          <w:tcPr>
            <w:tcW w:w="1320" w:type="dxa"/>
            <w:vAlign w:val="bottom"/>
            <w:tcBorders>
              <w:bottom w:val="single" w:sz="8" w:color="336699"/>
            </w:tcBorders>
            <w:shd w:val="clear" w:color="auto" w:fill="CCFFFF"/>
          </w:tcPr>
          <w:p>
            <w:pPr>
              <w:jc w:val="right"/>
              <w:ind w:right="188"/>
              <w:spacing w:after="0"/>
              <w:rPr>
                <w:sz w:val="20"/>
                <w:szCs w:val="20"/>
                <w:color w:val="auto"/>
              </w:rPr>
            </w:pPr>
            <w:r>
              <w:rPr>
                <w:rFonts w:ascii="Arial" w:cs="Arial" w:eastAsia="Arial" w:hAnsi="Arial"/>
                <w:sz w:val="14"/>
                <w:szCs w:val="14"/>
                <w:color w:val="auto"/>
              </w:rPr>
              <w:t>341,050</w:t>
            </w:r>
          </w:p>
        </w:tc>
        <w:tc>
          <w:tcPr>
            <w:tcW w:w="960" w:type="dxa"/>
            <w:vAlign w:val="bottom"/>
            <w:tcBorders>
              <w:bottom w:val="single" w:sz="8" w:color="336699"/>
            </w:tcBorders>
            <w:shd w:val="clear" w:color="auto" w:fill="CCFFFF"/>
          </w:tcPr>
          <w:p>
            <w:pPr>
              <w:jc w:val="right"/>
              <w:ind w:right="28"/>
              <w:spacing w:after="0"/>
              <w:rPr>
                <w:sz w:val="20"/>
                <w:szCs w:val="20"/>
                <w:color w:val="auto"/>
              </w:rPr>
            </w:pPr>
            <w:r>
              <w:rPr>
                <w:rFonts w:ascii="Arial" w:cs="Arial" w:eastAsia="Arial" w:hAnsi="Arial"/>
                <w:sz w:val="14"/>
                <w:szCs w:val="14"/>
                <w:color w:val="auto"/>
              </w:rPr>
              <w:t>2,304,766</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right="80" w:hanging="332"/>
        <w:spacing w:after="0" w:line="249"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Represents aggregate grant date fair value of RSUs and stock options computed in accordance with FASB ASC Topic 718. RSUs are valued using the closing price of the Common Stock on the date of grant. We use the Black-Scholes model to estimate our compensation cost for stock option awards. The underlying valuation assumptions for stock option awards are further disclosed in Note 14, </w:t>
      </w:r>
      <w:r>
        <w:rPr>
          <w:rFonts w:ascii="Arial" w:cs="Arial" w:eastAsia="Arial" w:hAnsi="Arial"/>
          <w:sz w:val="16"/>
          <w:szCs w:val="16"/>
          <w:i w:val="1"/>
          <w:iCs w:val="1"/>
          <w:color w:val="auto"/>
        </w:rPr>
        <w:t>Share-Based Compensation</w:t>
      </w:r>
      <w:r>
        <w:rPr>
          <w:rFonts w:ascii="Arial" w:cs="Arial" w:eastAsia="Arial" w:hAnsi="Arial"/>
          <w:sz w:val="16"/>
          <w:szCs w:val="16"/>
          <w:color w:val="auto"/>
        </w:rPr>
        <w:t xml:space="preserve">, to our consolidated financial statements in our Annual Report and Note 15, </w:t>
      </w:r>
      <w:r>
        <w:rPr>
          <w:rFonts w:ascii="Arial" w:cs="Arial" w:eastAsia="Arial" w:hAnsi="Arial"/>
          <w:sz w:val="16"/>
          <w:szCs w:val="16"/>
          <w:i w:val="1"/>
          <w:iCs w:val="1"/>
          <w:color w:val="auto"/>
        </w:rPr>
        <w:t>Share-Based Compensation</w:t>
      </w:r>
      <w:r>
        <w:rPr>
          <w:rFonts w:ascii="Arial" w:cs="Arial" w:eastAsia="Arial" w:hAnsi="Arial"/>
          <w:sz w:val="16"/>
          <w:szCs w:val="16"/>
          <w:color w:val="auto"/>
        </w:rPr>
        <w:t>, to our consolidated financial statements filed with our annual reports on Form 10-K for the years ended December 31, 2015 and 2014. Pursuant to SEC rules, the amounts shown exclude the impact of estimated forfeitures related to service-based vesting conditions.</w:t>
      </w:r>
    </w:p>
    <w:p>
      <w:pPr>
        <w:spacing w:after="0" w:line="97"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the dollar value of annual cash bonus awards earned under the Bonus Plan by each NEO.</w:t>
      </w:r>
    </w:p>
    <w:p>
      <w:pPr>
        <w:spacing w:after="0" w:line="97"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See “</w:t>
      </w:r>
      <w:r>
        <w:rPr>
          <w:rFonts w:ascii="Arial" w:cs="Arial" w:eastAsia="Arial" w:hAnsi="Arial"/>
          <w:sz w:val="16"/>
          <w:szCs w:val="16"/>
          <w:i w:val="1"/>
          <w:iCs w:val="1"/>
          <w:color w:val="auto"/>
        </w:rPr>
        <w:t>All Other Compensation”</w:t>
      </w:r>
      <w:r>
        <w:rPr>
          <w:rFonts w:ascii="Arial" w:cs="Arial" w:eastAsia="Arial" w:hAnsi="Arial"/>
          <w:sz w:val="16"/>
          <w:szCs w:val="16"/>
          <w:color w:val="auto"/>
        </w:rPr>
        <w:t xml:space="preserve"> table below for additional information.</w:t>
      </w:r>
    </w:p>
    <w:p>
      <w:pPr>
        <w:spacing w:after="0" w:line="129"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Casady began the year with a base salary of $800,000, but received an increase in salary to $900,000 during the year.</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Audette joined the Company on September 28, 2015.</w:t>
      </w:r>
    </w:p>
    <w:p>
      <w:pPr>
        <w:spacing w:after="0" w:line="113" w:lineRule="exact"/>
        <w:rPr>
          <w:rFonts w:ascii="Arial" w:cs="Arial" w:eastAsia="Arial" w:hAnsi="Arial"/>
          <w:sz w:val="16"/>
          <w:szCs w:val="16"/>
          <w:color w:val="auto"/>
        </w:rPr>
      </w:pPr>
    </w:p>
    <w:p>
      <w:pPr>
        <w:ind w:left="340" w:right="100" w:hanging="332"/>
        <w:spacing w:after="0" w:line="260"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a one-time grant of 3,111 RSUs on February 25, 2016 in connection with our Compensation Committee’s decision to discontinue the Automobile Program.</w:t>
      </w:r>
    </w:p>
    <w:p>
      <w:pPr>
        <w:spacing w:after="0" w:line="87"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a signing bonus paid to Mr. Audette in connection with his commencement of employment.</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sign-on grants of stock options and RSUs to Mr. Audette in connection with his commencement of employment.</w:t>
      </w:r>
    </w:p>
    <w:p>
      <w:pPr>
        <w:spacing w:after="0" w:line="113" w:lineRule="exact"/>
        <w:rPr>
          <w:rFonts w:ascii="Arial" w:cs="Arial" w:eastAsia="Arial" w:hAnsi="Arial"/>
          <w:sz w:val="16"/>
          <w:szCs w:val="16"/>
          <w:color w:val="auto"/>
        </w:rPr>
      </w:pPr>
    </w:p>
    <w:p>
      <w:pPr>
        <w:ind w:left="340" w:right="160" w:hanging="332"/>
        <w:spacing w:after="0" w:line="260"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Pursuant to the terms of his employment offer with the Company, Mr. Audette received an annual cash bonus for 2015 equal to his prorated target bonus amount.</w:t>
      </w:r>
    </w:p>
    <w:p>
      <w:pPr>
        <w:spacing w:after="0" w:line="87"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Arnold began the year with a base salary of $625,000, but received an increase in salary to $675,000 during the year.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42 | </w:t>
      </w:r>
      <w:r>
        <w:rPr>
          <w:rFonts w:ascii="Arial" w:cs="Arial" w:eastAsia="Arial" w:hAnsi="Arial"/>
          <w:sz w:val="18"/>
          <w:szCs w:val="18"/>
          <w:b w:val="1"/>
          <w:bCs w:val="1"/>
          <w:color w:val="003B71"/>
        </w:rPr>
        <w:t>2017 Proxy Statement</w:t>
      </w:r>
    </w:p>
    <w:p>
      <w:pPr>
        <w:sectPr>
          <w:pgSz w:w="11900" w:h="16838" w:orient="portrait"/>
          <w:cols w:equalWidth="0" w:num="1">
            <w:col w:w="11420"/>
          </w:cols>
          <w:pgMar w:left="240" w:top="436" w:right="239" w:bottom="1440" w:gutter="0" w:footer="0" w:header="0"/>
          <w:type w:val="continuous"/>
        </w:sectPr>
      </w:pPr>
    </w:p>
    <w:bookmarkStart w:id="48" w:name="page49"/>
    <w:bookmarkEnd w:id="48"/>
    <w:p>
      <w:pPr>
        <w:ind w:left="7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Arnold began the year with a base salary of $550,000, but received an increase in salary to $600,000 and then to $625,000 during the year.</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Arnold began the year with a base salary of $500,000, but received an increase in salary to $550,000 during the year.</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Ms. Calder joined the Company on January 25, 2016.</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Ms. Calder’s base salary for the year was $442,000, but was prorated for a start date of January 25, 2016.</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a signing bonus paid to Ms. Calder in connection with her commencement of employment.</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a sign-on grant of RSUs to Ms. Calder in connection with her commencement of employment.</w:t>
      </w:r>
    </w:p>
    <w:p>
      <w:pPr>
        <w:spacing w:after="0" w:line="113" w:lineRule="exact"/>
        <w:rPr>
          <w:rFonts w:ascii="Arial" w:cs="Arial" w:eastAsia="Arial" w:hAnsi="Arial"/>
          <w:sz w:val="16"/>
          <w:szCs w:val="16"/>
          <w:color w:val="auto"/>
        </w:rPr>
      </w:pPr>
    </w:p>
    <w:p>
      <w:pPr>
        <w:ind w:left="340" w:right="40" w:hanging="332"/>
        <w:spacing w:after="0" w:line="260"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Gooley joined the Company on June 25, 2015. Mr. Gooley was not a named executive officer in 2015. His compensation is therefore only disclosed for the year ended December 31, 2016.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All Other Compensation</w:t>
      </w:r>
    </w:p>
    <w:p>
      <w:pPr>
        <w:spacing w:after="0" w:line="84"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The following table sets forth information concerning All Other Compensation in the table above for the years ended December 31, 2016, 2015, and 2014 for the NEOs: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60" w:type="dxa"/>
            <w:vAlign w:val="bottom"/>
          </w:tcPr>
          <w:p>
            <w:pPr>
              <w:jc w:val="center"/>
              <w:ind w:left="19"/>
              <w:spacing w:after="0"/>
              <w:rPr>
                <w:sz w:val="20"/>
                <w:szCs w:val="20"/>
                <w:color w:val="auto"/>
              </w:rPr>
            </w:pPr>
            <w:r>
              <w:rPr>
                <w:rFonts w:ascii="Arial" w:cs="Arial" w:eastAsia="Arial" w:hAnsi="Arial"/>
                <w:sz w:val="16"/>
                <w:szCs w:val="16"/>
                <w:b w:val="1"/>
                <w:bCs w:val="1"/>
                <w:color w:val="336699"/>
                <w:w w:val="89"/>
              </w:rPr>
              <w:t>Automobile Lease</w:t>
            </w:r>
          </w:p>
        </w:tc>
        <w:tc>
          <w:tcPr>
            <w:tcW w:w="1240" w:type="dxa"/>
            <w:vAlign w:val="bottom"/>
          </w:tcPr>
          <w:p>
            <w:pPr>
              <w:jc w:val="center"/>
              <w:ind w:left="19"/>
              <w:spacing w:after="0"/>
              <w:rPr>
                <w:sz w:val="20"/>
                <w:szCs w:val="20"/>
                <w:color w:val="auto"/>
              </w:rPr>
            </w:pPr>
            <w:r>
              <w:rPr>
                <w:rFonts w:ascii="Arial" w:cs="Arial" w:eastAsia="Arial" w:hAnsi="Arial"/>
                <w:sz w:val="16"/>
                <w:szCs w:val="16"/>
                <w:b w:val="1"/>
                <w:bCs w:val="1"/>
                <w:color w:val="336699"/>
                <w:w w:val="91"/>
              </w:rPr>
              <w:t>Taxable Travel</w:t>
            </w: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336699"/>
                <w:w w:val="92"/>
              </w:rPr>
              <w:t>Reimbursement for</w:t>
            </w:r>
          </w:p>
        </w:tc>
        <w:tc>
          <w:tcPr>
            <w:tcW w:w="1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60" w:type="dxa"/>
            <w:vAlign w:val="bottom"/>
          </w:tcPr>
          <w:p>
            <w:pPr>
              <w:jc w:val="center"/>
              <w:ind w:left="19"/>
              <w:spacing w:after="0"/>
              <w:rPr>
                <w:sz w:val="20"/>
                <w:szCs w:val="20"/>
                <w:color w:val="auto"/>
              </w:rPr>
            </w:pPr>
            <w:r>
              <w:rPr>
                <w:rFonts w:ascii="Arial" w:cs="Arial" w:eastAsia="Arial" w:hAnsi="Arial"/>
                <w:sz w:val="16"/>
                <w:szCs w:val="16"/>
                <w:b w:val="1"/>
                <w:bCs w:val="1"/>
                <w:color w:val="336699"/>
                <w:w w:val="92"/>
              </w:rPr>
              <w:t>and Related</w:t>
            </w:r>
          </w:p>
        </w:tc>
        <w:tc>
          <w:tcPr>
            <w:tcW w:w="1240" w:type="dxa"/>
            <w:vAlign w:val="bottom"/>
          </w:tcPr>
          <w:p>
            <w:pPr>
              <w:jc w:val="center"/>
              <w:ind w:left="19"/>
              <w:spacing w:after="0"/>
              <w:rPr>
                <w:sz w:val="20"/>
                <w:szCs w:val="20"/>
                <w:color w:val="auto"/>
              </w:rPr>
            </w:pPr>
            <w:r>
              <w:rPr>
                <w:rFonts w:ascii="Arial" w:cs="Arial" w:eastAsia="Arial" w:hAnsi="Arial"/>
                <w:sz w:val="16"/>
                <w:szCs w:val="16"/>
                <w:b w:val="1"/>
                <w:bCs w:val="1"/>
                <w:color w:val="336699"/>
                <w:w w:val="90"/>
              </w:rPr>
              <w:t>and Related</w:t>
            </w:r>
          </w:p>
        </w:tc>
        <w:tc>
          <w:tcPr>
            <w:tcW w:w="360" w:type="dxa"/>
            <w:vAlign w:val="bottom"/>
          </w:tcPr>
          <w:p>
            <w:pPr>
              <w:spacing w:after="0"/>
              <w:rPr>
                <w:sz w:val="17"/>
                <w:szCs w:val="17"/>
                <w:color w:val="auto"/>
              </w:rPr>
            </w:pPr>
          </w:p>
        </w:tc>
        <w:tc>
          <w:tcPr>
            <w:tcW w:w="1800" w:type="dxa"/>
            <w:vAlign w:val="bottom"/>
          </w:tcPr>
          <w:p>
            <w:pPr>
              <w:jc w:val="center"/>
              <w:ind w:left="39"/>
              <w:spacing w:after="0"/>
              <w:rPr>
                <w:sz w:val="20"/>
                <w:szCs w:val="20"/>
                <w:color w:val="auto"/>
              </w:rPr>
            </w:pPr>
            <w:r>
              <w:rPr>
                <w:rFonts w:ascii="Arial" w:cs="Arial" w:eastAsia="Arial" w:hAnsi="Arial"/>
                <w:sz w:val="16"/>
                <w:szCs w:val="16"/>
                <w:b w:val="1"/>
                <w:bCs w:val="1"/>
                <w:color w:val="336699"/>
                <w:w w:val="91"/>
              </w:rPr>
              <w:t>Taxable Relocation and</w:t>
            </w:r>
          </w:p>
        </w:tc>
        <w:tc>
          <w:tcPr>
            <w:tcW w:w="4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336699"/>
                <w:w w:val="91"/>
              </w:rPr>
              <w:t>Certain Taxes and Tax</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336699"/>
                <w:w w:val="93"/>
              </w:rPr>
              <w:t>401(k) Employer</w:t>
            </w:r>
          </w:p>
        </w:tc>
        <w:tc>
          <w:tcPr>
            <w:tcW w:w="7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60" w:type="dxa"/>
            <w:vAlign w:val="bottom"/>
          </w:tcPr>
          <w:p>
            <w:pPr>
              <w:jc w:val="center"/>
              <w:ind w:left="19"/>
              <w:spacing w:after="0" w:line="203" w:lineRule="exact"/>
              <w:rPr>
                <w:sz w:val="20"/>
                <w:szCs w:val="20"/>
                <w:color w:val="auto"/>
              </w:rPr>
            </w:pPr>
            <w:r>
              <w:rPr>
                <w:rFonts w:ascii="Arial" w:cs="Arial" w:eastAsia="Arial" w:hAnsi="Arial"/>
                <w:sz w:val="16"/>
                <w:szCs w:val="16"/>
                <w:b w:val="1"/>
                <w:bCs w:val="1"/>
                <w:color w:val="336699"/>
                <w:w w:val="82"/>
              </w:rPr>
              <w:t>Expenses</w:t>
            </w:r>
            <w:r>
              <w:rPr>
                <w:rFonts w:ascii="Arial" w:cs="Arial" w:eastAsia="Arial" w:hAnsi="Arial"/>
                <w:sz w:val="21"/>
                <w:szCs w:val="21"/>
                <w:b w:val="1"/>
                <w:bCs w:val="1"/>
                <w:color w:val="336699"/>
                <w:w w:val="82"/>
                <w:vertAlign w:val="superscript"/>
              </w:rPr>
              <w:t>(1)</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336699"/>
                <w:w w:val="85"/>
              </w:rPr>
              <w:t>Expenses</w:t>
            </w:r>
          </w:p>
        </w:tc>
        <w:tc>
          <w:tcPr>
            <w:tcW w:w="360" w:type="dxa"/>
            <w:vAlign w:val="bottom"/>
          </w:tcPr>
          <w:p>
            <w:pPr>
              <w:spacing w:after="0"/>
              <w:rPr>
                <w:sz w:val="17"/>
                <w:szCs w:val="17"/>
                <w:color w:val="auto"/>
              </w:rPr>
            </w:pPr>
          </w:p>
        </w:tc>
        <w:tc>
          <w:tcPr>
            <w:tcW w:w="1800" w:type="dxa"/>
            <w:vAlign w:val="bottom"/>
          </w:tcPr>
          <w:p>
            <w:pPr>
              <w:jc w:val="center"/>
              <w:ind w:left="39"/>
              <w:spacing w:after="0"/>
              <w:rPr>
                <w:sz w:val="20"/>
                <w:szCs w:val="20"/>
                <w:color w:val="auto"/>
              </w:rPr>
            </w:pPr>
            <w:r>
              <w:rPr>
                <w:rFonts w:ascii="Arial" w:cs="Arial" w:eastAsia="Arial" w:hAnsi="Arial"/>
                <w:sz w:val="16"/>
                <w:szCs w:val="16"/>
                <w:b w:val="1"/>
                <w:bCs w:val="1"/>
                <w:color w:val="336699"/>
                <w:w w:val="87"/>
              </w:rPr>
              <w:t>Related Expenses</w:t>
            </w:r>
          </w:p>
        </w:tc>
        <w:tc>
          <w:tcPr>
            <w:tcW w:w="400" w:type="dxa"/>
            <w:vAlign w:val="bottom"/>
          </w:tcPr>
          <w:p>
            <w:pPr>
              <w:spacing w:after="0"/>
              <w:rPr>
                <w:sz w:val="17"/>
                <w:szCs w:val="17"/>
                <w:color w:val="auto"/>
              </w:rPr>
            </w:pPr>
          </w:p>
        </w:tc>
        <w:tc>
          <w:tcPr>
            <w:tcW w:w="1880" w:type="dxa"/>
            <w:vAlign w:val="bottom"/>
          </w:tcPr>
          <w:p>
            <w:pPr>
              <w:jc w:val="center"/>
              <w:spacing w:after="0" w:line="203" w:lineRule="exact"/>
              <w:rPr>
                <w:sz w:val="20"/>
                <w:szCs w:val="20"/>
                <w:color w:val="auto"/>
              </w:rPr>
            </w:pPr>
            <w:r>
              <w:rPr>
                <w:rFonts w:ascii="Arial" w:cs="Arial" w:eastAsia="Arial" w:hAnsi="Arial"/>
                <w:sz w:val="16"/>
                <w:szCs w:val="16"/>
                <w:b w:val="1"/>
                <w:bCs w:val="1"/>
                <w:color w:val="336699"/>
                <w:w w:val="87"/>
              </w:rPr>
              <w:t>Planning Services(</w:t>
            </w:r>
            <w:r>
              <w:rPr>
                <w:rFonts w:ascii="Arial" w:cs="Arial" w:eastAsia="Arial" w:hAnsi="Arial"/>
                <w:sz w:val="21"/>
                <w:szCs w:val="21"/>
                <w:b w:val="1"/>
                <w:bCs w:val="1"/>
                <w:color w:val="336699"/>
                <w:w w:val="87"/>
                <w:vertAlign w:val="superscript"/>
              </w:rPr>
              <w:t>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336699"/>
                <w:w w:val="95"/>
              </w:rPr>
              <w:t>Match</w:t>
            </w:r>
          </w:p>
        </w:tc>
        <w:tc>
          <w:tcPr>
            <w:tcW w:w="720" w:type="dxa"/>
            <w:vAlign w:val="bottom"/>
          </w:tcPr>
          <w:p>
            <w:pPr>
              <w:jc w:val="right"/>
              <w:ind w:right="139"/>
              <w:spacing w:after="0"/>
              <w:rPr>
                <w:sz w:val="20"/>
                <w:szCs w:val="20"/>
                <w:color w:val="auto"/>
              </w:rPr>
            </w:pPr>
            <w:r>
              <w:rPr>
                <w:rFonts w:ascii="Arial" w:cs="Arial" w:eastAsia="Arial" w:hAnsi="Arial"/>
                <w:sz w:val="16"/>
                <w:szCs w:val="16"/>
                <w:b w:val="1"/>
                <w:bCs w:val="1"/>
                <w:color w:val="336699"/>
              </w:rPr>
              <w:t>Total</w:t>
            </w:r>
          </w:p>
        </w:tc>
      </w:tr>
      <w:tr>
        <w:trPr>
          <w:trHeight w:val="210"/>
        </w:trPr>
        <w:tc>
          <w:tcPr>
            <w:tcW w:w="1380" w:type="dxa"/>
            <w:vAlign w:val="bottom"/>
          </w:tcPr>
          <w:p>
            <w:pPr>
              <w:ind w:left="500"/>
              <w:spacing w:after="0"/>
              <w:rPr>
                <w:sz w:val="20"/>
                <w:szCs w:val="20"/>
                <w:color w:val="auto"/>
              </w:rPr>
            </w:pPr>
            <w:r>
              <w:rPr>
                <w:rFonts w:ascii="Arial" w:cs="Arial" w:eastAsia="Arial" w:hAnsi="Arial"/>
                <w:sz w:val="16"/>
                <w:szCs w:val="16"/>
                <w:b w:val="1"/>
                <w:bCs w:val="1"/>
                <w:color w:val="336699"/>
              </w:rPr>
              <w:t>Name</w:t>
            </w:r>
          </w:p>
        </w:tc>
        <w:tc>
          <w:tcPr>
            <w:tcW w:w="580" w:type="dxa"/>
            <w:vAlign w:val="bottom"/>
          </w:tcPr>
          <w:p>
            <w:pPr>
              <w:ind w:left="140"/>
              <w:spacing w:after="0"/>
              <w:rPr>
                <w:sz w:val="20"/>
                <w:szCs w:val="20"/>
                <w:color w:val="auto"/>
              </w:rPr>
            </w:pPr>
            <w:r>
              <w:rPr>
                <w:rFonts w:ascii="Arial" w:cs="Arial" w:eastAsia="Arial" w:hAnsi="Arial"/>
                <w:sz w:val="16"/>
                <w:szCs w:val="16"/>
                <w:b w:val="1"/>
                <w:bCs w:val="1"/>
                <w:color w:val="336699"/>
              </w:rPr>
              <w:t>Year</w:t>
            </w:r>
          </w:p>
        </w:tc>
        <w:tc>
          <w:tcPr>
            <w:tcW w:w="1660" w:type="dxa"/>
            <w:vAlign w:val="bottom"/>
          </w:tcPr>
          <w:p>
            <w:pPr>
              <w:jc w:val="center"/>
              <w:ind w:left="19"/>
              <w:spacing w:after="0"/>
              <w:rPr>
                <w:sz w:val="20"/>
                <w:szCs w:val="20"/>
                <w:color w:val="auto"/>
              </w:rPr>
            </w:pPr>
            <w:r>
              <w:rPr>
                <w:rFonts w:ascii="Arial" w:cs="Arial" w:eastAsia="Arial" w:hAnsi="Arial"/>
                <w:sz w:val="16"/>
                <w:szCs w:val="16"/>
                <w:b w:val="1"/>
                <w:bCs w:val="1"/>
                <w:color w:val="336699"/>
              </w:rPr>
              <w:t>($)</w:t>
            </w:r>
          </w:p>
        </w:tc>
        <w:tc>
          <w:tcPr>
            <w:tcW w:w="1240" w:type="dxa"/>
            <w:vAlign w:val="bottom"/>
          </w:tcPr>
          <w:p>
            <w:pPr>
              <w:jc w:val="center"/>
              <w:ind w:left="19"/>
              <w:spacing w:after="0"/>
              <w:rPr>
                <w:sz w:val="20"/>
                <w:szCs w:val="20"/>
                <w:color w:val="auto"/>
              </w:rPr>
            </w:pPr>
            <w:r>
              <w:rPr>
                <w:rFonts w:ascii="Arial" w:cs="Arial" w:eastAsia="Arial" w:hAnsi="Arial"/>
                <w:sz w:val="16"/>
                <w:szCs w:val="16"/>
                <w:b w:val="1"/>
                <w:bCs w:val="1"/>
                <w:color w:val="336699"/>
                <w:w w:val="91"/>
              </w:rPr>
              <w:t>($)</w:t>
            </w:r>
          </w:p>
        </w:tc>
        <w:tc>
          <w:tcPr>
            <w:tcW w:w="360" w:type="dxa"/>
            <w:vAlign w:val="bottom"/>
          </w:tcPr>
          <w:p>
            <w:pPr>
              <w:spacing w:after="0"/>
              <w:rPr>
                <w:sz w:val="18"/>
                <w:szCs w:val="18"/>
                <w:color w:val="auto"/>
              </w:rPr>
            </w:pPr>
          </w:p>
        </w:tc>
        <w:tc>
          <w:tcPr>
            <w:tcW w:w="1800" w:type="dxa"/>
            <w:vAlign w:val="bottom"/>
          </w:tcPr>
          <w:p>
            <w:pPr>
              <w:jc w:val="center"/>
              <w:ind w:left="39"/>
              <w:spacing w:after="0"/>
              <w:rPr>
                <w:sz w:val="20"/>
                <w:szCs w:val="20"/>
                <w:color w:val="auto"/>
              </w:rPr>
            </w:pPr>
            <w:r>
              <w:rPr>
                <w:rFonts w:ascii="Arial" w:cs="Arial" w:eastAsia="Arial" w:hAnsi="Arial"/>
                <w:sz w:val="16"/>
                <w:szCs w:val="16"/>
                <w:b w:val="1"/>
                <w:bCs w:val="1"/>
                <w:color w:val="336699"/>
              </w:rPr>
              <w:t>($)</w:t>
            </w:r>
          </w:p>
        </w:tc>
        <w:tc>
          <w:tcPr>
            <w:tcW w:w="4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336699"/>
              </w:rPr>
              <w:t>($)</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336699"/>
                <w:w w:val="91"/>
              </w:rPr>
              <w:t>($)</w:t>
            </w: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336699"/>
              </w:rPr>
              <w:t>($)</w:t>
            </w:r>
          </w:p>
        </w:tc>
      </w:tr>
      <w:tr>
        <w:trPr>
          <w:trHeight w:val="33"/>
        </w:trPr>
        <w:tc>
          <w:tcPr>
            <w:tcW w:w="1380" w:type="dxa"/>
            <w:vAlign w:val="bottom"/>
            <w:tcBorders>
              <w:bottom w:val="single" w:sz="8" w:color="336699"/>
            </w:tcBorders>
          </w:tcPr>
          <w:p>
            <w:pPr>
              <w:spacing w:after="0"/>
              <w:rPr>
                <w:sz w:val="2"/>
                <w:szCs w:val="2"/>
                <w:color w:val="auto"/>
              </w:rPr>
            </w:pPr>
          </w:p>
        </w:tc>
        <w:tc>
          <w:tcPr>
            <w:tcW w:w="580" w:type="dxa"/>
            <w:vAlign w:val="bottom"/>
            <w:tcBorders>
              <w:bottom w:val="single" w:sz="8" w:color="336699"/>
            </w:tcBorders>
          </w:tcPr>
          <w:p>
            <w:pPr>
              <w:spacing w:after="0"/>
              <w:rPr>
                <w:sz w:val="2"/>
                <w:szCs w:val="2"/>
                <w:color w:val="auto"/>
              </w:rPr>
            </w:pPr>
          </w:p>
        </w:tc>
        <w:tc>
          <w:tcPr>
            <w:tcW w:w="1660" w:type="dxa"/>
            <w:vAlign w:val="bottom"/>
            <w:tcBorders>
              <w:bottom w:val="single" w:sz="8" w:color="336699"/>
            </w:tcBorders>
          </w:tcPr>
          <w:p>
            <w:pPr>
              <w:spacing w:after="0"/>
              <w:rPr>
                <w:sz w:val="2"/>
                <w:szCs w:val="2"/>
                <w:color w:val="auto"/>
              </w:rPr>
            </w:pPr>
          </w:p>
        </w:tc>
        <w:tc>
          <w:tcPr>
            <w:tcW w:w="1240" w:type="dxa"/>
            <w:vAlign w:val="bottom"/>
            <w:tcBorders>
              <w:bottom w:val="single" w:sz="8" w:color="336699"/>
            </w:tcBorders>
          </w:tcPr>
          <w:p>
            <w:pPr>
              <w:spacing w:after="0"/>
              <w:rPr>
                <w:sz w:val="2"/>
                <w:szCs w:val="2"/>
                <w:color w:val="auto"/>
              </w:rPr>
            </w:pPr>
          </w:p>
        </w:tc>
        <w:tc>
          <w:tcPr>
            <w:tcW w:w="360" w:type="dxa"/>
            <w:vAlign w:val="bottom"/>
            <w:tcBorders>
              <w:bottom w:val="single" w:sz="8" w:color="336699"/>
            </w:tcBorders>
          </w:tcPr>
          <w:p>
            <w:pPr>
              <w:spacing w:after="0"/>
              <w:rPr>
                <w:sz w:val="2"/>
                <w:szCs w:val="2"/>
                <w:color w:val="auto"/>
              </w:rPr>
            </w:pPr>
          </w:p>
        </w:tc>
        <w:tc>
          <w:tcPr>
            <w:tcW w:w="1800" w:type="dxa"/>
            <w:vAlign w:val="bottom"/>
            <w:tcBorders>
              <w:bottom w:val="single" w:sz="8" w:color="336699"/>
            </w:tcBorders>
          </w:tcPr>
          <w:p>
            <w:pPr>
              <w:spacing w:after="0"/>
              <w:rPr>
                <w:sz w:val="2"/>
                <w:szCs w:val="2"/>
                <w:color w:val="auto"/>
              </w:rPr>
            </w:pPr>
          </w:p>
        </w:tc>
        <w:tc>
          <w:tcPr>
            <w:tcW w:w="400" w:type="dxa"/>
            <w:vAlign w:val="bottom"/>
            <w:tcBorders>
              <w:bottom w:val="single" w:sz="8" w:color="336699"/>
            </w:tcBorders>
          </w:tcPr>
          <w:p>
            <w:pPr>
              <w:spacing w:after="0"/>
              <w:rPr>
                <w:sz w:val="2"/>
                <w:szCs w:val="2"/>
                <w:color w:val="auto"/>
              </w:rPr>
            </w:pPr>
          </w:p>
        </w:tc>
        <w:tc>
          <w:tcPr>
            <w:tcW w:w="1880" w:type="dxa"/>
            <w:vAlign w:val="bottom"/>
            <w:tcBorders>
              <w:bottom w:val="single" w:sz="8" w:color="336699"/>
            </w:tcBorders>
          </w:tcPr>
          <w:p>
            <w:pPr>
              <w:spacing w:after="0"/>
              <w:rPr>
                <w:sz w:val="2"/>
                <w:szCs w:val="2"/>
                <w:color w:val="auto"/>
              </w:rPr>
            </w:pPr>
          </w:p>
        </w:tc>
        <w:tc>
          <w:tcPr>
            <w:tcW w:w="1400" w:type="dxa"/>
            <w:vAlign w:val="bottom"/>
            <w:tcBorders>
              <w:bottom w:val="single" w:sz="8" w:color="336699"/>
            </w:tcBorders>
          </w:tcPr>
          <w:p>
            <w:pPr>
              <w:spacing w:after="0"/>
              <w:rPr>
                <w:sz w:val="2"/>
                <w:szCs w:val="2"/>
                <w:color w:val="auto"/>
              </w:rPr>
            </w:pPr>
          </w:p>
        </w:tc>
        <w:tc>
          <w:tcPr>
            <w:tcW w:w="720" w:type="dxa"/>
            <w:vAlign w:val="bottom"/>
            <w:tcBorders>
              <w:bottom w:val="single" w:sz="8" w:color="336699"/>
            </w:tcBorders>
          </w:tcPr>
          <w:p>
            <w:pPr>
              <w:spacing w:after="0"/>
              <w:rPr>
                <w:sz w:val="2"/>
                <w:szCs w:val="2"/>
                <w:color w:val="auto"/>
              </w:rPr>
            </w:pPr>
          </w:p>
        </w:tc>
      </w:tr>
      <w:tr>
        <w:trPr>
          <w:trHeight w:val="252"/>
        </w:trPr>
        <w:tc>
          <w:tcPr>
            <w:tcW w:w="1380" w:type="dxa"/>
            <w:vAlign w:val="bottom"/>
            <w:shd w:val="clear" w:color="auto" w:fill="CCFFFF"/>
          </w:tcPr>
          <w:p>
            <w:pPr>
              <w:ind w:left="40"/>
              <w:spacing w:after="0"/>
              <w:rPr>
                <w:sz w:val="20"/>
                <w:szCs w:val="20"/>
                <w:color w:val="auto"/>
              </w:rPr>
            </w:pPr>
            <w:r>
              <w:rPr>
                <w:rFonts w:ascii="Arial" w:cs="Arial" w:eastAsia="Arial" w:hAnsi="Arial"/>
                <w:sz w:val="16"/>
                <w:szCs w:val="16"/>
                <w:color w:val="auto"/>
              </w:rPr>
              <w:t>Mark S. Casady</w:t>
            </w:r>
          </w:p>
        </w:tc>
        <w:tc>
          <w:tcPr>
            <w:tcW w:w="580" w:type="dxa"/>
            <w:vAlign w:val="bottom"/>
            <w:shd w:val="clear" w:color="auto" w:fill="CCFFFF"/>
          </w:tcPr>
          <w:p>
            <w:pPr>
              <w:ind w:left="140"/>
              <w:spacing w:after="0"/>
              <w:rPr>
                <w:sz w:val="20"/>
                <w:szCs w:val="20"/>
                <w:color w:val="auto"/>
              </w:rPr>
            </w:pPr>
            <w:r>
              <w:rPr>
                <w:rFonts w:ascii="Arial" w:cs="Arial" w:eastAsia="Arial" w:hAnsi="Arial"/>
                <w:sz w:val="16"/>
                <w:szCs w:val="16"/>
                <w:color w:val="auto"/>
              </w:rPr>
              <w:t>2016</w:t>
            </w:r>
          </w:p>
        </w:tc>
        <w:tc>
          <w:tcPr>
            <w:tcW w:w="1660" w:type="dxa"/>
            <w:vAlign w:val="bottom"/>
            <w:shd w:val="clear" w:color="auto" w:fill="CCFFFF"/>
          </w:tcPr>
          <w:p>
            <w:pPr>
              <w:jc w:val="right"/>
              <w:ind w:right="79"/>
              <w:spacing w:after="0"/>
              <w:rPr>
                <w:sz w:val="20"/>
                <w:szCs w:val="20"/>
                <w:color w:val="auto"/>
              </w:rPr>
            </w:pPr>
            <w:r>
              <w:rPr>
                <w:rFonts w:ascii="Arial" w:cs="Arial" w:eastAsia="Arial" w:hAnsi="Arial"/>
                <w:sz w:val="16"/>
                <w:szCs w:val="16"/>
                <w:color w:val="auto"/>
              </w:rPr>
              <w:t>2,216</w:t>
            </w:r>
          </w:p>
        </w:tc>
        <w:tc>
          <w:tcPr>
            <w:tcW w:w="124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23,563</w:t>
            </w:r>
          </w:p>
        </w:tc>
        <w:tc>
          <w:tcPr>
            <w:tcW w:w="360" w:type="dxa"/>
            <w:vAlign w:val="bottom"/>
            <w:shd w:val="clear" w:color="auto" w:fill="CCFFFF"/>
          </w:tcPr>
          <w:p>
            <w:pPr>
              <w:jc w:val="right"/>
              <w:ind w:right="88"/>
              <w:spacing w:after="0"/>
              <w:rPr>
                <w:sz w:val="20"/>
                <w:szCs w:val="20"/>
                <w:color w:val="auto"/>
              </w:rPr>
            </w:pPr>
            <w:r>
              <w:rPr>
                <w:rFonts w:ascii="Arial" w:cs="Arial" w:eastAsia="Arial" w:hAnsi="Arial"/>
                <w:sz w:val="14"/>
                <w:szCs w:val="14"/>
                <w:color w:val="auto"/>
              </w:rPr>
              <w:t>(3)</w:t>
            </w:r>
          </w:p>
        </w:tc>
        <w:tc>
          <w:tcPr>
            <w:tcW w:w="180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FFFF"/>
          </w:tcPr>
          <w:p>
            <w:pPr>
              <w:spacing w:after="0"/>
              <w:rPr>
                <w:sz w:val="21"/>
                <w:szCs w:val="21"/>
                <w:color w:val="auto"/>
              </w:rPr>
            </w:pPr>
          </w:p>
        </w:tc>
        <w:tc>
          <w:tcPr>
            <w:tcW w:w="188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FFFF"/>
          </w:tcPr>
          <w:p>
            <w:pPr>
              <w:jc w:val="right"/>
              <w:ind w:right="99"/>
              <w:spacing w:after="0"/>
              <w:rPr>
                <w:sz w:val="20"/>
                <w:szCs w:val="20"/>
                <w:color w:val="auto"/>
              </w:rPr>
            </w:pPr>
            <w:r>
              <w:rPr>
                <w:rFonts w:ascii="Arial" w:cs="Arial" w:eastAsia="Arial" w:hAnsi="Arial"/>
                <w:sz w:val="16"/>
                <w:szCs w:val="16"/>
                <w:color w:val="auto"/>
              </w:rPr>
              <w:t>13,780</w:t>
            </w:r>
          </w:p>
        </w:tc>
        <w:tc>
          <w:tcPr>
            <w:tcW w:w="72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39,559</w:t>
            </w:r>
          </w:p>
        </w:tc>
      </w:tr>
      <w:tr>
        <w:trPr>
          <w:trHeight w:val="249"/>
        </w:trPr>
        <w:tc>
          <w:tcPr>
            <w:tcW w:w="1380" w:type="dxa"/>
            <w:vAlign w:val="bottom"/>
            <w:shd w:val="clear" w:color="auto" w:fill="CCFFFF"/>
          </w:tcPr>
          <w:p>
            <w:pPr>
              <w:spacing w:after="0"/>
              <w:rPr>
                <w:sz w:val="21"/>
                <w:szCs w:val="21"/>
                <w:color w:val="auto"/>
              </w:rPr>
            </w:pPr>
          </w:p>
        </w:tc>
        <w:tc>
          <w:tcPr>
            <w:tcW w:w="580" w:type="dxa"/>
            <w:vAlign w:val="bottom"/>
            <w:shd w:val="clear" w:color="auto" w:fill="CCFFFF"/>
          </w:tcPr>
          <w:p>
            <w:pPr>
              <w:ind w:left="140"/>
              <w:spacing w:after="0"/>
              <w:rPr>
                <w:sz w:val="20"/>
                <w:szCs w:val="20"/>
                <w:color w:val="auto"/>
              </w:rPr>
            </w:pPr>
            <w:r>
              <w:rPr>
                <w:rFonts w:ascii="Arial" w:cs="Arial" w:eastAsia="Arial" w:hAnsi="Arial"/>
                <w:sz w:val="16"/>
                <w:szCs w:val="16"/>
                <w:color w:val="auto"/>
              </w:rPr>
              <w:t>2015</w:t>
            </w:r>
          </w:p>
        </w:tc>
        <w:tc>
          <w:tcPr>
            <w:tcW w:w="1660" w:type="dxa"/>
            <w:vAlign w:val="bottom"/>
            <w:shd w:val="clear" w:color="auto" w:fill="CCFFFF"/>
          </w:tcPr>
          <w:p>
            <w:pPr>
              <w:jc w:val="right"/>
              <w:ind w:right="79"/>
              <w:spacing w:after="0"/>
              <w:rPr>
                <w:sz w:val="20"/>
                <w:szCs w:val="20"/>
                <w:color w:val="auto"/>
              </w:rPr>
            </w:pPr>
            <w:r>
              <w:rPr>
                <w:rFonts w:ascii="Arial" w:cs="Arial" w:eastAsia="Arial" w:hAnsi="Arial"/>
                <w:sz w:val="16"/>
                <w:szCs w:val="16"/>
                <w:color w:val="auto"/>
              </w:rPr>
              <w:t>38,695</w:t>
            </w:r>
          </w:p>
        </w:tc>
        <w:tc>
          <w:tcPr>
            <w:tcW w:w="124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FFFF"/>
          </w:tcPr>
          <w:p>
            <w:pPr>
              <w:spacing w:after="0"/>
              <w:rPr>
                <w:sz w:val="21"/>
                <w:szCs w:val="21"/>
                <w:color w:val="auto"/>
              </w:rPr>
            </w:pPr>
          </w:p>
        </w:tc>
        <w:tc>
          <w:tcPr>
            <w:tcW w:w="180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FFFF"/>
          </w:tcPr>
          <w:p>
            <w:pPr>
              <w:spacing w:after="0"/>
              <w:rPr>
                <w:sz w:val="21"/>
                <w:szCs w:val="21"/>
                <w:color w:val="auto"/>
              </w:rPr>
            </w:pPr>
          </w:p>
        </w:tc>
        <w:tc>
          <w:tcPr>
            <w:tcW w:w="188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FFFF"/>
          </w:tcPr>
          <w:p>
            <w:pPr>
              <w:jc w:val="right"/>
              <w:ind w:right="99"/>
              <w:spacing w:after="0"/>
              <w:rPr>
                <w:sz w:val="20"/>
                <w:szCs w:val="20"/>
                <w:color w:val="auto"/>
              </w:rPr>
            </w:pPr>
            <w:r>
              <w:rPr>
                <w:rFonts w:ascii="Arial" w:cs="Arial" w:eastAsia="Arial" w:hAnsi="Arial"/>
                <w:sz w:val="16"/>
                <w:szCs w:val="16"/>
                <w:color w:val="auto"/>
              </w:rPr>
              <w:t>13,780</w:t>
            </w:r>
          </w:p>
        </w:tc>
        <w:tc>
          <w:tcPr>
            <w:tcW w:w="72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52,475</w:t>
            </w:r>
          </w:p>
        </w:tc>
      </w:tr>
      <w:tr>
        <w:trPr>
          <w:trHeight w:val="303"/>
        </w:trPr>
        <w:tc>
          <w:tcPr>
            <w:tcW w:w="1380" w:type="dxa"/>
            <w:vAlign w:val="bottom"/>
            <w:shd w:val="clear" w:color="auto" w:fill="CCFFFF"/>
          </w:tcPr>
          <w:p>
            <w:pPr>
              <w:spacing w:after="0"/>
              <w:rPr>
                <w:sz w:val="24"/>
                <w:szCs w:val="24"/>
                <w:color w:val="auto"/>
              </w:rPr>
            </w:pPr>
          </w:p>
        </w:tc>
        <w:tc>
          <w:tcPr>
            <w:tcW w:w="580" w:type="dxa"/>
            <w:vAlign w:val="bottom"/>
            <w:shd w:val="clear" w:color="auto" w:fill="CCFFFF"/>
          </w:tcPr>
          <w:p>
            <w:pPr>
              <w:ind w:left="140"/>
              <w:spacing w:after="0"/>
              <w:rPr>
                <w:sz w:val="20"/>
                <w:szCs w:val="20"/>
                <w:color w:val="auto"/>
              </w:rPr>
            </w:pPr>
            <w:r>
              <w:rPr>
                <w:rFonts w:ascii="Arial" w:cs="Arial" w:eastAsia="Arial" w:hAnsi="Arial"/>
                <w:sz w:val="16"/>
                <w:szCs w:val="16"/>
                <w:color w:val="auto"/>
              </w:rPr>
              <w:t>2014</w:t>
            </w:r>
          </w:p>
        </w:tc>
        <w:tc>
          <w:tcPr>
            <w:tcW w:w="1660" w:type="dxa"/>
            <w:vAlign w:val="bottom"/>
            <w:shd w:val="clear" w:color="auto" w:fill="CCFFFF"/>
          </w:tcPr>
          <w:p>
            <w:pPr>
              <w:jc w:val="right"/>
              <w:ind w:right="79"/>
              <w:spacing w:after="0"/>
              <w:rPr>
                <w:sz w:val="20"/>
                <w:szCs w:val="20"/>
                <w:color w:val="auto"/>
              </w:rPr>
            </w:pPr>
            <w:r>
              <w:rPr>
                <w:rFonts w:ascii="Arial" w:cs="Arial" w:eastAsia="Arial" w:hAnsi="Arial"/>
                <w:sz w:val="16"/>
                <w:szCs w:val="16"/>
                <w:color w:val="auto"/>
              </w:rPr>
              <w:t>39,259</w:t>
            </w:r>
          </w:p>
        </w:tc>
        <w:tc>
          <w:tcPr>
            <w:tcW w:w="124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18,661</w:t>
            </w:r>
          </w:p>
        </w:tc>
        <w:tc>
          <w:tcPr>
            <w:tcW w:w="360" w:type="dxa"/>
            <w:vAlign w:val="bottom"/>
            <w:shd w:val="clear" w:color="auto" w:fill="CCFFFF"/>
          </w:tcPr>
          <w:p>
            <w:pPr>
              <w:jc w:val="right"/>
              <w:ind w:right="88"/>
              <w:spacing w:after="0"/>
              <w:rPr>
                <w:sz w:val="20"/>
                <w:szCs w:val="20"/>
                <w:color w:val="auto"/>
              </w:rPr>
            </w:pPr>
            <w:r>
              <w:rPr>
                <w:rFonts w:ascii="Arial" w:cs="Arial" w:eastAsia="Arial" w:hAnsi="Arial"/>
                <w:sz w:val="14"/>
                <w:szCs w:val="14"/>
                <w:color w:val="auto"/>
              </w:rPr>
              <w:t>(4)</w:t>
            </w:r>
          </w:p>
        </w:tc>
        <w:tc>
          <w:tcPr>
            <w:tcW w:w="180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FFFF"/>
          </w:tcPr>
          <w:p>
            <w:pPr>
              <w:spacing w:after="0"/>
              <w:rPr>
                <w:sz w:val="24"/>
                <w:szCs w:val="24"/>
                <w:color w:val="auto"/>
              </w:rPr>
            </w:pPr>
          </w:p>
        </w:tc>
        <w:tc>
          <w:tcPr>
            <w:tcW w:w="188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FFFF"/>
          </w:tcPr>
          <w:p>
            <w:pPr>
              <w:jc w:val="right"/>
              <w:ind w:right="99"/>
              <w:spacing w:after="0"/>
              <w:rPr>
                <w:sz w:val="20"/>
                <w:szCs w:val="20"/>
                <w:color w:val="auto"/>
              </w:rPr>
            </w:pPr>
            <w:r>
              <w:rPr>
                <w:rFonts w:ascii="Arial" w:cs="Arial" w:eastAsia="Arial" w:hAnsi="Arial"/>
                <w:sz w:val="16"/>
                <w:szCs w:val="16"/>
                <w:color w:val="auto"/>
              </w:rPr>
              <w:t>13,520</w:t>
            </w:r>
          </w:p>
        </w:tc>
        <w:tc>
          <w:tcPr>
            <w:tcW w:w="72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71,440</w:t>
            </w:r>
          </w:p>
        </w:tc>
      </w:tr>
      <w:tr>
        <w:trPr>
          <w:trHeight w:val="258"/>
        </w:trPr>
        <w:tc>
          <w:tcPr>
            <w:tcW w:w="1380" w:type="dxa"/>
            <w:vAlign w:val="bottom"/>
          </w:tcPr>
          <w:p>
            <w:pPr>
              <w:ind w:left="40"/>
              <w:spacing w:after="0"/>
              <w:rPr>
                <w:sz w:val="20"/>
                <w:szCs w:val="20"/>
                <w:color w:val="auto"/>
              </w:rPr>
            </w:pPr>
            <w:r>
              <w:rPr>
                <w:rFonts w:ascii="Arial" w:cs="Arial" w:eastAsia="Arial" w:hAnsi="Arial"/>
                <w:sz w:val="16"/>
                <w:szCs w:val="16"/>
                <w:color w:val="auto"/>
                <w:w w:val="96"/>
              </w:rPr>
              <w:t>Matthew J. Audette</w:t>
            </w:r>
          </w:p>
        </w:tc>
        <w:tc>
          <w:tcPr>
            <w:tcW w:w="580" w:type="dxa"/>
            <w:vAlign w:val="bottom"/>
          </w:tcPr>
          <w:p>
            <w:pPr>
              <w:ind w:left="140"/>
              <w:spacing w:after="0"/>
              <w:rPr>
                <w:sz w:val="20"/>
                <w:szCs w:val="20"/>
                <w:color w:val="auto"/>
              </w:rPr>
            </w:pPr>
            <w:r>
              <w:rPr>
                <w:rFonts w:ascii="Arial" w:cs="Arial" w:eastAsia="Arial" w:hAnsi="Arial"/>
                <w:sz w:val="16"/>
                <w:szCs w:val="16"/>
                <w:color w:val="auto"/>
              </w:rPr>
              <w:t>2016</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14,000</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62,917</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3,500</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80,417</w:t>
            </w:r>
          </w:p>
        </w:tc>
      </w:tr>
      <w:tr>
        <w:trPr>
          <w:trHeight w:val="276"/>
        </w:trPr>
        <w:tc>
          <w:tcPr>
            <w:tcW w:w="138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Arial" w:cs="Arial" w:eastAsia="Arial" w:hAnsi="Arial"/>
                <w:sz w:val="16"/>
                <w:szCs w:val="16"/>
                <w:color w:val="auto"/>
              </w:rPr>
              <w:t>2015</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10,500</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22,946</w:t>
            </w:r>
          </w:p>
        </w:tc>
        <w:tc>
          <w:tcPr>
            <w:tcW w:w="360" w:type="dxa"/>
            <w:vAlign w:val="bottom"/>
          </w:tcPr>
          <w:p>
            <w:pPr>
              <w:spacing w:after="0"/>
              <w:rPr>
                <w:sz w:val="24"/>
                <w:szCs w:val="24"/>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140,931</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174,377</w:t>
            </w:r>
          </w:p>
        </w:tc>
      </w:tr>
      <w:tr>
        <w:trPr>
          <w:trHeight w:val="264"/>
        </w:trPr>
        <w:tc>
          <w:tcPr>
            <w:tcW w:w="1380" w:type="dxa"/>
            <w:vAlign w:val="bottom"/>
            <w:shd w:val="clear" w:color="auto" w:fill="CCFFFF"/>
          </w:tcPr>
          <w:p>
            <w:pPr>
              <w:ind w:left="40"/>
              <w:spacing w:after="0"/>
              <w:rPr>
                <w:sz w:val="20"/>
                <w:szCs w:val="20"/>
                <w:color w:val="auto"/>
              </w:rPr>
            </w:pPr>
            <w:r>
              <w:rPr>
                <w:rFonts w:ascii="Arial" w:cs="Arial" w:eastAsia="Arial" w:hAnsi="Arial"/>
                <w:sz w:val="16"/>
                <w:szCs w:val="16"/>
                <w:color w:val="auto"/>
              </w:rPr>
              <w:t>Dan H. Arnold</w:t>
            </w:r>
          </w:p>
        </w:tc>
        <w:tc>
          <w:tcPr>
            <w:tcW w:w="580" w:type="dxa"/>
            <w:vAlign w:val="bottom"/>
            <w:shd w:val="clear" w:color="auto" w:fill="CCFFFF"/>
          </w:tcPr>
          <w:p>
            <w:pPr>
              <w:ind w:left="140"/>
              <w:spacing w:after="0"/>
              <w:rPr>
                <w:sz w:val="20"/>
                <w:szCs w:val="20"/>
                <w:color w:val="auto"/>
              </w:rPr>
            </w:pPr>
            <w:r>
              <w:rPr>
                <w:rFonts w:ascii="Arial" w:cs="Arial" w:eastAsia="Arial" w:hAnsi="Arial"/>
                <w:sz w:val="16"/>
                <w:szCs w:val="16"/>
                <w:color w:val="auto"/>
              </w:rPr>
              <w:t>2016</w:t>
            </w:r>
          </w:p>
        </w:tc>
        <w:tc>
          <w:tcPr>
            <w:tcW w:w="1660" w:type="dxa"/>
            <w:vAlign w:val="bottom"/>
            <w:shd w:val="clear" w:color="auto" w:fill="CCFFFF"/>
          </w:tcPr>
          <w:p>
            <w:pPr>
              <w:jc w:val="right"/>
              <w:ind w:right="79"/>
              <w:spacing w:after="0"/>
              <w:rPr>
                <w:sz w:val="20"/>
                <w:szCs w:val="20"/>
                <w:color w:val="auto"/>
              </w:rPr>
            </w:pPr>
            <w:r>
              <w:rPr>
                <w:rFonts w:ascii="Arial" w:cs="Arial" w:eastAsia="Arial" w:hAnsi="Arial"/>
                <w:sz w:val="16"/>
                <w:szCs w:val="16"/>
                <w:color w:val="auto"/>
              </w:rPr>
              <w:t>28,692</w:t>
            </w:r>
          </w:p>
        </w:tc>
        <w:tc>
          <w:tcPr>
            <w:tcW w:w="124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60,710</w:t>
            </w:r>
          </w:p>
        </w:tc>
        <w:tc>
          <w:tcPr>
            <w:tcW w:w="360" w:type="dxa"/>
            <w:vAlign w:val="bottom"/>
            <w:shd w:val="clear" w:color="auto" w:fill="CCFFFF"/>
          </w:tcPr>
          <w:p>
            <w:pPr>
              <w:jc w:val="right"/>
              <w:ind w:right="88"/>
              <w:spacing w:after="0"/>
              <w:rPr>
                <w:sz w:val="20"/>
                <w:szCs w:val="20"/>
                <w:color w:val="auto"/>
              </w:rPr>
            </w:pPr>
            <w:r>
              <w:rPr>
                <w:rFonts w:ascii="Arial" w:cs="Arial" w:eastAsia="Arial" w:hAnsi="Arial"/>
                <w:sz w:val="14"/>
                <w:szCs w:val="14"/>
                <w:color w:val="auto"/>
              </w:rPr>
              <w:t>(3)</w:t>
            </w:r>
          </w:p>
        </w:tc>
        <w:tc>
          <w:tcPr>
            <w:tcW w:w="180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FFFF"/>
          </w:tcPr>
          <w:p>
            <w:pPr>
              <w:spacing w:after="0"/>
              <w:rPr>
                <w:sz w:val="22"/>
                <w:szCs w:val="22"/>
                <w:color w:val="auto"/>
              </w:rPr>
            </w:pPr>
          </w:p>
        </w:tc>
        <w:tc>
          <w:tcPr>
            <w:tcW w:w="188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FFFF"/>
          </w:tcPr>
          <w:p>
            <w:pPr>
              <w:jc w:val="right"/>
              <w:ind w:right="99"/>
              <w:spacing w:after="0"/>
              <w:rPr>
                <w:sz w:val="20"/>
                <w:szCs w:val="20"/>
                <w:color w:val="auto"/>
              </w:rPr>
            </w:pPr>
            <w:r>
              <w:rPr>
                <w:rFonts w:ascii="Arial" w:cs="Arial" w:eastAsia="Arial" w:hAnsi="Arial"/>
                <w:sz w:val="16"/>
                <w:szCs w:val="16"/>
                <w:color w:val="auto"/>
              </w:rPr>
              <w:t>13,780</w:t>
            </w:r>
          </w:p>
        </w:tc>
        <w:tc>
          <w:tcPr>
            <w:tcW w:w="72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103,182</w:t>
            </w:r>
          </w:p>
        </w:tc>
      </w:tr>
      <w:tr>
        <w:trPr>
          <w:trHeight w:val="249"/>
        </w:trPr>
        <w:tc>
          <w:tcPr>
            <w:tcW w:w="1380" w:type="dxa"/>
            <w:vAlign w:val="bottom"/>
            <w:shd w:val="clear" w:color="auto" w:fill="CCFFFF"/>
          </w:tcPr>
          <w:p>
            <w:pPr>
              <w:spacing w:after="0"/>
              <w:rPr>
                <w:sz w:val="21"/>
                <w:szCs w:val="21"/>
                <w:color w:val="auto"/>
              </w:rPr>
            </w:pPr>
          </w:p>
        </w:tc>
        <w:tc>
          <w:tcPr>
            <w:tcW w:w="580" w:type="dxa"/>
            <w:vAlign w:val="bottom"/>
            <w:shd w:val="clear" w:color="auto" w:fill="CCFFFF"/>
          </w:tcPr>
          <w:p>
            <w:pPr>
              <w:ind w:left="140"/>
              <w:spacing w:after="0"/>
              <w:rPr>
                <w:sz w:val="20"/>
                <w:szCs w:val="20"/>
                <w:color w:val="auto"/>
              </w:rPr>
            </w:pPr>
            <w:r>
              <w:rPr>
                <w:rFonts w:ascii="Arial" w:cs="Arial" w:eastAsia="Arial" w:hAnsi="Arial"/>
                <w:sz w:val="16"/>
                <w:szCs w:val="16"/>
                <w:color w:val="auto"/>
              </w:rPr>
              <w:t>2015</w:t>
            </w:r>
          </w:p>
        </w:tc>
        <w:tc>
          <w:tcPr>
            <w:tcW w:w="1660" w:type="dxa"/>
            <w:vAlign w:val="bottom"/>
            <w:shd w:val="clear" w:color="auto" w:fill="CCFFFF"/>
          </w:tcPr>
          <w:p>
            <w:pPr>
              <w:jc w:val="right"/>
              <w:ind w:right="79"/>
              <w:spacing w:after="0"/>
              <w:rPr>
                <w:sz w:val="20"/>
                <w:szCs w:val="20"/>
                <w:color w:val="auto"/>
              </w:rPr>
            </w:pPr>
            <w:r>
              <w:rPr>
                <w:rFonts w:ascii="Arial" w:cs="Arial" w:eastAsia="Arial" w:hAnsi="Arial"/>
                <w:sz w:val="16"/>
                <w:szCs w:val="16"/>
                <w:color w:val="auto"/>
              </w:rPr>
              <w:t>23,762</w:t>
            </w:r>
          </w:p>
        </w:tc>
        <w:tc>
          <w:tcPr>
            <w:tcW w:w="124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FFFF"/>
          </w:tcPr>
          <w:p>
            <w:pPr>
              <w:spacing w:after="0"/>
              <w:rPr>
                <w:sz w:val="21"/>
                <w:szCs w:val="21"/>
                <w:color w:val="auto"/>
              </w:rPr>
            </w:pPr>
          </w:p>
        </w:tc>
        <w:tc>
          <w:tcPr>
            <w:tcW w:w="180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FFFF"/>
          </w:tcPr>
          <w:p>
            <w:pPr>
              <w:spacing w:after="0"/>
              <w:rPr>
                <w:sz w:val="21"/>
                <w:szCs w:val="21"/>
                <w:color w:val="auto"/>
              </w:rPr>
            </w:pPr>
          </w:p>
        </w:tc>
        <w:tc>
          <w:tcPr>
            <w:tcW w:w="188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FFFF"/>
          </w:tcPr>
          <w:p>
            <w:pPr>
              <w:jc w:val="right"/>
              <w:ind w:right="99"/>
              <w:spacing w:after="0"/>
              <w:rPr>
                <w:sz w:val="20"/>
                <w:szCs w:val="20"/>
                <w:color w:val="auto"/>
              </w:rPr>
            </w:pPr>
            <w:r>
              <w:rPr>
                <w:rFonts w:ascii="Arial" w:cs="Arial" w:eastAsia="Arial" w:hAnsi="Arial"/>
                <w:sz w:val="16"/>
                <w:szCs w:val="16"/>
                <w:color w:val="auto"/>
              </w:rPr>
              <w:t>13,780</w:t>
            </w:r>
          </w:p>
        </w:tc>
        <w:tc>
          <w:tcPr>
            <w:tcW w:w="72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37,542</w:t>
            </w:r>
          </w:p>
        </w:tc>
      </w:tr>
      <w:tr>
        <w:trPr>
          <w:trHeight w:val="303"/>
        </w:trPr>
        <w:tc>
          <w:tcPr>
            <w:tcW w:w="1380" w:type="dxa"/>
            <w:vAlign w:val="bottom"/>
            <w:shd w:val="clear" w:color="auto" w:fill="CCFFFF"/>
          </w:tcPr>
          <w:p>
            <w:pPr>
              <w:spacing w:after="0"/>
              <w:rPr>
                <w:sz w:val="24"/>
                <w:szCs w:val="24"/>
                <w:color w:val="auto"/>
              </w:rPr>
            </w:pPr>
          </w:p>
        </w:tc>
        <w:tc>
          <w:tcPr>
            <w:tcW w:w="580" w:type="dxa"/>
            <w:vAlign w:val="bottom"/>
            <w:shd w:val="clear" w:color="auto" w:fill="CCFFFF"/>
          </w:tcPr>
          <w:p>
            <w:pPr>
              <w:ind w:left="140"/>
              <w:spacing w:after="0"/>
              <w:rPr>
                <w:sz w:val="20"/>
                <w:szCs w:val="20"/>
                <w:color w:val="auto"/>
              </w:rPr>
            </w:pPr>
            <w:r>
              <w:rPr>
                <w:rFonts w:ascii="Arial" w:cs="Arial" w:eastAsia="Arial" w:hAnsi="Arial"/>
                <w:sz w:val="16"/>
                <w:szCs w:val="16"/>
                <w:color w:val="auto"/>
              </w:rPr>
              <w:t>2014</w:t>
            </w:r>
          </w:p>
        </w:tc>
        <w:tc>
          <w:tcPr>
            <w:tcW w:w="1660" w:type="dxa"/>
            <w:vAlign w:val="bottom"/>
            <w:shd w:val="clear" w:color="auto" w:fill="CCFFFF"/>
          </w:tcPr>
          <w:p>
            <w:pPr>
              <w:jc w:val="right"/>
              <w:ind w:right="79"/>
              <w:spacing w:after="0"/>
              <w:rPr>
                <w:sz w:val="20"/>
                <w:szCs w:val="20"/>
                <w:color w:val="auto"/>
              </w:rPr>
            </w:pPr>
            <w:r>
              <w:rPr>
                <w:rFonts w:ascii="Arial" w:cs="Arial" w:eastAsia="Arial" w:hAnsi="Arial"/>
                <w:sz w:val="16"/>
                <w:szCs w:val="16"/>
                <w:color w:val="auto"/>
              </w:rPr>
              <w:t>23,832</w:t>
            </w:r>
          </w:p>
        </w:tc>
        <w:tc>
          <w:tcPr>
            <w:tcW w:w="124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13,735</w:t>
            </w:r>
          </w:p>
        </w:tc>
        <w:tc>
          <w:tcPr>
            <w:tcW w:w="360" w:type="dxa"/>
            <w:vAlign w:val="bottom"/>
            <w:shd w:val="clear" w:color="auto" w:fill="CCFFFF"/>
          </w:tcPr>
          <w:p>
            <w:pPr>
              <w:jc w:val="right"/>
              <w:ind w:right="88"/>
              <w:spacing w:after="0"/>
              <w:rPr>
                <w:sz w:val="20"/>
                <w:szCs w:val="20"/>
                <w:color w:val="auto"/>
              </w:rPr>
            </w:pPr>
            <w:r>
              <w:rPr>
                <w:rFonts w:ascii="Arial" w:cs="Arial" w:eastAsia="Arial" w:hAnsi="Arial"/>
                <w:sz w:val="14"/>
                <w:szCs w:val="14"/>
                <w:color w:val="auto"/>
              </w:rPr>
              <w:t>(4)</w:t>
            </w:r>
          </w:p>
        </w:tc>
        <w:tc>
          <w:tcPr>
            <w:tcW w:w="180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FFFF"/>
          </w:tcPr>
          <w:p>
            <w:pPr>
              <w:spacing w:after="0"/>
              <w:rPr>
                <w:sz w:val="24"/>
                <w:szCs w:val="24"/>
                <w:color w:val="auto"/>
              </w:rPr>
            </w:pPr>
          </w:p>
        </w:tc>
        <w:tc>
          <w:tcPr>
            <w:tcW w:w="188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FFFF"/>
          </w:tcPr>
          <w:p>
            <w:pPr>
              <w:jc w:val="right"/>
              <w:ind w:right="99"/>
              <w:spacing w:after="0"/>
              <w:rPr>
                <w:sz w:val="20"/>
                <w:szCs w:val="20"/>
                <w:color w:val="auto"/>
              </w:rPr>
            </w:pPr>
            <w:r>
              <w:rPr>
                <w:rFonts w:ascii="Arial" w:cs="Arial" w:eastAsia="Arial" w:hAnsi="Arial"/>
                <w:sz w:val="16"/>
                <w:szCs w:val="16"/>
                <w:color w:val="auto"/>
              </w:rPr>
              <w:t>13,520</w:t>
            </w:r>
          </w:p>
        </w:tc>
        <w:tc>
          <w:tcPr>
            <w:tcW w:w="72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51,087</w:t>
            </w:r>
          </w:p>
        </w:tc>
      </w:tr>
      <w:tr>
        <w:trPr>
          <w:trHeight w:val="264"/>
        </w:trPr>
        <w:tc>
          <w:tcPr>
            <w:tcW w:w="1380" w:type="dxa"/>
            <w:vAlign w:val="bottom"/>
          </w:tcPr>
          <w:p>
            <w:pPr>
              <w:ind w:left="40"/>
              <w:spacing w:after="0"/>
              <w:rPr>
                <w:sz w:val="20"/>
                <w:szCs w:val="20"/>
                <w:color w:val="auto"/>
              </w:rPr>
            </w:pPr>
            <w:r>
              <w:rPr>
                <w:rFonts w:ascii="Arial" w:cs="Arial" w:eastAsia="Arial" w:hAnsi="Arial"/>
                <w:sz w:val="16"/>
                <w:szCs w:val="16"/>
                <w:color w:val="auto"/>
              </w:rPr>
              <w:t>Tracy E. Calder</w:t>
            </w:r>
          </w:p>
        </w:tc>
        <w:tc>
          <w:tcPr>
            <w:tcW w:w="580" w:type="dxa"/>
            <w:vAlign w:val="bottom"/>
          </w:tcPr>
          <w:p>
            <w:pPr>
              <w:ind w:left="140"/>
              <w:spacing w:after="0"/>
              <w:rPr>
                <w:sz w:val="20"/>
                <w:szCs w:val="20"/>
                <w:color w:val="auto"/>
              </w:rPr>
            </w:pPr>
            <w:r>
              <w:rPr>
                <w:rFonts w:ascii="Arial" w:cs="Arial" w:eastAsia="Arial" w:hAnsi="Arial"/>
                <w:sz w:val="16"/>
                <w:szCs w:val="16"/>
                <w:color w:val="auto"/>
              </w:rPr>
              <w:t>2016</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34,847</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238,089</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3,075</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276,011</w:t>
            </w:r>
          </w:p>
        </w:tc>
      </w:tr>
      <w:tr>
        <w:trPr>
          <w:trHeight w:val="270"/>
        </w:trPr>
        <w:tc>
          <w:tcPr>
            <w:tcW w:w="1380" w:type="dxa"/>
            <w:vAlign w:val="bottom"/>
            <w:tcBorders>
              <w:bottom w:val="single" w:sz="8" w:color="336699"/>
            </w:tcBorders>
            <w:shd w:val="clear" w:color="auto" w:fill="CCFFFF"/>
          </w:tcPr>
          <w:p>
            <w:pPr>
              <w:ind w:left="40"/>
              <w:spacing w:after="0"/>
              <w:rPr>
                <w:sz w:val="20"/>
                <w:szCs w:val="20"/>
                <w:color w:val="auto"/>
              </w:rPr>
            </w:pPr>
            <w:r>
              <w:rPr>
                <w:rFonts w:ascii="Arial" w:cs="Arial" w:eastAsia="Arial" w:hAnsi="Arial"/>
                <w:sz w:val="16"/>
                <w:szCs w:val="16"/>
                <w:color w:val="auto"/>
              </w:rPr>
              <w:t>Thomas Gooley</w:t>
            </w:r>
          </w:p>
        </w:tc>
        <w:tc>
          <w:tcPr>
            <w:tcW w:w="580" w:type="dxa"/>
            <w:vAlign w:val="bottom"/>
            <w:tcBorders>
              <w:bottom w:val="single" w:sz="8" w:color="336699"/>
            </w:tcBorders>
            <w:shd w:val="clear" w:color="auto" w:fill="CCFFFF"/>
          </w:tcPr>
          <w:p>
            <w:pPr>
              <w:ind w:left="140"/>
              <w:spacing w:after="0"/>
              <w:rPr>
                <w:sz w:val="20"/>
                <w:szCs w:val="20"/>
                <w:color w:val="auto"/>
              </w:rPr>
            </w:pPr>
            <w:r>
              <w:rPr>
                <w:rFonts w:ascii="Arial" w:cs="Arial" w:eastAsia="Arial" w:hAnsi="Arial"/>
                <w:sz w:val="16"/>
                <w:szCs w:val="16"/>
                <w:color w:val="auto"/>
              </w:rPr>
              <w:t>2016</w:t>
            </w:r>
          </w:p>
        </w:tc>
        <w:tc>
          <w:tcPr>
            <w:tcW w:w="1660" w:type="dxa"/>
            <w:vAlign w:val="bottom"/>
            <w:tcBorders>
              <w:bottom w:val="single" w:sz="8" w:color="336699"/>
            </w:tcBorders>
            <w:shd w:val="clear" w:color="auto" w:fill="CCFFFF"/>
          </w:tcPr>
          <w:p>
            <w:pPr>
              <w:jc w:val="right"/>
              <w:ind w:right="79"/>
              <w:spacing w:after="0"/>
              <w:rPr>
                <w:sz w:val="20"/>
                <w:szCs w:val="20"/>
                <w:color w:val="auto"/>
              </w:rPr>
            </w:pPr>
            <w:r>
              <w:rPr>
                <w:rFonts w:ascii="Arial" w:cs="Arial" w:eastAsia="Arial" w:hAnsi="Arial"/>
                <w:sz w:val="16"/>
                <w:szCs w:val="16"/>
                <w:color w:val="auto"/>
              </w:rPr>
              <w:t>14,000</w:t>
            </w:r>
          </w:p>
        </w:tc>
        <w:tc>
          <w:tcPr>
            <w:tcW w:w="1240" w:type="dxa"/>
            <w:vAlign w:val="bottom"/>
            <w:tcBorders>
              <w:bottom w:val="single" w:sz="8" w:color="336699"/>
            </w:tcBorders>
            <w:shd w:val="clear" w:color="auto" w:fill="CCFFFF"/>
          </w:tcPr>
          <w:p>
            <w:pPr>
              <w:jc w:val="right"/>
              <w:ind w:right="39"/>
              <w:spacing w:after="0"/>
              <w:rPr>
                <w:sz w:val="20"/>
                <w:szCs w:val="20"/>
                <w:color w:val="auto"/>
              </w:rPr>
            </w:pPr>
            <w:r>
              <w:rPr>
                <w:rFonts w:ascii="Arial" w:cs="Arial" w:eastAsia="Arial" w:hAnsi="Arial"/>
                <w:sz w:val="16"/>
                <w:szCs w:val="16"/>
                <w:color w:val="auto"/>
              </w:rPr>
              <w:t>14,267</w:t>
            </w:r>
          </w:p>
        </w:tc>
        <w:tc>
          <w:tcPr>
            <w:tcW w:w="360" w:type="dxa"/>
            <w:vAlign w:val="bottom"/>
            <w:tcBorders>
              <w:bottom w:val="single" w:sz="8" w:color="336699"/>
            </w:tcBorders>
            <w:shd w:val="clear" w:color="auto" w:fill="CCFFFF"/>
          </w:tcPr>
          <w:p>
            <w:pPr>
              <w:jc w:val="right"/>
              <w:ind w:right="88"/>
              <w:spacing w:after="0"/>
              <w:rPr>
                <w:sz w:val="20"/>
                <w:szCs w:val="20"/>
                <w:color w:val="auto"/>
              </w:rPr>
            </w:pPr>
            <w:r>
              <w:rPr>
                <w:rFonts w:ascii="Arial" w:cs="Arial" w:eastAsia="Arial" w:hAnsi="Arial"/>
                <w:sz w:val="14"/>
                <w:szCs w:val="14"/>
                <w:color w:val="auto"/>
              </w:rPr>
              <w:t>(3)</w:t>
            </w:r>
          </w:p>
        </w:tc>
        <w:tc>
          <w:tcPr>
            <w:tcW w:w="1800" w:type="dxa"/>
            <w:vAlign w:val="bottom"/>
            <w:tcBorders>
              <w:bottom w:val="single" w:sz="8" w:color="336699"/>
            </w:tcBorders>
            <w:shd w:val="clear" w:color="auto" w:fill="CCFFFF"/>
          </w:tcPr>
          <w:p>
            <w:pPr>
              <w:jc w:val="right"/>
              <w:ind w:right="19"/>
              <w:spacing w:after="0"/>
              <w:rPr>
                <w:sz w:val="20"/>
                <w:szCs w:val="20"/>
                <w:color w:val="auto"/>
              </w:rPr>
            </w:pPr>
            <w:r>
              <w:rPr>
                <w:rFonts w:ascii="Arial" w:cs="Arial" w:eastAsia="Arial" w:hAnsi="Arial"/>
                <w:sz w:val="16"/>
                <w:szCs w:val="16"/>
                <w:color w:val="auto"/>
              </w:rPr>
              <w:t>292,392</w:t>
            </w:r>
          </w:p>
        </w:tc>
        <w:tc>
          <w:tcPr>
            <w:tcW w:w="400" w:type="dxa"/>
            <w:vAlign w:val="bottom"/>
            <w:tcBorders>
              <w:bottom w:val="single" w:sz="8" w:color="336699"/>
            </w:tcBorders>
            <w:shd w:val="clear" w:color="auto" w:fill="CCFFFF"/>
          </w:tcPr>
          <w:p>
            <w:pPr>
              <w:jc w:val="right"/>
              <w:ind w:right="128"/>
              <w:spacing w:after="0"/>
              <w:rPr>
                <w:sz w:val="20"/>
                <w:szCs w:val="20"/>
                <w:color w:val="auto"/>
              </w:rPr>
            </w:pPr>
            <w:r>
              <w:rPr>
                <w:rFonts w:ascii="Arial" w:cs="Arial" w:eastAsia="Arial" w:hAnsi="Arial"/>
                <w:sz w:val="14"/>
                <w:szCs w:val="14"/>
                <w:color w:val="auto"/>
              </w:rPr>
              <w:t>(7)</w:t>
            </w:r>
          </w:p>
        </w:tc>
        <w:tc>
          <w:tcPr>
            <w:tcW w:w="1880" w:type="dxa"/>
            <w:vAlign w:val="bottom"/>
            <w:tcBorders>
              <w:bottom w:val="single" w:sz="8" w:color="336699"/>
            </w:tcBorders>
            <w:shd w:val="clear" w:color="auto" w:fill="CCFFFF"/>
          </w:tcPr>
          <w:p>
            <w:pPr>
              <w:jc w:val="right"/>
              <w:ind w:right="39"/>
              <w:spacing w:after="0"/>
              <w:rPr>
                <w:sz w:val="20"/>
                <w:szCs w:val="20"/>
                <w:color w:val="auto"/>
              </w:rPr>
            </w:pPr>
            <w:r>
              <w:rPr>
                <w:rFonts w:ascii="Arial" w:cs="Arial" w:eastAsia="Arial" w:hAnsi="Arial"/>
                <w:sz w:val="16"/>
                <w:szCs w:val="16"/>
                <w:color w:val="auto"/>
              </w:rPr>
              <w:t>15,000</w:t>
            </w:r>
          </w:p>
        </w:tc>
        <w:tc>
          <w:tcPr>
            <w:tcW w:w="1400" w:type="dxa"/>
            <w:vAlign w:val="bottom"/>
            <w:tcBorders>
              <w:bottom w:val="single" w:sz="8" w:color="336699"/>
            </w:tcBorders>
            <w:shd w:val="clear" w:color="auto" w:fill="CCFFFF"/>
          </w:tcPr>
          <w:p>
            <w:pPr>
              <w:jc w:val="right"/>
              <w:ind w:right="99"/>
              <w:spacing w:after="0"/>
              <w:rPr>
                <w:sz w:val="20"/>
                <w:szCs w:val="20"/>
                <w:color w:val="auto"/>
              </w:rPr>
            </w:pPr>
            <w:r>
              <w:rPr>
                <w:rFonts w:ascii="Arial" w:cs="Arial" w:eastAsia="Arial" w:hAnsi="Arial"/>
                <w:sz w:val="16"/>
                <w:szCs w:val="16"/>
                <w:color w:val="auto"/>
              </w:rPr>
              <w:t>5,391</w:t>
            </w:r>
          </w:p>
        </w:tc>
        <w:tc>
          <w:tcPr>
            <w:tcW w:w="720" w:type="dxa"/>
            <w:vAlign w:val="bottom"/>
            <w:tcBorders>
              <w:bottom w:val="single" w:sz="8" w:color="336699"/>
            </w:tcBorders>
            <w:shd w:val="clear" w:color="auto" w:fill="CCFFFF"/>
          </w:tcPr>
          <w:p>
            <w:pPr>
              <w:jc w:val="right"/>
              <w:ind w:right="19"/>
              <w:spacing w:after="0"/>
              <w:rPr>
                <w:sz w:val="20"/>
                <w:szCs w:val="20"/>
                <w:color w:val="auto"/>
              </w:rPr>
            </w:pPr>
            <w:r>
              <w:rPr>
                <w:rFonts w:ascii="Arial" w:cs="Arial" w:eastAsia="Arial" w:hAnsi="Arial"/>
                <w:sz w:val="16"/>
                <w:szCs w:val="16"/>
                <w:color w:val="auto"/>
              </w:rPr>
              <w:t>341,050</w:t>
            </w:r>
          </w:p>
        </w:tc>
      </w:tr>
    </w:tbl>
    <w:p>
      <w:pPr>
        <w:spacing w:after="0" w:line="56" w:lineRule="exact"/>
        <w:rPr>
          <w:sz w:val="20"/>
          <w:szCs w:val="20"/>
          <w:color w:val="auto"/>
        </w:rPr>
      </w:pPr>
    </w:p>
    <w:p>
      <w:pPr>
        <w:ind w:left="340" w:right="460" w:hanging="332"/>
        <w:spacing w:after="0" w:line="260"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 determined to phase out its Automobile Program in 2016. Mr. Arnold’s automobile perquisite terminated in October 2016, and Messrs. Audette and Gooley’s automobile perquisites terminated in May 2016.</w:t>
      </w:r>
    </w:p>
    <w:p>
      <w:pPr>
        <w:spacing w:after="0" w:line="87"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reimbursements received under the Company’s executive financial services policy.</w:t>
      </w:r>
    </w:p>
    <w:p>
      <w:pPr>
        <w:spacing w:after="0" w:line="113" w:lineRule="exact"/>
        <w:rPr>
          <w:rFonts w:ascii="Arial" w:cs="Arial" w:eastAsia="Arial" w:hAnsi="Arial"/>
          <w:sz w:val="16"/>
          <w:szCs w:val="16"/>
          <w:color w:val="auto"/>
        </w:rPr>
      </w:pPr>
    </w:p>
    <w:p>
      <w:pPr>
        <w:ind w:left="340" w:right="60" w:hanging="332"/>
        <w:spacing w:after="0" w:line="251"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hotel, air travel, and conference expenses, and related tax gross-up payments, related to the attendance in 2016 of the NEO, and in the case of Messrs. Casady and Arnold and Ms. Calder, the NEO’s spouse at a conference hosted by the Company outside of the United States for its top-producing financial advisors. Tax gross-up payments of $10,049, $36,812, $11,970, and $6,788 were made to Messrs. Casady and Arnold and Ms. Calder and Mr. Gooley, respectively.</w:t>
      </w:r>
    </w:p>
    <w:p>
      <w:pPr>
        <w:spacing w:after="0" w:line="94" w:lineRule="exact"/>
        <w:rPr>
          <w:rFonts w:ascii="Arial" w:cs="Arial" w:eastAsia="Arial" w:hAnsi="Arial"/>
          <w:sz w:val="16"/>
          <w:szCs w:val="16"/>
          <w:color w:val="auto"/>
        </w:rPr>
      </w:pPr>
    </w:p>
    <w:p>
      <w:pPr>
        <w:ind w:left="340" w:right="40" w:hanging="332"/>
        <w:spacing w:after="0" w:line="253"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hotel, air travel and conference expenses, and related tax gross-up payments, related to the attendance in 2014 of the NEO and the NEO’s spouse at a conference hosted by the Company outside of the United States for its top-producing financial advisors. Tax gross-up payments of $6,093 and $4,663 were made to Messrs. Casady and Arnold, respectively.</w:t>
      </w:r>
    </w:p>
    <w:p>
      <w:pPr>
        <w:spacing w:after="0" w:line="93"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tax gross-up payments of $29,936 and $52,962 made to Mr. Audette in 2016 and 2015, respectively, related to relocation expenses.</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tax gross-up payments of $103,776 made to Ms. Calder in 2016 related to relocation expenses.</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tax gross-up payments of $139,775 made to Mr. Gooley in 2016 related to relocation expenses.</w:t>
      </w:r>
    </w:p>
    <w:p>
      <w:pPr>
        <w:spacing w:after="0" w:line="277"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43</w:t>
      </w:r>
    </w:p>
    <w:p>
      <w:pPr>
        <w:sectPr>
          <w:pgSz w:w="11900" w:h="16838" w:orient="portrait"/>
          <w:cols w:equalWidth="0" w:num="1">
            <w:col w:w="11420"/>
          </w:cols>
          <w:pgMar w:left="240" w:top="436"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5539740" cy="382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39740" cy="382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7700" w:type="dxa"/>
            <w:vAlign w:val="bottom"/>
          </w:tcPr>
          <w:p>
            <w:pPr>
              <w:spacing w:after="0"/>
              <w:rPr>
                <w:sz w:val="20"/>
                <w:szCs w:val="20"/>
                <w:color w:val="auto"/>
              </w:rPr>
            </w:pPr>
            <w:r>
              <w:rPr>
                <w:rFonts w:ascii="Arial" w:cs="Arial" w:eastAsia="Arial" w:hAnsi="Arial"/>
                <w:sz w:val="18"/>
                <w:szCs w:val="18"/>
                <w:color w:val="auto"/>
              </w:rPr>
              <w:t>Annual Cash Bonus Awards</w:t>
            </w:r>
          </w:p>
        </w:tc>
        <w:tc>
          <w:tcPr>
            <w:tcW w:w="560" w:type="dxa"/>
            <w:vAlign w:val="bottom"/>
            <w:shd w:val="clear" w:color="auto" w:fill="336699"/>
          </w:tcPr>
          <w:p>
            <w:pPr>
              <w:spacing w:after="0"/>
              <w:rPr>
                <w:sz w:val="23"/>
                <w:szCs w:val="23"/>
                <w:color w:val="auto"/>
              </w:rPr>
            </w:pPr>
          </w:p>
        </w:tc>
        <w:tc>
          <w:tcPr>
            <w:tcW w:w="1160" w:type="dxa"/>
            <w:vAlign w:val="bottom"/>
          </w:tcPr>
          <w:p>
            <w:pPr>
              <w:ind w:left="200"/>
              <w:spacing w:after="0"/>
              <w:rPr>
                <w:sz w:val="20"/>
                <w:szCs w:val="20"/>
                <w:color w:val="auto"/>
              </w:rPr>
            </w:pPr>
            <w:r>
              <w:rPr>
                <w:rFonts w:ascii="Arial" w:cs="Arial" w:eastAsia="Arial" w:hAnsi="Arial"/>
                <w:sz w:val="18"/>
                <w:szCs w:val="18"/>
                <w:color w:val="auto"/>
                <w:w w:val="96"/>
              </w:rPr>
              <w:t>Base Salary</w:t>
            </w:r>
          </w:p>
        </w:tc>
        <w:tc>
          <w:tcPr>
            <w:tcW w:w="0" w:type="dxa"/>
            <w:vAlign w:val="bottom"/>
          </w:tcPr>
          <w:p>
            <w:pPr>
              <w:spacing w:after="0"/>
              <w:rPr>
                <w:sz w:val="1"/>
                <w:szCs w:val="1"/>
                <w:color w:val="auto"/>
              </w:rPr>
            </w:pPr>
          </w:p>
        </w:tc>
      </w:tr>
      <w:tr>
        <w:trPr>
          <w:trHeight w:val="122"/>
        </w:trPr>
        <w:tc>
          <w:tcPr>
            <w:tcW w:w="7700" w:type="dxa"/>
            <w:vAlign w:val="bottom"/>
            <w:vMerge w:val="restart"/>
          </w:tcPr>
          <w:p>
            <w:pPr>
              <w:spacing w:after="0"/>
              <w:rPr>
                <w:sz w:val="20"/>
                <w:szCs w:val="20"/>
                <w:color w:val="auto"/>
              </w:rPr>
            </w:pPr>
            <w:r>
              <w:rPr>
                <w:rFonts w:ascii="Arial" w:cs="Arial" w:eastAsia="Arial" w:hAnsi="Arial"/>
                <w:sz w:val="18"/>
                <w:szCs w:val="18"/>
                <w:color w:val="auto"/>
              </w:rPr>
              <w:t>Long-Term Incentives</w:t>
            </w:r>
          </w:p>
        </w:tc>
        <w:tc>
          <w:tcPr>
            <w:tcW w:w="560" w:type="dxa"/>
            <w:vAlign w:val="bottom"/>
          </w:tcPr>
          <w:p>
            <w:pPr>
              <w:spacing w:after="0"/>
              <w:rPr>
                <w:sz w:val="10"/>
                <w:szCs w:val="10"/>
                <w:color w:val="auto"/>
              </w:rPr>
            </w:pPr>
          </w:p>
        </w:tc>
        <w:tc>
          <w:tcPr>
            <w:tcW w:w="1160" w:type="dxa"/>
            <w:vAlign w:val="bottom"/>
            <w:vMerge w:val="restart"/>
          </w:tcPr>
          <w:p>
            <w:pPr>
              <w:ind w:left="20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70"/>
        </w:trPr>
        <w:tc>
          <w:tcPr>
            <w:tcW w:w="7700" w:type="dxa"/>
            <w:vAlign w:val="bottom"/>
            <w:vMerge w:val="continue"/>
          </w:tcPr>
          <w:p>
            <w:pPr>
              <w:spacing w:after="0"/>
              <w:rPr>
                <w:sz w:val="23"/>
                <w:szCs w:val="23"/>
                <w:color w:val="auto"/>
              </w:rPr>
            </w:pPr>
          </w:p>
        </w:tc>
        <w:tc>
          <w:tcPr>
            <w:tcW w:w="560" w:type="dxa"/>
            <w:vAlign w:val="bottom"/>
            <w:shd w:val="clear" w:color="auto" w:fill="CCFFFF"/>
          </w:tcPr>
          <w:p>
            <w:pPr>
              <w:spacing w:after="0"/>
              <w:rPr>
                <w:sz w:val="23"/>
                <w:szCs w:val="23"/>
                <w:color w:val="auto"/>
              </w:rPr>
            </w:pPr>
          </w:p>
        </w:tc>
        <w:tc>
          <w:tcPr>
            <w:tcW w:w="11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6543040" cy="33020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43040"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44 | </w:t>
      </w:r>
      <w:r>
        <w:rPr>
          <w:rFonts w:ascii="Arial" w:cs="Arial" w:eastAsia="Arial" w:hAnsi="Arial"/>
          <w:sz w:val="18"/>
          <w:szCs w:val="18"/>
          <w:b w:val="1"/>
          <w:bCs w:val="1"/>
          <w:color w:val="003B71"/>
        </w:rPr>
        <w:t>2017 Proxy Statement</w:t>
      </w:r>
    </w:p>
    <w:p>
      <w:pPr>
        <w:sectPr>
          <w:pgSz w:w="11900" w:h="16838" w:orient="portrait"/>
          <w:cols w:equalWidth="0" w:num="1">
            <w:col w:w="11360"/>
          </w:cols>
          <w:pgMar w:left="240" w:top="436" w:right="299" w:bottom="1440" w:gutter="0" w:footer="0" w:header="0"/>
        </w:sectPr>
      </w:pPr>
    </w:p>
    <w:bookmarkStart w:id="50" w:name="page51"/>
    <w:bookmarkEnd w:id="50"/>
    <w:p>
      <w:pPr>
        <w:ind w:left="7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2016 Grants of Plan-Based Awards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non-equity and equity-based awards granted to our NEOs during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336699"/>
              </w:rPr>
              <w:t>Estimated Future Payouts Under</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336699"/>
              </w:rPr>
              <w:t>All Other Stock</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336699"/>
              </w:rPr>
              <w:t>All Other Option</w:t>
            </w:r>
          </w:p>
        </w:tc>
        <w:tc>
          <w:tcPr>
            <w:tcW w:w="280" w:type="dxa"/>
            <w:vAlign w:val="bottom"/>
          </w:tcPr>
          <w:p>
            <w:pPr>
              <w:spacing w:after="0"/>
              <w:rPr>
                <w:sz w:val="17"/>
                <w:szCs w:val="17"/>
                <w:color w:val="auto"/>
              </w:rPr>
            </w:pPr>
          </w:p>
        </w:tc>
        <w:tc>
          <w:tcPr>
            <w:tcW w:w="1100" w:type="dxa"/>
            <w:vAlign w:val="bottom"/>
          </w:tcPr>
          <w:p>
            <w:pPr>
              <w:jc w:val="center"/>
              <w:ind w:right="201"/>
              <w:spacing w:after="0"/>
              <w:rPr>
                <w:sz w:val="20"/>
                <w:szCs w:val="20"/>
                <w:color w:val="auto"/>
              </w:rPr>
            </w:pPr>
            <w:r>
              <w:rPr>
                <w:rFonts w:ascii="Arial" w:cs="Arial" w:eastAsia="Arial" w:hAnsi="Arial"/>
                <w:sz w:val="14"/>
                <w:szCs w:val="14"/>
                <w:b w:val="1"/>
                <w:bCs w:val="1"/>
                <w:color w:val="336699"/>
              </w:rPr>
              <w:t>Exercise or</w:t>
            </w: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336699"/>
              </w:rPr>
              <w:t>Grant Date Fair Value</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500" w:type="dxa"/>
            <w:vAlign w:val="bottom"/>
            <w:gridSpan w:val="4"/>
          </w:tcPr>
          <w:p>
            <w:pPr>
              <w:ind w:left="40"/>
              <w:spacing w:after="0" w:line="162" w:lineRule="exact"/>
              <w:rPr>
                <w:sz w:val="20"/>
                <w:szCs w:val="20"/>
                <w:color w:val="auto"/>
              </w:rPr>
            </w:pPr>
            <w:r>
              <w:rPr>
                <w:rFonts w:ascii="Arial" w:cs="Arial" w:eastAsia="Arial" w:hAnsi="Arial"/>
                <w:sz w:val="14"/>
                <w:szCs w:val="14"/>
                <w:b w:val="1"/>
                <w:bCs w:val="1"/>
                <w:color w:val="336699"/>
              </w:rPr>
              <w:t>Non-Equity Incentive Plan Awards</w:t>
            </w:r>
            <w:r>
              <w:rPr>
                <w:rFonts w:ascii="Arial" w:cs="Arial" w:eastAsia="Arial" w:hAnsi="Arial"/>
                <w:sz w:val="17"/>
                <w:szCs w:val="17"/>
                <w:b w:val="1"/>
                <w:bCs w:val="1"/>
                <w:color w:val="336699"/>
                <w:vertAlign w:val="superscript"/>
              </w:rPr>
              <w:t>(1)</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336699"/>
              </w:rPr>
              <w:t>Awards: Shares of</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336699"/>
              </w:rPr>
              <w:t>Awards: Securities</w:t>
            </w:r>
          </w:p>
        </w:tc>
        <w:tc>
          <w:tcPr>
            <w:tcW w:w="280" w:type="dxa"/>
            <w:vAlign w:val="bottom"/>
          </w:tcPr>
          <w:p>
            <w:pPr>
              <w:spacing w:after="0"/>
              <w:rPr>
                <w:sz w:val="14"/>
                <w:szCs w:val="14"/>
                <w:color w:val="auto"/>
              </w:rPr>
            </w:pPr>
          </w:p>
        </w:tc>
        <w:tc>
          <w:tcPr>
            <w:tcW w:w="1100" w:type="dxa"/>
            <w:vAlign w:val="bottom"/>
          </w:tcPr>
          <w:p>
            <w:pPr>
              <w:jc w:val="center"/>
              <w:ind w:right="201"/>
              <w:spacing w:after="0"/>
              <w:rPr>
                <w:sz w:val="20"/>
                <w:szCs w:val="20"/>
                <w:color w:val="auto"/>
              </w:rPr>
            </w:pPr>
            <w:r>
              <w:rPr>
                <w:rFonts w:ascii="Arial" w:cs="Arial" w:eastAsia="Arial" w:hAnsi="Arial"/>
                <w:sz w:val="14"/>
                <w:szCs w:val="14"/>
                <w:b w:val="1"/>
                <w:bCs w:val="1"/>
                <w:color w:val="336699"/>
              </w:rPr>
              <w:t>Base Price</w:t>
            </w: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336699"/>
              </w:rPr>
              <w:t>of Stock and Option</w:t>
            </w:r>
          </w:p>
        </w:tc>
        <w:tc>
          <w:tcPr>
            <w:tcW w:w="0" w:type="dxa"/>
            <w:vAlign w:val="bottom"/>
          </w:tcPr>
          <w:p>
            <w:pPr>
              <w:spacing w:after="0"/>
              <w:rPr>
                <w:sz w:val="1"/>
                <w:szCs w:val="1"/>
                <w:color w:val="auto"/>
              </w:rPr>
            </w:pPr>
          </w:p>
        </w:tc>
      </w:tr>
      <w:tr>
        <w:trPr>
          <w:trHeight w:val="54"/>
        </w:trPr>
        <w:tc>
          <w:tcPr>
            <w:tcW w:w="1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Borders>
              <w:bottom w:val="single" w:sz="8" w:color="336699"/>
            </w:tcBorders>
          </w:tcPr>
          <w:p>
            <w:pPr>
              <w:spacing w:after="0"/>
              <w:rPr>
                <w:sz w:val="4"/>
                <w:szCs w:val="4"/>
                <w:color w:val="auto"/>
              </w:rPr>
            </w:pPr>
          </w:p>
        </w:tc>
        <w:tc>
          <w:tcPr>
            <w:tcW w:w="1100" w:type="dxa"/>
            <w:vAlign w:val="bottom"/>
            <w:tcBorders>
              <w:bottom w:val="single" w:sz="8" w:color="336699"/>
            </w:tcBorders>
          </w:tcPr>
          <w:p>
            <w:pPr>
              <w:spacing w:after="0"/>
              <w:rPr>
                <w:sz w:val="4"/>
                <w:szCs w:val="4"/>
                <w:color w:val="auto"/>
              </w:rPr>
            </w:pPr>
          </w:p>
        </w:tc>
        <w:tc>
          <w:tcPr>
            <w:tcW w:w="220" w:type="dxa"/>
            <w:vAlign w:val="bottom"/>
            <w:tcBorders>
              <w:bottom w:val="single" w:sz="8" w:color="336699"/>
            </w:tcBorders>
          </w:tcPr>
          <w:p>
            <w:pPr>
              <w:spacing w:after="0"/>
              <w:rPr>
                <w:sz w:val="4"/>
                <w:szCs w:val="4"/>
                <w:color w:val="auto"/>
              </w:rPr>
            </w:pPr>
          </w:p>
        </w:tc>
        <w:tc>
          <w:tcPr>
            <w:tcW w:w="1040" w:type="dxa"/>
            <w:vAlign w:val="bottom"/>
            <w:tcBorders>
              <w:bottom w:val="single" w:sz="8" w:color="336699"/>
            </w:tcBorders>
          </w:tcPr>
          <w:p>
            <w:pPr>
              <w:spacing w:after="0"/>
              <w:rPr>
                <w:sz w:val="4"/>
                <w:szCs w:val="4"/>
                <w:color w:val="auto"/>
              </w:rPr>
            </w:pPr>
          </w:p>
        </w:tc>
        <w:tc>
          <w:tcPr>
            <w:tcW w:w="146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336699"/>
              </w:rPr>
              <w:t>Stock or Units</w:t>
            </w:r>
          </w:p>
        </w:tc>
        <w:tc>
          <w:tcPr>
            <w:tcW w:w="1540" w:type="dxa"/>
            <w:vAlign w:val="bottom"/>
            <w:vMerge w:val="restart"/>
          </w:tcPr>
          <w:p>
            <w:pPr>
              <w:jc w:val="center"/>
              <w:spacing w:after="0" w:line="122" w:lineRule="exact"/>
              <w:rPr>
                <w:sz w:val="20"/>
                <w:szCs w:val="20"/>
                <w:color w:val="auto"/>
              </w:rPr>
            </w:pPr>
            <w:r>
              <w:rPr>
                <w:rFonts w:ascii="Arial" w:cs="Arial" w:eastAsia="Arial" w:hAnsi="Arial"/>
                <w:sz w:val="14"/>
                <w:szCs w:val="14"/>
                <w:b w:val="1"/>
                <w:bCs w:val="1"/>
                <w:color w:val="336699"/>
              </w:rPr>
              <w:t>Underlying Options</w:t>
            </w:r>
          </w:p>
        </w:tc>
        <w:tc>
          <w:tcPr>
            <w:tcW w:w="138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336699"/>
              </w:rPr>
              <w:t>of Option Awards</w:t>
            </w:r>
          </w:p>
        </w:tc>
        <w:tc>
          <w:tcPr>
            <w:tcW w:w="420" w:type="dxa"/>
            <w:vAlign w:val="bottom"/>
          </w:tcPr>
          <w:p>
            <w:pPr>
              <w:spacing w:after="0"/>
              <w:rPr>
                <w:sz w:val="4"/>
                <w:szCs w:val="4"/>
                <w:color w:val="auto"/>
              </w:rPr>
            </w:pPr>
          </w:p>
        </w:tc>
        <w:tc>
          <w:tcPr>
            <w:tcW w:w="1200" w:type="dxa"/>
            <w:vAlign w:val="bottom"/>
            <w:vMerge w:val="restart"/>
          </w:tcPr>
          <w:p>
            <w:pPr>
              <w:jc w:val="center"/>
              <w:ind w:right="340"/>
              <w:spacing w:after="0" w:line="122" w:lineRule="exact"/>
              <w:rPr>
                <w:sz w:val="20"/>
                <w:szCs w:val="20"/>
                <w:color w:val="auto"/>
              </w:rPr>
            </w:pPr>
            <w:r>
              <w:rPr>
                <w:rFonts w:ascii="Arial" w:cs="Arial" w:eastAsia="Arial" w:hAnsi="Arial"/>
                <w:sz w:val="14"/>
                <w:szCs w:val="14"/>
                <w:b w:val="1"/>
                <w:bCs w:val="1"/>
                <w:color w:val="336699"/>
                <w:w w:val="98"/>
              </w:rPr>
              <w:t>Awards</w:t>
            </w:r>
          </w:p>
        </w:tc>
        <w:tc>
          <w:tcPr>
            <w:tcW w:w="0" w:type="dxa"/>
            <w:vAlign w:val="bottom"/>
          </w:tcPr>
          <w:p>
            <w:pPr>
              <w:spacing w:after="0"/>
              <w:rPr>
                <w:sz w:val="1"/>
                <w:szCs w:val="1"/>
                <w:color w:val="auto"/>
              </w:rPr>
            </w:pPr>
          </w:p>
        </w:tc>
      </w:tr>
      <w:tr>
        <w:trPr>
          <w:trHeight w:val="48"/>
        </w:trPr>
        <w:tc>
          <w:tcPr>
            <w:tcW w:w="1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820" w:type="dxa"/>
            <w:vAlign w:val="bottom"/>
            <w:tcBorders>
              <w:bottom w:val="single" w:sz="8" w:color="336699"/>
            </w:tcBorders>
          </w:tcPr>
          <w:p>
            <w:pPr>
              <w:ind w:left="720"/>
              <w:spacing w:after="0"/>
              <w:rPr>
                <w:sz w:val="20"/>
                <w:szCs w:val="20"/>
                <w:color w:val="auto"/>
              </w:rPr>
            </w:pPr>
            <w:r>
              <w:rPr>
                <w:rFonts w:ascii="Arial" w:cs="Arial" w:eastAsia="Arial" w:hAnsi="Arial"/>
                <w:sz w:val="14"/>
                <w:szCs w:val="14"/>
                <w:b w:val="1"/>
                <w:bCs w:val="1"/>
                <w:color w:val="336699"/>
              </w:rPr>
              <w:t>Name</w:t>
            </w:r>
          </w:p>
        </w:tc>
        <w:tc>
          <w:tcPr>
            <w:tcW w:w="1100" w:type="dxa"/>
            <w:vAlign w:val="bottom"/>
            <w:tcBorders>
              <w:bottom w:val="single" w:sz="8" w:color="336699"/>
            </w:tcBorders>
          </w:tcPr>
          <w:p>
            <w:pPr>
              <w:jc w:val="right"/>
              <w:ind w:right="100"/>
              <w:spacing w:after="0"/>
              <w:rPr>
                <w:sz w:val="20"/>
                <w:szCs w:val="20"/>
                <w:color w:val="auto"/>
              </w:rPr>
            </w:pPr>
            <w:r>
              <w:rPr>
                <w:rFonts w:ascii="Arial" w:cs="Arial" w:eastAsia="Arial" w:hAnsi="Arial"/>
                <w:sz w:val="14"/>
                <w:szCs w:val="14"/>
                <w:b w:val="1"/>
                <w:bCs w:val="1"/>
                <w:color w:val="336699"/>
              </w:rPr>
              <w:t>Grant Date</w:t>
            </w:r>
          </w:p>
        </w:tc>
        <w:tc>
          <w:tcPr>
            <w:tcW w:w="140" w:type="dxa"/>
            <w:vAlign w:val="bottom"/>
            <w:tcBorders>
              <w:bottom w:val="single" w:sz="8" w:color="336699"/>
            </w:tcBorders>
          </w:tcPr>
          <w:p>
            <w:pPr>
              <w:spacing w:after="0"/>
              <w:rPr>
                <w:sz w:val="17"/>
                <w:szCs w:val="17"/>
                <w:color w:val="auto"/>
              </w:rPr>
            </w:pPr>
          </w:p>
        </w:tc>
        <w:tc>
          <w:tcPr>
            <w:tcW w:w="1100" w:type="dxa"/>
            <w:vAlign w:val="bottom"/>
            <w:tcBorders>
              <w:bottom w:val="single" w:sz="8" w:color="336699"/>
            </w:tcBorders>
          </w:tcPr>
          <w:p>
            <w:pPr>
              <w:jc w:val="right"/>
              <w:ind w:right="322"/>
              <w:spacing w:after="0"/>
              <w:rPr>
                <w:sz w:val="20"/>
                <w:szCs w:val="20"/>
                <w:color w:val="auto"/>
              </w:rPr>
            </w:pPr>
            <w:r>
              <w:rPr>
                <w:rFonts w:ascii="Arial" w:cs="Arial" w:eastAsia="Arial" w:hAnsi="Arial"/>
                <w:sz w:val="14"/>
                <w:szCs w:val="14"/>
                <w:b w:val="1"/>
                <w:bCs w:val="1"/>
                <w:color w:val="336699"/>
              </w:rPr>
              <w:t>Target</w:t>
            </w:r>
          </w:p>
        </w:tc>
        <w:tc>
          <w:tcPr>
            <w:tcW w:w="220" w:type="dxa"/>
            <w:vAlign w:val="bottom"/>
            <w:tcBorders>
              <w:bottom w:val="single" w:sz="8" w:color="336699"/>
            </w:tcBorders>
          </w:tcPr>
          <w:p>
            <w:pPr>
              <w:spacing w:after="0"/>
              <w:rPr>
                <w:sz w:val="17"/>
                <w:szCs w:val="17"/>
                <w:color w:val="auto"/>
              </w:rPr>
            </w:pPr>
          </w:p>
        </w:tc>
        <w:tc>
          <w:tcPr>
            <w:tcW w:w="1040" w:type="dxa"/>
            <w:vAlign w:val="bottom"/>
            <w:tcBorders>
              <w:bottom w:val="single" w:sz="8" w:color="336699"/>
            </w:tcBorders>
          </w:tcPr>
          <w:p>
            <w:pPr>
              <w:jc w:val="right"/>
              <w:ind w:right="220"/>
              <w:spacing w:after="0"/>
              <w:rPr>
                <w:sz w:val="20"/>
                <w:szCs w:val="20"/>
                <w:color w:val="auto"/>
              </w:rPr>
            </w:pPr>
            <w:r>
              <w:rPr>
                <w:rFonts w:ascii="Arial" w:cs="Arial" w:eastAsia="Arial" w:hAnsi="Arial"/>
                <w:sz w:val="14"/>
                <w:szCs w:val="14"/>
                <w:b w:val="1"/>
                <w:bCs w:val="1"/>
                <w:color w:val="336699"/>
              </w:rPr>
              <w:t>Maximum</w:t>
            </w:r>
          </w:p>
        </w:tc>
        <w:tc>
          <w:tcPr>
            <w:tcW w:w="1060" w:type="dxa"/>
            <w:vAlign w:val="bottom"/>
            <w:tcBorders>
              <w:bottom w:val="single" w:sz="8" w:color="336699"/>
            </w:tcBorders>
          </w:tcPr>
          <w:p>
            <w:pPr>
              <w:jc w:val="center"/>
              <w:ind w:left="321"/>
              <w:spacing w:after="0"/>
              <w:rPr>
                <w:sz w:val="20"/>
                <w:szCs w:val="20"/>
                <w:color w:val="auto"/>
              </w:rPr>
            </w:pPr>
            <w:r>
              <w:rPr>
                <w:rFonts w:ascii="Arial" w:cs="Arial" w:eastAsia="Arial" w:hAnsi="Arial"/>
                <w:sz w:val="14"/>
                <w:szCs w:val="14"/>
                <w:b w:val="1"/>
                <w:bCs w:val="1"/>
                <w:color w:val="336699"/>
                <w:w w:val="99"/>
              </w:rPr>
              <w:t>(#)(2)</w:t>
            </w:r>
          </w:p>
        </w:tc>
        <w:tc>
          <w:tcPr>
            <w:tcW w:w="400" w:type="dxa"/>
            <w:vAlign w:val="bottom"/>
            <w:tcBorders>
              <w:bottom w:val="single" w:sz="8" w:color="336699"/>
            </w:tcBorders>
          </w:tcPr>
          <w:p>
            <w:pPr>
              <w:spacing w:after="0"/>
              <w:rPr>
                <w:sz w:val="17"/>
                <w:szCs w:val="17"/>
                <w:color w:val="auto"/>
              </w:rPr>
            </w:pPr>
          </w:p>
        </w:tc>
        <w:tc>
          <w:tcPr>
            <w:tcW w:w="1540" w:type="dxa"/>
            <w:vAlign w:val="bottom"/>
            <w:tcBorders>
              <w:bottom w:val="single" w:sz="8" w:color="336699"/>
            </w:tcBorders>
          </w:tcPr>
          <w:p>
            <w:pPr>
              <w:jc w:val="center"/>
              <w:spacing w:after="0"/>
              <w:rPr>
                <w:sz w:val="20"/>
                <w:szCs w:val="20"/>
                <w:color w:val="auto"/>
              </w:rPr>
            </w:pPr>
            <w:r>
              <w:rPr>
                <w:rFonts w:ascii="Arial" w:cs="Arial" w:eastAsia="Arial" w:hAnsi="Arial"/>
                <w:sz w:val="14"/>
                <w:szCs w:val="14"/>
                <w:b w:val="1"/>
                <w:bCs w:val="1"/>
                <w:color w:val="336699"/>
              </w:rPr>
              <w:t>(#)(3)</w:t>
            </w:r>
          </w:p>
        </w:tc>
        <w:tc>
          <w:tcPr>
            <w:tcW w:w="280" w:type="dxa"/>
            <w:vAlign w:val="bottom"/>
            <w:tcBorders>
              <w:bottom w:val="single" w:sz="8" w:color="336699"/>
            </w:tcBorders>
          </w:tcPr>
          <w:p>
            <w:pPr>
              <w:spacing w:after="0"/>
              <w:rPr>
                <w:sz w:val="17"/>
                <w:szCs w:val="17"/>
                <w:color w:val="auto"/>
              </w:rPr>
            </w:pPr>
          </w:p>
        </w:tc>
        <w:tc>
          <w:tcPr>
            <w:tcW w:w="1100" w:type="dxa"/>
            <w:vAlign w:val="bottom"/>
            <w:tcBorders>
              <w:bottom w:val="single" w:sz="8" w:color="336699"/>
            </w:tcBorders>
          </w:tcPr>
          <w:p>
            <w:pPr>
              <w:jc w:val="center"/>
              <w:ind w:right="201"/>
              <w:spacing w:after="0"/>
              <w:rPr>
                <w:sz w:val="20"/>
                <w:szCs w:val="20"/>
                <w:color w:val="auto"/>
              </w:rPr>
            </w:pPr>
            <w:r>
              <w:rPr>
                <w:rFonts w:ascii="Arial" w:cs="Arial" w:eastAsia="Arial" w:hAnsi="Arial"/>
                <w:sz w:val="14"/>
                <w:szCs w:val="14"/>
                <w:b w:val="1"/>
                <w:bCs w:val="1"/>
                <w:color w:val="336699"/>
              </w:rPr>
              <w:t>($)</w:t>
            </w:r>
          </w:p>
        </w:tc>
        <w:tc>
          <w:tcPr>
            <w:tcW w:w="420" w:type="dxa"/>
            <w:vAlign w:val="bottom"/>
            <w:tcBorders>
              <w:bottom w:val="single" w:sz="8" w:color="336699"/>
            </w:tcBorders>
          </w:tcPr>
          <w:p>
            <w:pPr>
              <w:spacing w:after="0"/>
              <w:rPr>
                <w:sz w:val="17"/>
                <w:szCs w:val="17"/>
                <w:color w:val="auto"/>
              </w:rPr>
            </w:pPr>
          </w:p>
        </w:tc>
        <w:tc>
          <w:tcPr>
            <w:tcW w:w="1200" w:type="dxa"/>
            <w:vAlign w:val="bottom"/>
            <w:tcBorders>
              <w:bottom w:val="single" w:sz="8" w:color="336699"/>
            </w:tcBorders>
          </w:tcPr>
          <w:p>
            <w:pPr>
              <w:jc w:val="center"/>
              <w:ind w:right="340"/>
              <w:spacing w:after="0"/>
              <w:rPr>
                <w:sz w:val="20"/>
                <w:szCs w:val="20"/>
                <w:color w:val="auto"/>
              </w:rPr>
            </w:pPr>
            <w:r>
              <w:rPr>
                <w:rFonts w:ascii="Arial" w:cs="Arial" w:eastAsia="Arial" w:hAnsi="Arial"/>
                <w:sz w:val="14"/>
                <w:szCs w:val="14"/>
                <w:b w:val="1"/>
                <w:bCs w:val="1"/>
                <w:color w:val="336699"/>
                <w:w w:val="99"/>
              </w:rPr>
              <w:t>($)(4)</w:t>
            </w:r>
          </w:p>
        </w:tc>
        <w:tc>
          <w:tcPr>
            <w:tcW w:w="0" w:type="dxa"/>
            <w:vAlign w:val="bottom"/>
          </w:tcPr>
          <w:p>
            <w:pPr>
              <w:spacing w:after="0"/>
              <w:rPr>
                <w:sz w:val="1"/>
                <w:szCs w:val="1"/>
                <w:color w:val="auto"/>
              </w:rPr>
            </w:pPr>
          </w:p>
        </w:tc>
      </w:tr>
      <w:tr>
        <w:trPr>
          <w:trHeight w:val="250"/>
        </w:trPr>
        <w:tc>
          <w:tcPr>
            <w:tcW w:w="1820" w:type="dxa"/>
            <w:vAlign w:val="bottom"/>
            <w:shd w:val="clear" w:color="auto" w:fill="CCFFFF"/>
          </w:tcPr>
          <w:p>
            <w:pPr>
              <w:ind w:left="40"/>
              <w:spacing w:after="0"/>
              <w:rPr>
                <w:sz w:val="20"/>
                <w:szCs w:val="20"/>
                <w:color w:val="auto"/>
              </w:rPr>
            </w:pPr>
            <w:r>
              <w:rPr>
                <w:rFonts w:ascii="Arial" w:cs="Arial" w:eastAsia="Arial" w:hAnsi="Arial"/>
                <w:sz w:val="16"/>
                <w:szCs w:val="16"/>
                <w:color w:val="auto"/>
              </w:rPr>
              <w:t>Mark S. Casady</w:t>
            </w:r>
          </w:p>
        </w:tc>
        <w:tc>
          <w:tcPr>
            <w:tcW w:w="1100" w:type="dxa"/>
            <w:vAlign w:val="bottom"/>
            <w:shd w:val="clear" w:color="auto" w:fill="CCFFFF"/>
          </w:tcPr>
          <w:p>
            <w:pPr>
              <w:spacing w:after="0"/>
              <w:rPr>
                <w:sz w:val="21"/>
                <w:szCs w:val="21"/>
                <w:color w:val="auto"/>
              </w:rPr>
            </w:pPr>
          </w:p>
        </w:tc>
        <w:tc>
          <w:tcPr>
            <w:tcW w:w="140" w:type="dxa"/>
            <w:vAlign w:val="bottom"/>
            <w:shd w:val="clear" w:color="auto" w:fill="CCFFFF"/>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FFFF"/>
          </w:tcPr>
          <w:p>
            <w:pPr>
              <w:jc w:val="right"/>
              <w:ind w:right="22"/>
              <w:spacing w:after="0"/>
              <w:rPr>
                <w:sz w:val="20"/>
                <w:szCs w:val="20"/>
                <w:color w:val="auto"/>
              </w:rPr>
            </w:pPr>
            <w:r>
              <w:rPr>
                <w:rFonts w:ascii="Arial" w:cs="Arial" w:eastAsia="Arial" w:hAnsi="Arial"/>
                <w:sz w:val="16"/>
                <w:szCs w:val="16"/>
                <w:color w:val="auto"/>
              </w:rPr>
              <w:t>2,475,000</w:t>
            </w:r>
          </w:p>
        </w:tc>
        <w:tc>
          <w:tcPr>
            <w:tcW w:w="22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5,000,000</w:t>
            </w:r>
          </w:p>
        </w:tc>
        <w:tc>
          <w:tcPr>
            <w:tcW w:w="1060" w:type="dxa"/>
            <w:vAlign w:val="bottom"/>
            <w:shd w:val="clear" w:color="auto" w:fill="CCFFFF"/>
          </w:tcPr>
          <w:p>
            <w:pPr>
              <w:spacing w:after="0"/>
              <w:rPr>
                <w:sz w:val="21"/>
                <w:szCs w:val="21"/>
                <w:color w:val="auto"/>
              </w:rPr>
            </w:pPr>
          </w:p>
        </w:tc>
        <w:tc>
          <w:tcPr>
            <w:tcW w:w="400" w:type="dxa"/>
            <w:vAlign w:val="bottom"/>
            <w:shd w:val="clear" w:color="auto" w:fill="CCFFFF"/>
          </w:tcPr>
          <w:p>
            <w:pPr>
              <w:spacing w:after="0"/>
              <w:rPr>
                <w:sz w:val="21"/>
                <w:szCs w:val="21"/>
                <w:color w:val="auto"/>
              </w:rPr>
            </w:pPr>
          </w:p>
        </w:tc>
        <w:tc>
          <w:tcPr>
            <w:tcW w:w="1540" w:type="dxa"/>
            <w:vAlign w:val="bottom"/>
            <w:shd w:val="clear" w:color="auto" w:fill="CCFFFF"/>
          </w:tcPr>
          <w:p>
            <w:pPr>
              <w:spacing w:after="0"/>
              <w:rPr>
                <w:sz w:val="21"/>
                <w:szCs w:val="21"/>
                <w:color w:val="auto"/>
              </w:rPr>
            </w:pPr>
          </w:p>
        </w:tc>
        <w:tc>
          <w:tcPr>
            <w:tcW w:w="280" w:type="dxa"/>
            <w:vAlign w:val="bottom"/>
            <w:shd w:val="clear" w:color="auto" w:fill="CCFFFF"/>
          </w:tcPr>
          <w:p>
            <w:pPr>
              <w:spacing w:after="0"/>
              <w:rPr>
                <w:sz w:val="21"/>
                <w:szCs w:val="21"/>
                <w:color w:val="auto"/>
              </w:rPr>
            </w:pPr>
          </w:p>
        </w:tc>
        <w:tc>
          <w:tcPr>
            <w:tcW w:w="1100" w:type="dxa"/>
            <w:vAlign w:val="bottom"/>
            <w:shd w:val="clear" w:color="auto" w:fill="CCFFFF"/>
          </w:tcPr>
          <w:p>
            <w:pPr>
              <w:spacing w:after="0"/>
              <w:rPr>
                <w:sz w:val="21"/>
                <w:szCs w:val="21"/>
                <w:color w:val="auto"/>
              </w:rPr>
            </w:pPr>
          </w:p>
        </w:tc>
        <w:tc>
          <w:tcPr>
            <w:tcW w:w="420" w:type="dxa"/>
            <w:vAlign w:val="bottom"/>
            <w:shd w:val="clear" w:color="auto" w:fill="CCFFFF"/>
          </w:tcPr>
          <w:p>
            <w:pPr>
              <w:spacing w:after="0"/>
              <w:rPr>
                <w:sz w:val="21"/>
                <w:szCs w:val="21"/>
                <w:color w:val="auto"/>
              </w:rPr>
            </w:pPr>
          </w:p>
        </w:tc>
        <w:tc>
          <w:tcPr>
            <w:tcW w:w="1200" w:type="dxa"/>
            <w:vAlign w:val="bottom"/>
            <w:shd w:val="clear" w:color="auto" w:fill="CCFF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1820" w:type="dxa"/>
            <w:vAlign w:val="bottom"/>
            <w:shd w:val="clear" w:color="auto" w:fill="CCFFFF"/>
          </w:tcPr>
          <w:p>
            <w:pPr>
              <w:spacing w:after="0"/>
              <w:rPr>
                <w:sz w:val="24"/>
                <w:szCs w:val="24"/>
                <w:color w:val="auto"/>
              </w:rPr>
            </w:pPr>
          </w:p>
        </w:tc>
        <w:tc>
          <w:tcPr>
            <w:tcW w:w="11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2/25/2016</w:t>
            </w:r>
          </w:p>
        </w:tc>
        <w:tc>
          <w:tcPr>
            <w:tcW w:w="140" w:type="dxa"/>
            <w:vAlign w:val="bottom"/>
            <w:shd w:val="clear" w:color="auto" w:fill="CCFFFF"/>
          </w:tcPr>
          <w:p>
            <w:pPr>
              <w:spacing w:after="0"/>
              <w:rPr>
                <w:sz w:val="24"/>
                <w:szCs w:val="24"/>
                <w:color w:val="auto"/>
              </w:rPr>
            </w:pPr>
          </w:p>
        </w:tc>
        <w:tc>
          <w:tcPr>
            <w:tcW w:w="1100" w:type="dxa"/>
            <w:vAlign w:val="bottom"/>
            <w:shd w:val="clear" w:color="auto" w:fill="CCFFFF"/>
          </w:tcPr>
          <w:p>
            <w:pPr>
              <w:spacing w:after="0"/>
              <w:rPr>
                <w:sz w:val="24"/>
                <w:szCs w:val="24"/>
                <w:color w:val="auto"/>
              </w:rPr>
            </w:pPr>
          </w:p>
        </w:tc>
        <w:tc>
          <w:tcPr>
            <w:tcW w:w="220" w:type="dxa"/>
            <w:vAlign w:val="bottom"/>
            <w:shd w:val="clear" w:color="auto" w:fill="CCFFFF"/>
          </w:tcPr>
          <w:p>
            <w:pPr>
              <w:spacing w:after="0"/>
              <w:rPr>
                <w:sz w:val="24"/>
                <w:szCs w:val="24"/>
                <w:color w:val="auto"/>
              </w:rPr>
            </w:pPr>
          </w:p>
        </w:tc>
        <w:tc>
          <w:tcPr>
            <w:tcW w:w="1040" w:type="dxa"/>
            <w:vAlign w:val="bottom"/>
            <w:shd w:val="clear" w:color="auto" w:fill="CCFFFF"/>
          </w:tcPr>
          <w:p>
            <w:pPr>
              <w:spacing w:after="0"/>
              <w:rPr>
                <w:sz w:val="24"/>
                <w:szCs w:val="24"/>
                <w:color w:val="auto"/>
              </w:rPr>
            </w:pPr>
          </w:p>
        </w:tc>
        <w:tc>
          <w:tcPr>
            <w:tcW w:w="1060" w:type="dxa"/>
            <w:vAlign w:val="bottom"/>
            <w:shd w:val="clear" w:color="auto" w:fill="CCFFFF"/>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FFFF"/>
          </w:tcPr>
          <w:p>
            <w:pPr>
              <w:spacing w:after="0"/>
              <w:rPr>
                <w:sz w:val="24"/>
                <w:szCs w:val="24"/>
                <w:color w:val="auto"/>
              </w:rPr>
            </w:pPr>
          </w:p>
        </w:tc>
        <w:tc>
          <w:tcPr>
            <w:tcW w:w="1540" w:type="dxa"/>
            <w:vAlign w:val="bottom"/>
            <w:shd w:val="clear" w:color="auto" w:fill="CCFFFF"/>
          </w:tcPr>
          <w:p>
            <w:pPr>
              <w:jc w:val="right"/>
              <w:ind w:right="381"/>
              <w:spacing w:after="0"/>
              <w:rPr>
                <w:sz w:val="20"/>
                <w:szCs w:val="20"/>
                <w:color w:val="auto"/>
              </w:rPr>
            </w:pPr>
            <w:r>
              <w:rPr>
                <w:rFonts w:ascii="Arial" w:cs="Arial" w:eastAsia="Arial" w:hAnsi="Arial"/>
                <w:sz w:val="16"/>
                <w:szCs w:val="16"/>
                <w:color w:val="auto"/>
              </w:rPr>
              <w:t>403,329</w:t>
            </w:r>
          </w:p>
        </w:tc>
        <w:tc>
          <w:tcPr>
            <w:tcW w:w="2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FFFF"/>
          </w:tcPr>
          <w:p>
            <w:pPr>
              <w:jc w:val="right"/>
              <w:ind w:right="141"/>
              <w:spacing w:after="0"/>
              <w:rPr>
                <w:sz w:val="20"/>
                <w:szCs w:val="20"/>
                <w:color w:val="auto"/>
              </w:rPr>
            </w:pPr>
            <w:r>
              <w:rPr>
                <w:rFonts w:ascii="Arial" w:cs="Arial" w:eastAsia="Arial" w:hAnsi="Arial"/>
                <w:sz w:val="16"/>
                <w:szCs w:val="16"/>
                <w:color w:val="auto"/>
              </w:rPr>
              <w:t>19.85</w:t>
            </w:r>
          </w:p>
        </w:tc>
        <w:tc>
          <w:tcPr>
            <w:tcW w:w="420" w:type="dxa"/>
            <w:vAlign w:val="bottom"/>
            <w:shd w:val="clear" w:color="auto" w:fill="CCFF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1,844,706</w:t>
            </w:r>
          </w:p>
        </w:tc>
        <w:tc>
          <w:tcPr>
            <w:tcW w:w="0" w:type="dxa"/>
            <w:vAlign w:val="bottom"/>
          </w:tcPr>
          <w:p>
            <w:pPr>
              <w:spacing w:after="0"/>
              <w:rPr>
                <w:sz w:val="1"/>
                <w:szCs w:val="1"/>
                <w:color w:val="auto"/>
              </w:rPr>
            </w:pPr>
          </w:p>
        </w:tc>
      </w:tr>
      <w:tr>
        <w:trPr>
          <w:trHeight w:val="224"/>
        </w:trPr>
        <w:tc>
          <w:tcPr>
            <w:tcW w:w="1820" w:type="dxa"/>
            <w:vAlign w:val="bottom"/>
          </w:tcPr>
          <w:p>
            <w:pPr>
              <w:ind w:left="40"/>
              <w:spacing w:after="0"/>
              <w:rPr>
                <w:sz w:val="20"/>
                <w:szCs w:val="20"/>
                <w:color w:val="auto"/>
              </w:rPr>
            </w:pPr>
            <w:r>
              <w:rPr>
                <w:rFonts w:ascii="Arial" w:cs="Arial" w:eastAsia="Arial" w:hAnsi="Arial"/>
                <w:sz w:val="16"/>
                <w:szCs w:val="16"/>
                <w:color w:val="auto"/>
              </w:rPr>
              <w:t>Matthew J. Audette</w:t>
            </w:r>
          </w:p>
        </w:tc>
        <w:tc>
          <w:tcPr>
            <w:tcW w:w="1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1,050,000</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2,500,000</w:t>
            </w: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8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2/25/2016</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3,111</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54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56,770</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2/25/2016</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11,530</w:t>
            </w:r>
          </w:p>
        </w:tc>
        <w:tc>
          <w:tcPr>
            <w:tcW w:w="400" w:type="dxa"/>
            <w:vAlign w:val="bottom"/>
          </w:tcPr>
          <w:p>
            <w:pPr>
              <w:spacing w:after="0"/>
              <w:rPr>
                <w:sz w:val="23"/>
                <w:szCs w:val="23"/>
                <w:color w:val="auto"/>
              </w:rPr>
            </w:pPr>
          </w:p>
        </w:tc>
        <w:tc>
          <w:tcPr>
            <w:tcW w:w="154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216,422</w:t>
            </w:r>
          </w:p>
        </w:tc>
        <w:tc>
          <w:tcPr>
            <w:tcW w:w="0" w:type="dxa"/>
            <w:vAlign w:val="bottom"/>
          </w:tcPr>
          <w:p>
            <w:pPr>
              <w:spacing w:after="0"/>
              <w:rPr>
                <w:sz w:val="1"/>
                <w:szCs w:val="1"/>
                <w:color w:val="auto"/>
              </w:rPr>
            </w:pPr>
          </w:p>
        </w:tc>
      </w:tr>
      <w:tr>
        <w:trPr>
          <w:trHeight w:val="280"/>
        </w:trPr>
        <w:tc>
          <w:tcPr>
            <w:tcW w:w="18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2/25/2016</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540" w:type="dxa"/>
            <w:vAlign w:val="bottom"/>
          </w:tcPr>
          <w:p>
            <w:pPr>
              <w:jc w:val="right"/>
              <w:ind w:right="381"/>
              <w:spacing w:after="0"/>
              <w:rPr>
                <w:sz w:val="20"/>
                <w:szCs w:val="20"/>
                <w:color w:val="auto"/>
              </w:rPr>
            </w:pPr>
            <w:r>
              <w:rPr>
                <w:rFonts w:ascii="Arial" w:cs="Arial" w:eastAsia="Arial" w:hAnsi="Arial"/>
                <w:sz w:val="16"/>
                <w:szCs w:val="16"/>
                <w:color w:val="auto"/>
              </w:rPr>
              <w:t>94,110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19.85</w:t>
            </w:r>
          </w:p>
        </w:tc>
        <w:tc>
          <w:tcPr>
            <w:tcW w:w="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430,431</w:t>
            </w:r>
          </w:p>
        </w:tc>
        <w:tc>
          <w:tcPr>
            <w:tcW w:w="0" w:type="dxa"/>
            <w:vAlign w:val="bottom"/>
          </w:tcPr>
          <w:p>
            <w:pPr>
              <w:spacing w:after="0"/>
              <w:rPr>
                <w:sz w:val="1"/>
                <w:szCs w:val="1"/>
                <w:color w:val="auto"/>
              </w:rPr>
            </w:pPr>
          </w:p>
        </w:tc>
      </w:tr>
      <w:tr>
        <w:trPr>
          <w:trHeight w:val="260"/>
        </w:trPr>
        <w:tc>
          <w:tcPr>
            <w:tcW w:w="1820" w:type="dxa"/>
            <w:vAlign w:val="bottom"/>
            <w:shd w:val="clear" w:color="auto" w:fill="CCFFFF"/>
          </w:tcPr>
          <w:p>
            <w:pPr>
              <w:ind w:left="40"/>
              <w:spacing w:after="0"/>
              <w:rPr>
                <w:sz w:val="20"/>
                <w:szCs w:val="20"/>
                <w:color w:val="auto"/>
              </w:rPr>
            </w:pPr>
            <w:r>
              <w:rPr>
                <w:rFonts w:ascii="Arial" w:cs="Arial" w:eastAsia="Arial" w:hAnsi="Arial"/>
                <w:sz w:val="16"/>
                <w:szCs w:val="16"/>
                <w:color w:val="auto"/>
              </w:rPr>
              <w:t>Dan H. Arnold</w:t>
            </w:r>
          </w:p>
        </w:tc>
        <w:tc>
          <w:tcPr>
            <w:tcW w:w="1100" w:type="dxa"/>
            <w:vAlign w:val="bottom"/>
            <w:shd w:val="clear" w:color="auto" w:fill="CCFFFF"/>
          </w:tcPr>
          <w:p>
            <w:pPr>
              <w:spacing w:after="0"/>
              <w:rPr>
                <w:sz w:val="22"/>
                <w:szCs w:val="22"/>
                <w:color w:val="auto"/>
              </w:rPr>
            </w:pPr>
          </w:p>
        </w:tc>
        <w:tc>
          <w:tcPr>
            <w:tcW w:w="140" w:type="dxa"/>
            <w:vAlign w:val="bottom"/>
            <w:shd w:val="clear" w:color="auto" w:fill="CCFFFF"/>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FFFF"/>
          </w:tcPr>
          <w:p>
            <w:pPr>
              <w:jc w:val="right"/>
              <w:ind w:right="22"/>
              <w:spacing w:after="0"/>
              <w:rPr>
                <w:sz w:val="20"/>
                <w:szCs w:val="20"/>
                <w:color w:val="auto"/>
              </w:rPr>
            </w:pPr>
            <w:r>
              <w:rPr>
                <w:rFonts w:ascii="Arial" w:cs="Arial" w:eastAsia="Arial" w:hAnsi="Arial"/>
                <w:sz w:val="16"/>
                <w:szCs w:val="16"/>
                <w:color w:val="auto"/>
              </w:rPr>
              <w:t>1,181,250</w:t>
            </w:r>
          </w:p>
        </w:tc>
        <w:tc>
          <w:tcPr>
            <w:tcW w:w="22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2,500,000</w:t>
            </w:r>
          </w:p>
        </w:tc>
        <w:tc>
          <w:tcPr>
            <w:tcW w:w="1060" w:type="dxa"/>
            <w:vAlign w:val="bottom"/>
            <w:shd w:val="clear" w:color="auto" w:fill="CCFFFF"/>
          </w:tcPr>
          <w:p>
            <w:pPr>
              <w:spacing w:after="0"/>
              <w:rPr>
                <w:sz w:val="22"/>
                <w:szCs w:val="22"/>
                <w:color w:val="auto"/>
              </w:rPr>
            </w:pPr>
          </w:p>
        </w:tc>
        <w:tc>
          <w:tcPr>
            <w:tcW w:w="400" w:type="dxa"/>
            <w:vAlign w:val="bottom"/>
            <w:shd w:val="clear" w:color="auto" w:fill="CCFFFF"/>
          </w:tcPr>
          <w:p>
            <w:pPr>
              <w:spacing w:after="0"/>
              <w:rPr>
                <w:sz w:val="22"/>
                <w:szCs w:val="22"/>
                <w:color w:val="auto"/>
              </w:rPr>
            </w:pPr>
          </w:p>
        </w:tc>
        <w:tc>
          <w:tcPr>
            <w:tcW w:w="1540" w:type="dxa"/>
            <w:vAlign w:val="bottom"/>
            <w:shd w:val="clear" w:color="auto" w:fill="CCFFFF"/>
          </w:tcPr>
          <w:p>
            <w:pPr>
              <w:spacing w:after="0"/>
              <w:rPr>
                <w:sz w:val="22"/>
                <w:szCs w:val="22"/>
                <w:color w:val="auto"/>
              </w:rPr>
            </w:pPr>
          </w:p>
        </w:tc>
        <w:tc>
          <w:tcPr>
            <w:tcW w:w="280" w:type="dxa"/>
            <w:vAlign w:val="bottom"/>
            <w:shd w:val="clear" w:color="auto" w:fill="CCFFFF"/>
          </w:tcPr>
          <w:p>
            <w:pPr>
              <w:spacing w:after="0"/>
              <w:rPr>
                <w:sz w:val="22"/>
                <w:szCs w:val="22"/>
                <w:color w:val="auto"/>
              </w:rPr>
            </w:pPr>
          </w:p>
        </w:tc>
        <w:tc>
          <w:tcPr>
            <w:tcW w:w="1100" w:type="dxa"/>
            <w:vAlign w:val="bottom"/>
            <w:shd w:val="clear" w:color="auto" w:fill="CCFFFF"/>
          </w:tcPr>
          <w:p>
            <w:pPr>
              <w:spacing w:after="0"/>
              <w:rPr>
                <w:sz w:val="22"/>
                <w:szCs w:val="22"/>
                <w:color w:val="auto"/>
              </w:rPr>
            </w:pPr>
          </w:p>
        </w:tc>
        <w:tc>
          <w:tcPr>
            <w:tcW w:w="420" w:type="dxa"/>
            <w:vAlign w:val="bottom"/>
            <w:shd w:val="clear" w:color="auto" w:fill="CCFFFF"/>
          </w:tcPr>
          <w:p>
            <w:pPr>
              <w:spacing w:after="0"/>
              <w:rPr>
                <w:sz w:val="22"/>
                <w:szCs w:val="22"/>
                <w:color w:val="auto"/>
              </w:rPr>
            </w:pPr>
          </w:p>
        </w:tc>
        <w:tc>
          <w:tcPr>
            <w:tcW w:w="1200" w:type="dxa"/>
            <w:vAlign w:val="bottom"/>
            <w:shd w:val="clear" w:color="auto" w:fill="CCFF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820" w:type="dxa"/>
            <w:vAlign w:val="bottom"/>
            <w:shd w:val="clear" w:color="auto" w:fill="CCFFFF"/>
          </w:tcPr>
          <w:p>
            <w:pPr>
              <w:spacing w:after="0"/>
              <w:rPr>
                <w:sz w:val="23"/>
                <w:szCs w:val="23"/>
                <w:color w:val="auto"/>
              </w:rPr>
            </w:pPr>
          </w:p>
        </w:tc>
        <w:tc>
          <w:tcPr>
            <w:tcW w:w="11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2/25/2016</w:t>
            </w:r>
          </w:p>
        </w:tc>
        <w:tc>
          <w:tcPr>
            <w:tcW w:w="140" w:type="dxa"/>
            <w:vAlign w:val="bottom"/>
            <w:shd w:val="clear" w:color="auto" w:fill="CCFFFF"/>
          </w:tcPr>
          <w:p>
            <w:pPr>
              <w:spacing w:after="0"/>
              <w:rPr>
                <w:sz w:val="23"/>
                <w:szCs w:val="23"/>
                <w:color w:val="auto"/>
              </w:rPr>
            </w:pPr>
          </w:p>
        </w:tc>
        <w:tc>
          <w:tcPr>
            <w:tcW w:w="1100" w:type="dxa"/>
            <w:vAlign w:val="bottom"/>
            <w:shd w:val="clear" w:color="auto" w:fill="CCFFFF"/>
          </w:tcPr>
          <w:p>
            <w:pPr>
              <w:spacing w:after="0"/>
              <w:rPr>
                <w:sz w:val="23"/>
                <w:szCs w:val="23"/>
                <w:color w:val="auto"/>
              </w:rPr>
            </w:pPr>
          </w:p>
        </w:tc>
        <w:tc>
          <w:tcPr>
            <w:tcW w:w="220" w:type="dxa"/>
            <w:vAlign w:val="bottom"/>
            <w:shd w:val="clear" w:color="auto" w:fill="CCFFFF"/>
          </w:tcPr>
          <w:p>
            <w:pPr>
              <w:spacing w:after="0"/>
              <w:rPr>
                <w:sz w:val="23"/>
                <w:szCs w:val="23"/>
                <w:color w:val="auto"/>
              </w:rPr>
            </w:pPr>
          </w:p>
        </w:tc>
        <w:tc>
          <w:tcPr>
            <w:tcW w:w="1040" w:type="dxa"/>
            <w:vAlign w:val="bottom"/>
            <w:shd w:val="clear" w:color="auto" w:fill="CCFFFF"/>
          </w:tcPr>
          <w:p>
            <w:pPr>
              <w:spacing w:after="0"/>
              <w:rPr>
                <w:sz w:val="23"/>
                <w:szCs w:val="23"/>
                <w:color w:val="auto"/>
              </w:rPr>
            </w:pPr>
          </w:p>
        </w:tc>
        <w:tc>
          <w:tcPr>
            <w:tcW w:w="1060" w:type="dxa"/>
            <w:vAlign w:val="bottom"/>
            <w:shd w:val="clear" w:color="auto" w:fill="CCFFFF"/>
          </w:tcPr>
          <w:p>
            <w:pPr>
              <w:jc w:val="right"/>
              <w:ind w:right="1"/>
              <w:spacing w:after="0"/>
              <w:rPr>
                <w:sz w:val="20"/>
                <w:szCs w:val="20"/>
                <w:color w:val="auto"/>
              </w:rPr>
            </w:pPr>
            <w:r>
              <w:rPr>
                <w:rFonts w:ascii="Arial" w:cs="Arial" w:eastAsia="Arial" w:hAnsi="Arial"/>
                <w:sz w:val="16"/>
                <w:szCs w:val="16"/>
                <w:color w:val="auto"/>
              </w:rPr>
              <w:t>3,111</w:t>
            </w:r>
          </w:p>
        </w:tc>
        <w:tc>
          <w:tcPr>
            <w:tcW w:w="400" w:type="dxa"/>
            <w:vAlign w:val="bottom"/>
            <w:shd w:val="clear" w:color="auto" w:fill="CCFFFF"/>
          </w:tcPr>
          <w:p>
            <w:pPr>
              <w:jc w:val="right"/>
              <w:ind w:right="88"/>
              <w:spacing w:after="0"/>
              <w:rPr>
                <w:sz w:val="20"/>
                <w:szCs w:val="20"/>
                <w:color w:val="auto"/>
              </w:rPr>
            </w:pPr>
            <w:r>
              <w:rPr>
                <w:rFonts w:ascii="Arial" w:cs="Arial" w:eastAsia="Arial" w:hAnsi="Arial"/>
                <w:sz w:val="14"/>
                <w:szCs w:val="14"/>
                <w:color w:val="auto"/>
              </w:rPr>
              <w:t>(5)</w:t>
            </w:r>
          </w:p>
        </w:tc>
        <w:tc>
          <w:tcPr>
            <w:tcW w:w="1540" w:type="dxa"/>
            <w:vAlign w:val="bottom"/>
            <w:shd w:val="clear" w:color="auto" w:fill="CCFFFF"/>
          </w:tcPr>
          <w:p>
            <w:pPr>
              <w:jc w:val="right"/>
              <w:ind w:right="38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FFFF"/>
          </w:tcPr>
          <w:p>
            <w:pPr>
              <w:jc w:val="right"/>
              <w:ind w:right="141"/>
              <w:spacing w:after="0"/>
              <w:rPr>
                <w:sz w:val="20"/>
                <w:szCs w:val="20"/>
                <w:color w:val="auto"/>
              </w:rPr>
            </w:pPr>
            <w:r>
              <w:rPr>
                <w:rFonts w:ascii="Arial" w:cs="Arial" w:eastAsia="Arial" w:hAnsi="Arial"/>
                <w:sz w:val="16"/>
                <w:szCs w:val="16"/>
                <w:color w:val="auto"/>
              </w:rPr>
              <w:t>—</w:t>
            </w:r>
          </w:p>
        </w:tc>
        <w:tc>
          <w:tcPr>
            <w:tcW w:w="420" w:type="dxa"/>
            <w:vAlign w:val="bottom"/>
            <w:shd w:val="clear" w:color="auto" w:fill="CCFF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56,770</w:t>
            </w:r>
          </w:p>
        </w:tc>
        <w:tc>
          <w:tcPr>
            <w:tcW w:w="0" w:type="dxa"/>
            <w:vAlign w:val="bottom"/>
          </w:tcPr>
          <w:p>
            <w:pPr>
              <w:spacing w:after="0"/>
              <w:rPr>
                <w:sz w:val="1"/>
                <w:szCs w:val="1"/>
                <w:color w:val="auto"/>
              </w:rPr>
            </w:pPr>
          </w:p>
        </w:tc>
      </w:tr>
      <w:tr>
        <w:trPr>
          <w:trHeight w:val="270"/>
        </w:trPr>
        <w:tc>
          <w:tcPr>
            <w:tcW w:w="1820" w:type="dxa"/>
            <w:vAlign w:val="bottom"/>
            <w:shd w:val="clear" w:color="auto" w:fill="CCFFFF"/>
          </w:tcPr>
          <w:p>
            <w:pPr>
              <w:spacing w:after="0"/>
              <w:rPr>
                <w:sz w:val="23"/>
                <w:szCs w:val="23"/>
                <w:color w:val="auto"/>
              </w:rPr>
            </w:pPr>
          </w:p>
        </w:tc>
        <w:tc>
          <w:tcPr>
            <w:tcW w:w="11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2/25/2016</w:t>
            </w:r>
          </w:p>
        </w:tc>
        <w:tc>
          <w:tcPr>
            <w:tcW w:w="140" w:type="dxa"/>
            <w:vAlign w:val="bottom"/>
            <w:shd w:val="clear" w:color="auto" w:fill="CCFFFF"/>
          </w:tcPr>
          <w:p>
            <w:pPr>
              <w:spacing w:after="0"/>
              <w:rPr>
                <w:sz w:val="23"/>
                <w:szCs w:val="23"/>
                <w:color w:val="auto"/>
              </w:rPr>
            </w:pPr>
          </w:p>
        </w:tc>
        <w:tc>
          <w:tcPr>
            <w:tcW w:w="1100" w:type="dxa"/>
            <w:vAlign w:val="bottom"/>
            <w:shd w:val="clear" w:color="auto" w:fill="CCFFFF"/>
          </w:tcPr>
          <w:p>
            <w:pPr>
              <w:spacing w:after="0"/>
              <w:rPr>
                <w:sz w:val="23"/>
                <w:szCs w:val="23"/>
                <w:color w:val="auto"/>
              </w:rPr>
            </w:pPr>
          </w:p>
        </w:tc>
        <w:tc>
          <w:tcPr>
            <w:tcW w:w="220" w:type="dxa"/>
            <w:vAlign w:val="bottom"/>
            <w:shd w:val="clear" w:color="auto" w:fill="CCFFFF"/>
          </w:tcPr>
          <w:p>
            <w:pPr>
              <w:spacing w:after="0"/>
              <w:rPr>
                <w:sz w:val="23"/>
                <w:szCs w:val="23"/>
                <w:color w:val="auto"/>
              </w:rPr>
            </w:pPr>
          </w:p>
        </w:tc>
        <w:tc>
          <w:tcPr>
            <w:tcW w:w="1040" w:type="dxa"/>
            <w:vAlign w:val="bottom"/>
            <w:shd w:val="clear" w:color="auto" w:fill="CCFFFF"/>
          </w:tcPr>
          <w:p>
            <w:pPr>
              <w:spacing w:after="0"/>
              <w:rPr>
                <w:sz w:val="23"/>
                <w:szCs w:val="23"/>
                <w:color w:val="auto"/>
              </w:rPr>
            </w:pPr>
          </w:p>
        </w:tc>
        <w:tc>
          <w:tcPr>
            <w:tcW w:w="1060" w:type="dxa"/>
            <w:vAlign w:val="bottom"/>
            <w:shd w:val="clear" w:color="auto" w:fill="CCFFFF"/>
          </w:tcPr>
          <w:p>
            <w:pPr>
              <w:jc w:val="right"/>
              <w:ind w:right="1"/>
              <w:spacing w:after="0"/>
              <w:rPr>
                <w:sz w:val="20"/>
                <w:szCs w:val="20"/>
                <w:color w:val="auto"/>
              </w:rPr>
            </w:pPr>
            <w:r>
              <w:rPr>
                <w:rFonts w:ascii="Arial" w:cs="Arial" w:eastAsia="Arial" w:hAnsi="Arial"/>
                <w:sz w:val="16"/>
                <w:szCs w:val="16"/>
                <w:color w:val="auto"/>
              </w:rPr>
              <w:t>12,010</w:t>
            </w:r>
          </w:p>
        </w:tc>
        <w:tc>
          <w:tcPr>
            <w:tcW w:w="400" w:type="dxa"/>
            <w:vAlign w:val="bottom"/>
            <w:shd w:val="clear" w:color="auto" w:fill="CCFFFF"/>
          </w:tcPr>
          <w:p>
            <w:pPr>
              <w:spacing w:after="0"/>
              <w:rPr>
                <w:sz w:val="23"/>
                <w:szCs w:val="23"/>
                <w:color w:val="auto"/>
              </w:rPr>
            </w:pPr>
          </w:p>
        </w:tc>
        <w:tc>
          <w:tcPr>
            <w:tcW w:w="1540" w:type="dxa"/>
            <w:vAlign w:val="bottom"/>
            <w:shd w:val="clear" w:color="auto" w:fill="CCFFFF"/>
          </w:tcPr>
          <w:p>
            <w:pPr>
              <w:jc w:val="right"/>
              <w:ind w:right="38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FFFF"/>
          </w:tcPr>
          <w:p>
            <w:pPr>
              <w:jc w:val="right"/>
              <w:ind w:right="141"/>
              <w:spacing w:after="0"/>
              <w:rPr>
                <w:sz w:val="20"/>
                <w:szCs w:val="20"/>
                <w:color w:val="auto"/>
              </w:rPr>
            </w:pPr>
            <w:r>
              <w:rPr>
                <w:rFonts w:ascii="Arial" w:cs="Arial" w:eastAsia="Arial" w:hAnsi="Arial"/>
                <w:sz w:val="16"/>
                <w:szCs w:val="16"/>
                <w:color w:val="auto"/>
              </w:rPr>
              <w:t>—</w:t>
            </w:r>
          </w:p>
        </w:tc>
        <w:tc>
          <w:tcPr>
            <w:tcW w:w="420" w:type="dxa"/>
            <w:vAlign w:val="bottom"/>
            <w:shd w:val="clear" w:color="auto" w:fill="CCFF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225,431</w:t>
            </w:r>
          </w:p>
        </w:tc>
        <w:tc>
          <w:tcPr>
            <w:tcW w:w="0" w:type="dxa"/>
            <w:vAlign w:val="bottom"/>
          </w:tcPr>
          <w:p>
            <w:pPr>
              <w:spacing w:after="0"/>
              <w:rPr>
                <w:sz w:val="1"/>
                <w:szCs w:val="1"/>
                <w:color w:val="auto"/>
              </w:rPr>
            </w:pPr>
          </w:p>
        </w:tc>
      </w:tr>
      <w:tr>
        <w:trPr>
          <w:trHeight w:val="290"/>
        </w:trPr>
        <w:tc>
          <w:tcPr>
            <w:tcW w:w="1820" w:type="dxa"/>
            <w:vAlign w:val="bottom"/>
            <w:shd w:val="clear" w:color="auto" w:fill="CCFFFF"/>
          </w:tcPr>
          <w:p>
            <w:pPr>
              <w:spacing w:after="0"/>
              <w:rPr>
                <w:sz w:val="24"/>
                <w:szCs w:val="24"/>
                <w:color w:val="auto"/>
              </w:rPr>
            </w:pPr>
          </w:p>
        </w:tc>
        <w:tc>
          <w:tcPr>
            <w:tcW w:w="11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2/25/2016</w:t>
            </w:r>
          </w:p>
        </w:tc>
        <w:tc>
          <w:tcPr>
            <w:tcW w:w="140" w:type="dxa"/>
            <w:vAlign w:val="bottom"/>
            <w:shd w:val="clear" w:color="auto" w:fill="CCFFFF"/>
          </w:tcPr>
          <w:p>
            <w:pPr>
              <w:spacing w:after="0"/>
              <w:rPr>
                <w:sz w:val="24"/>
                <w:szCs w:val="24"/>
                <w:color w:val="auto"/>
              </w:rPr>
            </w:pPr>
          </w:p>
        </w:tc>
        <w:tc>
          <w:tcPr>
            <w:tcW w:w="1100" w:type="dxa"/>
            <w:vAlign w:val="bottom"/>
            <w:shd w:val="clear" w:color="auto" w:fill="CCFFFF"/>
          </w:tcPr>
          <w:p>
            <w:pPr>
              <w:spacing w:after="0"/>
              <w:rPr>
                <w:sz w:val="24"/>
                <w:szCs w:val="24"/>
                <w:color w:val="auto"/>
              </w:rPr>
            </w:pPr>
          </w:p>
        </w:tc>
        <w:tc>
          <w:tcPr>
            <w:tcW w:w="220" w:type="dxa"/>
            <w:vAlign w:val="bottom"/>
            <w:shd w:val="clear" w:color="auto" w:fill="CCFFFF"/>
          </w:tcPr>
          <w:p>
            <w:pPr>
              <w:spacing w:after="0"/>
              <w:rPr>
                <w:sz w:val="24"/>
                <w:szCs w:val="24"/>
                <w:color w:val="auto"/>
              </w:rPr>
            </w:pPr>
          </w:p>
        </w:tc>
        <w:tc>
          <w:tcPr>
            <w:tcW w:w="1040" w:type="dxa"/>
            <w:vAlign w:val="bottom"/>
            <w:shd w:val="clear" w:color="auto" w:fill="CCFFFF"/>
          </w:tcPr>
          <w:p>
            <w:pPr>
              <w:spacing w:after="0"/>
              <w:rPr>
                <w:sz w:val="24"/>
                <w:szCs w:val="24"/>
                <w:color w:val="auto"/>
              </w:rPr>
            </w:pPr>
          </w:p>
        </w:tc>
        <w:tc>
          <w:tcPr>
            <w:tcW w:w="1060" w:type="dxa"/>
            <w:vAlign w:val="bottom"/>
            <w:shd w:val="clear" w:color="auto" w:fill="CCFFFF"/>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FFFF"/>
          </w:tcPr>
          <w:p>
            <w:pPr>
              <w:spacing w:after="0"/>
              <w:rPr>
                <w:sz w:val="24"/>
                <w:szCs w:val="24"/>
                <w:color w:val="auto"/>
              </w:rPr>
            </w:pPr>
          </w:p>
        </w:tc>
        <w:tc>
          <w:tcPr>
            <w:tcW w:w="1540" w:type="dxa"/>
            <w:vAlign w:val="bottom"/>
            <w:shd w:val="clear" w:color="auto" w:fill="CCFFFF"/>
          </w:tcPr>
          <w:p>
            <w:pPr>
              <w:jc w:val="right"/>
              <w:ind w:right="381"/>
              <w:spacing w:after="0"/>
              <w:rPr>
                <w:sz w:val="20"/>
                <w:szCs w:val="20"/>
                <w:color w:val="auto"/>
              </w:rPr>
            </w:pPr>
            <w:r>
              <w:rPr>
                <w:rFonts w:ascii="Arial" w:cs="Arial" w:eastAsia="Arial" w:hAnsi="Arial"/>
                <w:sz w:val="16"/>
                <w:szCs w:val="16"/>
                <w:color w:val="auto"/>
              </w:rPr>
              <w:t>98,031</w:t>
            </w:r>
          </w:p>
        </w:tc>
        <w:tc>
          <w:tcPr>
            <w:tcW w:w="2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FFFF"/>
          </w:tcPr>
          <w:p>
            <w:pPr>
              <w:jc w:val="right"/>
              <w:ind w:right="141"/>
              <w:spacing w:after="0"/>
              <w:rPr>
                <w:sz w:val="20"/>
                <w:szCs w:val="20"/>
                <w:color w:val="auto"/>
              </w:rPr>
            </w:pPr>
            <w:r>
              <w:rPr>
                <w:rFonts w:ascii="Arial" w:cs="Arial" w:eastAsia="Arial" w:hAnsi="Arial"/>
                <w:sz w:val="16"/>
                <w:szCs w:val="16"/>
                <w:color w:val="auto"/>
              </w:rPr>
              <w:t>19.85</w:t>
            </w:r>
          </w:p>
        </w:tc>
        <w:tc>
          <w:tcPr>
            <w:tcW w:w="420" w:type="dxa"/>
            <w:vAlign w:val="bottom"/>
            <w:shd w:val="clear" w:color="auto" w:fill="CCFF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448,364</w:t>
            </w:r>
          </w:p>
        </w:tc>
        <w:tc>
          <w:tcPr>
            <w:tcW w:w="0" w:type="dxa"/>
            <w:vAlign w:val="bottom"/>
          </w:tcPr>
          <w:p>
            <w:pPr>
              <w:spacing w:after="0"/>
              <w:rPr>
                <w:sz w:val="1"/>
                <w:szCs w:val="1"/>
                <w:color w:val="auto"/>
              </w:rPr>
            </w:pPr>
          </w:p>
        </w:tc>
      </w:tr>
      <w:tr>
        <w:trPr>
          <w:trHeight w:val="251"/>
        </w:trPr>
        <w:tc>
          <w:tcPr>
            <w:tcW w:w="1820" w:type="dxa"/>
            <w:vAlign w:val="bottom"/>
          </w:tcPr>
          <w:p>
            <w:pPr>
              <w:ind w:left="40"/>
              <w:spacing w:after="0"/>
              <w:rPr>
                <w:sz w:val="20"/>
                <w:szCs w:val="20"/>
                <w:color w:val="auto"/>
              </w:rPr>
            </w:pPr>
            <w:r>
              <w:rPr>
                <w:rFonts w:ascii="Arial" w:cs="Arial" w:eastAsia="Arial" w:hAnsi="Arial"/>
                <w:sz w:val="16"/>
                <w:szCs w:val="16"/>
                <w:color w:val="auto"/>
              </w:rPr>
              <w:t>Tracy E. Calder</w:t>
            </w:r>
          </w:p>
        </w:tc>
        <w:tc>
          <w:tcPr>
            <w:tcW w:w="1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373,770</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1,500,000</w:t>
            </w: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2/25/2016</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35,754</w:t>
            </w:r>
          </w:p>
        </w:tc>
        <w:tc>
          <w:tcPr>
            <w:tcW w:w="400" w:type="dxa"/>
            <w:vAlign w:val="bottom"/>
          </w:tcPr>
          <w:p>
            <w:pPr>
              <w:spacing w:after="0"/>
              <w:rPr>
                <w:sz w:val="23"/>
                <w:szCs w:val="23"/>
                <w:color w:val="auto"/>
              </w:rPr>
            </w:pPr>
          </w:p>
        </w:tc>
        <w:tc>
          <w:tcPr>
            <w:tcW w:w="154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671,113</w:t>
            </w:r>
          </w:p>
        </w:tc>
        <w:tc>
          <w:tcPr>
            <w:tcW w:w="0" w:type="dxa"/>
            <w:vAlign w:val="bottom"/>
          </w:tcPr>
          <w:p>
            <w:pPr>
              <w:spacing w:after="0"/>
              <w:rPr>
                <w:sz w:val="1"/>
                <w:szCs w:val="1"/>
                <w:color w:val="auto"/>
              </w:rPr>
            </w:pPr>
          </w:p>
        </w:tc>
      </w:tr>
      <w:tr>
        <w:trPr>
          <w:trHeight w:val="280"/>
        </w:trPr>
        <w:tc>
          <w:tcPr>
            <w:tcW w:w="18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2/25/2016</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540" w:type="dxa"/>
            <w:vAlign w:val="bottom"/>
          </w:tcPr>
          <w:p>
            <w:pPr>
              <w:jc w:val="right"/>
              <w:ind w:right="381"/>
              <w:spacing w:after="0"/>
              <w:rPr>
                <w:sz w:val="20"/>
                <w:szCs w:val="20"/>
                <w:color w:val="auto"/>
              </w:rPr>
            </w:pPr>
            <w:r>
              <w:rPr>
                <w:rFonts w:ascii="Arial" w:cs="Arial" w:eastAsia="Arial" w:hAnsi="Arial"/>
                <w:sz w:val="16"/>
                <w:szCs w:val="16"/>
                <w:color w:val="auto"/>
              </w:rPr>
              <w:t>28,681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19.85</w:t>
            </w:r>
          </w:p>
        </w:tc>
        <w:tc>
          <w:tcPr>
            <w:tcW w:w="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131,178</w:t>
            </w:r>
          </w:p>
        </w:tc>
        <w:tc>
          <w:tcPr>
            <w:tcW w:w="0" w:type="dxa"/>
            <w:vAlign w:val="bottom"/>
          </w:tcPr>
          <w:p>
            <w:pPr>
              <w:spacing w:after="0"/>
              <w:rPr>
                <w:sz w:val="1"/>
                <w:szCs w:val="1"/>
                <w:color w:val="auto"/>
              </w:rPr>
            </w:pPr>
          </w:p>
        </w:tc>
      </w:tr>
      <w:tr>
        <w:trPr>
          <w:trHeight w:val="260"/>
        </w:trPr>
        <w:tc>
          <w:tcPr>
            <w:tcW w:w="1820" w:type="dxa"/>
            <w:vAlign w:val="bottom"/>
            <w:shd w:val="clear" w:color="auto" w:fill="CCFFFF"/>
          </w:tcPr>
          <w:p>
            <w:pPr>
              <w:ind w:left="40"/>
              <w:spacing w:after="0"/>
              <w:rPr>
                <w:sz w:val="20"/>
                <w:szCs w:val="20"/>
                <w:color w:val="auto"/>
              </w:rPr>
            </w:pPr>
            <w:r>
              <w:rPr>
                <w:rFonts w:ascii="Arial" w:cs="Arial" w:eastAsia="Arial" w:hAnsi="Arial"/>
                <w:sz w:val="16"/>
                <w:szCs w:val="16"/>
                <w:color w:val="auto"/>
              </w:rPr>
              <w:t>Thomas Gooley</w:t>
            </w:r>
          </w:p>
        </w:tc>
        <w:tc>
          <w:tcPr>
            <w:tcW w:w="1100" w:type="dxa"/>
            <w:vAlign w:val="bottom"/>
            <w:shd w:val="clear" w:color="auto" w:fill="CCFFFF"/>
          </w:tcPr>
          <w:p>
            <w:pPr>
              <w:spacing w:after="0"/>
              <w:rPr>
                <w:sz w:val="22"/>
                <w:szCs w:val="22"/>
                <w:color w:val="auto"/>
              </w:rPr>
            </w:pPr>
          </w:p>
        </w:tc>
        <w:tc>
          <w:tcPr>
            <w:tcW w:w="140" w:type="dxa"/>
            <w:vAlign w:val="bottom"/>
            <w:shd w:val="clear" w:color="auto" w:fill="CCFFFF"/>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FFFF"/>
          </w:tcPr>
          <w:p>
            <w:pPr>
              <w:jc w:val="right"/>
              <w:ind w:right="22"/>
              <w:spacing w:after="0"/>
              <w:rPr>
                <w:sz w:val="20"/>
                <w:szCs w:val="20"/>
                <w:color w:val="auto"/>
              </w:rPr>
            </w:pPr>
            <w:r>
              <w:rPr>
                <w:rFonts w:ascii="Arial" w:cs="Arial" w:eastAsia="Arial" w:hAnsi="Arial"/>
                <w:sz w:val="16"/>
                <w:szCs w:val="16"/>
                <w:color w:val="auto"/>
              </w:rPr>
              <w:t>750,000</w:t>
            </w:r>
          </w:p>
        </w:tc>
        <w:tc>
          <w:tcPr>
            <w:tcW w:w="22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1,500,000</w:t>
            </w:r>
          </w:p>
        </w:tc>
        <w:tc>
          <w:tcPr>
            <w:tcW w:w="1060" w:type="dxa"/>
            <w:vAlign w:val="bottom"/>
            <w:shd w:val="clear" w:color="auto" w:fill="CCFFFF"/>
          </w:tcPr>
          <w:p>
            <w:pPr>
              <w:spacing w:after="0"/>
              <w:rPr>
                <w:sz w:val="22"/>
                <w:szCs w:val="22"/>
                <w:color w:val="auto"/>
              </w:rPr>
            </w:pPr>
          </w:p>
        </w:tc>
        <w:tc>
          <w:tcPr>
            <w:tcW w:w="400" w:type="dxa"/>
            <w:vAlign w:val="bottom"/>
            <w:shd w:val="clear" w:color="auto" w:fill="CCFFFF"/>
          </w:tcPr>
          <w:p>
            <w:pPr>
              <w:spacing w:after="0"/>
              <w:rPr>
                <w:sz w:val="22"/>
                <w:szCs w:val="22"/>
                <w:color w:val="auto"/>
              </w:rPr>
            </w:pPr>
          </w:p>
        </w:tc>
        <w:tc>
          <w:tcPr>
            <w:tcW w:w="1540" w:type="dxa"/>
            <w:vAlign w:val="bottom"/>
            <w:shd w:val="clear" w:color="auto" w:fill="CCFFFF"/>
          </w:tcPr>
          <w:p>
            <w:pPr>
              <w:spacing w:after="0"/>
              <w:rPr>
                <w:sz w:val="22"/>
                <w:szCs w:val="22"/>
                <w:color w:val="auto"/>
              </w:rPr>
            </w:pPr>
          </w:p>
        </w:tc>
        <w:tc>
          <w:tcPr>
            <w:tcW w:w="280" w:type="dxa"/>
            <w:vAlign w:val="bottom"/>
            <w:shd w:val="clear" w:color="auto" w:fill="CCFFFF"/>
          </w:tcPr>
          <w:p>
            <w:pPr>
              <w:spacing w:after="0"/>
              <w:rPr>
                <w:sz w:val="22"/>
                <w:szCs w:val="22"/>
                <w:color w:val="auto"/>
              </w:rPr>
            </w:pPr>
          </w:p>
        </w:tc>
        <w:tc>
          <w:tcPr>
            <w:tcW w:w="1100" w:type="dxa"/>
            <w:vAlign w:val="bottom"/>
            <w:shd w:val="clear" w:color="auto" w:fill="CCFFFF"/>
          </w:tcPr>
          <w:p>
            <w:pPr>
              <w:spacing w:after="0"/>
              <w:rPr>
                <w:sz w:val="22"/>
                <w:szCs w:val="22"/>
                <w:color w:val="auto"/>
              </w:rPr>
            </w:pPr>
          </w:p>
        </w:tc>
        <w:tc>
          <w:tcPr>
            <w:tcW w:w="420" w:type="dxa"/>
            <w:vAlign w:val="bottom"/>
            <w:shd w:val="clear" w:color="auto" w:fill="CCFFFF"/>
          </w:tcPr>
          <w:p>
            <w:pPr>
              <w:spacing w:after="0"/>
              <w:rPr>
                <w:sz w:val="22"/>
                <w:szCs w:val="22"/>
                <w:color w:val="auto"/>
              </w:rPr>
            </w:pPr>
          </w:p>
        </w:tc>
        <w:tc>
          <w:tcPr>
            <w:tcW w:w="1200" w:type="dxa"/>
            <w:vAlign w:val="bottom"/>
            <w:shd w:val="clear" w:color="auto" w:fill="CCFF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820" w:type="dxa"/>
            <w:vAlign w:val="bottom"/>
            <w:shd w:val="clear" w:color="auto" w:fill="CCFFFF"/>
          </w:tcPr>
          <w:p>
            <w:pPr>
              <w:spacing w:after="0"/>
              <w:rPr>
                <w:sz w:val="23"/>
                <w:szCs w:val="23"/>
                <w:color w:val="auto"/>
              </w:rPr>
            </w:pPr>
          </w:p>
        </w:tc>
        <w:tc>
          <w:tcPr>
            <w:tcW w:w="11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2/25/2016</w:t>
            </w:r>
          </w:p>
        </w:tc>
        <w:tc>
          <w:tcPr>
            <w:tcW w:w="140" w:type="dxa"/>
            <w:vAlign w:val="bottom"/>
            <w:shd w:val="clear" w:color="auto" w:fill="CCFFFF"/>
          </w:tcPr>
          <w:p>
            <w:pPr>
              <w:spacing w:after="0"/>
              <w:rPr>
                <w:sz w:val="23"/>
                <w:szCs w:val="23"/>
                <w:color w:val="auto"/>
              </w:rPr>
            </w:pPr>
          </w:p>
        </w:tc>
        <w:tc>
          <w:tcPr>
            <w:tcW w:w="1100" w:type="dxa"/>
            <w:vAlign w:val="bottom"/>
            <w:shd w:val="clear" w:color="auto" w:fill="CCFFFF"/>
          </w:tcPr>
          <w:p>
            <w:pPr>
              <w:spacing w:after="0"/>
              <w:rPr>
                <w:sz w:val="23"/>
                <w:szCs w:val="23"/>
                <w:color w:val="auto"/>
              </w:rPr>
            </w:pPr>
          </w:p>
        </w:tc>
        <w:tc>
          <w:tcPr>
            <w:tcW w:w="220" w:type="dxa"/>
            <w:vAlign w:val="bottom"/>
            <w:shd w:val="clear" w:color="auto" w:fill="CCFFFF"/>
          </w:tcPr>
          <w:p>
            <w:pPr>
              <w:spacing w:after="0"/>
              <w:rPr>
                <w:sz w:val="23"/>
                <w:szCs w:val="23"/>
                <w:color w:val="auto"/>
              </w:rPr>
            </w:pPr>
          </w:p>
        </w:tc>
        <w:tc>
          <w:tcPr>
            <w:tcW w:w="1040" w:type="dxa"/>
            <w:vAlign w:val="bottom"/>
            <w:shd w:val="clear" w:color="auto" w:fill="CCFFFF"/>
          </w:tcPr>
          <w:p>
            <w:pPr>
              <w:spacing w:after="0"/>
              <w:rPr>
                <w:sz w:val="23"/>
                <w:szCs w:val="23"/>
                <w:color w:val="auto"/>
              </w:rPr>
            </w:pPr>
          </w:p>
        </w:tc>
        <w:tc>
          <w:tcPr>
            <w:tcW w:w="1060" w:type="dxa"/>
            <w:vAlign w:val="bottom"/>
            <w:shd w:val="clear" w:color="auto" w:fill="CCFFFF"/>
          </w:tcPr>
          <w:p>
            <w:pPr>
              <w:jc w:val="right"/>
              <w:ind w:right="1"/>
              <w:spacing w:after="0"/>
              <w:rPr>
                <w:sz w:val="20"/>
                <w:szCs w:val="20"/>
                <w:color w:val="auto"/>
              </w:rPr>
            </w:pPr>
            <w:r>
              <w:rPr>
                <w:rFonts w:ascii="Arial" w:cs="Arial" w:eastAsia="Arial" w:hAnsi="Arial"/>
                <w:sz w:val="16"/>
                <w:szCs w:val="16"/>
                <w:color w:val="auto"/>
              </w:rPr>
              <w:t>3,111</w:t>
            </w:r>
          </w:p>
        </w:tc>
        <w:tc>
          <w:tcPr>
            <w:tcW w:w="400" w:type="dxa"/>
            <w:vAlign w:val="bottom"/>
            <w:shd w:val="clear" w:color="auto" w:fill="CCFFFF"/>
          </w:tcPr>
          <w:p>
            <w:pPr>
              <w:jc w:val="right"/>
              <w:ind w:right="88"/>
              <w:spacing w:after="0"/>
              <w:rPr>
                <w:sz w:val="20"/>
                <w:szCs w:val="20"/>
                <w:color w:val="auto"/>
              </w:rPr>
            </w:pPr>
            <w:r>
              <w:rPr>
                <w:rFonts w:ascii="Arial" w:cs="Arial" w:eastAsia="Arial" w:hAnsi="Arial"/>
                <w:sz w:val="14"/>
                <w:szCs w:val="14"/>
                <w:color w:val="auto"/>
              </w:rPr>
              <w:t>(5)</w:t>
            </w:r>
          </w:p>
        </w:tc>
        <w:tc>
          <w:tcPr>
            <w:tcW w:w="1540" w:type="dxa"/>
            <w:vAlign w:val="bottom"/>
            <w:shd w:val="clear" w:color="auto" w:fill="CCFFFF"/>
          </w:tcPr>
          <w:p>
            <w:pPr>
              <w:jc w:val="right"/>
              <w:ind w:right="38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FFFF"/>
          </w:tcPr>
          <w:p>
            <w:pPr>
              <w:jc w:val="right"/>
              <w:ind w:right="141"/>
              <w:spacing w:after="0"/>
              <w:rPr>
                <w:sz w:val="20"/>
                <w:szCs w:val="20"/>
                <w:color w:val="auto"/>
              </w:rPr>
            </w:pPr>
            <w:r>
              <w:rPr>
                <w:rFonts w:ascii="Arial" w:cs="Arial" w:eastAsia="Arial" w:hAnsi="Arial"/>
                <w:sz w:val="16"/>
                <w:szCs w:val="16"/>
                <w:color w:val="auto"/>
              </w:rPr>
              <w:t>—</w:t>
            </w:r>
          </w:p>
        </w:tc>
        <w:tc>
          <w:tcPr>
            <w:tcW w:w="420" w:type="dxa"/>
            <w:vAlign w:val="bottom"/>
            <w:shd w:val="clear" w:color="auto" w:fill="CCFF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56,770</w:t>
            </w:r>
          </w:p>
        </w:tc>
        <w:tc>
          <w:tcPr>
            <w:tcW w:w="0" w:type="dxa"/>
            <w:vAlign w:val="bottom"/>
          </w:tcPr>
          <w:p>
            <w:pPr>
              <w:spacing w:after="0"/>
              <w:rPr>
                <w:sz w:val="1"/>
                <w:szCs w:val="1"/>
                <w:color w:val="auto"/>
              </w:rPr>
            </w:pPr>
          </w:p>
        </w:tc>
      </w:tr>
      <w:tr>
        <w:trPr>
          <w:trHeight w:val="270"/>
        </w:trPr>
        <w:tc>
          <w:tcPr>
            <w:tcW w:w="1820" w:type="dxa"/>
            <w:vAlign w:val="bottom"/>
            <w:shd w:val="clear" w:color="auto" w:fill="CCFFFF"/>
          </w:tcPr>
          <w:p>
            <w:pPr>
              <w:spacing w:after="0"/>
              <w:rPr>
                <w:sz w:val="23"/>
                <w:szCs w:val="23"/>
                <w:color w:val="auto"/>
              </w:rPr>
            </w:pPr>
          </w:p>
        </w:tc>
        <w:tc>
          <w:tcPr>
            <w:tcW w:w="11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2/25/2016</w:t>
            </w:r>
          </w:p>
        </w:tc>
        <w:tc>
          <w:tcPr>
            <w:tcW w:w="140" w:type="dxa"/>
            <w:vAlign w:val="bottom"/>
            <w:shd w:val="clear" w:color="auto" w:fill="CCFFFF"/>
          </w:tcPr>
          <w:p>
            <w:pPr>
              <w:spacing w:after="0"/>
              <w:rPr>
                <w:sz w:val="23"/>
                <w:szCs w:val="23"/>
                <w:color w:val="auto"/>
              </w:rPr>
            </w:pPr>
          </w:p>
        </w:tc>
        <w:tc>
          <w:tcPr>
            <w:tcW w:w="1100" w:type="dxa"/>
            <w:vAlign w:val="bottom"/>
            <w:shd w:val="clear" w:color="auto" w:fill="CCFFFF"/>
          </w:tcPr>
          <w:p>
            <w:pPr>
              <w:spacing w:after="0"/>
              <w:rPr>
                <w:sz w:val="23"/>
                <w:szCs w:val="23"/>
                <w:color w:val="auto"/>
              </w:rPr>
            </w:pPr>
          </w:p>
        </w:tc>
        <w:tc>
          <w:tcPr>
            <w:tcW w:w="220" w:type="dxa"/>
            <w:vAlign w:val="bottom"/>
            <w:shd w:val="clear" w:color="auto" w:fill="CCFFFF"/>
          </w:tcPr>
          <w:p>
            <w:pPr>
              <w:spacing w:after="0"/>
              <w:rPr>
                <w:sz w:val="23"/>
                <w:szCs w:val="23"/>
                <w:color w:val="auto"/>
              </w:rPr>
            </w:pPr>
          </w:p>
        </w:tc>
        <w:tc>
          <w:tcPr>
            <w:tcW w:w="1040" w:type="dxa"/>
            <w:vAlign w:val="bottom"/>
            <w:shd w:val="clear" w:color="auto" w:fill="CCFFFF"/>
          </w:tcPr>
          <w:p>
            <w:pPr>
              <w:spacing w:after="0"/>
              <w:rPr>
                <w:sz w:val="23"/>
                <w:szCs w:val="23"/>
                <w:color w:val="auto"/>
              </w:rPr>
            </w:pPr>
          </w:p>
        </w:tc>
        <w:tc>
          <w:tcPr>
            <w:tcW w:w="1060" w:type="dxa"/>
            <w:vAlign w:val="bottom"/>
            <w:shd w:val="clear" w:color="auto" w:fill="CCFFFF"/>
          </w:tcPr>
          <w:p>
            <w:pPr>
              <w:jc w:val="right"/>
              <w:ind w:right="1"/>
              <w:spacing w:after="0"/>
              <w:rPr>
                <w:sz w:val="20"/>
                <w:szCs w:val="20"/>
                <w:color w:val="auto"/>
              </w:rPr>
            </w:pPr>
            <w:r>
              <w:rPr>
                <w:rFonts w:ascii="Arial" w:cs="Arial" w:eastAsia="Arial" w:hAnsi="Arial"/>
                <w:sz w:val="16"/>
                <w:szCs w:val="16"/>
                <w:color w:val="auto"/>
              </w:rPr>
              <w:t>5,490</w:t>
            </w:r>
          </w:p>
        </w:tc>
        <w:tc>
          <w:tcPr>
            <w:tcW w:w="400" w:type="dxa"/>
            <w:vAlign w:val="bottom"/>
            <w:shd w:val="clear" w:color="auto" w:fill="CCFFFF"/>
          </w:tcPr>
          <w:p>
            <w:pPr>
              <w:spacing w:after="0"/>
              <w:rPr>
                <w:sz w:val="23"/>
                <w:szCs w:val="23"/>
                <w:color w:val="auto"/>
              </w:rPr>
            </w:pPr>
          </w:p>
        </w:tc>
        <w:tc>
          <w:tcPr>
            <w:tcW w:w="1540" w:type="dxa"/>
            <w:vAlign w:val="bottom"/>
            <w:shd w:val="clear" w:color="auto" w:fill="CCFFFF"/>
          </w:tcPr>
          <w:p>
            <w:pPr>
              <w:jc w:val="right"/>
              <w:ind w:right="38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FFFF"/>
          </w:tcPr>
          <w:p>
            <w:pPr>
              <w:jc w:val="right"/>
              <w:ind w:right="141"/>
              <w:spacing w:after="0"/>
              <w:rPr>
                <w:sz w:val="20"/>
                <w:szCs w:val="20"/>
                <w:color w:val="auto"/>
              </w:rPr>
            </w:pPr>
            <w:r>
              <w:rPr>
                <w:rFonts w:ascii="Arial" w:cs="Arial" w:eastAsia="Arial" w:hAnsi="Arial"/>
                <w:sz w:val="16"/>
                <w:szCs w:val="16"/>
                <w:color w:val="auto"/>
              </w:rPr>
              <w:t>—</w:t>
            </w:r>
          </w:p>
        </w:tc>
        <w:tc>
          <w:tcPr>
            <w:tcW w:w="420" w:type="dxa"/>
            <w:vAlign w:val="bottom"/>
            <w:shd w:val="clear" w:color="auto" w:fill="CCFF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103,049</w:t>
            </w:r>
          </w:p>
        </w:tc>
        <w:tc>
          <w:tcPr>
            <w:tcW w:w="0" w:type="dxa"/>
            <w:vAlign w:val="bottom"/>
          </w:tcPr>
          <w:p>
            <w:pPr>
              <w:spacing w:after="0"/>
              <w:rPr>
                <w:sz w:val="1"/>
                <w:szCs w:val="1"/>
                <w:color w:val="auto"/>
              </w:rPr>
            </w:pPr>
          </w:p>
        </w:tc>
      </w:tr>
      <w:tr>
        <w:trPr>
          <w:trHeight w:val="270"/>
        </w:trPr>
        <w:tc>
          <w:tcPr>
            <w:tcW w:w="1820" w:type="dxa"/>
            <w:vAlign w:val="bottom"/>
            <w:shd w:val="clear" w:color="auto" w:fill="CCFFFF"/>
          </w:tcPr>
          <w:p>
            <w:pPr>
              <w:spacing w:after="0"/>
              <w:rPr>
                <w:sz w:val="23"/>
                <w:szCs w:val="23"/>
                <w:color w:val="auto"/>
              </w:rPr>
            </w:pPr>
          </w:p>
        </w:tc>
        <w:tc>
          <w:tcPr>
            <w:tcW w:w="11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6/13/2016</w:t>
            </w:r>
          </w:p>
        </w:tc>
        <w:tc>
          <w:tcPr>
            <w:tcW w:w="140" w:type="dxa"/>
            <w:vAlign w:val="bottom"/>
            <w:shd w:val="clear" w:color="auto" w:fill="CCFFFF"/>
          </w:tcPr>
          <w:p>
            <w:pPr>
              <w:spacing w:after="0"/>
              <w:rPr>
                <w:sz w:val="23"/>
                <w:szCs w:val="23"/>
                <w:color w:val="auto"/>
              </w:rPr>
            </w:pPr>
          </w:p>
        </w:tc>
        <w:tc>
          <w:tcPr>
            <w:tcW w:w="1100" w:type="dxa"/>
            <w:vAlign w:val="bottom"/>
            <w:shd w:val="clear" w:color="auto" w:fill="CCFFFF"/>
          </w:tcPr>
          <w:p>
            <w:pPr>
              <w:spacing w:after="0"/>
              <w:rPr>
                <w:sz w:val="23"/>
                <w:szCs w:val="23"/>
                <w:color w:val="auto"/>
              </w:rPr>
            </w:pPr>
          </w:p>
        </w:tc>
        <w:tc>
          <w:tcPr>
            <w:tcW w:w="220" w:type="dxa"/>
            <w:vAlign w:val="bottom"/>
            <w:shd w:val="clear" w:color="auto" w:fill="CCFFFF"/>
          </w:tcPr>
          <w:p>
            <w:pPr>
              <w:spacing w:after="0"/>
              <w:rPr>
                <w:sz w:val="23"/>
                <w:szCs w:val="23"/>
                <w:color w:val="auto"/>
              </w:rPr>
            </w:pPr>
          </w:p>
        </w:tc>
        <w:tc>
          <w:tcPr>
            <w:tcW w:w="1040" w:type="dxa"/>
            <w:vAlign w:val="bottom"/>
            <w:shd w:val="clear" w:color="auto" w:fill="CCFFFF"/>
          </w:tcPr>
          <w:p>
            <w:pPr>
              <w:spacing w:after="0"/>
              <w:rPr>
                <w:sz w:val="23"/>
                <w:szCs w:val="23"/>
                <w:color w:val="auto"/>
              </w:rPr>
            </w:pPr>
          </w:p>
        </w:tc>
        <w:tc>
          <w:tcPr>
            <w:tcW w:w="1060" w:type="dxa"/>
            <w:vAlign w:val="bottom"/>
            <w:shd w:val="clear" w:color="auto" w:fill="CCFFFF"/>
          </w:tcPr>
          <w:p>
            <w:pPr>
              <w:jc w:val="right"/>
              <w:ind w:right="1"/>
              <w:spacing w:after="0"/>
              <w:rPr>
                <w:sz w:val="20"/>
                <w:szCs w:val="20"/>
                <w:color w:val="auto"/>
              </w:rPr>
            </w:pPr>
            <w:r>
              <w:rPr>
                <w:rFonts w:ascii="Arial" w:cs="Arial" w:eastAsia="Arial" w:hAnsi="Arial"/>
                <w:sz w:val="16"/>
                <w:szCs w:val="16"/>
                <w:color w:val="auto"/>
              </w:rPr>
              <w:t>2,928</w:t>
            </w:r>
          </w:p>
        </w:tc>
        <w:tc>
          <w:tcPr>
            <w:tcW w:w="400" w:type="dxa"/>
            <w:vAlign w:val="bottom"/>
            <w:shd w:val="clear" w:color="auto" w:fill="CCFFFF"/>
          </w:tcPr>
          <w:p>
            <w:pPr>
              <w:spacing w:after="0"/>
              <w:rPr>
                <w:sz w:val="23"/>
                <w:szCs w:val="23"/>
                <w:color w:val="auto"/>
              </w:rPr>
            </w:pPr>
          </w:p>
        </w:tc>
        <w:tc>
          <w:tcPr>
            <w:tcW w:w="1540" w:type="dxa"/>
            <w:vAlign w:val="bottom"/>
            <w:shd w:val="clear" w:color="auto" w:fill="CCFFFF"/>
          </w:tcPr>
          <w:p>
            <w:pPr>
              <w:jc w:val="right"/>
              <w:ind w:right="38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FFFF"/>
          </w:tcPr>
          <w:p>
            <w:pPr>
              <w:jc w:val="right"/>
              <w:ind w:right="141"/>
              <w:spacing w:after="0"/>
              <w:rPr>
                <w:sz w:val="20"/>
                <w:szCs w:val="20"/>
                <w:color w:val="auto"/>
              </w:rPr>
            </w:pPr>
            <w:r>
              <w:rPr>
                <w:rFonts w:ascii="Arial" w:cs="Arial" w:eastAsia="Arial" w:hAnsi="Arial"/>
                <w:sz w:val="16"/>
                <w:szCs w:val="16"/>
                <w:color w:val="auto"/>
              </w:rPr>
              <w:t>—</w:t>
            </w:r>
          </w:p>
        </w:tc>
        <w:tc>
          <w:tcPr>
            <w:tcW w:w="420" w:type="dxa"/>
            <w:vAlign w:val="bottom"/>
            <w:shd w:val="clear" w:color="auto" w:fill="CCFF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66,056</w:t>
            </w:r>
          </w:p>
        </w:tc>
        <w:tc>
          <w:tcPr>
            <w:tcW w:w="0" w:type="dxa"/>
            <w:vAlign w:val="bottom"/>
          </w:tcPr>
          <w:p>
            <w:pPr>
              <w:spacing w:after="0"/>
              <w:rPr>
                <w:sz w:val="1"/>
                <w:szCs w:val="1"/>
                <w:color w:val="auto"/>
              </w:rPr>
            </w:pPr>
          </w:p>
        </w:tc>
      </w:tr>
      <w:tr>
        <w:trPr>
          <w:trHeight w:val="270"/>
        </w:trPr>
        <w:tc>
          <w:tcPr>
            <w:tcW w:w="1820" w:type="dxa"/>
            <w:vAlign w:val="bottom"/>
            <w:shd w:val="clear" w:color="auto" w:fill="CCFFFF"/>
          </w:tcPr>
          <w:p>
            <w:pPr>
              <w:spacing w:after="0"/>
              <w:rPr>
                <w:sz w:val="23"/>
                <w:szCs w:val="23"/>
                <w:color w:val="auto"/>
              </w:rPr>
            </w:pPr>
          </w:p>
        </w:tc>
        <w:tc>
          <w:tcPr>
            <w:tcW w:w="11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2/25/2016</w:t>
            </w:r>
          </w:p>
        </w:tc>
        <w:tc>
          <w:tcPr>
            <w:tcW w:w="140" w:type="dxa"/>
            <w:vAlign w:val="bottom"/>
            <w:shd w:val="clear" w:color="auto" w:fill="CCFFFF"/>
          </w:tcPr>
          <w:p>
            <w:pPr>
              <w:spacing w:after="0"/>
              <w:rPr>
                <w:sz w:val="23"/>
                <w:szCs w:val="23"/>
                <w:color w:val="auto"/>
              </w:rPr>
            </w:pPr>
          </w:p>
        </w:tc>
        <w:tc>
          <w:tcPr>
            <w:tcW w:w="1100" w:type="dxa"/>
            <w:vAlign w:val="bottom"/>
            <w:shd w:val="clear" w:color="auto" w:fill="CCFFFF"/>
          </w:tcPr>
          <w:p>
            <w:pPr>
              <w:spacing w:after="0"/>
              <w:rPr>
                <w:sz w:val="23"/>
                <w:szCs w:val="23"/>
                <w:color w:val="auto"/>
              </w:rPr>
            </w:pPr>
          </w:p>
        </w:tc>
        <w:tc>
          <w:tcPr>
            <w:tcW w:w="220" w:type="dxa"/>
            <w:vAlign w:val="bottom"/>
            <w:shd w:val="clear" w:color="auto" w:fill="CCFFFF"/>
          </w:tcPr>
          <w:p>
            <w:pPr>
              <w:spacing w:after="0"/>
              <w:rPr>
                <w:sz w:val="23"/>
                <w:szCs w:val="23"/>
                <w:color w:val="auto"/>
              </w:rPr>
            </w:pPr>
          </w:p>
        </w:tc>
        <w:tc>
          <w:tcPr>
            <w:tcW w:w="1040" w:type="dxa"/>
            <w:vAlign w:val="bottom"/>
            <w:shd w:val="clear" w:color="auto" w:fill="CCFFFF"/>
          </w:tcPr>
          <w:p>
            <w:pPr>
              <w:spacing w:after="0"/>
              <w:rPr>
                <w:sz w:val="23"/>
                <w:szCs w:val="23"/>
                <w:color w:val="auto"/>
              </w:rPr>
            </w:pPr>
          </w:p>
        </w:tc>
        <w:tc>
          <w:tcPr>
            <w:tcW w:w="1060" w:type="dxa"/>
            <w:vAlign w:val="bottom"/>
            <w:shd w:val="clear" w:color="auto" w:fill="CCFFFF"/>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FFFF"/>
          </w:tcPr>
          <w:p>
            <w:pPr>
              <w:spacing w:after="0"/>
              <w:rPr>
                <w:sz w:val="23"/>
                <w:szCs w:val="23"/>
                <w:color w:val="auto"/>
              </w:rPr>
            </w:pPr>
          </w:p>
        </w:tc>
        <w:tc>
          <w:tcPr>
            <w:tcW w:w="1540" w:type="dxa"/>
            <w:vAlign w:val="bottom"/>
            <w:shd w:val="clear" w:color="auto" w:fill="CCFFFF"/>
          </w:tcPr>
          <w:p>
            <w:pPr>
              <w:jc w:val="right"/>
              <w:ind w:right="381"/>
              <w:spacing w:after="0"/>
              <w:rPr>
                <w:sz w:val="20"/>
                <w:szCs w:val="20"/>
                <w:color w:val="auto"/>
              </w:rPr>
            </w:pPr>
            <w:r>
              <w:rPr>
                <w:rFonts w:ascii="Arial" w:cs="Arial" w:eastAsia="Arial" w:hAnsi="Arial"/>
                <w:sz w:val="16"/>
                <w:szCs w:val="16"/>
                <w:color w:val="auto"/>
              </w:rPr>
              <w:t>44,814</w:t>
            </w:r>
          </w:p>
        </w:tc>
        <w:tc>
          <w:tcPr>
            <w:tcW w:w="2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FFFF"/>
          </w:tcPr>
          <w:p>
            <w:pPr>
              <w:jc w:val="right"/>
              <w:ind w:right="141"/>
              <w:spacing w:after="0"/>
              <w:rPr>
                <w:sz w:val="20"/>
                <w:szCs w:val="20"/>
                <w:color w:val="auto"/>
              </w:rPr>
            </w:pPr>
            <w:r>
              <w:rPr>
                <w:rFonts w:ascii="Arial" w:cs="Arial" w:eastAsia="Arial" w:hAnsi="Arial"/>
                <w:sz w:val="16"/>
                <w:szCs w:val="16"/>
                <w:color w:val="auto"/>
              </w:rPr>
              <w:t>19.85</w:t>
            </w:r>
          </w:p>
        </w:tc>
        <w:tc>
          <w:tcPr>
            <w:tcW w:w="420" w:type="dxa"/>
            <w:vAlign w:val="bottom"/>
            <w:shd w:val="clear" w:color="auto" w:fill="CCFF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204,966</w:t>
            </w:r>
          </w:p>
        </w:tc>
        <w:tc>
          <w:tcPr>
            <w:tcW w:w="0" w:type="dxa"/>
            <w:vAlign w:val="bottom"/>
          </w:tcPr>
          <w:p>
            <w:pPr>
              <w:spacing w:after="0"/>
              <w:rPr>
                <w:sz w:val="1"/>
                <w:szCs w:val="1"/>
                <w:color w:val="auto"/>
              </w:rPr>
            </w:pPr>
          </w:p>
        </w:tc>
      </w:tr>
      <w:tr>
        <w:trPr>
          <w:trHeight w:val="283"/>
        </w:trPr>
        <w:tc>
          <w:tcPr>
            <w:tcW w:w="1820" w:type="dxa"/>
            <w:vAlign w:val="bottom"/>
            <w:tcBorders>
              <w:bottom w:val="single" w:sz="8" w:color="336699"/>
            </w:tcBorders>
            <w:shd w:val="clear" w:color="auto" w:fill="CCFFFF"/>
          </w:tcPr>
          <w:p>
            <w:pPr>
              <w:spacing w:after="0"/>
              <w:rPr>
                <w:sz w:val="24"/>
                <w:szCs w:val="24"/>
                <w:color w:val="auto"/>
              </w:rPr>
            </w:pPr>
          </w:p>
        </w:tc>
        <w:tc>
          <w:tcPr>
            <w:tcW w:w="110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6"/>
                <w:szCs w:val="16"/>
                <w:color w:val="auto"/>
              </w:rPr>
              <w:t>6/13/2016</w:t>
            </w:r>
          </w:p>
        </w:tc>
        <w:tc>
          <w:tcPr>
            <w:tcW w:w="140" w:type="dxa"/>
            <w:vAlign w:val="bottom"/>
            <w:tcBorders>
              <w:bottom w:val="single" w:sz="8" w:color="336699"/>
            </w:tcBorders>
            <w:shd w:val="clear" w:color="auto" w:fill="CCFFFF"/>
          </w:tcPr>
          <w:p>
            <w:pPr>
              <w:spacing w:after="0"/>
              <w:rPr>
                <w:sz w:val="24"/>
                <w:szCs w:val="24"/>
                <w:color w:val="auto"/>
              </w:rPr>
            </w:pPr>
          </w:p>
        </w:tc>
        <w:tc>
          <w:tcPr>
            <w:tcW w:w="1100" w:type="dxa"/>
            <w:vAlign w:val="bottom"/>
            <w:tcBorders>
              <w:bottom w:val="single" w:sz="8" w:color="336699"/>
            </w:tcBorders>
            <w:shd w:val="clear" w:color="auto" w:fill="CCFFFF"/>
          </w:tcPr>
          <w:p>
            <w:pPr>
              <w:spacing w:after="0"/>
              <w:rPr>
                <w:sz w:val="24"/>
                <w:szCs w:val="24"/>
                <w:color w:val="auto"/>
              </w:rPr>
            </w:pPr>
          </w:p>
        </w:tc>
        <w:tc>
          <w:tcPr>
            <w:tcW w:w="220" w:type="dxa"/>
            <w:vAlign w:val="bottom"/>
            <w:tcBorders>
              <w:bottom w:val="single" w:sz="8" w:color="336699"/>
            </w:tcBorders>
            <w:shd w:val="clear" w:color="auto" w:fill="CCFFFF"/>
          </w:tcPr>
          <w:p>
            <w:pPr>
              <w:spacing w:after="0"/>
              <w:rPr>
                <w:sz w:val="24"/>
                <w:szCs w:val="24"/>
                <w:color w:val="auto"/>
              </w:rPr>
            </w:pPr>
          </w:p>
        </w:tc>
        <w:tc>
          <w:tcPr>
            <w:tcW w:w="1040" w:type="dxa"/>
            <w:vAlign w:val="bottom"/>
            <w:tcBorders>
              <w:bottom w:val="single" w:sz="8" w:color="336699"/>
            </w:tcBorders>
            <w:shd w:val="clear" w:color="auto" w:fill="CCFFFF"/>
          </w:tcPr>
          <w:p>
            <w:pPr>
              <w:spacing w:after="0"/>
              <w:rPr>
                <w:sz w:val="24"/>
                <w:szCs w:val="24"/>
                <w:color w:val="auto"/>
              </w:rPr>
            </w:pPr>
          </w:p>
        </w:tc>
        <w:tc>
          <w:tcPr>
            <w:tcW w:w="1060" w:type="dxa"/>
            <w:vAlign w:val="bottom"/>
            <w:tcBorders>
              <w:bottom w:val="single" w:sz="8" w:color="336699"/>
            </w:tcBorders>
            <w:shd w:val="clear" w:color="auto" w:fill="CCFFFF"/>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336699"/>
            </w:tcBorders>
            <w:shd w:val="clear" w:color="auto" w:fill="CCFFFF"/>
          </w:tcPr>
          <w:p>
            <w:pPr>
              <w:spacing w:after="0"/>
              <w:rPr>
                <w:sz w:val="24"/>
                <w:szCs w:val="24"/>
                <w:color w:val="auto"/>
              </w:rPr>
            </w:pPr>
          </w:p>
        </w:tc>
        <w:tc>
          <w:tcPr>
            <w:tcW w:w="1540" w:type="dxa"/>
            <w:vAlign w:val="bottom"/>
            <w:tcBorders>
              <w:bottom w:val="single" w:sz="8" w:color="336699"/>
            </w:tcBorders>
            <w:shd w:val="clear" w:color="auto" w:fill="CCFFFF"/>
          </w:tcPr>
          <w:p>
            <w:pPr>
              <w:jc w:val="right"/>
              <w:ind w:right="381"/>
              <w:spacing w:after="0"/>
              <w:rPr>
                <w:sz w:val="20"/>
                <w:szCs w:val="20"/>
                <w:color w:val="auto"/>
              </w:rPr>
            </w:pPr>
            <w:r>
              <w:rPr>
                <w:rFonts w:ascii="Arial" w:cs="Arial" w:eastAsia="Arial" w:hAnsi="Arial"/>
                <w:sz w:val="16"/>
                <w:szCs w:val="16"/>
                <w:color w:val="auto"/>
              </w:rPr>
              <w:t>23,907</w:t>
            </w:r>
          </w:p>
        </w:tc>
        <w:tc>
          <w:tcPr>
            <w:tcW w:w="28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336699"/>
            </w:tcBorders>
            <w:shd w:val="clear" w:color="auto" w:fill="CCFFFF"/>
          </w:tcPr>
          <w:p>
            <w:pPr>
              <w:jc w:val="right"/>
              <w:ind w:right="141"/>
              <w:spacing w:after="0"/>
              <w:rPr>
                <w:sz w:val="20"/>
                <w:szCs w:val="20"/>
                <w:color w:val="auto"/>
              </w:rPr>
            </w:pPr>
            <w:r>
              <w:rPr>
                <w:rFonts w:ascii="Arial" w:cs="Arial" w:eastAsia="Arial" w:hAnsi="Arial"/>
                <w:sz w:val="16"/>
                <w:szCs w:val="16"/>
                <w:color w:val="auto"/>
              </w:rPr>
              <w:t>24.38</w:t>
            </w:r>
          </w:p>
        </w:tc>
        <w:tc>
          <w:tcPr>
            <w:tcW w:w="420" w:type="dxa"/>
            <w:vAlign w:val="bottom"/>
            <w:tcBorders>
              <w:bottom w:val="single" w:sz="8" w:color="336699"/>
            </w:tcBorders>
            <w:shd w:val="clear" w:color="auto" w:fill="CCFF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336699"/>
            </w:tcBorders>
            <w:shd w:val="clear" w:color="auto" w:fill="CCFFFF"/>
          </w:tcPr>
          <w:p>
            <w:pPr>
              <w:jc w:val="right"/>
              <w:ind w:right="20"/>
              <w:spacing w:after="0"/>
              <w:rPr>
                <w:sz w:val="20"/>
                <w:szCs w:val="20"/>
                <w:color w:val="auto"/>
              </w:rPr>
            </w:pPr>
            <w:r>
              <w:rPr>
                <w:rFonts w:ascii="Arial" w:cs="Arial" w:eastAsia="Arial" w:hAnsi="Arial"/>
                <w:sz w:val="16"/>
                <w:szCs w:val="16"/>
                <w:color w:val="auto"/>
              </w:rPr>
              <w:t>122,875</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potential payouts under awards pursuant to our Bonus Plan.</w:t>
      </w:r>
    </w:p>
    <w:p>
      <w:pPr>
        <w:spacing w:after="0" w:line="59" w:lineRule="exact"/>
        <w:rPr>
          <w:rFonts w:ascii="Arial" w:cs="Arial" w:eastAsia="Arial" w:hAnsi="Arial"/>
          <w:sz w:val="16"/>
          <w:szCs w:val="16"/>
          <w:color w:val="auto"/>
        </w:rPr>
      </w:pPr>
    </w:p>
    <w:p>
      <w:pPr>
        <w:ind w:left="340" w:right="140" w:hanging="332"/>
        <w:spacing w:after="0" w:line="260"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number of RSUs awarded under our 2010 Plan. Unless otherwise indicated, these awards are scheduled to vest over a three-year period in three equal tranches with the first tranche scheduled to vest on the first anniversary of the grant date.</w:t>
      </w:r>
    </w:p>
    <w:p>
      <w:pPr>
        <w:spacing w:after="0" w:line="33" w:lineRule="exact"/>
        <w:rPr>
          <w:rFonts w:ascii="Arial" w:cs="Arial" w:eastAsia="Arial" w:hAnsi="Arial"/>
          <w:sz w:val="16"/>
          <w:szCs w:val="16"/>
          <w:color w:val="auto"/>
        </w:rPr>
      </w:pPr>
    </w:p>
    <w:p>
      <w:pPr>
        <w:ind w:left="340" w:right="100" w:hanging="332"/>
        <w:spacing w:after="0" w:line="260"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number of stock options awarded under our 2010 Plan. Unless otherwise indicated, these awards are scheduled to vest over a three-year period in three equal tranches with the first tranche scheduled to vest on the first anniversary of the grant date.</w:t>
      </w:r>
    </w:p>
    <w:p>
      <w:pPr>
        <w:spacing w:after="0" w:line="33" w:lineRule="exact"/>
        <w:rPr>
          <w:rFonts w:ascii="Arial" w:cs="Arial" w:eastAsia="Arial" w:hAnsi="Arial"/>
          <w:sz w:val="16"/>
          <w:szCs w:val="16"/>
          <w:color w:val="auto"/>
        </w:rPr>
      </w:pPr>
    </w:p>
    <w:p>
      <w:pPr>
        <w:ind w:left="340" w:right="160" w:hanging="332"/>
        <w:spacing w:after="0" w:line="251"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Represents the grant date fair value of awards computed in accordance with FASB ASC Topic 718. RSUs were valued using the closing price of the Common Stock on the date of grant. We used the Black-Scholes model to estimate our compensation cost for stock option awards. The underlying valuation assumptions for stock options awards are further disclosed in Note 14, </w:t>
      </w:r>
      <w:r>
        <w:rPr>
          <w:rFonts w:ascii="Arial" w:cs="Arial" w:eastAsia="Arial" w:hAnsi="Arial"/>
          <w:sz w:val="16"/>
          <w:szCs w:val="16"/>
          <w:i w:val="1"/>
          <w:iCs w:val="1"/>
          <w:color w:val="auto"/>
        </w:rPr>
        <w:t>Share-Based Compensation</w:t>
      </w:r>
      <w:r>
        <w:rPr>
          <w:rFonts w:ascii="Arial" w:cs="Arial" w:eastAsia="Arial" w:hAnsi="Arial"/>
          <w:sz w:val="16"/>
          <w:szCs w:val="16"/>
          <w:color w:val="auto"/>
        </w:rPr>
        <w:t>, to our consolidated financial statements in our Annual Report. Pursuant to SEC rules, the amounts shown exclude the impact of estimated forfeitures related to service-based vesting conditions.</w:t>
      </w:r>
    </w:p>
    <w:p>
      <w:pPr>
        <w:spacing w:after="0" w:line="40" w:lineRule="exact"/>
        <w:rPr>
          <w:rFonts w:ascii="Arial" w:cs="Arial" w:eastAsia="Arial" w:hAnsi="Arial"/>
          <w:sz w:val="16"/>
          <w:szCs w:val="16"/>
          <w:color w:val="auto"/>
        </w:rPr>
      </w:pPr>
    </w:p>
    <w:p>
      <w:pPr>
        <w:ind w:left="340" w:right="300" w:hanging="332"/>
        <w:spacing w:after="0" w:line="260"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a one-time award granted to executives in connection with the termination of the Automobile Program in February 2016. These awards are scheduled to vest in full on the third anniversary of the date of grant.</w:t>
      </w:r>
    </w:p>
    <w:p>
      <w:pPr>
        <w:spacing w:after="0" w:line="252"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45</w:t>
      </w:r>
    </w:p>
    <w:p>
      <w:pPr>
        <w:sectPr>
          <w:pgSz w:w="11900" w:h="16838" w:orient="portrait"/>
          <w:cols w:equalWidth="0" w:num="1">
            <w:col w:w="11420"/>
          </w:cols>
          <w:pgMar w:left="240" w:top="436" w:right="239" w:bottom="1440" w:gutter="0" w:footer="0" w:header="0"/>
        </w:sectPr>
      </w:pPr>
    </w:p>
    <w:bookmarkStart w:id="51" w:name="page52"/>
    <w:bookmarkEnd w:id="51"/>
    <w:p>
      <w:pPr>
        <w:ind w:left="7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Outstanding Equity Awards at December 31, 2016</w:t>
      </w:r>
    </w:p>
    <w:p>
      <w:pPr>
        <w:spacing w:after="0" w:line="2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following table sets forth information with respect to unexercised stock option awards and unvested RSUs as of December 31, 2016. Stock options vest in equal increments over a three- to five-year period and expire on the tenth anniversary following the date of grant. RSUs vest over a two- to four-year period.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60" w:type="dxa"/>
            <w:vAlign w:val="bottom"/>
          </w:tcPr>
          <w:p>
            <w:pPr>
              <w:spacing w:after="0"/>
              <w:rPr>
                <w:sz w:val="17"/>
                <w:szCs w:val="17"/>
                <w:color w:val="auto"/>
              </w:rPr>
            </w:pPr>
          </w:p>
        </w:tc>
        <w:tc>
          <w:tcPr>
            <w:tcW w:w="1800" w:type="dxa"/>
            <w:vAlign w:val="bottom"/>
            <w:tcBorders>
              <w:bottom w:val="single" w:sz="8" w:color="336699"/>
            </w:tcBorders>
          </w:tcPr>
          <w:p>
            <w:pPr>
              <w:spacing w:after="0"/>
              <w:rPr>
                <w:sz w:val="17"/>
                <w:szCs w:val="17"/>
                <w:color w:val="auto"/>
              </w:rPr>
            </w:pPr>
          </w:p>
        </w:tc>
        <w:tc>
          <w:tcPr>
            <w:tcW w:w="2020" w:type="dxa"/>
            <w:vAlign w:val="bottom"/>
            <w:tcBorders>
              <w:bottom w:val="single" w:sz="8" w:color="336699"/>
            </w:tcBorders>
            <w:gridSpan w:val="2"/>
          </w:tcPr>
          <w:p>
            <w:pPr>
              <w:jc w:val="right"/>
              <w:ind w:right="28"/>
              <w:spacing w:after="0"/>
              <w:rPr>
                <w:sz w:val="20"/>
                <w:szCs w:val="20"/>
                <w:color w:val="auto"/>
              </w:rPr>
            </w:pPr>
            <w:r>
              <w:rPr>
                <w:rFonts w:ascii="Arial" w:cs="Arial" w:eastAsia="Arial" w:hAnsi="Arial"/>
                <w:sz w:val="14"/>
                <w:szCs w:val="14"/>
                <w:b w:val="1"/>
                <w:bCs w:val="1"/>
                <w:color w:val="336699"/>
              </w:rPr>
              <w:t>Option Awards</w:t>
            </w:r>
          </w:p>
        </w:tc>
        <w:tc>
          <w:tcPr>
            <w:tcW w:w="200" w:type="dxa"/>
            <w:vAlign w:val="bottom"/>
            <w:tcBorders>
              <w:bottom w:val="single" w:sz="8" w:color="336699"/>
            </w:tcBorders>
          </w:tcPr>
          <w:p>
            <w:pPr>
              <w:spacing w:after="0"/>
              <w:rPr>
                <w:sz w:val="17"/>
                <w:szCs w:val="17"/>
                <w:color w:val="auto"/>
              </w:rPr>
            </w:pPr>
          </w:p>
        </w:tc>
        <w:tc>
          <w:tcPr>
            <w:tcW w:w="1020" w:type="dxa"/>
            <w:vAlign w:val="bottom"/>
            <w:tcBorders>
              <w:bottom w:val="single" w:sz="8" w:color="336699"/>
            </w:tcBorders>
          </w:tcPr>
          <w:p>
            <w:pPr>
              <w:spacing w:after="0"/>
              <w:rPr>
                <w:sz w:val="17"/>
                <w:szCs w:val="17"/>
                <w:color w:val="auto"/>
              </w:rPr>
            </w:pPr>
          </w:p>
        </w:tc>
        <w:tc>
          <w:tcPr>
            <w:tcW w:w="1340" w:type="dxa"/>
            <w:vAlign w:val="bottom"/>
            <w:tcBorders>
              <w:bottom w:val="single" w:sz="8" w:color="336699"/>
            </w:tcBorders>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336699"/>
            </w:tcBorders>
            <w:gridSpan w:val="4"/>
          </w:tcPr>
          <w:p>
            <w:pPr>
              <w:jc w:val="right"/>
              <w:ind w:right="1120"/>
              <w:spacing w:after="0"/>
              <w:rPr>
                <w:sz w:val="20"/>
                <w:szCs w:val="20"/>
                <w:color w:val="auto"/>
              </w:rPr>
            </w:pPr>
            <w:r>
              <w:rPr>
                <w:rFonts w:ascii="Arial" w:cs="Arial" w:eastAsia="Arial" w:hAnsi="Arial"/>
                <w:sz w:val="14"/>
                <w:szCs w:val="14"/>
                <w:b w:val="1"/>
                <w:bCs w:val="1"/>
                <w:color w:val="336699"/>
              </w:rPr>
              <w:t>Stock Awards</w:t>
            </w:r>
          </w:p>
        </w:tc>
      </w:tr>
      <w:tr>
        <w:trPr>
          <w:trHeight w:val="175"/>
        </w:trPr>
        <w:tc>
          <w:tcPr>
            <w:tcW w:w="15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336699"/>
              </w:rPr>
              <w:t>Number of Securities</w:t>
            </w:r>
          </w:p>
        </w:tc>
        <w:tc>
          <w:tcPr>
            <w:tcW w:w="1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62"/>
        </w:trPr>
        <w:tc>
          <w:tcPr>
            <w:tcW w:w="156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336699"/>
              </w:rPr>
              <w:t>Underlying</w:t>
            </w:r>
          </w:p>
        </w:tc>
        <w:tc>
          <w:tcPr>
            <w:tcW w:w="20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336699"/>
              </w:rPr>
              <w:t>Number of Securities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center"/>
              <w:ind w:right="160"/>
              <w:spacing w:after="0"/>
              <w:rPr>
                <w:sz w:val="20"/>
                <w:szCs w:val="20"/>
                <w:color w:val="auto"/>
              </w:rPr>
            </w:pPr>
            <w:r>
              <w:rPr>
                <w:rFonts w:ascii="Arial" w:cs="Arial" w:eastAsia="Arial" w:hAnsi="Arial"/>
                <w:sz w:val="14"/>
                <w:szCs w:val="14"/>
                <w:b w:val="1"/>
                <w:bCs w:val="1"/>
                <w:color w:val="336699"/>
              </w:rPr>
              <w:t>Market value of</w:t>
            </w:r>
          </w:p>
        </w:tc>
      </w:tr>
      <w:tr>
        <w:trPr>
          <w:trHeight w:val="162"/>
        </w:trPr>
        <w:tc>
          <w:tcPr>
            <w:tcW w:w="156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336699"/>
              </w:rPr>
              <w:t>Unexercised</w:t>
            </w:r>
          </w:p>
        </w:tc>
        <w:tc>
          <w:tcPr>
            <w:tcW w:w="1580" w:type="dxa"/>
            <w:vAlign w:val="bottom"/>
          </w:tcPr>
          <w:p>
            <w:pPr>
              <w:jc w:val="center"/>
              <w:ind w:left="540"/>
              <w:spacing w:after="0"/>
              <w:rPr>
                <w:sz w:val="20"/>
                <w:szCs w:val="20"/>
                <w:color w:val="auto"/>
              </w:rPr>
            </w:pPr>
            <w:r>
              <w:rPr>
                <w:rFonts w:ascii="Arial" w:cs="Arial" w:eastAsia="Arial" w:hAnsi="Arial"/>
                <w:sz w:val="14"/>
                <w:szCs w:val="14"/>
                <w:b w:val="1"/>
                <w:bCs w:val="1"/>
                <w:color w:val="336699"/>
              </w:rPr>
              <w:t>Underlying</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ind w:right="120"/>
              <w:spacing w:after="0"/>
              <w:rPr>
                <w:sz w:val="20"/>
                <w:szCs w:val="20"/>
                <w:color w:val="auto"/>
              </w:rPr>
            </w:pPr>
            <w:r>
              <w:rPr>
                <w:rFonts w:ascii="Arial" w:cs="Arial" w:eastAsia="Arial" w:hAnsi="Arial"/>
                <w:sz w:val="14"/>
                <w:szCs w:val="14"/>
                <w:b w:val="1"/>
                <w:bCs w:val="1"/>
                <w:color w:val="336699"/>
              </w:rPr>
              <w:t>Option</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336699"/>
              </w:rPr>
              <w:t>Number of shares or</w:t>
            </w:r>
          </w:p>
        </w:tc>
        <w:tc>
          <w:tcPr>
            <w:tcW w:w="34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336699"/>
              </w:rPr>
              <w:t>shares or units of</w:t>
            </w:r>
          </w:p>
        </w:tc>
      </w:tr>
      <w:tr>
        <w:trPr>
          <w:trHeight w:val="162"/>
        </w:trPr>
        <w:tc>
          <w:tcPr>
            <w:tcW w:w="156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336699"/>
              </w:rPr>
              <w:t>Options</w:t>
            </w:r>
          </w:p>
        </w:tc>
        <w:tc>
          <w:tcPr>
            <w:tcW w:w="1580" w:type="dxa"/>
            <w:vAlign w:val="bottom"/>
          </w:tcPr>
          <w:p>
            <w:pPr>
              <w:jc w:val="center"/>
              <w:ind w:left="560"/>
              <w:spacing w:after="0"/>
              <w:rPr>
                <w:sz w:val="20"/>
                <w:szCs w:val="20"/>
                <w:color w:val="auto"/>
              </w:rPr>
            </w:pPr>
            <w:r>
              <w:rPr>
                <w:rFonts w:ascii="Arial" w:cs="Arial" w:eastAsia="Arial" w:hAnsi="Arial"/>
                <w:sz w:val="14"/>
                <w:szCs w:val="14"/>
                <w:b w:val="1"/>
                <w:bCs w:val="1"/>
                <w:color w:val="336699"/>
              </w:rPr>
              <w:t>Unexercised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ind w:right="120"/>
              <w:spacing w:after="0"/>
              <w:rPr>
                <w:sz w:val="20"/>
                <w:szCs w:val="20"/>
                <w:color w:val="auto"/>
              </w:rPr>
            </w:pPr>
            <w:r>
              <w:rPr>
                <w:rFonts w:ascii="Arial" w:cs="Arial" w:eastAsia="Arial" w:hAnsi="Arial"/>
                <w:sz w:val="14"/>
                <w:szCs w:val="14"/>
                <w:b w:val="1"/>
                <w:bCs w:val="1"/>
                <w:color w:val="336699"/>
              </w:rPr>
              <w:t>Exercise</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336699"/>
              </w:rPr>
              <w:t>Option</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336699"/>
              </w:rPr>
              <w:t>units of stock that</w:t>
            </w:r>
          </w:p>
        </w:tc>
        <w:tc>
          <w:tcPr>
            <w:tcW w:w="34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336699"/>
              </w:rPr>
              <w:t>stock that have not</w:t>
            </w:r>
          </w:p>
        </w:tc>
      </w:tr>
      <w:tr>
        <w:trPr>
          <w:trHeight w:val="162"/>
        </w:trPr>
        <w:tc>
          <w:tcPr>
            <w:tcW w:w="156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336699"/>
              </w:rPr>
              <w:t>Exercisable</w:t>
            </w:r>
          </w:p>
        </w:tc>
        <w:tc>
          <w:tcPr>
            <w:tcW w:w="20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336699"/>
              </w:rPr>
              <w:t>Options Unexercisable</w:t>
            </w:r>
          </w:p>
        </w:tc>
        <w:tc>
          <w:tcPr>
            <w:tcW w:w="200" w:type="dxa"/>
            <w:vAlign w:val="bottom"/>
          </w:tcPr>
          <w:p>
            <w:pPr>
              <w:spacing w:after="0"/>
              <w:rPr>
                <w:sz w:val="14"/>
                <w:szCs w:val="14"/>
                <w:color w:val="auto"/>
              </w:rPr>
            </w:pPr>
          </w:p>
        </w:tc>
        <w:tc>
          <w:tcPr>
            <w:tcW w:w="1020" w:type="dxa"/>
            <w:vAlign w:val="bottom"/>
          </w:tcPr>
          <w:p>
            <w:pPr>
              <w:jc w:val="center"/>
              <w:ind w:right="120"/>
              <w:spacing w:after="0"/>
              <w:rPr>
                <w:sz w:val="20"/>
                <w:szCs w:val="20"/>
                <w:color w:val="auto"/>
              </w:rPr>
            </w:pPr>
            <w:r>
              <w:rPr>
                <w:rFonts w:ascii="Arial" w:cs="Arial" w:eastAsia="Arial" w:hAnsi="Arial"/>
                <w:sz w:val="14"/>
                <w:szCs w:val="14"/>
                <w:b w:val="1"/>
                <w:bCs w:val="1"/>
                <w:color w:val="336699"/>
                <w:w w:val="99"/>
              </w:rPr>
              <w:t>Price</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336699"/>
              </w:rPr>
              <w:t>Expiration</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336699"/>
              </w:rPr>
              <w:t>have not vested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center"/>
              <w:ind w:right="140"/>
              <w:spacing w:after="0"/>
              <w:rPr>
                <w:sz w:val="20"/>
                <w:szCs w:val="20"/>
                <w:color w:val="auto"/>
              </w:rPr>
            </w:pPr>
            <w:r>
              <w:rPr>
                <w:rFonts w:ascii="Arial" w:cs="Arial" w:eastAsia="Arial" w:hAnsi="Arial"/>
                <w:sz w:val="14"/>
                <w:szCs w:val="14"/>
                <w:b w:val="1"/>
                <w:bCs w:val="1"/>
                <w:color w:val="336699"/>
              </w:rPr>
              <w:t>vested</w:t>
            </w:r>
          </w:p>
        </w:tc>
      </w:tr>
      <w:tr>
        <w:trPr>
          <w:trHeight w:val="196"/>
        </w:trPr>
        <w:tc>
          <w:tcPr>
            <w:tcW w:w="1560" w:type="dxa"/>
            <w:vAlign w:val="bottom"/>
            <w:tcBorders>
              <w:bottom w:val="single" w:sz="8" w:color="336699"/>
            </w:tcBorders>
          </w:tcPr>
          <w:p>
            <w:pPr>
              <w:ind w:left="580"/>
              <w:spacing w:after="0"/>
              <w:rPr>
                <w:sz w:val="20"/>
                <w:szCs w:val="20"/>
                <w:color w:val="auto"/>
              </w:rPr>
            </w:pPr>
            <w:r>
              <w:rPr>
                <w:rFonts w:ascii="Arial" w:cs="Arial" w:eastAsia="Arial" w:hAnsi="Arial"/>
                <w:sz w:val="14"/>
                <w:szCs w:val="14"/>
                <w:b w:val="1"/>
                <w:bCs w:val="1"/>
                <w:color w:val="336699"/>
              </w:rPr>
              <w:t>Name</w:t>
            </w:r>
          </w:p>
        </w:tc>
        <w:tc>
          <w:tcPr>
            <w:tcW w:w="1800" w:type="dxa"/>
            <w:vAlign w:val="bottom"/>
            <w:tcBorders>
              <w:bottom w:val="single" w:sz="8" w:color="336699"/>
            </w:tcBorders>
          </w:tcPr>
          <w:p>
            <w:pPr>
              <w:jc w:val="center"/>
              <w:spacing w:after="0"/>
              <w:rPr>
                <w:sz w:val="20"/>
                <w:szCs w:val="20"/>
                <w:color w:val="auto"/>
              </w:rPr>
            </w:pPr>
            <w:r>
              <w:rPr>
                <w:rFonts w:ascii="Arial" w:cs="Arial" w:eastAsia="Arial" w:hAnsi="Arial"/>
                <w:sz w:val="14"/>
                <w:szCs w:val="14"/>
                <w:b w:val="1"/>
                <w:bCs w:val="1"/>
                <w:color w:val="336699"/>
                <w:w w:val="93"/>
              </w:rPr>
              <w:t>(#)</w:t>
            </w:r>
          </w:p>
        </w:tc>
        <w:tc>
          <w:tcPr>
            <w:tcW w:w="1580" w:type="dxa"/>
            <w:vAlign w:val="bottom"/>
            <w:tcBorders>
              <w:bottom w:val="single" w:sz="8" w:color="336699"/>
            </w:tcBorders>
          </w:tcPr>
          <w:p>
            <w:pPr>
              <w:jc w:val="center"/>
              <w:ind w:left="560"/>
              <w:spacing w:after="0"/>
              <w:rPr>
                <w:sz w:val="20"/>
                <w:szCs w:val="20"/>
                <w:color w:val="auto"/>
              </w:rPr>
            </w:pPr>
            <w:r>
              <w:rPr>
                <w:rFonts w:ascii="Arial" w:cs="Arial" w:eastAsia="Arial" w:hAnsi="Arial"/>
                <w:sz w:val="14"/>
                <w:szCs w:val="14"/>
                <w:b w:val="1"/>
                <w:bCs w:val="1"/>
                <w:color w:val="336699"/>
              </w:rPr>
              <w:t>(#)</w:t>
            </w:r>
          </w:p>
        </w:tc>
        <w:tc>
          <w:tcPr>
            <w:tcW w:w="440" w:type="dxa"/>
            <w:vAlign w:val="bottom"/>
            <w:tcBorders>
              <w:bottom w:val="single" w:sz="8" w:color="336699"/>
            </w:tcBorders>
          </w:tcPr>
          <w:p>
            <w:pPr>
              <w:spacing w:after="0"/>
              <w:rPr>
                <w:sz w:val="17"/>
                <w:szCs w:val="17"/>
                <w:color w:val="auto"/>
              </w:rPr>
            </w:pPr>
          </w:p>
        </w:tc>
        <w:tc>
          <w:tcPr>
            <w:tcW w:w="200" w:type="dxa"/>
            <w:vAlign w:val="bottom"/>
            <w:tcBorders>
              <w:bottom w:val="single" w:sz="8" w:color="336699"/>
            </w:tcBorders>
          </w:tcPr>
          <w:p>
            <w:pPr>
              <w:spacing w:after="0"/>
              <w:rPr>
                <w:sz w:val="17"/>
                <w:szCs w:val="17"/>
                <w:color w:val="auto"/>
              </w:rPr>
            </w:pPr>
          </w:p>
        </w:tc>
        <w:tc>
          <w:tcPr>
            <w:tcW w:w="1020" w:type="dxa"/>
            <w:vAlign w:val="bottom"/>
            <w:tcBorders>
              <w:bottom w:val="single" w:sz="8" w:color="336699"/>
            </w:tcBorders>
          </w:tcPr>
          <w:p>
            <w:pPr>
              <w:jc w:val="center"/>
              <w:ind w:right="120"/>
              <w:spacing w:after="0"/>
              <w:rPr>
                <w:sz w:val="20"/>
                <w:szCs w:val="20"/>
                <w:color w:val="auto"/>
              </w:rPr>
            </w:pPr>
            <w:r>
              <w:rPr>
                <w:rFonts w:ascii="Arial" w:cs="Arial" w:eastAsia="Arial" w:hAnsi="Arial"/>
                <w:sz w:val="14"/>
                <w:szCs w:val="14"/>
                <w:b w:val="1"/>
                <w:bCs w:val="1"/>
                <w:color w:val="336699"/>
              </w:rPr>
              <w:t>($)</w:t>
            </w:r>
          </w:p>
        </w:tc>
        <w:tc>
          <w:tcPr>
            <w:tcW w:w="1460" w:type="dxa"/>
            <w:vAlign w:val="bottom"/>
            <w:tcBorders>
              <w:bottom w:val="single" w:sz="8" w:color="336699"/>
            </w:tcBorders>
            <w:gridSpan w:val="2"/>
          </w:tcPr>
          <w:p>
            <w:pPr>
              <w:jc w:val="center"/>
              <w:spacing w:after="0"/>
              <w:rPr>
                <w:sz w:val="20"/>
                <w:szCs w:val="20"/>
                <w:color w:val="auto"/>
              </w:rPr>
            </w:pPr>
            <w:r>
              <w:rPr>
                <w:rFonts w:ascii="Arial" w:cs="Arial" w:eastAsia="Arial" w:hAnsi="Arial"/>
                <w:sz w:val="14"/>
                <w:szCs w:val="14"/>
                <w:b w:val="1"/>
                <w:bCs w:val="1"/>
                <w:color w:val="336699"/>
                <w:w w:val="98"/>
              </w:rPr>
              <w:t>Date</w:t>
            </w:r>
          </w:p>
        </w:tc>
        <w:tc>
          <w:tcPr>
            <w:tcW w:w="1460" w:type="dxa"/>
            <w:vAlign w:val="bottom"/>
            <w:tcBorders>
              <w:bottom w:val="single" w:sz="8" w:color="336699"/>
            </w:tcBorders>
          </w:tcPr>
          <w:p>
            <w:pPr>
              <w:jc w:val="center"/>
              <w:spacing w:after="0"/>
              <w:rPr>
                <w:sz w:val="20"/>
                <w:szCs w:val="20"/>
                <w:color w:val="auto"/>
              </w:rPr>
            </w:pPr>
            <w:r>
              <w:rPr>
                <w:rFonts w:ascii="Arial" w:cs="Arial" w:eastAsia="Arial" w:hAnsi="Arial"/>
                <w:sz w:val="14"/>
                <w:szCs w:val="14"/>
                <w:b w:val="1"/>
                <w:bCs w:val="1"/>
                <w:color w:val="336699"/>
              </w:rPr>
              <w:t>(#)</w:t>
            </w:r>
          </w:p>
        </w:tc>
        <w:tc>
          <w:tcPr>
            <w:tcW w:w="340" w:type="dxa"/>
            <w:vAlign w:val="bottom"/>
            <w:tcBorders>
              <w:bottom w:val="single" w:sz="8" w:color="336699"/>
            </w:tcBorders>
          </w:tcPr>
          <w:p>
            <w:pPr>
              <w:spacing w:after="0"/>
              <w:rPr>
                <w:sz w:val="17"/>
                <w:szCs w:val="17"/>
                <w:color w:val="auto"/>
              </w:rPr>
            </w:pPr>
          </w:p>
        </w:tc>
        <w:tc>
          <w:tcPr>
            <w:tcW w:w="240" w:type="dxa"/>
            <w:vAlign w:val="bottom"/>
            <w:tcBorders>
              <w:bottom w:val="single" w:sz="8" w:color="336699"/>
            </w:tcBorders>
          </w:tcPr>
          <w:p>
            <w:pPr>
              <w:spacing w:after="0"/>
              <w:rPr>
                <w:sz w:val="17"/>
                <w:szCs w:val="17"/>
                <w:color w:val="auto"/>
              </w:rPr>
            </w:pPr>
          </w:p>
        </w:tc>
        <w:tc>
          <w:tcPr>
            <w:tcW w:w="1320" w:type="dxa"/>
            <w:vAlign w:val="bottom"/>
            <w:tcBorders>
              <w:bottom w:val="single" w:sz="8" w:color="336699"/>
            </w:tcBorders>
          </w:tcPr>
          <w:p>
            <w:pPr>
              <w:jc w:val="center"/>
              <w:ind w:right="160"/>
              <w:spacing w:after="0"/>
              <w:rPr>
                <w:sz w:val="20"/>
                <w:szCs w:val="20"/>
                <w:color w:val="auto"/>
              </w:rPr>
            </w:pPr>
            <w:r>
              <w:rPr>
                <w:rFonts w:ascii="Arial" w:cs="Arial" w:eastAsia="Arial" w:hAnsi="Arial"/>
                <w:sz w:val="14"/>
                <w:szCs w:val="14"/>
                <w:b w:val="1"/>
                <w:bCs w:val="1"/>
                <w:color w:val="336699"/>
              </w:rPr>
              <w:t>(8) ($)</w:t>
            </w:r>
          </w:p>
        </w:tc>
      </w:tr>
      <w:tr>
        <w:trPr>
          <w:trHeight w:val="250"/>
        </w:trPr>
        <w:tc>
          <w:tcPr>
            <w:tcW w:w="1560" w:type="dxa"/>
            <w:vAlign w:val="bottom"/>
            <w:shd w:val="clear" w:color="auto" w:fill="CCFFFF"/>
          </w:tcPr>
          <w:p>
            <w:pPr>
              <w:ind w:left="40"/>
              <w:spacing w:after="0"/>
              <w:rPr>
                <w:sz w:val="20"/>
                <w:szCs w:val="20"/>
                <w:color w:val="auto"/>
              </w:rPr>
            </w:pPr>
            <w:r>
              <w:rPr>
                <w:rFonts w:ascii="Arial" w:cs="Arial" w:eastAsia="Arial" w:hAnsi="Arial"/>
                <w:sz w:val="16"/>
                <w:szCs w:val="16"/>
                <w:color w:val="auto"/>
              </w:rPr>
              <w:t>Mark S. Casady</w:t>
            </w: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120,000</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jc w:val="right"/>
              <w:ind w:right="168"/>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22.08</w:t>
            </w:r>
          </w:p>
        </w:tc>
        <w:tc>
          <w:tcPr>
            <w:tcW w:w="13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9/14/2019</w:t>
            </w:r>
          </w:p>
        </w:tc>
        <w:tc>
          <w:tcPr>
            <w:tcW w:w="120" w:type="dxa"/>
            <w:vAlign w:val="bottom"/>
            <w:shd w:val="clear" w:color="auto" w:fill="CCFFFF"/>
          </w:tcPr>
          <w:p>
            <w:pPr>
              <w:spacing w:after="0"/>
              <w:rPr>
                <w:sz w:val="21"/>
                <w:szCs w:val="21"/>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FFFF"/>
          </w:tcPr>
          <w:p>
            <w:pPr>
              <w:spacing w:after="0"/>
              <w:rPr>
                <w:sz w:val="21"/>
                <w:szCs w:val="21"/>
                <w:color w:val="auto"/>
              </w:rPr>
            </w:pP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1560" w:type="dxa"/>
            <w:vAlign w:val="bottom"/>
            <w:shd w:val="clear" w:color="auto" w:fill="CCFFFF"/>
          </w:tcPr>
          <w:p>
            <w:pPr>
              <w:spacing w:after="0"/>
              <w:rPr>
                <w:sz w:val="23"/>
                <w:szCs w:val="23"/>
                <w:color w:val="auto"/>
              </w:rPr>
            </w:pP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150,000</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jc w:val="right"/>
              <w:ind w:right="168"/>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34.61</w:t>
            </w:r>
          </w:p>
        </w:tc>
        <w:tc>
          <w:tcPr>
            <w:tcW w:w="13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12/22/2020</w:t>
            </w:r>
          </w:p>
        </w:tc>
        <w:tc>
          <w:tcPr>
            <w:tcW w:w="120" w:type="dxa"/>
            <w:vAlign w:val="bottom"/>
            <w:shd w:val="clear" w:color="auto" w:fill="CCFFFF"/>
          </w:tcPr>
          <w:p>
            <w:pPr>
              <w:spacing w:after="0"/>
              <w:rPr>
                <w:sz w:val="23"/>
                <w:szCs w:val="23"/>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FFFF"/>
          </w:tcPr>
          <w:p>
            <w:pPr>
              <w:spacing w:after="0"/>
              <w:rPr>
                <w:sz w:val="23"/>
                <w:szCs w:val="23"/>
                <w:color w:val="auto"/>
              </w:rPr>
            </w:pP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1560" w:type="dxa"/>
            <w:vAlign w:val="bottom"/>
            <w:shd w:val="clear" w:color="auto" w:fill="CCFFFF"/>
          </w:tcPr>
          <w:p>
            <w:pPr>
              <w:spacing w:after="0"/>
              <w:rPr>
                <w:sz w:val="23"/>
                <w:szCs w:val="23"/>
                <w:color w:val="auto"/>
              </w:rPr>
            </w:pP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149,151</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37,288</w:t>
            </w:r>
          </w:p>
        </w:tc>
        <w:tc>
          <w:tcPr>
            <w:tcW w:w="440" w:type="dxa"/>
            <w:vAlign w:val="bottom"/>
            <w:shd w:val="clear" w:color="auto" w:fill="CCFFFF"/>
          </w:tcPr>
          <w:p>
            <w:pPr>
              <w:jc w:val="right"/>
              <w:ind w:right="168"/>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32.26</w:t>
            </w:r>
          </w:p>
        </w:tc>
        <w:tc>
          <w:tcPr>
            <w:tcW w:w="13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2/9/2022</w:t>
            </w:r>
          </w:p>
        </w:tc>
        <w:tc>
          <w:tcPr>
            <w:tcW w:w="120" w:type="dxa"/>
            <w:vAlign w:val="bottom"/>
            <w:shd w:val="clear" w:color="auto" w:fill="CCFFFF"/>
          </w:tcPr>
          <w:p>
            <w:pPr>
              <w:spacing w:after="0"/>
              <w:rPr>
                <w:sz w:val="23"/>
                <w:szCs w:val="23"/>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FFFF"/>
          </w:tcPr>
          <w:p>
            <w:pPr>
              <w:spacing w:after="0"/>
              <w:rPr>
                <w:sz w:val="23"/>
                <w:szCs w:val="23"/>
                <w:color w:val="auto"/>
              </w:rPr>
            </w:pP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1560" w:type="dxa"/>
            <w:vAlign w:val="bottom"/>
            <w:shd w:val="clear" w:color="auto" w:fill="CCFFFF"/>
          </w:tcPr>
          <w:p>
            <w:pPr>
              <w:spacing w:after="0"/>
              <w:rPr>
                <w:sz w:val="23"/>
                <w:szCs w:val="23"/>
                <w:color w:val="auto"/>
              </w:rPr>
            </w:pP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175,885</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58,628</w:t>
            </w:r>
          </w:p>
        </w:tc>
        <w:tc>
          <w:tcPr>
            <w:tcW w:w="440" w:type="dxa"/>
            <w:vAlign w:val="bottom"/>
            <w:shd w:val="clear" w:color="auto" w:fill="CCFFFF"/>
          </w:tcPr>
          <w:p>
            <w:pPr>
              <w:jc w:val="right"/>
              <w:ind w:right="168"/>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31.60</w:t>
            </w:r>
          </w:p>
        </w:tc>
        <w:tc>
          <w:tcPr>
            <w:tcW w:w="13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2/22/2023</w:t>
            </w:r>
          </w:p>
        </w:tc>
        <w:tc>
          <w:tcPr>
            <w:tcW w:w="120" w:type="dxa"/>
            <w:vAlign w:val="bottom"/>
            <w:shd w:val="clear" w:color="auto" w:fill="CCFFFF"/>
          </w:tcPr>
          <w:p>
            <w:pPr>
              <w:spacing w:after="0"/>
              <w:rPr>
                <w:sz w:val="23"/>
                <w:szCs w:val="23"/>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FFFF"/>
          </w:tcPr>
          <w:p>
            <w:pPr>
              <w:spacing w:after="0"/>
              <w:rPr>
                <w:sz w:val="23"/>
                <w:szCs w:val="23"/>
                <w:color w:val="auto"/>
              </w:rPr>
            </w:pP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1560" w:type="dxa"/>
            <w:vAlign w:val="bottom"/>
            <w:shd w:val="clear" w:color="auto" w:fill="CCFFFF"/>
          </w:tcPr>
          <w:p>
            <w:pPr>
              <w:spacing w:after="0"/>
              <w:rPr>
                <w:sz w:val="23"/>
                <w:szCs w:val="23"/>
                <w:color w:val="auto"/>
              </w:rPr>
            </w:pP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98,916</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49,459</w:t>
            </w:r>
          </w:p>
        </w:tc>
        <w:tc>
          <w:tcPr>
            <w:tcW w:w="440" w:type="dxa"/>
            <w:vAlign w:val="bottom"/>
            <w:shd w:val="clear" w:color="auto" w:fill="CCFFFF"/>
          </w:tcPr>
          <w:p>
            <w:pPr>
              <w:jc w:val="right"/>
              <w:ind w:right="168"/>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54.81</w:t>
            </w:r>
          </w:p>
        </w:tc>
        <w:tc>
          <w:tcPr>
            <w:tcW w:w="13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2/24/2024</w:t>
            </w:r>
          </w:p>
        </w:tc>
        <w:tc>
          <w:tcPr>
            <w:tcW w:w="120" w:type="dxa"/>
            <w:vAlign w:val="bottom"/>
            <w:shd w:val="clear" w:color="auto" w:fill="CCFFFF"/>
          </w:tcPr>
          <w:p>
            <w:pPr>
              <w:spacing w:after="0"/>
              <w:rPr>
                <w:sz w:val="23"/>
                <w:szCs w:val="23"/>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FFFF"/>
          </w:tcPr>
          <w:p>
            <w:pPr>
              <w:spacing w:after="0"/>
              <w:rPr>
                <w:sz w:val="23"/>
                <w:szCs w:val="23"/>
                <w:color w:val="auto"/>
              </w:rPr>
            </w:pP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1560" w:type="dxa"/>
            <w:vAlign w:val="bottom"/>
            <w:shd w:val="clear" w:color="auto" w:fill="CCFFFF"/>
          </w:tcPr>
          <w:p>
            <w:pPr>
              <w:spacing w:after="0"/>
              <w:rPr>
                <w:sz w:val="23"/>
                <w:szCs w:val="23"/>
                <w:color w:val="auto"/>
              </w:rPr>
            </w:pP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133,334</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266,666</w:t>
            </w:r>
          </w:p>
        </w:tc>
        <w:tc>
          <w:tcPr>
            <w:tcW w:w="440" w:type="dxa"/>
            <w:vAlign w:val="bottom"/>
            <w:shd w:val="clear" w:color="auto" w:fill="CCFFFF"/>
          </w:tcPr>
          <w:p>
            <w:pPr>
              <w:jc w:val="right"/>
              <w:ind w:right="168"/>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45.55</w:t>
            </w:r>
          </w:p>
        </w:tc>
        <w:tc>
          <w:tcPr>
            <w:tcW w:w="13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3/6/2025</w:t>
            </w:r>
          </w:p>
        </w:tc>
        <w:tc>
          <w:tcPr>
            <w:tcW w:w="120" w:type="dxa"/>
            <w:vAlign w:val="bottom"/>
            <w:shd w:val="clear" w:color="auto" w:fill="CCFFFF"/>
          </w:tcPr>
          <w:p>
            <w:pPr>
              <w:spacing w:after="0"/>
              <w:rPr>
                <w:sz w:val="23"/>
                <w:szCs w:val="23"/>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FFFF"/>
          </w:tcPr>
          <w:p>
            <w:pPr>
              <w:spacing w:after="0"/>
              <w:rPr>
                <w:sz w:val="23"/>
                <w:szCs w:val="23"/>
                <w:color w:val="auto"/>
              </w:rPr>
            </w:pP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r>
      <w:tr>
        <w:trPr>
          <w:trHeight w:val="290"/>
        </w:trPr>
        <w:tc>
          <w:tcPr>
            <w:tcW w:w="1560" w:type="dxa"/>
            <w:vAlign w:val="bottom"/>
            <w:shd w:val="clear" w:color="auto" w:fill="CCFFFF"/>
          </w:tcPr>
          <w:p>
            <w:pPr>
              <w:spacing w:after="0"/>
              <w:rPr>
                <w:sz w:val="24"/>
                <w:szCs w:val="24"/>
                <w:color w:val="auto"/>
              </w:rPr>
            </w:pP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403,329</w:t>
            </w:r>
          </w:p>
        </w:tc>
        <w:tc>
          <w:tcPr>
            <w:tcW w:w="440" w:type="dxa"/>
            <w:vAlign w:val="bottom"/>
            <w:shd w:val="clear" w:color="auto" w:fill="CCFFFF"/>
          </w:tcPr>
          <w:p>
            <w:pPr>
              <w:jc w:val="right"/>
              <w:ind w:right="168"/>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19.85</w:t>
            </w:r>
          </w:p>
        </w:tc>
        <w:tc>
          <w:tcPr>
            <w:tcW w:w="13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2/25/2026</w:t>
            </w:r>
          </w:p>
        </w:tc>
        <w:tc>
          <w:tcPr>
            <w:tcW w:w="120" w:type="dxa"/>
            <w:vAlign w:val="bottom"/>
            <w:shd w:val="clear" w:color="auto" w:fill="CCFFFF"/>
          </w:tcPr>
          <w:p>
            <w:pPr>
              <w:spacing w:after="0"/>
              <w:rPr>
                <w:sz w:val="24"/>
                <w:szCs w:val="24"/>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FFFF"/>
          </w:tcPr>
          <w:p>
            <w:pPr>
              <w:spacing w:after="0"/>
              <w:rPr>
                <w:sz w:val="24"/>
                <w:szCs w:val="24"/>
                <w:color w:val="auto"/>
              </w:rPr>
            </w:pP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1560" w:type="dxa"/>
            <w:vAlign w:val="bottom"/>
          </w:tcPr>
          <w:p>
            <w:pPr>
              <w:ind w:left="40"/>
              <w:spacing w:after="0"/>
              <w:rPr>
                <w:sz w:val="20"/>
                <w:szCs w:val="20"/>
                <w:color w:val="auto"/>
              </w:rPr>
            </w:pPr>
            <w:r>
              <w:rPr>
                <w:rFonts w:ascii="Arial" w:cs="Arial" w:eastAsia="Arial" w:hAnsi="Arial"/>
                <w:sz w:val="16"/>
                <w:szCs w:val="16"/>
                <w:color w:val="auto"/>
              </w:rPr>
              <w:t>Matthew J. Audette</w:t>
            </w:r>
          </w:p>
        </w:tc>
        <w:tc>
          <w:tcPr>
            <w:tcW w:w="1800" w:type="dxa"/>
            <w:vAlign w:val="bottom"/>
          </w:tcPr>
          <w:p>
            <w:pPr>
              <w:jc w:val="right"/>
              <w:ind w:right="40"/>
              <w:spacing w:after="0"/>
              <w:rPr>
                <w:sz w:val="20"/>
                <w:szCs w:val="20"/>
                <w:color w:val="auto"/>
              </w:rPr>
            </w:pPr>
            <w:r>
              <w:rPr>
                <w:rFonts w:ascii="Arial" w:cs="Arial" w:eastAsia="Arial" w:hAnsi="Arial"/>
                <w:sz w:val="16"/>
                <w:szCs w:val="16"/>
                <w:color w:val="auto"/>
              </w:rPr>
              <w:t>5,869</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11,736</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42.60</w:t>
            </w:r>
          </w:p>
        </w:tc>
        <w:tc>
          <w:tcPr>
            <w:tcW w:w="1340" w:type="dxa"/>
            <w:vAlign w:val="bottom"/>
          </w:tcPr>
          <w:p>
            <w:pPr>
              <w:jc w:val="right"/>
              <w:spacing w:after="0"/>
              <w:rPr>
                <w:sz w:val="20"/>
                <w:szCs w:val="20"/>
                <w:color w:val="auto"/>
              </w:rPr>
            </w:pPr>
            <w:r>
              <w:rPr>
                <w:rFonts w:ascii="Arial" w:cs="Arial" w:eastAsia="Arial" w:hAnsi="Arial"/>
                <w:sz w:val="16"/>
                <w:szCs w:val="16"/>
                <w:color w:val="auto"/>
              </w:rPr>
              <w:t>10/30/2025</w:t>
            </w:r>
          </w:p>
        </w:tc>
        <w:tc>
          <w:tcPr>
            <w:tcW w:w="120" w:type="dxa"/>
            <w:vAlign w:val="bottom"/>
          </w:tcPr>
          <w:p>
            <w:pPr>
              <w:spacing w:after="0"/>
              <w:rPr>
                <w:sz w:val="21"/>
                <w:szCs w:val="21"/>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1560" w:type="dxa"/>
            <w:vAlign w:val="bottom"/>
          </w:tcPr>
          <w:p>
            <w:pPr>
              <w:spacing w:after="0"/>
              <w:rPr>
                <w:sz w:val="23"/>
                <w:szCs w:val="23"/>
                <w:color w:val="auto"/>
              </w:rPr>
            </w:pPr>
          </w:p>
        </w:tc>
        <w:tc>
          <w:tcPr>
            <w:tcW w:w="1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94,110</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19.85</w:t>
            </w:r>
          </w:p>
        </w:tc>
        <w:tc>
          <w:tcPr>
            <w:tcW w:w="1340" w:type="dxa"/>
            <w:vAlign w:val="bottom"/>
          </w:tcPr>
          <w:p>
            <w:pPr>
              <w:jc w:val="right"/>
              <w:spacing w:after="0"/>
              <w:rPr>
                <w:sz w:val="20"/>
                <w:szCs w:val="20"/>
                <w:color w:val="auto"/>
              </w:rPr>
            </w:pPr>
            <w:r>
              <w:rPr>
                <w:rFonts w:ascii="Arial" w:cs="Arial" w:eastAsia="Arial" w:hAnsi="Arial"/>
                <w:sz w:val="16"/>
                <w:szCs w:val="16"/>
                <w:color w:val="auto"/>
              </w:rPr>
              <w:t>2/25/2026</w:t>
            </w:r>
          </w:p>
        </w:tc>
        <w:tc>
          <w:tcPr>
            <w:tcW w:w="120" w:type="dxa"/>
            <w:vAlign w:val="bottom"/>
          </w:tcPr>
          <w:p>
            <w:pPr>
              <w:spacing w:after="0"/>
              <w:rPr>
                <w:sz w:val="23"/>
                <w:szCs w:val="23"/>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1560" w:type="dxa"/>
            <w:vAlign w:val="bottom"/>
          </w:tcPr>
          <w:p>
            <w:pPr>
              <w:spacing w:after="0"/>
              <w:rPr>
                <w:sz w:val="23"/>
                <w:szCs w:val="23"/>
                <w:color w:val="auto"/>
              </w:rPr>
            </w:pPr>
          </w:p>
        </w:tc>
        <w:tc>
          <w:tcPr>
            <w:tcW w:w="1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11,736</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413,225</w:t>
            </w:r>
          </w:p>
        </w:tc>
      </w:tr>
      <w:tr>
        <w:trPr>
          <w:trHeight w:val="270"/>
        </w:trPr>
        <w:tc>
          <w:tcPr>
            <w:tcW w:w="1560" w:type="dxa"/>
            <w:vAlign w:val="bottom"/>
          </w:tcPr>
          <w:p>
            <w:pPr>
              <w:spacing w:after="0"/>
              <w:rPr>
                <w:sz w:val="23"/>
                <w:szCs w:val="23"/>
                <w:color w:val="auto"/>
              </w:rPr>
            </w:pPr>
          </w:p>
        </w:tc>
        <w:tc>
          <w:tcPr>
            <w:tcW w:w="1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3,111</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109,538</w:t>
            </w:r>
          </w:p>
        </w:tc>
      </w:tr>
      <w:tr>
        <w:trPr>
          <w:trHeight w:val="280"/>
        </w:trPr>
        <w:tc>
          <w:tcPr>
            <w:tcW w:w="1560" w:type="dxa"/>
            <w:vAlign w:val="bottom"/>
          </w:tcPr>
          <w:p>
            <w:pPr>
              <w:spacing w:after="0"/>
              <w:rPr>
                <w:sz w:val="24"/>
                <w:szCs w:val="24"/>
                <w:color w:val="auto"/>
              </w:rPr>
            </w:pPr>
          </w:p>
        </w:tc>
        <w:tc>
          <w:tcPr>
            <w:tcW w:w="1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11,530</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405,971</w:t>
            </w:r>
          </w:p>
        </w:tc>
      </w:tr>
      <w:tr>
        <w:trPr>
          <w:trHeight w:val="260"/>
        </w:trPr>
        <w:tc>
          <w:tcPr>
            <w:tcW w:w="1560" w:type="dxa"/>
            <w:vAlign w:val="bottom"/>
            <w:shd w:val="clear" w:color="auto" w:fill="CCFFFF"/>
          </w:tcPr>
          <w:p>
            <w:pPr>
              <w:ind w:left="40"/>
              <w:spacing w:after="0"/>
              <w:rPr>
                <w:sz w:val="20"/>
                <w:szCs w:val="20"/>
                <w:color w:val="auto"/>
              </w:rPr>
            </w:pPr>
            <w:r>
              <w:rPr>
                <w:rFonts w:ascii="Arial" w:cs="Arial" w:eastAsia="Arial" w:hAnsi="Arial"/>
                <w:sz w:val="16"/>
                <w:szCs w:val="16"/>
                <w:color w:val="auto"/>
              </w:rPr>
              <w:t>Dan H. Arnold</w:t>
            </w: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21,727</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jc w:val="right"/>
              <w:ind w:right="168"/>
              <w:spacing w:after="0"/>
              <w:rPr>
                <w:sz w:val="20"/>
                <w:szCs w:val="20"/>
                <w:color w:val="auto"/>
              </w:rPr>
            </w:pPr>
            <w:r>
              <w:rPr>
                <w:rFonts w:ascii="Arial" w:cs="Arial" w:eastAsia="Arial" w:hAnsi="Arial"/>
                <w:sz w:val="14"/>
                <w:szCs w:val="14"/>
                <w:color w:val="auto"/>
              </w:rPr>
              <w:t>(7)</w:t>
            </w: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27.80</w:t>
            </w:r>
          </w:p>
        </w:tc>
        <w:tc>
          <w:tcPr>
            <w:tcW w:w="13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2/5/2018</w:t>
            </w:r>
          </w:p>
        </w:tc>
        <w:tc>
          <w:tcPr>
            <w:tcW w:w="120" w:type="dxa"/>
            <w:vAlign w:val="bottom"/>
            <w:shd w:val="clear" w:color="auto" w:fill="CCFFFF"/>
          </w:tcPr>
          <w:p>
            <w:pPr>
              <w:spacing w:after="0"/>
              <w:rPr>
                <w:sz w:val="22"/>
                <w:szCs w:val="22"/>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FFFF"/>
          </w:tcPr>
          <w:p>
            <w:pPr>
              <w:spacing w:after="0"/>
              <w:rPr>
                <w:sz w:val="22"/>
                <w:szCs w:val="22"/>
                <w:color w:val="auto"/>
              </w:rPr>
            </w:pP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1560" w:type="dxa"/>
            <w:vAlign w:val="bottom"/>
            <w:shd w:val="clear" w:color="auto" w:fill="CCFFFF"/>
          </w:tcPr>
          <w:p>
            <w:pPr>
              <w:spacing w:after="0"/>
              <w:rPr>
                <w:sz w:val="23"/>
                <w:szCs w:val="23"/>
                <w:color w:val="auto"/>
              </w:rPr>
            </w:pP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20,000</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jc w:val="right"/>
              <w:ind w:right="168"/>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22.08</w:t>
            </w:r>
          </w:p>
        </w:tc>
        <w:tc>
          <w:tcPr>
            <w:tcW w:w="13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9/14/2019</w:t>
            </w:r>
          </w:p>
        </w:tc>
        <w:tc>
          <w:tcPr>
            <w:tcW w:w="120" w:type="dxa"/>
            <w:vAlign w:val="bottom"/>
            <w:shd w:val="clear" w:color="auto" w:fill="CCFFFF"/>
          </w:tcPr>
          <w:p>
            <w:pPr>
              <w:spacing w:after="0"/>
              <w:rPr>
                <w:sz w:val="23"/>
                <w:szCs w:val="23"/>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FFFF"/>
          </w:tcPr>
          <w:p>
            <w:pPr>
              <w:spacing w:after="0"/>
              <w:rPr>
                <w:sz w:val="23"/>
                <w:szCs w:val="23"/>
                <w:color w:val="auto"/>
              </w:rPr>
            </w:pP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1560" w:type="dxa"/>
            <w:vAlign w:val="bottom"/>
            <w:shd w:val="clear" w:color="auto" w:fill="CCFFFF"/>
          </w:tcPr>
          <w:p>
            <w:pPr>
              <w:spacing w:after="0"/>
              <w:rPr>
                <w:sz w:val="23"/>
                <w:szCs w:val="23"/>
                <w:color w:val="auto"/>
              </w:rPr>
            </w:pP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40,000</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jc w:val="right"/>
              <w:ind w:right="168"/>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34.61</w:t>
            </w:r>
          </w:p>
        </w:tc>
        <w:tc>
          <w:tcPr>
            <w:tcW w:w="13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12/22/2020</w:t>
            </w:r>
          </w:p>
        </w:tc>
        <w:tc>
          <w:tcPr>
            <w:tcW w:w="120" w:type="dxa"/>
            <w:vAlign w:val="bottom"/>
            <w:shd w:val="clear" w:color="auto" w:fill="CCFFFF"/>
          </w:tcPr>
          <w:p>
            <w:pPr>
              <w:spacing w:after="0"/>
              <w:rPr>
                <w:sz w:val="23"/>
                <w:szCs w:val="23"/>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FFFF"/>
          </w:tcPr>
          <w:p>
            <w:pPr>
              <w:spacing w:after="0"/>
              <w:rPr>
                <w:sz w:val="23"/>
                <w:szCs w:val="23"/>
                <w:color w:val="auto"/>
              </w:rPr>
            </w:pP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1560" w:type="dxa"/>
            <w:vAlign w:val="bottom"/>
            <w:shd w:val="clear" w:color="auto" w:fill="CCFFFF"/>
          </w:tcPr>
          <w:p>
            <w:pPr>
              <w:spacing w:after="0"/>
              <w:rPr>
                <w:sz w:val="23"/>
                <w:szCs w:val="23"/>
                <w:color w:val="auto"/>
              </w:rPr>
            </w:pP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21,734</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5,433</w:t>
            </w:r>
          </w:p>
        </w:tc>
        <w:tc>
          <w:tcPr>
            <w:tcW w:w="440" w:type="dxa"/>
            <w:vAlign w:val="bottom"/>
            <w:shd w:val="clear" w:color="auto" w:fill="CCFFFF"/>
          </w:tcPr>
          <w:p>
            <w:pPr>
              <w:jc w:val="right"/>
              <w:ind w:right="168"/>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32.26</w:t>
            </w:r>
          </w:p>
        </w:tc>
        <w:tc>
          <w:tcPr>
            <w:tcW w:w="13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2/9/2022</w:t>
            </w:r>
          </w:p>
        </w:tc>
        <w:tc>
          <w:tcPr>
            <w:tcW w:w="120" w:type="dxa"/>
            <w:vAlign w:val="bottom"/>
            <w:shd w:val="clear" w:color="auto" w:fill="CCFFFF"/>
          </w:tcPr>
          <w:p>
            <w:pPr>
              <w:spacing w:after="0"/>
              <w:rPr>
                <w:sz w:val="23"/>
                <w:szCs w:val="23"/>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FFFF"/>
          </w:tcPr>
          <w:p>
            <w:pPr>
              <w:spacing w:after="0"/>
              <w:rPr>
                <w:sz w:val="23"/>
                <w:szCs w:val="23"/>
                <w:color w:val="auto"/>
              </w:rPr>
            </w:pP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1560" w:type="dxa"/>
            <w:vAlign w:val="bottom"/>
            <w:shd w:val="clear" w:color="auto" w:fill="CCFFFF"/>
          </w:tcPr>
          <w:p>
            <w:pPr>
              <w:spacing w:after="0"/>
              <w:rPr>
                <w:sz w:val="23"/>
                <w:szCs w:val="23"/>
                <w:color w:val="auto"/>
              </w:rPr>
            </w:pP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36,118</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12,041</w:t>
            </w:r>
          </w:p>
        </w:tc>
        <w:tc>
          <w:tcPr>
            <w:tcW w:w="440" w:type="dxa"/>
            <w:vAlign w:val="bottom"/>
            <w:shd w:val="clear" w:color="auto" w:fill="CCFFFF"/>
          </w:tcPr>
          <w:p>
            <w:pPr>
              <w:jc w:val="right"/>
              <w:ind w:right="168"/>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31.60</w:t>
            </w:r>
          </w:p>
        </w:tc>
        <w:tc>
          <w:tcPr>
            <w:tcW w:w="13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2/22/2023</w:t>
            </w:r>
          </w:p>
        </w:tc>
        <w:tc>
          <w:tcPr>
            <w:tcW w:w="120" w:type="dxa"/>
            <w:vAlign w:val="bottom"/>
            <w:shd w:val="clear" w:color="auto" w:fill="CCFFFF"/>
          </w:tcPr>
          <w:p>
            <w:pPr>
              <w:spacing w:after="0"/>
              <w:rPr>
                <w:sz w:val="23"/>
                <w:szCs w:val="23"/>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FFFF"/>
          </w:tcPr>
          <w:p>
            <w:pPr>
              <w:spacing w:after="0"/>
              <w:rPr>
                <w:sz w:val="23"/>
                <w:szCs w:val="23"/>
                <w:color w:val="auto"/>
              </w:rPr>
            </w:pP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1560" w:type="dxa"/>
            <w:vAlign w:val="bottom"/>
            <w:shd w:val="clear" w:color="auto" w:fill="CCFFFF"/>
          </w:tcPr>
          <w:p>
            <w:pPr>
              <w:spacing w:after="0"/>
              <w:rPr>
                <w:sz w:val="23"/>
                <w:szCs w:val="23"/>
                <w:color w:val="auto"/>
              </w:rPr>
            </w:pP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13,488</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6,744</w:t>
            </w:r>
          </w:p>
        </w:tc>
        <w:tc>
          <w:tcPr>
            <w:tcW w:w="440" w:type="dxa"/>
            <w:vAlign w:val="bottom"/>
            <w:shd w:val="clear" w:color="auto" w:fill="CCFFFF"/>
          </w:tcPr>
          <w:p>
            <w:pPr>
              <w:jc w:val="right"/>
              <w:ind w:right="168"/>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54.81</w:t>
            </w:r>
          </w:p>
        </w:tc>
        <w:tc>
          <w:tcPr>
            <w:tcW w:w="13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2/24/2024</w:t>
            </w:r>
          </w:p>
        </w:tc>
        <w:tc>
          <w:tcPr>
            <w:tcW w:w="120" w:type="dxa"/>
            <w:vAlign w:val="bottom"/>
            <w:shd w:val="clear" w:color="auto" w:fill="CCFFFF"/>
          </w:tcPr>
          <w:p>
            <w:pPr>
              <w:spacing w:after="0"/>
              <w:rPr>
                <w:sz w:val="23"/>
                <w:szCs w:val="23"/>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FFFF"/>
          </w:tcPr>
          <w:p>
            <w:pPr>
              <w:spacing w:after="0"/>
              <w:rPr>
                <w:sz w:val="23"/>
                <w:szCs w:val="23"/>
                <w:color w:val="auto"/>
              </w:rPr>
            </w:pP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1560" w:type="dxa"/>
            <w:vAlign w:val="bottom"/>
            <w:shd w:val="clear" w:color="auto" w:fill="CCFFFF"/>
          </w:tcPr>
          <w:p>
            <w:pPr>
              <w:spacing w:after="0"/>
              <w:rPr>
                <w:sz w:val="23"/>
                <w:szCs w:val="23"/>
                <w:color w:val="auto"/>
              </w:rPr>
            </w:pP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8,454</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16,908</w:t>
            </w:r>
          </w:p>
        </w:tc>
        <w:tc>
          <w:tcPr>
            <w:tcW w:w="440" w:type="dxa"/>
            <w:vAlign w:val="bottom"/>
            <w:shd w:val="clear" w:color="auto" w:fill="CCFFFF"/>
          </w:tcPr>
          <w:p>
            <w:pPr>
              <w:jc w:val="right"/>
              <w:ind w:right="168"/>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45.55</w:t>
            </w:r>
          </w:p>
        </w:tc>
        <w:tc>
          <w:tcPr>
            <w:tcW w:w="13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3/6/2025</w:t>
            </w:r>
          </w:p>
        </w:tc>
        <w:tc>
          <w:tcPr>
            <w:tcW w:w="120" w:type="dxa"/>
            <w:vAlign w:val="bottom"/>
            <w:shd w:val="clear" w:color="auto" w:fill="CCFFFF"/>
          </w:tcPr>
          <w:p>
            <w:pPr>
              <w:spacing w:after="0"/>
              <w:rPr>
                <w:sz w:val="23"/>
                <w:szCs w:val="23"/>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FFFF"/>
          </w:tcPr>
          <w:p>
            <w:pPr>
              <w:spacing w:after="0"/>
              <w:rPr>
                <w:sz w:val="23"/>
                <w:szCs w:val="23"/>
                <w:color w:val="auto"/>
              </w:rPr>
            </w:pP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1560" w:type="dxa"/>
            <w:vAlign w:val="bottom"/>
            <w:shd w:val="clear" w:color="auto" w:fill="CCFFFF"/>
          </w:tcPr>
          <w:p>
            <w:pPr>
              <w:spacing w:after="0"/>
              <w:rPr>
                <w:sz w:val="23"/>
                <w:szCs w:val="23"/>
                <w:color w:val="auto"/>
              </w:rPr>
            </w:pP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98,031</w:t>
            </w:r>
          </w:p>
        </w:tc>
        <w:tc>
          <w:tcPr>
            <w:tcW w:w="440" w:type="dxa"/>
            <w:vAlign w:val="bottom"/>
            <w:shd w:val="clear" w:color="auto" w:fill="CCFFFF"/>
          </w:tcPr>
          <w:p>
            <w:pPr>
              <w:jc w:val="right"/>
              <w:ind w:right="168"/>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19.85</w:t>
            </w:r>
          </w:p>
        </w:tc>
        <w:tc>
          <w:tcPr>
            <w:tcW w:w="13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2/25/2026</w:t>
            </w:r>
          </w:p>
        </w:tc>
        <w:tc>
          <w:tcPr>
            <w:tcW w:w="120" w:type="dxa"/>
            <w:vAlign w:val="bottom"/>
            <w:shd w:val="clear" w:color="auto" w:fill="CCFFFF"/>
          </w:tcPr>
          <w:p>
            <w:pPr>
              <w:spacing w:after="0"/>
              <w:rPr>
                <w:sz w:val="23"/>
                <w:szCs w:val="23"/>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FFFF"/>
          </w:tcPr>
          <w:p>
            <w:pPr>
              <w:spacing w:after="0"/>
              <w:rPr>
                <w:sz w:val="23"/>
                <w:szCs w:val="23"/>
                <w:color w:val="auto"/>
              </w:rPr>
            </w:pP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1560" w:type="dxa"/>
            <w:vAlign w:val="bottom"/>
            <w:shd w:val="clear" w:color="auto" w:fill="CCFFFF"/>
          </w:tcPr>
          <w:p>
            <w:pPr>
              <w:spacing w:after="0"/>
              <w:rPr>
                <w:sz w:val="23"/>
                <w:szCs w:val="23"/>
                <w:color w:val="auto"/>
              </w:rPr>
            </w:pP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spacing w:after="0"/>
              <w:rPr>
                <w:sz w:val="23"/>
                <w:szCs w:val="23"/>
                <w:color w:val="auto"/>
              </w:rPr>
            </w:pP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FFFF"/>
          </w:tcPr>
          <w:p>
            <w:pPr>
              <w:spacing w:after="0"/>
              <w:rPr>
                <w:sz w:val="23"/>
                <w:szCs w:val="23"/>
                <w:color w:val="auto"/>
              </w:rPr>
            </w:pPr>
          </w:p>
        </w:tc>
        <w:tc>
          <w:tcPr>
            <w:tcW w:w="120" w:type="dxa"/>
            <w:vAlign w:val="bottom"/>
            <w:shd w:val="clear" w:color="auto" w:fill="CCFFFF"/>
          </w:tcPr>
          <w:p>
            <w:pPr>
              <w:spacing w:after="0"/>
              <w:rPr>
                <w:sz w:val="23"/>
                <w:szCs w:val="23"/>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1,094</w:t>
            </w:r>
          </w:p>
        </w:tc>
        <w:tc>
          <w:tcPr>
            <w:tcW w:w="340" w:type="dxa"/>
            <w:vAlign w:val="bottom"/>
            <w:shd w:val="clear" w:color="auto" w:fill="CCFFFF"/>
          </w:tcPr>
          <w:p>
            <w:pPr>
              <w:jc w:val="right"/>
              <w:ind w:right="48"/>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38,520</w:t>
            </w:r>
          </w:p>
        </w:tc>
      </w:tr>
      <w:tr>
        <w:trPr>
          <w:trHeight w:val="270"/>
        </w:trPr>
        <w:tc>
          <w:tcPr>
            <w:tcW w:w="1560" w:type="dxa"/>
            <w:vAlign w:val="bottom"/>
            <w:shd w:val="clear" w:color="auto" w:fill="CCFFFF"/>
          </w:tcPr>
          <w:p>
            <w:pPr>
              <w:spacing w:after="0"/>
              <w:rPr>
                <w:sz w:val="23"/>
                <w:szCs w:val="23"/>
                <w:color w:val="auto"/>
              </w:rPr>
            </w:pP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spacing w:after="0"/>
              <w:rPr>
                <w:sz w:val="23"/>
                <w:szCs w:val="23"/>
                <w:color w:val="auto"/>
              </w:rPr>
            </w:pP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FFFF"/>
          </w:tcPr>
          <w:p>
            <w:pPr>
              <w:spacing w:after="0"/>
              <w:rPr>
                <w:sz w:val="23"/>
                <w:szCs w:val="23"/>
                <w:color w:val="auto"/>
              </w:rPr>
            </w:pPr>
          </w:p>
        </w:tc>
        <w:tc>
          <w:tcPr>
            <w:tcW w:w="120" w:type="dxa"/>
            <w:vAlign w:val="bottom"/>
            <w:shd w:val="clear" w:color="auto" w:fill="CCFFFF"/>
          </w:tcPr>
          <w:p>
            <w:pPr>
              <w:spacing w:after="0"/>
              <w:rPr>
                <w:sz w:val="23"/>
                <w:szCs w:val="23"/>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9,122</w:t>
            </w:r>
          </w:p>
        </w:tc>
        <w:tc>
          <w:tcPr>
            <w:tcW w:w="340" w:type="dxa"/>
            <w:vAlign w:val="bottom"/>
            <w:shd w:val="clear" w:color="auto" w:fill="CCFFFF"/>
          </w:tcPr>
          <w:p>
            <w:pPr>
              <w:jc w:val="right"/>
              <w:ind w:right="48"/>
              <w:spacing w:after="0"/>
              <w:rPr>
                <w:sz w:val="20"/>
                <w:szCs w:val="20"/>
                <w:color w:val="auto"/>
              </w:rPr>
            </w:pPr>
            <w:r>
              <w:rPr>
                <w:rFonts w:ascii="Arial" w:cs="Arial" w:eastAsia="Arial" w:hAnsi="Arial"/>
                <w:sz w:val="14"/>
                <w:szCs w:val="14"/>
                <w:color w:val="auto"/>
              </w:rPr>
              <w:t>(6)</w:t>
            </w: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321,186</w:t>
            </w:r>
          </w:p>
        </w:tc>
      </w:tr>
      <w:tr>
        <w:trPr>
          <w:trHeight w:val="270"/>
        </w:trPr>
        <w:tc>
          <w:tcPr>
            <w:tcW w:w="1560" w:type="dxa"/>
            <w:vAlign w:val="bottom"/>
            <w:shd w:val="clear" w:color="auto" w:fill="CCFFFF"/>
          </w:tcPr>
          <w:p>
            <w:pPr>
              <w:spacing w:after="0"/>
              <w:rPr>
                <w:sz w:val="23"/>
                <w:szCs w:val="23"/>
                <w:color w:val="auto"/>
              </w:rPr>
            </w:pP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spacing w:after="0"/>
              <w:rPr>
                <w:sz w:val="23"/>
                <w:szCs w:val="23"/>
                <w:color w:val="auto"/>
              </w:rPr>
            </w:pP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FFFF"/>
          </w:tcPr>
          <w:p>
            <w:pPr>
              <w:spacing w:after="0"/>
              <w:rPr>
                <w:sz w:val="23"/>
                <w:szCs w:val="23"/>
                <w:color w:val="auto"/>
              </w:rPr>
            </w:pPr>
          </w:p>
        </w:tc>
        <w:tc>
          <w:tcPr>
            <w:tcW w:w="120" w:type="dxa"/>
            <w:vAlign w:val="bottom"/>
            <w:shd w:val="clear" w:color="auto" w:fill="CCFFFF"/>
          </w:tcPr>
          <w:p>
            <w:pPr>
              <w:spacing w:after="0"/>
              <w:rPr>
                <w:sz w:val="23"/>
                <w:szCs w:val="23"/>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2,414</w:t>
            </w:r>
          </w:p>
        </w:tc>
        <w:tc>
          <w:tcPr>
            <w:tcW w:w="340" w:type="dxa"/>
            <w:vAlign w:val="bottom"/>
            <w:shd w:val="clear" w:color="auto" w:fill="CCFFFF"/>
          </w:tcPr>
          <w:p>
            <w:pPr>
              <w:jc w:val="right"/>
              <w:ind w:right="48"/>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84,997</w:t>
            </w:r>
          </w:p>
        </w:tc>
      </w:tr>
      <w:tr>
        <w:trPr>
          <w:trHeight w:val="270"/>
        </w:trPr>
        <w:tc>
          <w:tcPr>
            <w:tcW w:w="1560" w:type="dxa"/>
            <w:vAlign w:val="bottom"/>
            <w:shd w:val="clear" w:color="auto" w:fill="CCFFFF"/>
          </w:tcPr>
          <w:p>
            <w:pPr>
              <w:spacing w:after="0"/>
              <w:rPr>
                <w:sz w:val="23"/>
                <w:szCs w:val="23"/>
                <w:color w:val="auto"/>
              </w:rPr>
            </w:pP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spacing w:after="0"/>
              <w:rPr>
                <w:sz w:val="23"/>
                <w:szCs w:val="23"/>
                <w:color w:val="auto"/>
              </w:rPr>
            </w:pP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FFFF"/>
          </w:tcPr>
          <w:p>
            <w:pPr>
              <w:spacing w:after="0"/>
              <w:rPr>
                <w:sz w:val="23"/>
                <w:szCs w:val="23"/>
                <w:color w:val="auto"/>
              </w:rPr>
            </w:pPr>
          </w:p>
        </w:tc>
        <w:tc>
          <w:tcPr>
            <w:tcW w:w="120" w:type="dxa"/>
            <w:vAlign w:val="bottom"/>
            <w:shd w:val="clear" w:color="auto" w:fill="CCFFFF"/>
          </w:tcPr>
          <w:p>
            <w:pPr>
              <w:spacing w:after="0"/>
              <w:rPr>
                <w:sz w:val="23"/>
                <w:szCs w:val="23"/>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3,111</w:t>
            </w:r>
          </w:p>
        </w:tc>
        <w:tc>
          <w:tcPr>
            <w:tcW w:w="340" w:type="dxa"/>
            <w:vAlign w:val="bottom"/>
            <w:shd w:val="clear" w:color="auto" w:fill="CCFFFF"/>
          </w:tcPr>
          <w:p>
            <w:pPr>
              <w:jc w:val="right"/>
              <w:ind w:right="48"/>
              <w:spacing w:after="0"/>
              <w:rPr>
                <w:sz w:val="20"/>
                <w:szCs w:val="20"/>
                <w:color w:val="auto"/>
              </w:rPr>
            </w:pPr>
            <w:r>
              <w:rPr>
                <w:rFonts w:ascii="Arial" w:cs="Arial" w:eastAsia="Arial" w:hAnsi="Arial"/>
                <w:sz w:val="14"/>
                <w:szCs w:val="14"/>
                <w:color w:val="auto"/>
              </w:rPr>
              <w:t>(6)</w:t>
            </w: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109,538</w:t>
            </w:r>
          </w:p>
        </w:tc>
      </w:tr>
      <w:tr>
        <w:trPr>
          <w:trHeight w:val="290"/>
        </w:trPr>
        <w:tc>
          <w:tcPr>
            <w:tcW w:w="1560" w:type="dxa"/>
            <w:vAlign w:val="bottom"/>
            <w:shd w:val="clear" w:color="auto" w:fill="CCFFFF"/>
          </w:tcPr>
          <w:p>
            <w:pPr>
              <w:spacing w:after="0"/>
              <w:rPr>
                <w:sz w:val="24"/>
                <w:szCs w:val="24"/>
                <w:color w:val="auto"/>
              </w:rPr>
            </w:pP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spacing w:after="0"/>
              <w:rPr>
                <w:sz w:val="24"/>
                <w:szCs w:val="24"/>
                <w:color w:val="auto"/>
              </w:rPr>
            </w:pP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FFFF"/>
          </w:tcPr>
          <w:p>
            <w:pPr>
              <w:spacing w:after="0"/>
              <w:rPr>
                <w:sz w:val="24"/>
                <w:szCs w:val="24"/>
                <w:color w:val="auto"/>
              </w:rPr>
            </w:pPr>
          </w:p>
        </w:tc>
        <w:tc>
          <w:tcPr>
            <w:tcW w:w="120" w:type="dxa"/>
            <w:vAlign w:val="bottom"/>
            <w:shd w:val="clear" w:color="auto" w:fill="CCFFFF"/>
          </w:tcPr>
          <w:p>
            <w:pPr>
              <w:spacing w:after="0"/>
              <w:rPr>
                <w:sz w:val="24"/>
                <w:szCs w:val="24"/>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12,010</w:t>
            </w:r>
          </w:p>
        </w:tc>
        <w:tc>
          <w:tcPr>
            <w:tcW w:w="340" w:type="dxa"/>
            <w:vAlign w:val="bottom"/>
            <w:shd w:val="clear" w:color="auto" w:fill="CCFFFF"/>
          </w:tcPr>
          <w:p>
            <w:pPr>
              <w:jc w:val="right"/>
              <w:ind w:right="48"/>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422,872</w:t>
            </w:r>
          </w:p>
        </w:tc>
      </w:tr>
      <w:tr>
        <w:trPr>
          <w:trHeight w:val="251"/>
        </w:trPr>
        <w:tc>
          <w:tcPr>
            <w:tcW w:w="1560" w:type="dxa"/>
            <w:vAlign w:val="bottom"/>
          </w:tcPr>
          <w:p>
            <w:pPr>
              <w:ind w:left="40"/>
              <w:spacing w:after="0"/>
              <w:rPr>
                <w:sz w:val="20"/>
                <w:szCs w:val="20"/>
                <w:color w:val="auto"/>
              </w:rPr>
            </w:pPr>
            <w:r>
              <w:rPr>
                <w:rFonts w:ascii="Arial" w:cs="Arial" w:eastAsia="Arial" w:hAnsi="Arial"/>
                <w:sz w:val="16"/>
                <w:szCs w:val="16"/>
                <w:color w:val="auto"/>
              </w:rPr>
              <w:t>Tracy E. Calder</w:t>
            </w:r>
          </w:p>
        </w:tc>
        <w:tc>
          <w:tcPr>
            <w:tcW w:w="1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28,681</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19.85</w:t>
            </w:r>
          </w:p>
        </w:tc>
        <w:tc>
          <w:tcPr>
            <w:tcW w:w="1340" w:type="dxa"/>
            <w:vAlign w:val="bottom"/>
          </w:tcPr>
          <w:p>
            <w:pPr>
              <w:jc w:val="right"/>
              <w:spacing w:after="0"/>
              <w:rPr>
                <w:sz w:val="20"/>
                <w:szCs w:val="20"/>
                <w:color w:val="auto"/>
              </w:rPr>
            </w:pPr>
            <w:r>
              <w:rPr>
                <w:rFonts w:ascii="Arial" w:cs="Arial" w:eastAsia="Arial" w:hAnsi="Arial"/>
                <w:sz w:val="16"/>
                <w:szCs w:val="16"/>
                <w:color w:val="auto"/>
              </w:rPr>
              <w:t>2/25/2026</w:t>
            </w:r>
          </w:p>
        </w:tc>
        <w:tc>
          <w:tcPr>
            <w:tcW w:w="120" w:type="dxa"/>
            <w:vAlign w:val="bottom"/>
          </w:tcPr>
          <w:p>
            <w:pPr>
              <w:spacing w:after="0"/>
              <w:rPr>
                <w:sz w:val="21"/>
                <w:szCs w:val="21"/>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1560" w:type="dxa"/>
            <w:vAlign w:val="bottom"/>
          </w:tcPr>
          <w:p>
            <w:pPr>
              <w:spacing w:after="0"/>
              <w:rPr>
                <w:sz w:val="23"/>
                <w:szCs w:val="23"/>
                <w:color w:val="auto"/>
              </w:rPr>
            </w:pPr>
          </w:p>
        </w:tc>
        <w:tc>
          <w:tcPr>
            <w:tcW w:w="1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3,513</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123,693</w:t>
            </w:r>
          </w:p>
        </w:tc>
      </w:tr>
      <w:tr>
        <w:trPr>
          <w:trHeight w:val="280"/>
        </w:trPr>
        <w:tc>
          <w:tcPr>
            <w:tcW w:w="1560" w:type="dxa"/>
            <w:vAlign w:val="bottom"/>
          </w:tcPr>
          <w:p>
            <w:pPr>
              <w:spacing w:after="0"/>
              <w:rPr>
                <w:sz w:val="24"/>
                <w:szCs w:val="24"/>
                <w:color w:val="auto"/>
              </w:rPr>
            </w:pPr>
          </w:p>
        </w:tc>
        <w:tc>
          <w:tcPr>
            <w:tcW w:w="1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32,241</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1,135,206</w:t>
            </w:r>
          </w:p>
        </w:tc>
      </w:tr>
      <w:tr>
        <w:trPr>
          <w:trHeight w:val="260"/>
        </w:trPr>
        <w:tc>
          <w:tcPr>
            <w:tcW w:w="1560" w:type="dxa"/>
            <w:vAlign w:val="bottom"/>
            <w:shd w:val="clear" w:color="auto" w:fill="CCFFFF"/>
          </w:tcPr>
          <w:p>
            <w:pPr>
              <w:ind w:left="40"/>
              <w:spacing w:after="0"/>
              <w:rPr>
                <w:sz w:val="20"/>
                <w:szCs w:val="20"/>
                <w:color w:val="auto"/>
              </w:rPr>
            </w:pPr>
            <w:r>
              <w:rPr>
                <w:rFonts w:ascii="Arial" w:cs="Arial" w:eastAsia="Arial" w:hAnsi="Arial"/>
                <w:sz w:val="16"/>
                <w:szCs w:val="16"/>
                <w:color w:val="auto"/>
              </w:rPr>
              <w:t>Thomas Gooley</w:t>
            </w: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6,859</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13,717</w:t>
            </w:r>
          </w:p>
        </w:tc>
        <w:tc>
          <w:tcPr>
            <w:tcW w:w="440" w:type="dxa"/>
            <w:vAlign w:val="bottom"/>
            <w:shd w:val="clear" w:color="auto" w:fill="CCFFFF"/>
          </w:tcPr>
          <w:p>
            <w:pPr>
              <w:jc w:val="right"/>
              <w:ind w:right="168"/>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43.74</w:t>
            </w:r>
          </w:p>
        </w:tc>
        <w:tc>
          <w:tcPr>
            <w:tcW w:w="13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8/6/2025</w:t>
            </w:r>
          </w:p>
        </w:tc>
        <w:tc>
          <w:tcPr>
            <w:tcW w:w="120" w:type="dxa"/>
            <w:vAlign w:val="bottom"/>
            <w:shd w:val="clear" w:color="auto" w:fill="CCFFFF"/>
          </w:tcPr>
          <w:p>
            <w:pPr>
              <w:spacing w:after="0"/>
              <w:rPr>
                <w:sz w:val="22"/>
                <w:szCs w:val="22"/>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FFFF"/>
          </w:tcPr>
          <w:p>
            <w:pPr>
              <w:spacing w:after="0"/>
              <w:rPr>
                <w:sz w:val="22"/>
                <w:szCs w:val="22"/>
                <w:color w:val="auto"/>
              </w:rPr>
            </w:pP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1560" w:type="dxa"/>
            <w:vAlign w:val="bottom"/>
            <w:shd w:val="clear" w:color="auto" w:fill="CCFFFF"/>
          </w:tcPr>
          <w:p>
            <w:pPr>
              <w:spacing w:after="0"/>
              <w:rPr>
                <w:sz w:val="23"/>
                <w:szCs w:val="23"/>
                <w:color w:val="auto"/>
              </w:rPr>
            </w:pP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44,814</w:t>
            </w:r>
          </w:p>
        </w:tc>
        <w:tc>
          <w:tcPr>
            <w:tcW w:w="440" w:type="dxa"/>
            <w:vAlign w:val="bottom"/>
            <w:shd w:val="clear" w:color="auto" w:fill="CCFFFF"/>
          </w:tcPr>
          <w:p>
            <w:pPr>
              <w:jc w:val="right"/>
              <w:ind w:right="168"/>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19.85</w:t>
            </w:r>
          </w:p>
        </w:tc>
        <w:tc>
          <w:tcPr>
            <w:tcW w:w="13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2/25/2026</w:t>
            </w:r>
          </w:p>
        </w:tc>
        <w:tc>
          <w:tcPr>
            <w:tcW w:w="120" w:type="dxa"/>
            <w:vAlign w:val="bottom"/>
            <w:shd w:val="clear" w:color="auto" w:fill="CCFFFF"/>
          </w:tcPr>
          <w:p>
            <w:pPr>
              <w:spacing w:after="0"/>
              <w:rPr>
                <w:sz w:val="23"/>
                <w:szCs w:val="23"/>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FFFF"/>
          </w:tcPr>
          <w:p>
            <w:pPr>
              <w:spacing w:after="0"/>
              <w:rPr>
                <w:sz w:val="23"/>
                <w:szCs w:val="23"/>
                <w:color w:val="auto"/>
              </w:rPr>
            </w:pP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1560" w:type="dxa"/>
            <w:vAlign w:val="bottom"/>
            <w:shd w:val="clear" w:color="auto" w:fill="CCFFFF"/>
          </w:tcPr>
          <w:p>
            <w:pPr>
              <w:spacing w:after="0"/>
              <w:rPr>
                <w:sz w:val="23"/>
                <w:szCs w:val="23"/>
                <w:color w:val="auto"/>
              </w:rPr>
            </w:pP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23,907</w:t>
            </w:r>
          </w:p>
        </w:tc>
        <w:tc>
          <w:tcPr>
            <w:tcW w:w="440" w:type="dxa"/>
            <w:vAlign w:val="bottom"/>
            <w:shd w:val="clear" w:color="auto" w:fill="CCFFFF"/>
          </w:tcPr>
          <w:p>
            <w:pPr>
              <w:jc w:val="right"/>
              <w:ind w:right="168"/>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24.38</w:t>
            </w:r>
          </w:p>
        </w:tc>
        <w:tc>
          <w:tcPr>
            <w:tcW w:w="13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6/13/2026</w:t>
            </w:r>
          </w:p>
        </w:tc>
        <w:tc>
          <w:tcPr>
            <w:tcW w:w="120" w:type="dxa"/>
            <w:vAlign w:val="bottom"/>
            <w:shd w:val="clear" w:color="auto" w:fill="CCFFFF"/>
          </w:tcPr>
          <w:p>
            <w:pPr>
              <w:spacing w:after="0"/>
              <w:rPr>
                <w:sz w:val="23"/>
                <w:szCs w:val="23"/>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FFFF"/>
          </w:tcPr>
          <w:p>
            <w:pPr>
              <w:spacing w:after="0"/>
              <w:rPr>
                <w:sz w:val="23"/>
                <w:szCs w:val="23"/>
                <w:color w:val="auto"/>
              </w:rPr>
            </w:pP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1560" w:type="dxa"/>
            <w:vAlign w:val="bottom"/>
            <w:shd w:val="clear" w:color="auto" w:fill="CCFFFF"/>
          </w:tcPr>
          <w:p>
            <w:pPr>
              <w:spacing w:after="0"/>
              <w:rPr>
                <w:sz w:val="23"/>
                <w:szCs w:val="23"/>
                <w:color w:val="auto"/>
              </w:rPr>
            </w:pP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spacing w:after="0"/>
              <w:rPr>
                <w:sz w:val="23"/>
                <w:szCs w:val="23"/>
                <w:color w:val="auto"/>
              </w:rPr>
            </w:pP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FFFF"/>
          </w:tcPr>
          <w:p>
            <w:pPr>
              <w:spacing w:after="0"/>
              <w:rPr>
                <w:sz w:val="23"/>
                <w:szCs w:val="23"/>
                <w:color w:val="auto"/>
              </w:rPr>
            </w:pPr>
          </w:p>
        </w:tc>
        <w:tc>
          <w:tcPr>
            <w:tcW w:w="120" w:type="dxa"/>
            <w:vAlign w:val="bottom"/>
            <w:shd w:val="clear" w:color="auto" w:fill="CCFFFF"/>
          </w:tcPr>
          <w:p>
            <w:pPr>
              <w:spacing w:after="0"/>
              <w:rPr>
                <w:sz w:val="23"/>
                <w:szCs w:val="23"/>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4,572</w:t>
            </w:r>
          </w:p>
        </w:tc>
        <w:tc>
          <w:tcPr>
            <w:tcW w:w="340" w:type="dxa"/>
            <w:vAlign w:val="bottom"/>
            <w:shd w:val="clear" w:color="auto" w:fill="CCFFFF"/>
          </w:tcPr>
          <w:p>
            <w:pPr>
              <w:jc w:val="right"/>
              <w:ind w:right="48"/>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160,980</w:t>
            </w:r>
          </w:p>
        </w:tc>
      </w:tr>
      <w:tr>
        <w:trPr>
          <w:trHeight w:val="270"/>
        </w:trPr>
        <w:tc>
          <w:tcPr>
            <w:tcW w:w="1560" w:type="dxa"/>
            <w:vAlign w:val="bottom"/>
            <w:shd w:val="clear" w:color="auto" w:fill="CCFFFF"/>
          </w:tcPr>
          <w:p>
            <w:pPr>
              <w:spacing w:after="0"/>
              <w:rPr>
                <w:sz w:val="23"/>
                <w:szCs w:val="23"/>
                <w:color w:val="auto"/>
              </w:rPr>
            </w:pP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spacing w:after="0"/>
              <w:rPr>
                <w:sz w:val="23"/>
                <w:szCs w:val="23"/>
                <w:color w:val="auto"/>
              </w:rPr>
            </w:pP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FFFF"/>
          </w:tcPr>
          <w:p>
            <w:pPr>
              <w:spacing w:after="0"/>
              <w:rPr>
                <w:sz w:val="23"/>
                <w:szCs w:val="23"/>
                <w:color w:val="auto"/>
              </w:rPr>
            </w:pPr>
          </w:p>
        </w:tc>
        <w:tc>
          <w:tcPr>
            <w:tcW w:w="120" w:type="dxa"/>
            <w:vAlign w:val="bottom"/>
            <w:shd w:val="clear" w:color="auto" w:fill="CCFFFF"/>
          </w:tcPr>
          <w:p>
            <w:pPr>
              <w:spacing w:after="0"/>
              <w:rPr>
                <w:sz w:val="23"/>
                <w:szCs w:val="23"/>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3,111</w:t>
            </w:r>
          </w:p>
        </w:tc>
        <w:tc>
          <w:tcPr>
            <w:tcW w:w="340" w:type="dxa"/>
            <w:vAlign w:val="bottom"/>
            <w:shd w:val="clear" w:color="auto" w:fill="CCFFFF"/>
          </w:tcPr>
          <w:p>
            <w:pPr>
              <w:jc w:val="right"/>
              <w:ind w:right="48"/>
              <w:spacing w:after="0"/>
              <w:rPr>
                <w:sz w:val="20"/>
                <w:szCs w:val="20"/>
                <w:color w:val="auto"/>
              </w:rPr>
            </w:pPr>
            <w:r>
              <w:rPr>
                <w:rFonts w:ascii="Arial" w:cs="Arial" w:eastAsia="Arial" w:hAnsi="Arial"/>
                <w:sz w:val="14"/>
                <w:szCs w:val="14"/>
                <w:color w:val="auto"/>
              </w:rPr>
              <w:t>(6)</w:t>
            </w: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109,538</w:t>
            </w:r>
          </w:p>
        </w:tc>
      </w:tr>
      <w:tr>
        <w:trPr>
          <w:trHeight w:val="270"/>
        </w:trPr>
        <w:tc>
          <w:tcPr>
            <w:tcW w:w="1560" w:type="dxa"/>
            <w:vAlign w:val="bottom"/>
            <w:shd w:val="clear" w:color="auto" w:fill="CCFFFF"/>
          </w:tcPr>
          <w:p>
            <w:pPr>
              <w:spacing w:after="0"/>
              <w:rPr>
                <w:sz w:val="23"/>
                <w:szCs w:val="23"/>
                <w:color w:val="auto"/>
              </w:rPr>
            </w:pPr>
          </w:p>
        </w:tc>
        <w:tc>
          <w:tcPr>
            <w:tcW w:w="180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spacing w:after="0"/>
              <w:rPr>
                <w:sz w:val="23"/>
                <w:szCs w:val="23"/>
                <w:color w:val="auto"/>
              </w:rPr>
            </w:pPr>
          </w:p>
        </w:tc>
        <w:tc>
          <w:tcPr>
            <w:tcW w:w="2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FFFF"/>
          </w:tcPr>
          <w:p>
            <w:pPr>
              <w:spacing w:after="0"/>
              <w:rPr>
                <w:sz w:val="23"/>
                <w:szCs w:val="23"/>
                <w:color w:val="auto"/>
              </w:rPr>
            </w:pPr>
          </w:p>
        </w:tc>
        <w:tc>
          <w:tcPr>
            <w:tcW w:w="120" w:type="dxa"/>
            <w:vAlign w:val="bottom"/>
            <w:shd w:val="clear" w:color="auto" w:fill="CCFFFF"/>
          </w:tcPr>
          <w:p>
            <w:pPr>
              <w:spacing w:after="0"/>
              <w:rPr>
                <w:sz w:val="23"/>
                <w:szCs w:val="23"/>
                <w:color w:val="auto"/>
              </w:rPr>
            </w:pPr>
          </w:p>
        </w:tc>
        <w:tc>
          <w:tcPr>
            <w:tcW w:w="14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5,490</w:t>
            </w:r>
          </w:p>
        </w:tc>
        <w:tc>
          <w:tcPr>
            <w:tcW w:w="340" w:type="dxa"/>
            <w:vAlign w:val="bottom"/>
            <w:shd w:val="clear" w:color="auto" w:fill="CCFFFF"/>
          </w:tcPr>
          <w:p>
            <w:pPr>
              <w:jc w:val="right"/>
              <w:ind w:right="48"/>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193,303</w:t>
            </w:r>
          </w:p>
        </w:tc>
      </w:tr>
      <w:tr>
        <w:trPr>
          <w:trHeight w:val="283"/>
        </w:trPr>
        <w:tc>
          <w:tcPr>
            <w:tcW w:w="1560" w:type="dxa"/>
            <w:vAlign w:val="bottom"/>
            <w:tcBorders>
              <w:bottom w:val="single" w:sz="8" w:color="336699"/>
            </w:tcBorders>
            <w:shd w:val="clear" w:color="auto" w:fill="CCFFFF"/>
          </w:tcPr>
          <w:p>
            <w:pPr>
              <w:spacing w:after="0"/>
              <w:rPr>
                <w:sz w:val="24"/>
                <w:szCs w:val="24"/>
                <w:color w:val="auto"/>
              </w:rPr>
            </w:pPr>
          </w:p>
        </w:tc>
        <w:tc>
          <w:tcPr>
            <w:tcW w:w="1800" w:type="dxa"/>
            <w:vAlign w:val="bottom"/>
            <w:tcBorders>
              <w:bottom w:val="single" w:sz="8" w:color="336699"/>
            </w:tcBorders>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336699"/>
            </w:tcBorders>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336699"/>
            </w:tcBorders>
            <w:shd w:val="clear" w:color="auto" w:fill="CCFFFF"/>
          </w:tcPr>
          <w:p>
            <w:pPr>
              <w:spacing w:after="0"/>
              <w:rPr>
                <w:sz w:val="24"/>
                <w:szCs w:val="24"/>
                <w:color w:val="auto"/>
              </w:rPr>
            </w:pPr>
          </w:p>
        </w:tc>
        <w:tc>
          <w:tcPr>
            <w:tcW w:w="20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336699"/>
            </w:tcBorders>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336699"/>
            </w:tcBorders>
            <w:shd w:val="clear" w:color="auto" w:fill="CCFFFF"/>
          </w:tcPr>
          <w:p>
            <w:pPr>
              <w:spacing w:after="0"/>
              <w:rPr>
                <w:sz w:val="24"/>
                <w:szCs w:val="24"/>
                <w:color w:val="auto"/>
              </w:rPr>
            </w:pPr>
          </w:p>
        </w:tc>
        <w:tc>
          <w:tcPr>
            <w:tcW w:w="120" w:type="dxa"/>
            <w:vAlign w:val="bottom"/>
            <w:tcBorders>
              <w:bottom w:val="single" w:sz="8" w:color="336699"/>
            </w:tcBorders>
            <w:shd w:val="clear" w:color="auto" w:fill="CCFFFF"/>
          </w:tcPr>
          <w:p>
            <w:pPr>
              <w:spacing w:after="0"/>
              <w:rPr>
                <w:sz w:val="24"/>
                <w:szCs w:val="24"/>
                <w:color w:val="auto"/>
              </w:rPr>
            </w:pPr>
          </w:p>
        </w:tc>
        <w:tc>
          <w:tcPr>
            <w:tcW w:w="1460" w:type="dxa"/>
            <w:vAlign w:val="bottom"/>
            <w:tcBorders>
              <w:bottom w:val="single" w:sz="8" w:color="336699"/>
            </w:tcBorders>
            <w:shd w:val="clear" w:color="auto" w:fill="CCFFFF"/>
          </w:tcPr>
          <w:p>
            <w:pPr>
              <w:jc w:val="right"/>
              <w:ind w:right="20"/>
              <w:spacing w:after="0"/>
              <w:rPr>
                <w:sz w:val="20"/>
                <w:szCs w:val="20"/>
                <w:color w:val="auto"/>
              </w:rPr>
            </w:pPr>
            <w:r>
              <w:rPr>
                <w:rFonts w:ascii="Arial" w:cs="Arial" w:eastAsia="Arial" w:hAnsi="Arial"/>
                <w:sz w:val="16"/>
                <w:szCs w:val="16"/>
                <w:color w:val="auto"/>
              </w:rPr>
              <w:t>2,928</w:t>
            </w:r>
          </w:p>
        </w:tc>
        <w:tc>
          <w:tcPr>
            <w:tcW w:w="340" w:type="dxa"/>
            <w:vAlign w:val="bottom"/>
            <w:tcBorders>
              <w:bottom w:val="single" w:sz="8" w:color="336699"/>
            </w:tcBorders>
            <w:shd w:val="clear" w:color="auto" w:fill="CCFFFF"/>
          </w:tcPr>
          <w:p>
            <w:pPr>
              <w:jc w:val="right"/>
              <w:ind w:right="48"/>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336699"/>
            </w:tcBorders>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336699"/>
            </w:tcBorders>
            <w:shd w:val="clear" w:color="auto" w:fill="CCFFFF"/>
          </w:tcPr>
          <w:p>
            <w:pPr>
              <w:jc w:val="right"/>
              <w:ind w:right="20"/>
              <w:spacing w:after="0"/>
              <w:rPr>
                <w:sz w:val="20"/>
                <w:szCs w:val="20"/>
                <w:color w:val="auto"/>
              </w:rPr>
            </w:pPr>
            <w:r>
              <w:rPr>
                <w:rFonts w:ascii="Arial" w:cs="Arial" w:eastAsia="Arial" w:hAnsi="Arial"/>
                <w:sz w:val="16"/>
                <w:szCs w:val="16"/>
                <w:color w:val="auto"/>
              </w:rPr>
              <w:t>103,095</w:t>
            </w:r>
          </w:p>
        </w:tc>
      </w:tr>
    </w:tbl>
    <w:p>
      <w:pPr>
        <w:spacing w:after="0" w:line="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These awards vested over a five-year period in equal tranches and became fully vested on September 14, 2014.</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These awards vested over a five-year period in equal tranches and became fully vested on December 22, 2015.</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These awards vest over a five-year period in five equal tranches with the first tranche scheduled to vest on the first anniversary of the grant date.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46 | </w:t>
      </w:r>
      <w:r>
        <w:rPr>
          <w:rFonts w:ascii="Arial" w:cs="Arial" w:eastAsia="Arial" w:hAnsi="Arial"/>
          <w:sz w:val="18"/>
          <w:szCs w:val="18"/>
          <w:b w:val="1"/>
          <w:bCs w:val="1"/>
          <w:color w:val="003B71"/>
        </w:rPr>
        <w:t>2017 Proxy Statement</w:t>
      </w:r>
    </w:p>
    <w:p>
      <w:pPr>
        <w:sectPr>
          <w:pgSz w:w="11900" w:h="16838" w:orient="portrait"/>
          <w:cols w:equalWidth="0" w:num="1">
            <w:col w:w="11420"/>
          </w:cols>
          <w:pgMar w:left="240" w:top="436" w:right="239" w:bottom="1440" w:gutter="0" w:footer="0" w:header="0"/>
        </w:sectPr>
      </w:pPr>
    </w:p>
    <w:bookmarkStart w:id="52" w:name="page53"/>
    <w:bookmarkEnd w:id="52"/>
    <w:p>
      <w:pPr>
        <w:ind w:left="7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pacing w:after="0" w:line="200" w:lineRule="exact"/>
        <w:rPr>
          <w:sz w:val="20"/>
          <w:szCs w:val="20"/>
          <w:color w:val="auto"/>
        </w:rPr>
      </w:pPr>
    </w:p>
    <w:p>
      <w:pPr>
        <w:spacing w:after="0" w:line="32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These awards vest over a four-year period in four equal tranches with the first tranche scheduled to vest on the first anniversary of the grant date.</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These awards vest over a three-year period in three equal tranches with the first tranche scheduled to vest on the first anniversary of the grant date.</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These awards vest on the third anniversary of the grant date.</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These awards vested over a five-year period in equal tranches and became fully vested on February 5, 2013.</w:t>
      </w:r>
    </w:p>
    <w:p>
      <w:pPr>
        <w:spacing w:after="0" w:line="59" w:lineRule="exact"/>
        <w:rPr>
          <w:rFonts w:ascii="Arial" w:cs="Arial" w:eastAsia="Arial" w:hAnsi="Arial"/>
          <w:sz w:val="16"/>
          <w:szCs w:val="16"/>
          <w:color w:val="auto"/>
        </w:rPr>
      </w:pPr>
    </w:p>
    <w:p>
      <w:pPr>
        <w:ind w:left="340" w:right="280" w:hanging="332"/>
        <w:spacing w:after="0" w:line="260"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Amounts were determined using a price per share of our Common Stock of $35.21, the closing price per share of our Common Stock on December 30, 2016, the last business day of 2016.</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2016 Option Exercises and Stock Vested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options exercised and stock vested during the year ended December 31, 2016: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320" w:type="dxa"/>
            <w:vAlign w:val="bottom"/>
            <w:gridSpan w:val="4"/>
          </w:tcPr>
          <w:p>
            <w:pPr>
              <w:ind w:left="1120"/>
              <w:spacing w:after="0"/>
              <w:rPr>
                <w:sz w:val="20"/>
                <w:szCs w:val="20"/>
                <w:color w:val="auto"/>
              </w:rPr>
            </w:pPr>
            <w:r>
              <w:rPr>
                <w:rFonts w:ascii="Arial" w:cs="Arial" w:eastAsia="Arial" w:hAnsi="Arial"/>
                <w:sz w:val="14"/>
                <w:szCs w:val="14"/>
                <w:b w:val="1"/>
                <w:bCs w:val="1"/>
                <w:color w:val="336699"/>
              </w:rPr>
              <w:t>Option Awards</w:t>
            </w:r>
          </w:p>
        </w:tc>
        <w:tc>
          <w:tcPr>
            <w:tcW w:w="3100" w:type="dxa"/>
            <w:vAlign w:val="bottom"/>
            <w:gridSpan w:val="3"/>
          </w:tcPr>
          <w:p>
            <w:pPr>
              <w:jc w:val="right"/>
              <w:ind w:right="782"/>
              <w:spacing w:after="0"/>
              <w:rPr>
                <w:sz w:val="20"/>
                <w:szCs w:val="20"/>
                <w:color w:val="auto"/>
              </w:rPr>
            </w:pPr>
            <w:r>
              <w:rPr>
                <w:rFonts w:ascii="Arial" w:cs="Arial" w:eastAsia="Arial" w:hAnsi="Arial"/>
                <w:sz w:val="14"/>
                <w:szCs w:val="14"/>
                <w:b w:val="1"/>
                <w:bCs w:val="1"/>
                <w:color w:val="336699"/>
              </w:rPr>
              <w:t>Stock Awards</w:t>
            </w:r>
          </w:p>
        </w:tc>
        <w:tc>
          <w:tcPr>
            <w:tcW w:w="380" w:type="dxa"/>
            <w:vAlign w:val="bottom"/>
          </w:tcPr>
          <w:p>
            <w:pPr>
              <w:spacing w:after="0"/>
              <w:rPr>
                <w:sz w:val="16"/>
                <w:szCs w:val="16"/>
                <w:color w:val="auto"/>
              </w:rPr>
            </w:pPr>
          </w:p>
        </w:tc>
      </w:tr>
      <w:tr>
        <w:trPr>
          <w:trHeight w:val="39"/>
        </w:trPr>
        <w:tc>
          <w:tcPr>
            <w:tcW w:w="4620" w:type="dxa"/>
            <w:vAlign w:val="bottom"/>
          </w:tcPr>
          <w:p>
            <w:pPr>
              <w:spacing w:after="0"/>
              <w:rPr>
                <w:sz w:val="3"/>
                <w:szCs w:val="3"/>
                <w:color w:val="auto"/>
              </w:rPr>
            </w:pPr>
          </w:p>
        </w:tc>
        <w:tc>
          <w:tcPr>
            <w:tcW w:w="1640" w:type="dxa"/>
            <w:vAlign w:val="bottom"/>
            <w:tcBorders>
              <w:bottom w:val="single" w:sz="8" w:color="336699"/>
            </w:tcBorders>
          </w:tcPr>
          <w:p>
            <w:pPr>
              <w:spacing w:after="0"/>
              <w:rPr>
                <w:sz w:val="3"/>
                <w:szCs w:val="3"/>
                <w:color w:val="auto"/>
              </w:rPr>
            </w:pPr>
          </w:p>
        </w:tc>
        <w:tc>
          <w:tcPr>
            <w:tcW w:w="300" w:type="dxa"/>
            <w:vAlign w:val="bottom"/>
            <w:tcBorders>
              <w:bottom w:val="single" w:sz="8" w:color="336699"/>
            </w:tcBorders>
          </w:tcPr>
          <w:p>
            <w:pPr>
              <w:spacing w:after="0"/>
              <w:rPr>
                <w:sz w:val="3"/>
                <w:szCs w:val="3"/>
                <w:color w:val="auto"/>
              </w:rPr>
            </w:pPr>
          </w:p>
        </w:tc>
        <w:tc>
          <w:tcPr>
            <w:tcW w:w="1280" w:type="dxa"/>
            <w:vAlign w:val="bottom"/>
            <w:tcBorders>
              <w:bottom w:val="single" w:sz="8" w:color="336699"/>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336699"/>
            </w:tcBorders>
          </w:tcPr>
          <w:p>
            <w:pPr>
              <w:spacing w:after="0"/>
              <w:rPr>
                <w:sz w:val="3"/>
                <w:szCs w:val="3"/>
                <w:color w:val="auto"/>
              </w:rPr>
            </w:pPr>
          </w:p>
        </w:tc>
        <w:tc>
          <w:tcPr>
            <w:tcW w:w="280" w:type="dxa"/>
            <w:vAlign w:val="bottom"/>
            <w:tcBorders>
              <w:bottom w:val="single" w:sz="8" w:color="336699"/>
            </w:tcBorders>
          </w:tcPr>
          <w:p>
            <w:pPr>
              <w:spacing w:after="0"/>
              <w:rPr>
                <w:sz w:val="3"/>
                <w:szCs w:val="3"/>
                <w:color w:val="auto"/>
              </w:rPr>
            </w:pPr>
          </w:p>
        </w:tc>
        <w:tc>
          <w:tcPr>
            <w:tcW w:w="1160" w:type="dxa"/>
            <w:vAlign w:val="bottom"/>
            <w:tcBorders>
              <w:bottom w:val="single" w:sz="8" w:color="336699"/>
            </w:tcBorders>
          </w:tcPr>
          <w:p>
            <w:pPr>
              <w:spacing w:after="0"/>
              <w:rPr>
                <w:sz w:val="3"/>
                <w:szCs w:val="3"/>
                <w:color w:val="auto"/>
              </w:rPr>
            </w:pPr>
          </w:p>
        </w:tc>
        <w:tc>
          <w:tcPr>
            <w:tcW w:w="380" w:type="dxa"/>
            <w:vAlign w:val="bottom"/>
            <w:tcBorders>
              <w:bottom w:val="single" w:sz="8" w:color="336699"/>
            </w:tcBorders>
          </w:tcPr>
          <w:p>
            <w:pPr>
              <w:spacing w:after="0"/>
              <w:rPr>
                <w:sz w:val="3"/>
                <w:szCs w:val="3"/>
                <w:color w:val="auto"/>
              </w:rPr>
            </w:pPr>
          </w:p>
        </w:tc>
      </w:tr>
      <w:tr>
        <w:trPr>
          <w:trHeight w:val="169"/>
        </w:trPr>
        <w:tc>
          <w:tcPr>
            <w:tcW w:w="4620" w:type="dxa"/>
            <w:vAlign w:val="bottom"/>
          </w:tcPr>
          <w:p>
            <w:pPr>
              <w:spacing w:after="0"/>
              <w:rPr>
                <w:sz w:val="14"/>
                <w:szCs w:val="14"/>
                <w:color w:val="auto"/>
              </w:rPr>
            </w:pPr>
          </w:p>
        </w:tc>
        <w:tc>
          <w:tcPr>
            <w:tcW w:w="1640" w:type="dxa"/>
            <w:vAlign w:val="bottom"/>
          </w:tcPr>
          <w:p>
            <w:pPr>
              <w:jc w:val="center"/>
              <w:ind w:right="3"/>
              <w:spacing w:after="0"/>
              <w:rPr>
                <w:sz w:val="20"/>
                <w:szCs w:val="20"/>
                <w:color w:val="auto"/>
              </w:rPr>
            </w:pPr>
            <w:r>
              <w:rPr>
                <w:rFonts w:ascii="Arial" w:cs="Arial" w:eastAsia="Arial" w:hAnsi="Arial"/>
                <w:sz w:val="14"/>
                <w:szCs w:val="14"/>
                <w:b w:val="1"/>
                <w:bCs w:val="1"/>
                <w:color w:val="336699"/>
              </w:rPr>
              <w:t>Number of Shares</w:t>
            </w:r>
          </w:p>
        </w:tc>
        <w:tc>
          <w:tcPr>
            <w:tcW w:w="30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336699"/>
              </w:rPr>
              <w:t>Value Realized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336699"/>
              </w:rPr>
              <w:t>Number of Shares</w:t>
            </w:r>
          </w:p>
        </w:tc>
        <w:tc>
          <w:tcPr>
            <w:tcW w:w="2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336699"/>
              </w:rPr>
              <w:t>Value Realized</w:t>
            </w:r>
          </w:p>
        </w:tc>
        <w:tc>
          <w:tcPr>
            <w:tcW w:w="380" w:type="dxa"/>
            <w:vAlign w:val="bottom"/>
          </w:tcPr>
          <w:p>
            <w:pPr>
              <w:spacing w:after="0"/>
              <w:rPr>
                <w:sz w:val="14"/>
                <w:szCs w:val="14"/>
                <w:color w:val="auto"/>
              </w:rPr>
            </w:pPr>
          </w:p>
        </w:tc>
      </w:tr>
      <w:tr>
        <w:trPr>
          <w:trHeight w:val="162"/>
        </w:trPr>
        <w:tc>
          <w:tcPr>
            <w:tcW w:w="4620" w:type="dxa"/>
            <w:vAlign w:val="bottom"/>
          </w:tcPr>
          <w:p>
            <w:pPr>
              <w:spacing w:after="0"/>
              <w:rPr>
                <w:sz w:val="14"/>
                <w:szCs w:val="14"/>
                <w:color w:val="auto"/>
              </w:rPr>
            </w:pPr>
          </w:p>
        </w:tc>
        <w:tc>
          <w:tcPr>
            <w:tcW w:w="1640" w:type="dxa"/>
            <w:vAlign w:val="bottom"/>
          </w:tcPr>
          <w:p>
            <w:pPr>
              <w:jc w:val="center"/>
              <w:ind w:right="3"/>
              <w:spacing w:after="0"/>
              <w:rPr>
                <w:sz w:val="20"/>
                <w:szCs w:val="20"/>
                <w:color w:val="auto"/>
              </w:rPr>
            </w:pPr>
            <w:r>
              <w:rPr>
                <w:rFonts w:ascii="Arial" w:cs="Arial" w:eastAsia="Arial" w:hAnsi="Arial"/>
                <w:sz w:val="14"/>
                <w:szCs w:val="14"/>
                <w:b w:val="1"/>
                <w:bCs w:val="1"/>
                <w:color w:val="336699"/>
              </w:rPr>
              <w:t>Acquired on Exercise</w:t>
            </w:r>
          </w:p>
        </w:tc>
        <w:tc>
          <w:tcPr>
            <w:tcW w:w="30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336699"/>
              </w:rPr>
              <w:t>on Exercise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336699"/>
              </w:rPr>
              <w:t>Acquired on Vesting</w:t>
            </w:r>
          </w:p>
        </w:tc>
        <w:tc>
          <w:tcPr>
            <w:tcW w:w="2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336699"/>
              </w:rPr>
              <w:t>on Vesting</w:t>
            </w:r>
          </w:p>
        </w:tc>
        <w:tc>
          <w:tcPr>
            <w:tcW w:w="380" w:type="dxa"/>
            <w:vAlign w:val="bottom"/>
          </w:tcPr>
          <w:p>
            <w:pPr>
              <w:spacing w:after="0"/>
              <w:rPr>
                <w:sz w:val="14"/>
                <w:szCs w:val="14"/>
                <w:color w:val="auto"/>
              </w:rPr>
            </w:pPr>
          </w:p>
        </w:tc>
      </w:tr>
      <w:tr>
        <w:trPr>
          <w:trHeight w:val="196"/>
        </w:trPr>
        <w:tc>
          <w:tcPr>
            <w:tcW w:w="4620" w:type="dxa"/>
            <w:vAlign w:val="bottom"/>
            <w:tcBorders>
              <w:bottom w:val="single" w:sz="8" w:color="336699"/>
            </w:tcBorders>
          </w:tcPr>
          <w:p>
            <w:pPr>
              <w:ind w:left="40"/>
              <w:spacing w:after="0"/>
              <w:rPr>
                <w:sz w:val="20"/>
                <w:szCs w:val="20"/>
                <w:color w:val="auto"/>
              </w:rPr>
            </w:pPr>
            <w:r>
              <w:rPr>
                <w:rFonts w:ascii="Arial" w:cs="Arial" w:eastAsia="Arial" w:hAnsi="Arial"/>
                <w:sz w:val="14"/>
                <w:szCs w:val="14"/>
                <w:b w:val="1"/>
                <w:bCs w:val="1"/>
                <w:color w:val="336699"/>
              </w:rPr>
              <w:t>Name</w:t>
            </w:r>
          </w:p>
        </w:tc>
        <w:tc>
          <w:tcPr>
            <w:tcW w:w="1640" w:type="dxa"/>
            <w:vAlign w:val="bottom"/>
            <w:tcBorders>
              <w:bottom w:val="single" w:sz="8" w:color="336699"/>
            </w:tcBorders>
          </w:tcPr>
          <w:p>
            <w:pPr>
              <w:jc w:val="center"/>
              <w:ind w:right="23"/>
              <w:spacing w:after="0"/>
              <w:rPr>
                <w:sz w:val="20"/>
                <w:szCs w:val="20"/>
                <w:color w:val="auto"/>
              </w:rPr>
            </w:pPr>
            <w:r>
              <w:rPr>
                <w:rFonts w:ascii="Arial" w:cs="Arial" w:eastAsia="Arial" w:hAnsi="Arial"/>
                <w:sz w:val="14"/>
                <w:szCs w:val="14"/>
                <w:b w:val="1"/>
                <w:bCs w:val="1"/>
                <w:color w:val="336699"/>
              </w:rPr>
              <w:t>(#)</w:t>
            </w:r>
          </w:p>
        </w:tc>
        <w:tc>
          <w:tcPr>
            <w:tcW w:w="300" w:type="dxa"/>
            <w:vAlign w:val="bottom"/>
            <w:tcBorders>
              <w:bottom w:val="single" w:sz="8" w:color="336699"/>
            </w:tcBorders>
          </w:tcPr>
          <w:p>
            <w:pPr>
              <w:spacing w:after="0"/>
              <w:rPr>
                <w:sz w:val="17"/>
                <w:szCs w:val="17"/>
                <w:color w:val="auto"/>
              </w:rPr>
            </w:pPr>
          </w:p>
        </w:tc>
        <w:tc>
          <w:tcPr>
            <w:tcW w:w="1280" w:type="dxa"/>
            <w:vAlign w:val="bottom"/>
            <w:tcBorders>
              <w:bottom w:val="single" w:sz="8" w:color="336699"/>
            </w:tcBorders>
          </w:tcPr>
          <w:p>
            <w:pPr>
              <w:jc w:val="center"/>
              <w:ind w:right="22"/>
              <w:spacing w:after="0"/>
              <w:rPr>
                <w:sz w:val="20"/>
                <w:szCs w:val="20"/>
                <w:color w:val="auto"/>
              </w:rPr>
            </w:pPr>
            <w:r>
              <w:rPr>
                <w:rFonts w:ascii="Arial" w:cs="Arial" w:eastAsia="Arial" w:hAnsi="Arial"/>
                <w:sz w:val="14"/>
                <w:szCs w:val="14"/>
                <w:b w:val="1"/>
                <w:bCs w:val="1"/>
                <w:color w:val="336699"/>
              </w:rPr>
              <w:t>($)</w:t>
            </w:r>
          </w:p>
        </w:tc>
        <w:tc>
          <w:tcPr>
            <w:tcW w:w="100" w:type="dxa"/>
            <w:vAlign w:val="bottom"/>
            <w:tcBorders>
              <w:bottom w:val="single" w:sz="8" w:color="336699"/>
            </w:tcBorders>
          </w:tcPr>
          <w:p>
            <w:pPr>
              <w:spacing w:after="0"/>
              <w:rPr>
                <w:sz w:val="17"/>
                <w:szCs w:val="17"/>
                <w:color w:val="auto"/>
              </w:rPr>
            </w:pPr>
          </w:p>
        </w:tc>
        <w:tc>
          <w:tcPr>
            <w:tcW w:w="1660" w:type="dxa"/>
            <w:vAlign w:val="bottom"/>
            <w:tcBorders>
              <w:bottom w:val="single" w:sz="8" w:color="336699"/>
            </w:tcBorders>
          </w:tcPr>
          <w:p>
            <w:pPr>
              <w:jc w:val="center"/>
              <w:spacing w:after="0"/>
              <w:rPr>
                <w:sz w:val="20"/>
                <w:szCs w:val="20"/>
                <w:color w:val="auto"/>
              </w:rPr>
            </w:pPr>
            <w:r>
              <w:rPr>
                <w:rFonts w:ascii="Arial" w:cs="Arial" w:eastAsia="Arial" w:hAnsi="Arial"/>
                <w:sz w:val="14"/>
                <w:szCs w:val="14"/>
                <w:b w:val="1"/>
                <w:bCs w:val="1"/>
                <w:color w:val="336699"/>
                <w:w w:val="93"/>
              </w:rPr>
              <w:t>(#)</w:t>
            </w:r>
          </w:p>
        </w:tc>
        <w:tc>
          <w:tcPr>
            <w:tcW w:w="280" w:type="dxa"/>
            <w:vAlign w:val="bottom"/>
            <w:tcBorders>
              <w:bottom w:val="single" w:sz="8" w:color="336699"/>
            </w:tcBorders>
          </w:tcPr>
          <w:p>
            <w:pPr>
              <w:spacing w:after="0"/>
              <w:rPr>
                <w:sz w:val="17"/>
                <w:szCs w:val="17"/>
                <w:color w:val="auto"/>
              </w:rPr>
            </w:pPr>
          </w:p>
        </w:tc>
        <w:tc>
          <w:tcPr>
            <w:tcW w:w="1160" w:type="dxa"/>
            <w:vAlign w:val="bottom"/>
            <w:tcBorders>
              <w:bottom w:val="single" w:sz="8" w:color="336699"/>
            </w:tcBorders>
          </w:tcPr>
          <w:p>
            <w:pPr>
              <w:jc w:val="center"/>
              <w:spacing w:after="0"/>
              <w:rPr>
                <w:sz w:val="20"/>
                <w:szCs w:val="20"/>
                <w:color w:val="auto"/>
              </w:rPr>
            </w:pPr>
            <w:r>
              <w:rPr>
                <w:rFonts w:ascii="Arial" w:cs="Arial" w:eastAsia="Arial" w:hAnsi="Arial"/>
                <w:sz w:val="14"/>
                <w:szCs w:val="14"/>
                <w:b w:val="1"/>
                <w:bCs w:val="1"/>
                <w:color w:val="336699"/>
                <w:w w:val="93"/>
              </w:rPr>
              <w:t>($)</w:t>
            </w:r>
          </w:p>
        </w:tc>
        <w:tc>
          <w:tcPr>
            <w:tcW w:w="380" w:type="dxa"/>
            <w:vAlign w:val="bottom"/>
            <w:tcBorders>
              <w:bottom w:val="single" w:sz="8" w:color="336699"/>
            </w:tcBorders>
          </w:tcPr>
          <w:p>
            <w:pPr>
              <w:spacing w:after="0"/>
              <w:rPr>
                <w:sz w:val="17"/>
                <w:szCs w:val="17"/>
                <w:color w:val="auto"/>
              </w:rPr>
            </w:pPr>
          </w:p>
        </w:tc>
      </w:tr>
      <w:tr>
        <w:trPr>
          <w:trHeight w:val="270"/>
        </w:trPr>
        <w:tc>
          <w:tcPr>
            <w:tcW w:w="4620" w:type="dxa"/>
            <w:vAlign w:val="bottom"/>
            <w:shd w:val="clear" w:color="auto" w:fill="CCFFFF"/>
          </w:tcPr>
          <w:p>
            <w:pPr>
              <w:ind w:left="40"/>
              <w:spacing w:after="0"/>
              <w:rPr>
                <w:sz w:val="20"/>
                <w:szCs w:val="20"/>
                <w:color w:val="auto"/>
              </w:rPr>
            </w:pPr>
            <w:r>
              <w:rPr>
                <w:rFonts w:ascii="Arial" w:cs="Arial" w:eastAsia="Arial" w:hAnsi="Arial"/>
                <w:sz w:val="16"/>
                <w:szCs w:val="16"/>
                <w:color w:val="auto"/>
              </w:rPr>
              <w:t>Mark S. Casady</w:t>
            </w:r>
          </w:p>
        </w:tc>
        <w:tc>
          <w:tcPr>
            <w:tcW w:w="1640" w:type="dxa"/>
            <w:vAlign w:val="bottom"/>
            <w:shd w:val="clear" w:color="auto" w:fill="CCFFFF"/>
          </w:tcPr>
          <w:p>
            <w:pPr>
              <w:ind w:left="1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FFFF"/>
          </w:tcPr>
          <w:p>
            <w:pPr>
              <w:ind w:left="10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FFFF"/>
          </w:tcPr>
          <w:p>
            <w:pPr>
              <w:jc w:val="right"/>
              <w:ind w:right="103"/>
              <w:spacing w:after="0"/>
              <w:rPr>
                <w:sz w:val="20"/>
                <w:szCs w:val="20"/>
                <w:color w:val="auto"/>
              </w:rPr>
            </w:pPr>
            <w:r>
              <w:rPr>
                <w:rFonts w:ascii="Arial" w:cs="Arial" w:eastAsia="Arial" w:hAnsi="Arial"/>
                <w:sz w:val="16"/>
                <w:szCs w:val="16"/>
                <w:color w:val="auto"/>
              </w:rPr>
              <w:t>—</w:t>
            </w:r>
          </w:p>
        </w:tc>
        <w:tc>
          <w:tcPr>
            <w:tcW w:w="2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FFFF"/>
          </w:tcPr>
          <w:p>
            <w:pPr>
              <w:spacing w:after="0"/>
              <w:rPr>
                <w:sz w:val="23"/>
                <w:szCs w:val="23"/>
                <w:color w:val="auto"/>
              </w:rPr>
            </w:pPr>
          </w:p>
        </w:tc>
      </w:tr>
      <w:tr>
        <w:trPr>
          <w:trHeight w:val="260"/>
        </w:trPr>
        <w:tc>
          <w:tcPr>
            <w:tcW w:w="4620" w:type="dxa"/>
            <w:vAlign w:val="bottom"/>
          </w:tcPr>
          <w:p>
            <w:pPr>
              <w:ind w:left="40"/>
              <w:spacing w:after="0"/>
              <w:rPr>
                <w:sz w:val="20"/>
                <w:szCs w:val="20"/>
                <w:color w:val="auto"/>
              </w:rPr>
            </w:pPr>
            <w:r>
              <w:rPr>
                <w:rFonts w:ascii="Arial" w:cs="Arial" w:eastAsia="Arial" w:hAnsi="Arial"/>
                <w:sz w:val="16"/>
                <w:szCs w:val="16"/>
                <w:color w:val="auto"/>
              </w:rPr>
              <w:t>Matthew J. Audette</w:t>
            </w:r>
          </w:p>
        </w:tc>
        <w:tc>
          <w:tcPr>
            <w:tcW w:w="1640" w:type="dxa"/>
            <w:vAlign w:val="bottom"/>
          </w:tcPr>
          <w:p>
            <w:pPr>
              <w:ind w:left="128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03"/>
              <w:spacing w:after="0"/>
              <w:rPr>
                <w:sz w:val="20"/>
                <w:szCs w:val="20"/>
                <w:color w:val="auto"/>
              </w:rPr>
            </w:pPr>
            <w:r>
              <w:rPr>
                <w:rFonts w:ascii="Arial" w:cs="Arial" w:eastAsia="Arial" w:hAnsi="Arial"/>
                <w:sz w:val="16"/>
                <w:szCs w:val="16"/>
                <w:color w:val="auto"/>
              </w:rPr>
              <w:t>5,869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183,582</w:t>
            </w:r>
          </w:p>
        </w:tc>
        <w:tc>
          <w:tcPr>
            <w:tcW w:w="380" w:type="dxa"/>
            <w:vAlign w:val="bottom"/>
          </w:tcPr>
          <w:p>
            <w:pPr>
              <w:jc w:val="right"/>
              <w:ind w:right="126"/>
              <w:spacing w:after="0"/>
              <w:rPr>
                <w:sz w:val="20"/>
                <w:szCs w:val="20"/>
                <w:color w:val="auto"/>
              </w:rPr>
            </w:pPr>
            <w:r>
              <w:rPr>
                <w:rFonts w:ascii="Arial" w:cs="Arial" w:eastAsia="Arial" w:hAnsi="Arial"/>
                <w:sz w:val="11"/>
                <w:szCs w:val="11"/>
                <w:color w:val="auto"/>
              </w:rPr>
              <w:t>(1)</w:t>
            </w:r>
          </w:p>
        </w:tc>
      </w:tr>
      <w:tr>
        <w:trPr>
          <w:trHeight w:val="260"/>
        </w:trPr>
        <w:tc>
          <w:tcPr>
            <w:tcW w:w="4620" w:type="dxa"/>
            <w:vAlign w:val="bottom"/>
            <w:shd w:val="clear" w:color="auto" w:fill="CCFFFF"/>
          </w:tcPr>
          <w:p>
            <w:pPr>
              <w:ind w:left="40"/>
              <w:spacing w:after="0"/>
              <w:rPr>
                <w:sz w:val="20"/>
                <w:szCs w:val="20"/>
                <w:color w:val="auto"/>
              </w:rPr>
            </w:pPr>
            <w:r>
              <w:rPr>
                <w:rFonts w:ascii="Arial" w:cs="Arial" w:eastAsia="Arial" w:hAnsi="Arial"/>
                <w:sz w:val="16"/>
                <w:szCs w:val="16"/>
                <w:color w:val="auto"/>
              </w:rPr>
              <w:t>Dan H. Arnold</w:t>
            </w:r>
          </w:p>
        </w:tc>
        <w:tc>
          <w:tcPr>
            <w:tcW w:w="1640" w:type="dxa"/>
            <w:vAlign w:val="bottom"/>
            <w:shd w:val="clear" w:color="auto" w:fill="CCFFFF"/>
          </w:tcPr>
          <w:p>
            <w:pPr>
              <w:ind w:left="1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FFFF"/>
          </w:tcPr>
          <w:p>
            <w:pPr>
              <w:ind w:left="10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FFFF"/>
          </w:tcPr>
          <w:p>
            <w:pPr>
              <w:jc w:val="right"/>
              <w:ind w:right="103"/>
              <w:spacing w:after="0"/>
              <w:rPr>
                <w:sz w:val="20"/>
                <w:szCs w:val="20"/>
                <w:color w:val="auto"/>
              </w:rPr>
            </w:pPr>
            <w:r>
              <w:rPr>
                <w:rFonts w:ascii="Arial" w:cs="Arial" w:eastAsia="Arial" w:hAnsi="Arial"/>
                <w:sz w:val="16"/>
                <w:szCs w:val="16"/>
                <w:color w:val="auto"/>
              </w:rPr>
              <w:t>1,095</w:t>
            </w:r>
          </w:p>
        </w:tc>
        <w:tc>
          <w:tcPr>
            <w:tcW w:w="2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21,188</w:t>
            </w:r>
          </w:p>
        </w:tc>
        <w:tc>
          <w:tcPr>
            <w:tcW w:w="380" w:type="dxa"/>
            <w:vAlign w:val="bottom"/>
            <w:shd w:val="clear" w:color="auto" w:fill="CCFFFF"/>
          </w:tcPr>
          <w:p>
            <w:pPr>
              <w:jc w:val="right"/>
              <w:ind w:right="126"/>
              <w:spacing w:after="0"/>
              <w:rPr>
                <w:sz w:val="20"/>
                <w:szCs w:val="20"/>
                <w:color w:val="auto"/>
              </w:rPr>
            </w:pPr>
            <w:r>
              <w:rPr>
                <w:rFonts w:ascii="Arial" w:cs="Arial" w:eastAsia="Arial" w:hAnsi="Arial"/>
                <w:sz w:val="11"/>
                <w:szCs w:val="11"/>
                <w:color w:val="auto"/>
              </w:rPr>
              <w:t>(2)</w:t>
            </w:r>
          </w:p>
        </w:tc>
      </w:tr>
      <w:tr>
        <w:trPr>
          <w:trHeight w:val="270"/>
        </w:trPr>
        <w:tc>
          <w:tcPr>
            <w:tcW w:w="4620" w:type="dxa"/>
            <w:vAlign w:val="bottom"/>
            <w:tcBorders>
              <w:bottom w:val="single" w:sz="8" w:color="CCFFFF"/>
            </w:tcBorders>
            <w:shd w:val="clear" w:color="auto" w:fill="CCFFFF"/>
          </w:tcPr>
          <w:p>
            <w:pPr>
              <w:spacing w:after="0"/>
              <w:rPr>
                <w:sz w:val="23"/>
                <w:szCs w:val="23"/>
                <w:color w:val="auto"/>
              </w:rPr>
            </w:pPr>
          </w:p>
        </w:tc>
        <w:tc>
          <w:tcPr>
            <w:tcW w:w="1640" w:type="dxa"/>
            <w:vAlign w:val="bottom"/>
            <w:tcBorders>
              <w:bottom w:val="single" w:sz="8" w:color="CCFFFF"/>
            </w:tcBorders>
            <w:shd w:val="clear" w:color="auto" w:fill="CCFFFF"/>
          </w:tcPr>
          <w:p>
            <w:pPr>
              <w:ind w:left="12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FFFF"/>
            </w:tcBorders>
            <w:gridSpan w:val="2"/>
            <w:shd w:val="clear" w:color="auto" w:fill="CCFFFF"/>
          </w:tcPr>
          <w:p>
            <w:pPr>
              <w:ind w:left="10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FFFF"/>
            </w:tcBorders>
            <w:shd w:val="clear" w:color="auto" w:fill="CCFFFF"/>
          </w:tcPr>
          <w:p>
            <w:pPr>
              <w:jc w:val="right"/>
              <w:ind w:right="103"/>
              <w:spacing w:after="0"/>
              <w:rPr>
                <w:sz w:val="20"/>
                <w:szCs w:val="20"/>
                <w:color w:val="auto"/>
              </w:rPr>
            </w:pPr>
            <w:r>
              <w:rPr>
                <w:rFonts w:ascii="Arial" w:cs="Arial" w:eastAsia="Arial" w:hAnsi="Arial"/>
                <w:sz w:val="16"/>
                <w:szCs w:val="16"/>
                <w:color w:val="auto"/>
              </w:rPr>
              <w:t>1,208</w:t>
            </w:r>
          </w:p>
        </w:tc>
        <w:tc>
          <w:tcPr>
            <w:tcW w:w="28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25,900</w:t>
            </w:r>
          </w:p>
        </w:tc>
        <w:tc>
          <w:tcPr>
            <w:tcW w:w="380" w:type="dxa"/>
            <w:vAlign w:val="bottom"/>
            <w:tcBorders>
              <w:bottom w:val="single" w:sz="8" w:color="CCFFFF"/>
            </w:tcBorders>
            <w:shd w:val="clear" w:color="auto" w:fill="CCFFFF"/>
          </w:tcPr>
          <w:p>
            <w:pPr>
              <w:jc w:val="right"/>
              <w:ind w:right="126"/>
              <w:spacing w:after="0"/>
              <w:rPr>
                <w:sz w:val="20"/>
                <w:szCs w:val="20"/>
                <w:color w:val="auto"/>
              </w:rPr>
            </w:pPr>
            <w:r>
              <w:rPr>
                <w:rFonts w:ascii="Arial" w:cs="Arial" w:eastAsia="Arial" w:hAnsi="Arial"/>
                <w:sz w:val="11"/>
                <w:szCs w:val="11"/>
                <w:color w:val="auto"/>
              </w:rPr>
              <w:t>(3)</w:t>
            </w:r>
          </w:p>
        </w:tc>
      </w:tr>
      <w:tr>
        <w:trPr>
          <w:trHeight w:val="260"/>
        </w:trPr>
        <w:tc>
          <w:tcPr>
            <w:tcW w:w="4620" w:type="dxa"/>
            <w:vAlign w:val="bottom"/>
          </w:tcPr>
          <w:p>
            <w:pPr>
              <w:ind w:left="40"/>
              <w:spacing w:after="0"/>
              <w:rPr>
                <w:sz w:val="20"/>
                <w:szCs w:val="20"/>
                <w:color w:val="auto"/>
              </w:rPr>
            </w:pPr>
            <w:r>
              <w:rPr>
                <w:rFonts w:ascii="Arial" w:cs="Arial" w:eastAsia="Arial" w:hAnsi="Arial"/>
                <w:sz w:val="16"/>
                <w:szCs w:val="16"/>
                <w:color w:val="auto"/>
              </w:rPr>
              <w:t>Tracy E. Calder</w:t>
            </w:r>
          </w:p>
        </w:tc>
        <w:tc>
          <w:tcPr>
            <w:tcW w:w="1640" w:type="dxa"/>
            <w:vAlign w:val="bottom"/>
          </w:tcPr>
          <w:p>
            <w:pPr>
              <w:ind w:left="128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r>
      <w:tr>
        <w:trPr>
          <w:trHeight w:val="273"/>
        </w:trPr>
        <w:tc>
          <w:tcPr>
            <w:tcW w:w="4620" w:type="dxa"/>
            <w:vAlign w:val="bottom"/>
            <w:tcBorders>
              <w:bottom w:val="single" w:sz="8" w:color="336699"/>
            </w:tcBorders>
            <w:shd w:val="clear" w:color="auto" w:fill="CCFFFF"/>
          </w:tcPr>
          <w:p>
            <w:pPr>
              <w:ind w:left="40"/>
              <w:spacing w:after="0"/>
              <w:rPr>
                <w:sz w:val="20"/>
                <w:szCs w:val="20"/>
                <w:color w:val="auto"/>
              </w:rPr>
            </w:pPr>
            <w:r>
              <w:rPr>
                <w:rFonts w:ascii="Arial" w:cs="Arial" w:eastAsia="Arial" w:hAnsi="Arial"/>
                <w:sz w:val="16"/>
                <w:szCs w:val="16"/>
                <w:color w:val="auto"/>
              </w:rPr>
              <w:t>Thomas Gooley</w:t>
            </w:r>
          </w:p>
        </w:tc>
        <w:tc>
          <w:tcPr>
            <w:tcW w:w="1640" w:type="dxa"/>
            <w:vAlign w:val="bottom"/>
            <w:tcBorders>
              <w:bottom w:val="single" w:sz="8" w:color="336699"/>
            </w:tcBorders>
            <w:shd w:val="clear" w:color="auto" w:fill="CCFFFF"/>
          </w:tcPr>
          <w:p>
            <w:pPr>
              <w:ind w:left="12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336699"/>
            </w:tcBorders>
            <w:gridSpan w:val="2"/>
            <w:shd w:val="clear" w:color="auto" w:fill="CCFFFF"/>
          </w:tcPr>
          <w:p>
            <w:pPr>
              <w:ind w:left="10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336699"/>
            </w:tcBorders>
            <w:shd w:val="clear" w:color="auto" w:fill="CCFFFF"/>
          </w:tcPr>
          <w:p>
            <w:pPr>
              <w:jc w:val="right"/>
              <w:ind w:right="103"/>
              <w:spacing w:after="0"/>
              <w:rPr>
                <w:sz w:val="20"/>
                <w:szCs w:val="20"/>
                <w:color w:val="auto"/>
              </w:rPr>
            </w:pPr>
            <w:r>
              <w:rPr>
                <w:rFonts w:ascii="Arial" w:cs="Arial" w:eastAsia="Arial" w:hAnsi="Arial"/>
                <w:sz w:val="16"/>
                <w:szCs w:val="16"/>
                <w:color w:val="auto"/>
              </w:rPr>
              <w:t>2,286</w:t>
            </w:r>
          </w:p>
        </w:tc>
        <w:tc>
          <w:tcPr>
            <w:tcW w:w="28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6"/>
                <w:szCs w:val="16"/>
                <w:color w:val="auto"/>
              </w:rPr>
              <w:t>61,082</w:t>
            </w:r>
          </w:p>
        </w:tc>
        <w:tc>
          <w:tcPr>
            <w:tcW w:w="380" w:type="dxa"/>
            <w:vAlign w:val="bottom"/>
            <w:tcBorders>
              <w:bottom w:val="single" w:sz="8" w:color="336699"/>
            </w:tcBorders>
            <w:shd w:val="clear" w:color="auto" w:fill="CCFFFF"/>
          </w:tcPr>
          <w:p>
            <w:pPr>
              <w:jc w:val="right"/>
              <w:ind w:right="126"/>
              <w:spacing w:after="0"/>
              <w:rPr>
                <w:sz w:val="20"/>
                <w:szCs w:val="20"/>
                <w:color w:val="auto"/>
              </w:rPr>
            </w:pPr>
            <w:r>
              <w:rPr>
                <w:rFonts w:ascii="Arial" w:cs="Arial" w:eastAsia="Arial" w:hAnsi="Arial"/>
                <w:sz w:val="11"/>
                <w:szCs w:val="11"/>
                <w:color w:val="auto"/>
              </w:rPr>
              <w:t>(4)</w:t>
            </w:r>
          </w:p>
        </w:tc>
      </w:tr>
    </w:tbl>
    <w:p>
      <w:pPr>
        <w:spacing w:after="0" w:line="2"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These RSUs vested on October 30, 2016, on which date the closing price per share of our Common Stock was $31.28.</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These RSUs vested on February 24, 2016, on which date the closing price per share of our Common Stock was $19.35.</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These RSUs vested on March 6, 2016, on which date the closing price per share of our Common Stock was $21.44.</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These RSUs vested on August 6, 2016, on which date the closing price per share of our Common Stock was $26.72.</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Nonqualified Deferred Compensation for the Year Ended December 31, 2016</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relating to nonqualified deferred compensation for each NEO for the year ended December 31, 2016: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jc w:val="center"/>
              <w:ind w:right="63"/>
              <w:spacing w:after="0"/>
              <w:rPr>
                <w:sz w:val="20"/>
                <w:szCs w:val="20"/>
                <w:color w:val="auto"/>
              </w:rPr>
            </w:pPr>
            <w:r>
              <w:rPr>
                <w:rFonts w:ascii="Arial" w:cs="Arial" w:eastAsia="Arial" w:hAnsi="Arial"/>
                <w:sz w:val="14"/>
                <w:szCs w:val="14"/>
                <w:b w:val="1"/>
                <w:bCs w:val="1"/>
                <w:color w:val="336699"/>
              </w:rPr>
              <w:t>Executive</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center"/>
              <w:ind w:right="183"/>
              <w:spacing w:after="0"/>
              <w:rPr>
                <w:sz w:val="20"/>
                <w:szCs w:val="20"/>
                <w:color w:val="auto"/>
              </w:rPr>
            </w:pPr>
            <w:r>
              <w:rPr>
                <w:rFonts w:ascii="Arial" w:cs="Arial" w:eastAsia="Arial" w:hAnsi="Arial"/>
                <w:sz w:val="14"/>
                <w:szCs w:val="14"/>
                <w:b w:val="1"/>
                <w:bCs w:val="1"/>
                <w:color w:val="336699"/>
              </w:rPr>
              <w:t>Aggregate</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jc w:val="center"/>
              <w:ind w:right="63"/>
              <w:spacing w:after="0"/>
              <w:rPr>
                <w:sz w:val="20"/>
                <w:szCs w:val="20"/>
                <w:color w:val="auto"/>
              </w:rPr>
            </w:pPr>
            <w:r>
              <w:rPr>
                <w:rFonts w:ascii="Arial" w:cs="Arial" w:eastAsia="Arial" w:hAnsi="Arial"/>
                <w:sz w:val="14"/>
                <w:szCs w:val="14"/>
                <w:b w:val="1"/>
                <w:bCs w:val="1"/>
                <w:color w:val="336699"/>
              </w:rPr>
              <w:t>Contributions in</w:t>
            </w:r>
          </w:p>
        </w:tc>
        <w:tc>
          <w:tcPr>
            <w:tcW w:w="220" w:type="dxa"/>
            <w:vAlign w:val="bottom"/>
          </w:tcPr>
          <w:p>
            <w:pPr>
              <w:spacing w:after="0"/>
              <w:rPr>
                <w:sz w:val="14"/>
                <w:szCs w:val="14"/>
                <w:color w:val="auto"/>
              </w:rPr>
            </w:pPr>
          </w:p>
        </w:tc>
        <w:tc>
          <w:tcPr>
            <w:tcW w:w="1260" w:type="dxa"/>
            <w:vAlign w:val="bottom"/>
          </w:tcPr>
          <w:p>
            <w:pPr>
              <w:jc w:val="center"/>
              <w:ind w:right="63"/>
              <w:spacing w:after="0"/>
              <w:rPr>
                <w:sz w:val="20"/>
                <w:szCs w:val="20"/>
                <w:color w:val="auto"/>
              </w:rPr>
            </w:pPr>
            <w:r>
              <w:rPr>
                <w:rFonts w:ascii="Arial" w:cs="Arial" w:eastAsia="Arial" w:hAnsi="Arial"/>
                <w:sz w:val="14"/>
                <w:szCs w:val="14"/>
                <w:b w:val="1"/>
                <w:bCs w:val="1"/>
                <w:color w:val="336699"/>
              </w:rPr>
              <w:t>Registrant</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336699"/>
              </w:rPr>
              <w:t>Earnings (Loss) in</w:t>
            </w:r>
          </w:p>
        </w:tc>
        <w:tc>
          <w:tcPr>
            <w:tcW w:w="240" w:type="dxa"/>
            <w:vAlign w:val="bottom"/>
          </w:tcPr>
          <w:p>
            <w:pPr>
              <w:spacing w:after="0"/>
              <w:rPr>
                <w:sz w:val="14"/>
                <w:szCs w:val="14"/>
                <w:color w:val="auto"/>
              </w:rPr>
            </w:pPr>
          </w:p>
        </w:tc>
        <w:tc>
          <w:tcPr>
            <w:tcW w:w="1200" w:type="dxa"/>
            <w:vAlign w:val="bottom"/>
          </w:tcPr>
          <w:p>
            <w:pPr>
              <w:jc w:val="center"/>
              <w:ind w:right="103"/>
              <w:spacing w:after="0"/>
              <w:rPr>
                <w:sz w:val="20"/>
                <w:szCs w:val="20"/>
                <w:color w:val="auto"/>
              </w:rPr>
            </w:pPr>
            <w:r>
              <w:rPr>
                <w:rFonts w:ascii="Arial" w:cs="Arial" w:eastAsia="Arial" w:hAnsi="Arial"/>
                <w:sz w:val="14"/>
                <w:szCs w:val="14"/>
                <w:b w:val="1"/>
                <w:bCs w:val="1"/>
                <w:color w:val="336699"/>
              </w:rPr>
              <w:t>Aggregate</w:t>
            </w:r>
          </w:p>
        </w:tc>
        <w:tc>
          <w:tcPr>
            <w:tcW w:w="320" w:type="dxa"/>
            <w:vAlign w:val="bottom"/>
          </w:tcPr>
          <w:p>
            <w:pPr>
              <w:spacing w:after="0"/>
              <w:rPr>
                <w:sz w:val="14"/>
                <w:szCs w:val="14"/>
                <w:color w:val="auto"/>
              </w:rPr>
            </w:pPr>
          </w:p>
        </w:tc>
        <w:tc>
          <w:tcPr>
            <w:tcW w:w="1140" w:type="dxa"/>
            <w:vAlign w:val="bottom"/>
          </w:tcPr>
          <w:p>
            <w:pPr>
              <w:jc w:val="center"/>
              <w:ind w:right="142"/>
              <w:spacing w:after="0"/>
              <w:rPr>
                <w:sz w:val="20"/>
                <w:szCs w:val="20"/>
                <w:color w:val="auto"/>
              </w:rPr>
            </w:pPr>
            <w:r>
              <w:rPr>
                <w:rFonts w:ascii="Arial" w:cs="Arial" w:eastAsia="Arial" w:hAnsi="Arial"/>
                <w:sz w:val="14"/>
                <w:szCs w:val="14"/>
                <w:b w:val="1"/>
                <w:bCs w:val="1"/>
                <w:color w:val="336699"/>
              </w:rPr>
              <w:t>Aggregate</w:t>
            </w:r>
          </w:p>
        </w:tc>
      </w:tr>
      <w:tr>
        <w:trPr>
          <w:trHeight w:val="162"/>
        </w:trPr>
        <w:tc>
          <w:tcPr>
            <w:tcW w:w="2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jc w:val="center"/>
              <w:ind w:right="63"/>
              <w:spacing w:after="0"/>
              <w:rPr>
                <w:sz w:val="20"/>
                <w:szCs w:val="20"/>
                <w:color w:val="auto"/>
              </w:rPr>
            </w:pPr>
            <w:r>
              <w:rPr>
                <w:rFonts w:ascii="Arial" w:cs="Arial" w:eastAsia="Arial" w:hAnsi="Arial"/>
                <w:sz w:val="14"/>
                <w:szCs w:val="14"/>
                <w:b w:val="1"/>
                <w:bCs w:val="1"/>
                <w:color w:val="336699"/>
              </w:rPr>
              <w:t>Last</w:t>
            </w:r>
          </w:p>
        </w:tc>
        <w:tc>
          <w:tcPr>
            <w:tcW w:w="220" w:type="dxa"/>
            <w:vAlign w:val="bottom"/>
          </w:tcPr>
          <w:p>
            <w:pPr>
              <w:spacing w:after="0"/>
              <w:rPr>
                <w:sz w:val="14"/>
                <w:szCs w:val="14"/>
                <w:color w:val="auto"/>
              </w:rPr>
            </w:pPr>
          </w:p>
        </w:tc>
        <w:tc>
          <w:tcPr>
            <w:tcW w:w="1260" w:type="dxa"/>
            <w:vAlign w:val="bottom"/>
          </w:tcPr>
          <w:p>
            <w:pPr>
              <w:jc w:val="center"/>
              <w:ind w:right="63"/>
              <w:spacing w:after="0"/>
              <w:rPr>
                <w:sz w:val="20"/>
                <w:szCs w:val="20"/>
                <w:color w:val="auto"/>
              </w:rPr>
            </w:pPr>
            <w:r>
              <w:rPr>
                <w:rFonts w:ascii="Arial" w:cs="Arial" w:eastAsia="Arial" w:hAnsi="Arial"/>
                <w:sz w:val="14"/>
                <w:szCs w:val="14"/>
                <w:b w:val="1"/>
                <w:bCs w:val="1"/>
                <w:color w:val="336699"/>
              </w:rPr>
              <w:t>Contributions in</w:t>
            </w:r>
          </w:p>
        </w:tc>
        <w:tc>
          <w:tcPr>
            <w:tcW w:w="300" w:type="dxa"/>
            <w:vAlign w:val="bottom"/>
          </w:tcPr>
          <w:p>
            <w:pPr>
              <w:spacing w:after="0"/>
              <w:rPr>
                <w:sz w:val="14"/>
                <w:szCs w:val="14"/>
                <w:color w:val="auto"/>
              </w:rPr>
            </w:pPr>
          </w:p>
        </w:tc>
        <w:tc>
          <w:tcPr>
            <w:tcW w:w="1200" w:type="dxa"/>
            <w:vAlign w:val="bottom"/>
          </w:tcPr>
          <w:p>
            <w:pPr>
              <w:jc w:val="center"/>
              <w:ind w:right="183"/>
              <w:spacing w:after="0"/>
              <w:rPr>
                <w:sz w:val="20"/>
                <w:szCs w:val="20"/>
                <w:color w:val="auto"/>
              </w:rPr>
            </w:pPr>
            <w:r>
              <w:rPr>
                <w:rFonts w:ascii="Arial" w:cs="Arial" w:eastAsia="Arial" w:hAnsi="Arial"/>
                <w:sz w:val="14"/>
                <w:szCs w:val="14"/>
                <w:b w:val="1"/>
                <w:bCs w:val="1"/>
                <w:color w:val="336699"/>
              </w:rPr>
              <w:t>Last</w:t>
            </w:r>
          </w:p>
        </w:tc>
        <w:tc>
          <w:tcPr>
            <w:tcW w:w="240" w:type="dxa"/>
            <w:vAlign w:val="bottom"/>
          </w:tcPr>
          <w:p>
            <w:pPr>
              <w:spacing w:after="0"/>
              <w:rPr>
                <w:sz w:val="14"/>
                <w:szCs w:val="14"/>
                <w:color w:val="auto"/>
              </w:rPr>
            </w:pPr>
          </w:p>
        </w:tc>
        <w:tc>
          <w:tcPr>
            <w:tcW w:w="1200" w:type="dxa"/>
            <w:vAlign w:val="bottom"/>
          </w:tcPr>
          <w:p>
            <w:pPr>
              <w:jc w:val="center"/>
              <w:ind w:right="123"/>
              <w:spacing w:after="0"/>
              <w:rPr>
                <w:sz w:val="20"/>
                <w:szCs w:val="20"/>
                <w:color w:val="auto"/>
              </w:rPr>
            </w:pPr>
            <w:r>
              <w:rPr>
                <w:rFonts w:ascii="Arial" w:cs="Arial" w:eastAsia="Arial" w:hAnsi="Arial"/>
                <w:sz w:val="14"/>
                <w:szCs w:val="14"/>
                <w:b w:val="1"/>
                <w:bCs w:val="1"/>
                <w:color w:val="336699"/>
              </w:rPr>
              <w:t>Withdrawals/</w:t>
            </w:r>
          </w:p>
        </w:tc>
        <w:tc>
          <w:tcPr>
            <w:tcW w:w="320" w:type="dxa"/>
            <w:vAlign w:val="bottom"/>
          </w:tcPr>
          <w:p>
            <w:pPr>
              <w:spacing w:after="0"/>
              <w:rPr>
                <w:sz w:val="14"/>
                <w:szCs w:val="14"/>
                <w:color w:val="auto"/>
              </w:rPr>
            </w:pPr>
          </w:p>
        </w:tc>
        <w:tc>
          <w:tcPr>
            <w:tcW w:w="1140" w:type="dxa"/>
            <w:vAlign w:val="bottom"/>
          </w:tcPr>
          <w:p>
            <w:pPr>
              <w:jc w:val="center"/>
              <w:ind w:right="142"/>
              <w:spacing w:after="0"/>
              <w:rPr>
                <w:sz w:val="20"/>
                <w:szCs w:val="20"/>
                <w:color w:val="auto"/>
              </w:rPr>
            </w:pPr>
            <w:r>
              <w:rPr>
                <w:rFonts w:ascii="Arial" w:cs="Arial" w:eastAsia="Arial" w:hAnsi="Arial"/>
                <w:sz w:val="14"/>
                <w:szCs w:val="14"/>
                <w:b w:val="1"/>
                <w:bCs w:val="1"/>
                <w:color w:val="336699"/>
              </w:rPr>
              <w:t>Balance at</w:t>
            </w:r>
          </w:p>
        </w:tc>
      </w:tr>
      <w:tr>
        <w:trPr>
          <w:trHeight w:val="162"/>
        </w:trPr>
        <w:tc>
          <w:tcPr>
            <w:tcW w:w="2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jc w:val="center"/>
              <w:ind w:right="63"/>
              <w:spacing w:after="0"/>
              <w:rPr>
                <w:sz w:val="20"/>
                <w:szCs w:val="20"/>
                <w:color w:val="auto"/>
              </w:rPr>
            </w:pPr>
            <w:r>
              <w:rPr>
                <w:rFonts w:ascii="Arial" w:cs="Arial" w:eastAsia="Arial" w:hAnsi="Arial"/>
                <w:sz w:val="14"/>
                <w:szCs w:val="14"/>
                <w:b w:val="1"/>
                <w:bCs w:val="1"/>
                <w:color w:val="336699"/>
              </w:rPr>
              <w:t>Fiscal Year</w:t>
            </w:r>
          </w:p>
        </w:tc>
        <w:tc>
          <w:tcPr>
            <w:tcW w:w="220" w:type="dxa"/>
            <w:vAlign w:val="bottom"/>
          </w:tcPr>
          <w:p>
            <w:pPr>
              <w:spacing w:after="0"/>
              <w:rPr>
                <w:sz w:val="14"/>
                <w:szCs w:val="14"/>
                <w:color w:val="auto"/>
              </w:rPr>
            </w:pPr>
          </w:p>
        </w:tc>
        <w:tc>
          <w:tcPr>
            <w:tcW w:w="1260" w:type="dxa"/>
            <w:vAlign w:val="bottom"/>
          </w:tcPr>
          <w:p>
            <w:pPr>
              <w:jc w:val="center"/>
              <w:ind w:right="63"/>
              <w:spacing w:after="0"/>
              <w:rPr>
                <w:sz w:val="20"/>
                <w:szCs w:val="20"/>
                <w:color w:val="auto"/>
              </w:rPr>
            </w:pPr>
            <w:r>
              <w:rPr>
                <w:rFonts w:ascii="Arial" w:cs="Arial" w:eastAsia="Arial" w:hAnsi="Arial"/>
                <w:sz w:val="14"/>
                <w:szCs w:val="14"/>
                <w:b w:val="1"/>
                <w:bCs w:val="1"/>
                <w:color w:val="336699"/>
              </w:rPr>
              <w:t>Last Fiscal Year</w:t>
            </w:r>
          </w:p>
        </w:tc>
        <w:tc>
          <w:tcPr>
            <w:tcW w:w="300" w:type="dxa"/>
            <w:vAlign w:val="bottom"/>
          </w:tcPr>
          <w:p>
            <w:pPr>
              <w:spacing w:after="0"/>
              <w:rPr>
                <w:sz w:val="14"/>
                <w:szCs w:val="14"/>
                <w:color w:val="auto"/>
              </w:rPr>
            </w:pPr>
          </w:p>
        </w:tc>
        <w:tc>
          <w:tcPr>
            <w:tcW w:w="1200" w:type="dxa"/>
            <w:vAlign w:val="bottom"/>
          </w:tcPr>
          <w:p>
            <w:pPr>
              <w:jc w:val="center"/>
              <w:ind w:right="183"/>
              <w:spacing w:after="0"/>
              <w:rPr>
                <w:sz w:val="20"/>
                <w:szCs w:val="20"/>
                <w:color w:val="auto"/>
              </w:rPr>
            </w:pPr>
            <w:r>
              <w:rPr>
                <w:rFonts w:ascii="Arial" w:cs="Arial" w:eastAsia="Arial" w:hAnsi="Arial"/>
                <w:sz w:val="14"/>
                <w:szCs w:val="14"/>
                <w:b w:val="1"/>
                <w:bCs w:val="1"/>
                <w:color w:val="336699"/>
              </w:rPr>
              <w:t>Fiscal Year</w:t>
            </w:r>
          </w:p>
        </w:tc>
        <w:tc>
          <w:tcPr>
            <w:tcW w:w="240" w:type="dxa"/>
            <w:vAlign w:val="bottom"/>
          </w:tcPr>
          <w:p>
            <w:pPr>
              <w:spacing w:after="0"/>
              <w:rPr>
                <w:sz w:val="14"/>
                <w:szCs w:val="14"/>
                <w:color w:val="auto"/>
              </w:rPr>
            </w:pPr>
          </w:p>
        </w:tc>
        <w:tc>
          <w:tcPr>
            <w:tcW w:w="1200" w:type="dxa"/>
            <w:vAlign w:val="bottom"/>
          </w:tcPr>
          <w:p>
            <w:pPr>
              <w:jc w:val="center"/>
              <w:ind w:right="123"/>
              <w:spacing w:after="0"/>
              <w:rPr>
                <w:sz w:val="20"/>
                <w:szCs w:val="20"/>
                <w:color w:val="auto"/>
              </w:rPr>
            </w:pPr>
            <w:r>
              <w:rPr>
                <w:rFonts w:ascii="Arial" w:cs="Arial" w:eastAsia="Arial" w:hAnsi="Arial"/>
                <w:sz w:val="14"/>
                <w:szCs w:val="14"/>
                <w:b w:val="1"/>
                <w:bCs w:val="1"/>
                <w:color w:val="336699"/>
              </w:rPr>
              <w:t>Distributions</w:t>
            </w: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336699"/>
              </w:rPr>
              <w:t>December 31, 2016</w:t>
            </w:r>
          </w:p>
        </w:tc>
      </w:tr>
      <w:tr>
        <w:trPr>
          <w:trHeight w:val="196"/>
        </w:trPr>
        <w:tc>
          <w:tcPr>
            <w:tcW w:w="2780" w:type="dxa"/>
            <w:vAlign w:val="bottom"/>
            <w:tcBorders>
              <w:bottom w:val="single" w:sz="8" w:color="336699"/>
            </w:tcBorders>
          </w:tcPr>
          <w:p>
            <w:pPr>
              <w:ind w:left="40"/>
              <w:spacing w:after="0"/>
              <w:rPr>
                <w:sz w:val="20"/>
                <w:szCs w:val="20"/>
                <w:color w:val="auto"/>
              </w:rPr>
            </w:pPr>
            <w:r>
              <w:rPr>
                <w:rFonts w:ascii="Arial" w:cs="Arial" w:eastAsia="Arial" w:hAnsi="Arial"/>
                <w:sz w:val="14"/>
                <w:szCs w:val="14"/>
                <w:b w:val="1"/>
                <w:bCs w:val="1"/>
                <w:color w:val="336699"/>
              </w:rPr>
              <w:t>Name</w:t>
            </w:r>
          </w:p>
        </w:tc>
        <w:tc>
          <w:tcPr>
            <w:tcW w:w="1480" w:type="dxa"/>
            <w:vAlign w:val="bottom"/>
            <w:tcBorders>
              <w:bottom w:val="single" w:sz="8" w:color="336699"/>
            </w:tcBorders>
          </w:tcPr>
          <w:p>
            <w:pPr>
              <w:spacing w:after="0"/>
              <w:rPr>
                <w:sz w:val="17"/>
                <w:szCs w:val="17"/>
                <w:color w:val="auto"/>
              </w:rPr>
            </w:pPr>
          </w:p>
        </w:tc>
        <w:tc>
          <w:tcPr>
            <w:tcW w:w="1280" w:type="dxa"/>
            <w:vAlign w:val="bottom"/>
            <w:tcBorders>
              <w:bottom w:val="single" w:sz="8" w:color="336699"/>
            </w:tcBorders>
          </w:tcPr>
          <w:p>
            <w:pPr>
              <w:jc w:val="center"/>
              <w:ind w:right="63"/>
              <w:spacing w:after="0"/>
              <w:rPr>
                <w:sz w:val="20"/>
                <w:szCs w:val="20"/>
                <w:color w:val="auto"/>
              </w:rPr>
            </w:pPr>
            <w:r>
              <w:rPr>
                <w:rFonts w:ascii="Arial" w:cs="Arial" w:eastAsia="Arial" w:hAnsi="Arial"/>
                <w:sz w:val="14"/>
                <w:szCs w:val="14"/>
                <w:b w:val="1"/>
                <w:bCs w:val="1"/>
                <w:color w:val="336699"/>
              </w:rPr>
              <w:t>($)</w:t>
            </w:r>
          </w:p>
        </w:tc>
        <w:tc>
          <w:tcPr>
            <w:tcW w:w="220" w:type="dxa"/>
            <w:vAlign w:val="bottom"/>
            <w:tcBorders>
              <w:bottom w:val="single" w:sz="8" w:color="336699"/>
            </w:tcBorders>
          </w:tcPr>
          <w:p>
            <w:pPr>
              <w:spacing w:after="0"/>
              <w:rPr>
                <w:sz w:val="17"/>
                <w:szCs w:val="17"/>
                <w:color w:val="auto"/>
              </w:rPr>
            </w:pPr>
          </w:p>
        </w:tc>
        <w:tc>
          <w:tcPr>
            <w:tcW w:w="1260" w:type="dxa"/>
            <w:vAlign w:val="bottom"/>
            <w:tcBorders>
              <w:bottom w:val="single" w:sz="8" w:color="336699"/>
            </w:tcBorders>
          </w:tcPr>
          <w:p>
            <w:pPr>
              <w:jc w:val="center"/>
              <w:ind w:right="63"/>
              <w:spacing w:after="0"/>
              <w:rPr>
                <w:sz w:val="20"/>
                <w:szCs w:val="20"/>
                <w:color w:val="auto"/>
              </w:rPr>
            </w:pPr>
            <w:r>
              <w:rPr>
                <w:rFonts w:ascii="Arial" w:cs="Arial" w:eastAsia="Arial" w:hAnsi="Arial"/>
                <w:sz w:val="14"/>
                <w:szCs w:val="14"/>
                <w:b w:val="1"/>
                <w:bCs w:val="1"/>
                <w:color w:val="336699"/>
                <w:w w:val="93"/>
              </w:rPr>
              <w:t>($)</w:t>
            </w:r>
          </w:p>
        </w:tc>
        <w:tc>
          <w:tcPr>
            <w:tcW w:w="300" w:type="dxa"/>
            <w:vAlign w:val="bottom"/>
            <w:tcBorders>
              <w:bottom w:val="single" w:sz="8" w:color="336699"/>
            </w:tcBorders>
          </w:tcPr>
          <w:p>
            <w:pPr>
              <w:spacing w:after="0"/>
              <w:rPr>
                <w:sz w:val="17"/>
                <w:szCs w:val="17"/>
                <w:color w:val="auto"/>
              </w:rPr>
            </w:pPr>
          </w:p>
        </w:tc>
        <w:tc>
          <w:tcPr>
            <w:tcW w:w="1200" w:type="dxa"/>
            <w:vAlign w:val="bottom"/>
            <w:tcBorders>
              <w:bottom w:val="single" w:sz="8" w:color="336699"/>
            </w:tcBorders>
          </w:tcPr>
          <w:p>
            <w:pPr>
              <w:jc w:val="center"/>
              <w:ind w:right="183"/>
              <w:spacing w:after="0"/>
              <w:rPr>
                <w:sz w:val="20"/>
                <w:szCs w:val="20"/>
                <w:color w:val="auto"/>
              </w:rPr>
            </w:pPr>
            <w:r>
              <w:rPr>
                <w:rFonts w:ascii="Arial" w:cs="Arial" w:eastAsia="Arial" w:hAnsi="Arial"/>
                <w:sz w:val="14"/>
                <w:szCs w:val="14"/>
                <w:b w:val="1"/>
                <w:bCs w:val="1"/>
                <w:color w:val="336699"/>
                <w:w w:val="99"/>
              </w:rPr>
              <w:t>($)(1)</w:t>
            </w:r>
          </w:p>
        </w:tc>
        <w:tc>
          <w:tcPr>
            <w:tcW w:w="240" w:type="dxa"/>
            <w:vAlign w:val="bottom"/>
            <w:tcBorders>
              <w:bottom w:val="single" w:sz="8" w:color="336699"/>
            </w:tcBorders>
          </w:tcPr>
          <w:p>
            <w:pPr>
              <w:spacing w:after="0"/>
              <w:rPr>
                <w:sz w:val="17"/>
                <w:szCs w:val="17"/>
                <w:color w:val="auto"/>
              </w:rPr>
            </w:pPr>
          </w:p>
        </w:tc>
        <w:tc>
          <w:tcPr>
            <w:tcW w:w="1200" w:type="dxa"/>
            <w:vAlign w:val="bottom"/>
            <w:tcBorders>
              <w:bottom w:val="single" w:sz="8" w:color="336699"/>
            </w:tcBorders>
          </w:tcPr>
          <w:p>
            <w:pPr>
              <w:jc w:val="center"/>
              <w:ind w:right="103"/>
              <w:spacing w:after="0"/>
              <w:rPr>
                <w:sz w:val="20"/>
                <w:szCs w:val="20"/>
                <w:color w:val="auto"/>
              </w:rPr>
            </w:pPr>
            <w:r>
              <w:rPr>
                <w:rFonts w:ascii="Arial" w:cs="Arial" w:eastAsia="Arial" w:hAnsi="Arial"/>
                <w:sz w:val="14"/>
                <w:szCs w:val="14"/>
                <w:b w:val="1"/>
                <w:bCs w:val="1"/>
                <w:color w:val="336699"/>
              </w:rPr>
              <w:t>($)</w:t>
            </w:r>
          </w:p>
        </w:tc>
        <w:tc>
          <w:tcPr>
            <w:tcW w:w="320" w:type="dxa"/>
            <w:vAlign w:val="bottom"/>
            <w:tcBorders>
              <w:bottom w:val="single" w:sz="8" w:color="336699"/>
            </w:tcBorders>
          </w:tcPr>
          <w:p>
            <w:pPr>
              <w:spacing w:after="0"/>
              <w:rPr>
                <w:sz w:val="17"/>
                <w:szCs w:val="17"/>
                <w:color w:val="auto"/>
              </w:rPr>
            </w:pPr>
          </w:p>
        </w:tc>
        <w:tc>
          <w:tcPr>
            <w:tcW w:w="1140" w:type="dxa"/>
            <w:vAlign w:val="bottom"/>
            <w:tcBorders>
              <w:bottom w:val="single" w:sz="8" w:color="336699"/>
            </w:tcBorders>
          </w:tcPr>
          <w:p>
            <w:pPr>
              <w:jc w:val="center"/>
              <w:ind w:right="142"/>
              <w:spacing w:after="0"/>
              <w:rPr>
                <w:sz w:val="20"/>
                <w:szCs w:val="20"/>
                <w:color w:val="auto"/>
              </w:rPr>
            </w:pPr>
            <w:r>
              <w:rPr>
                <w:rFonts w:ascii="Arial" w:cs="Arial" w:eastAsia="Arial" w:hAnsi="Arial"/>
                <w:sz w:val="14"/>
                <w:szCs w:val="14"/>
                <w:b w:val="1"/>
                <w:bCs w:val="1"/>
                <w:color w:val="336699"/>
                <w:w w:val="93"/>
              </w:rPr>
              <w:t>($)</w:t>
            </w:r>
          </w:p>
        </w:tc>
      </w:tr>
      <w:tr>
        <w:trPr>
          <w:trHeight w:val="270"/>
        </w:trPr>
        <w:tc>
          <w:tcPr>
            <w:tcW w:w="2780" w:type="dxa"/>
            <w:vAlign w:val="bottom"/>
            <w:shd w:val="clear" w:color="auto" w:fill="CCFFFF"/>
          </w:tcPr>
          <w:p>
            <w:pPr>
              <w:ind w:left="40"/>
              <w:spacing w:after="0"/>
              <w:rPr>
                <w:sz w:val="20"/>
                <w:szCs w:val="20"/>
                <w:color w:val="auto"/>
              </w:rPr>
            </w:pPr>
            <w:r>
              <w:rPr>
                <w:rFonts w:ascii="Arial" w:cs="Arial" w:eastAsia="Arial" w:hAnsi="Arial"/>
                <w:sz w:val="16"/>
                <w:szCs w:val="16"/>
                <w:color w:val="auto"/>
              </w:rPr>
              <w:t>Mark S. Casady</w:t>
            </w:r>
          </w:p>
        </w:tc>
        <w:tc>
          <w:tcPr>
            <w:tcW w:w="14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FFFF"/>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FFFF"/>
          </w:tcPr>
          <w:p>
            <w:pPr>
              <w:ind w:left="9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FFFF"/>
          </w:tcPr>
          <w:p>
            <w:pPr>
              <w:jc w:val="right"/>
              <w:ind w:right="83"/>
              <w:spacing w:after="0"/>
              <w:rPr>
                <w:sz w:val="20"/>
                <w:szCs w:val="20"/>
                <w:color w:val="auto"/>
              </w:rPr>
            </w:pPr>
            <w:r>
              <w:rPr>
                <w:rFonts w:ascii="Arial" w:cs="Arial" w:eastAsia="Arial" w:hAnsi="Arial"/>
                <w:sz w:val="16"/>
                <w:szCs w:val="16"/>
                <w:color w:val="auto"/>
              </w:rPr>
              <w:t>—</w:t>
            </w:r>
          </w:p>
        </w:tc>
        <w:tc>
          <w:tcPr>
            <w:tcW w:w="2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FFFF"/>
          </w:tcPr>
          <w:p>
            <w:pPr>
              <w:ind w:left="9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FFFF"/>
          </w:tcPr>
          <w:p>
            <w:pPr>
              <w:jc w:val="right"/>
              <w:ind w:right="22"/>
              <w:spacing w:after="0"/>
              <w:rPr>
                <w:sz w:val="20"/>
                <w:szCs w:val="20"/>
                <w:color w:val="auto"/>
              </w:rPr>
            </w:pPr>
            <w:r>
              <w:rPr>
                <w:rFonts w:ascii="Arial" w:cs="Arial" w:eastAsia="Arial" w:hAnsi="Arial"/>
                <w:sz w:val="16"/>
                <w:szCs w:val="16"/>
                <w:color w:val="auto"/>
              </w:rPr>
              <w:t>—</w:t>
            </w:r>
          </w:p>
        </w:tc>
      </w:tr>
      <w:tr>
        <w:trPr>
          <w:trHeight w:val="260"/>
        </w:trPr>
        <w:tc>
          <w:tcPr>
            <w:tcW w:w="2780" w:type="dxa"/>
            <w:vAlign w:val="bottom"/>
          </w:tcPr>
          <w:p>
            <w:pPr>
              <w:ind w:left="40"/>
              <w:spacing w:after="0"/>
              <w:rPr>
                <w:sz w:val="20"/>
                <w:szCs w:val="20"/>
                <w:color w:val="auto"/>
              </w:rPr>
            </w:pPr>
            <w:r>
              <w:rPr>
                <w:rFonts w:ascii="Arial" w:cs="Arial" w:eastAsia="Arial" w:hAnsi="Arial"/>
                <w:sz w:val="16"/>
                <w:szCs w:val="16"/>
                <w:color w:val="auto"/>
              </w:rPr>
              <w:t>Matthew J. Audette</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ind w:left="920"/>
              <w:spacing w:after="0"/>
              <w:rPr>
                <w:sz w:val="20"/>
                <w:szCs w:val="20"/>
                <w:color w:val="auto"/>
              </w:rPr>
            </w:pPr>
            <w:r>
              <w:rPr>
                <w:rFonts w:ascii="Arial" w:cs="Arial" w:eastAsia="Arial" w:hAnsi="Arial"/>
                <w:sz w:val="16"/>
                <w:szCs w:val="16"/>
                <w:color w:val="auto"/>
              </w:rPr>
              <w:t>—</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80"/>
        </w:trPr>
        <w:tc>
          <w:tcPr>
            <w:tcW w:w="2780" w:type="dxa"/>
            <w:vAlign w:val="bottom"/>
            <w:shd w:val="clear" w:color="auto" w:fill="CCFFFF"/>
          </w:tcPr>
          <w:p>
            <w:pPr>
              <w:ind w:left="40"/>
              <w:spacing w:after="0"/>
              <w:rPr>
                <w:sz w:val="20"/>
                <w:szCs w:val="20"/>
                <w:color w:val="auto"/>
              </w:rPr>
            </w:pPr>
            <w:r>
              <w:rPr>
                <w:rFonts w:ascii="Arial" w:cs="Arial" w:eastAsia="Arial" w:hAnsi="Arial"/>
                <w:sz w:val="16"/>
                <w:szCs w:val="16"/>
                <w:color w:val="auto"/>
              </w:rPr>
              <w:t>Dan H. Arnold</w:t>
            </w:r>
            <w:r>
              <w:rPr>
                <w:rFonts w:ascii="Arial" w:cs="Arial" w:eastAsia="Arial" w:hAnsi="Arial"/>
                <w:sz w:val="21"/>
                <w:szCs w:val="21"/>
                <w:color w:val="auto"/>
                <w:vertAlign w:val="superscript"/>
              </w:rPr>
              <w:t>(2)</w:t>
            </w:r>
          </w:p>
        </w:tc>
        <w:tc>
          <w:tcPr>
            <w:tcW w:w="14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FFFF"/>
          </w:tcPr>
          <w:p>
            <w:pPr>
              <w:jc w:val="right"/>
              <w:ind w:right="43"/>
              <w:spacing w:after="0"/>
              <w:rPr>
                <w:sz w:val="20"/>
                <w:szCs w:val="20"/>
                <w:color w:val="auto"/>
              </w:rPr>
            </w:pPr>
            <w:r>
              <w:rPr>
                <w:rFonts w:ascii="Arial" w:cs="Arial" w:eastAsia="Arial" w:hAnsi="Arial"/>
                <w:sz w:val="16"/>
                <w:szCs w:val="16"/>
                <w:color w:val="auto"/>
              </w:rPr>
              <w:t>544,188</w:t>
            </w:r>
          </w:p>
        </w:tc>
        <w:tc>
          <w:tcPr>
            <w:tcW w:w="22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FFFF"/>
          </w:tcPr>
          <w:p>
            <w:pPr>
              <w:ind w:left="9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FFFF"/>
          </w:tcPr>
          <w:p>
            <w:pPr>
              <w:jc w:val="right"/>
              <w:ind w:right="83"/>
              <w:spacing w:after="0"/>
              <w:rPr>
                <w:sz w:val="20"/>
                <w:szCs w:val="20"/>
                <w:color w:val="auto"/>
              </w:rPr>
            </w:pPr>
            <w:r>
              <w:rPr>
                <w:rFonts w:ascii="Arial" w:cs="Arial" w:eastAsia="Arial" w:hAnsi="Arial"/>
                <w:sz w:val="16"/>
                <w:szCs w:val="16"/>
                <w:color w:val="auto"/>
              </w:rPr>
              <w:t>133,053</w:t>
            </w:r>
          </w:p>
        </w:tc>
        <w:tc>
          <w:tcPr>
            <w:tcW w:w="2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FFFF"/>
          </w:tcPr>
          <w:p>
            <w:pPr>
              <w:ind w:left="9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FFFF"/>
          </w:tcPr>
          <w:p>
            <w:pPr>
              <w:jc w:val="right"/>
              <w:ind w:right="22"/>
              <w:spacing w:after="0"/>
              <w:rPr>
                <w:sz w:val="20"/>
                <w:szCs w:val="20"/>
                <w:color w:val="auto"/>
              </w:rPr>
            </w:pPr>
            <w:r>
              <w:rPr>
                <w:rFonts w:ascii="Arial" w:cs="Arial" w:eastAsia="Arial" w:hAnsi="Arial"/>
                <w:sz w:val="16"/>
                <w:szCs w:val="16"/>
                <w:color w:val="auto"/>
              </w:rPr>
              <w:t>1,167,553</w:t>
            </w:r>
          </w:p>
        </w:tc>
      </w:tr>
      <w:tr>
        <w:trPr>
          <w:trHeight w:val="260"/>
        </w:trPr>
        <w:tc>
          <w:tcPr>
            <w:tcW w:w="2780" w:type="dxa"/>
            <w:vAlign w:val="bottom"/>
          </w:tcPr>
          <w:p>
            <w:pPr>
              <w:ind w:left="40"/>
              <w:spacing w:after="0"/>
              <w:rPr>
                <w:sz w:val="20"/>
                <w:szCs w:val="20"/>
                <w:color w:val="auto"/>
              </w:rPr>
            </w:pPr>
            <w:r>
              <w:rPr>
                <w:rFonts w:ascii="Arial" w:cs="Arial" w:eastAsia="Arial" w:hAnsi="Arial"/>
                <w:sz w:val="16"/>
                <w:szCs w:val="16"/>
                <w:color w:val="auto"/>
              </w:rPr>
              <w:t>Tracy E. Calder</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ind w:left="920"/>
              <w:spacing w:after="0"/>
              <w:rPr>
                <w:sz w:val="20"/>
                <w:szCs w:val="20"/>
                <w:color w:val="auto"/>
              </w:rPr>
            </w:pPr>
            <w:r>
              <w:rPr>
                <w:rFonts w:ascii="Arial" w:cs="Arial" w:eastAsia="Arial" w:hAnsi="Arial"/>
                <w:sz w:val="16"/>
                <w:szCs w:val="16"/>
                <w:color w:val="auto"/>
              </w:rPr>
              <w:t>—</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73"/>
        </w:trPr>
        <w:tc>
          <w:tcPr>
            <w:tcW w:w="2780" w:type="dxa"/>
            <w:vAlign w:val="bottom"/>
            <w:tcBorders>
              <w:bottom w:val="single" w:sz="8" w:color="336699"/>
            </w:tcBorders>
            <w:shd w:val="clear" w:color="auto" w:fill="CCFFFF"/>
          </w:tcPr>
          <w:p>
            <w:pPr>
              <w:ind w:left="40"/>
              <w:spacing w:after="0"/>
              <w:rPr>
                <w:sz w:val="20"/>
                <w:szCs w:val="20"/>
                <w:color w:val="auto"/>
              </w:rPr>
            </w:pPr>
            <w:r>
              <w:rPr>
                <w:rFonts w:ascii="Arial" w:cs="Arial" w:eastAsia="Arial" w:hAnsi="Arial"/>
                <w:sz w:val="16"/>
                <w:szCs w:val="16"/>
                <w:color w:val="auto"/>
              </w:rPr>
              <w:t>Thomas Gooley</w:t>
            </w:r>
          </w:p>
        </w:tc>
        <w:tc>
          <w:tcPr>
            <w:tcW w:w="148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336699"/>
            </w:tcBorders>
            <w:shd w:val="clear" w:color="auto" w:fill="CCFFFF"/>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336699"/>
            </w:tcBorders>
            <w:shd w:val="clear" w:color="auto" w:fill="CCFFFF"/>
          </w:tcPr>
          <w:p>
            <w:pPr>
              <w:ind w:left="9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336699"/>
            </w:tcBorders>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336699"/>
            </w:tcBorders>
            <w:shd w:val="clear" w:color="auto" w:fill="CCFFFF"/>
          </w:tcPr>
          <w:p>
            <w:pPr>
              <w:jc w:val="right"/>
              <w:ind w:right="83"/>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336699"/>
            </w:tcBorders>
            <w:shd w:val="clear" w:color="auto" w:fill="CCFFFF"/>
          </w:tcPr>
          <w:p>
            <w:pPr>
              <w:ind w:left="9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336699"/>
            </w:tcBorders>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336699"/>
            </w:tcBorders>
            <w:shd w:val="clear" w:color="auto" w:fill="CCFFFF"/>
          </w:tcPr>
          <w:p>
            <w:pPr>
              <w:jc w:val="right"/>
              <w:ind w:right="22"/>
              <w:spacing w:after="0"/>
              <w:rPr>
                <w:sz w:val="20"/>
                <w:szCs w:val="20"/>
                <w:color w:val="auto"/>
              </w:rPr>
            </w:pPr>
            <w:r>
              <w:rPr>
                <w:rFonts w:ascii="Arial" w:cs="Arial" w:eastAsia="Arial" w:hAnsi="Arial"/>
                <w:sz w:val="16"/>
                <w:szCs w:val="16"/>
                <w:color w:val="auto"/>
              </w:rPr>
              <w:t>—</w:t>
            </w:r>
          </w:p>
        </w:tc>
      </w:tr>
    </w:tbl>
    <w:p>
      <w:pPr>
        <w:ind w:left="340" w:right="620" w:hanging="332"/>
        <w:spacing w:after="0" w:line="263"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Amounts included herein do not constitute above-market or preferential earnings and therefore are not reported as compensation in the “</w:t>
      </w:r>
      <w:r>
        <w:rPr>
          <w:rFonts w:ascii="Arial" w:cs="Arial" w:eastAsia="Arial" w:hAnsi="Arial"/>
          <w:sz w:val="16"/>
          <w:szCs w:val="16"/>
          <w:i w:val="1"/>
          <w:iCs w:val="1"/>
          <w:color w:val="auto"/>
        </w:rPr>
        <w:t>Summary</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Table for the Year Ended December 31, 2016</w:t>
      </w:r>
      <w:r>
        <w:rPr>
          <w:rFonts w:ascii="Arial" w:cs="Arial" w:eastAsia="Arial" w:hAnsi="Arial"/>
          <w:sz w:val="16"/>
          <w:szCs w:val="16"/>
          <w:color w:val="auto"/>
        </w:rPr>
        <w:t>” above.</w:t>
      </w:r>
    </w:p>
    <w:p>
      <w:pPr>
        <w:spacing w:after="0" w:line="30"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These amounts relate to Mr. Arnold’s participation in the UVEST Executive Nonqualified “Excess” Plan. For a description of the material terms of the plan, please see the discussion in the Compensation Discussion and Analysis under “</w:t>
      </w:r>
      <w:r>
        <w:rPr>
          <w:rFonts w:ascii="Arial" w:cs="Arial" w:eastAsia="Arial" w:hAnsi="Arial"/>
          <w:sz w:val="16"/>
          <w:szCs w:val="16"/>
          <w:i w:val="1"/>
          <w:iCs w:val="1"/>
          <w:color w:val="auto"/>
        </w:rPr>
        <w:t>Additional Compensation Elements—Nonqualified 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47</w:t>
      </w:r>
    </w:p>
    <w:p>
      <w:pPr>
        <w:sectPr>
          <w:pgSz w:w="11900" w:h="16838" w:orient="portrait"/>
          <w:cols w:equalWidth="0" w:num="1">
            <w:col w:w="11420"/>
          </w:cols>
          <w:pgMar w:left="240" w:top="436" w:right="239" w:bottom="1440" w:gutter="0" w:footer="0" w:header="0"/>
        </w:sectPr>
      </w:pPr>
    </w:p>
    <w:bookmarkStart w:id="53" w:name="page54"/>
    <w:bookmarkEnd w:id="53"/>
    <w:p>
      <w:pPr>
        <w:ind w:left="7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Potential Payments upon Termination or Change-in-Control for the Year Ended December 31, 2016</w:t>
      </w:r>
    </w:p>
    <w:p>
      <w:pPr>
        <w:spacing w:after="0" w:line="296"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Set forth below the table is a description of certain post-employment arrangements with our NEOs, including the severance benefits and change-in-control benefits to which they would have been entitled under the Executive Severance Plan as of December 31, 2016. Amounts reported for the accelerated vesting of stock options and RSUs are based on a price per share of our Common Stock of $ 35.21, the closing price per share of our Common Stock on December 30, 2016, the last business day of 2016. In the case of stock options, amounts reported assume an exercise only if $35.21 per share is greater than the exercise price of the stock option. Pursuant to SEC rules, information is included in the table below for Mr. Casady, although he retired as chief executive officer effective January 3, 2017. Mr. Casady did not receive any severance payments in connection with his retirement. Pursuant to the existing terms of his outstanding stock options, the vesting of all outstanding unvested stock options held by him at the time of his retirement was accelerated in full.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336699"/>
              </w:rPr>
              <w:t>Without Cause or</w:t>
            </w:r>
          </w:p>
        </w:tc>
        <w:tc>
          <w:tcPr>
            <w:tcW w:w="480" w:type="dxa"/>
            <w:vAlign w:val="bottom"/>
          </w:tcPr>
          <w:p>
            <w:pPr>
              <w:spacing w:after="0"/>
              <w:rPr>
                <w:sz w:val="15"/>
                <w:szCs w:val="15"/>
                <w:color w:val="auto"/>
              </w:rPr>
            </w:pPr>
          </w:p>
        </w:tc>
        <w:tc>
          <w:tcPr>
            <w:tcW w:w="1020" w:type="dxa"/>
            <w:vAlign w:val="bottom"/>
          </w:tcPr>
          <w:p>
            <w:pPr>
              <w:jc w:val="center"/>
              <w:ind w:left="180"/>
              <w:spacing w:after="0"/>
              <w:rPr>
                <w:sz w:val="20"/>
                <w:szCs w:val="20"/>
                <w:color w:val="auto"/>
              </w:rPr>
            </w:pPr>
            <w:r>
              <w:rPr>
                <w:rFonts w:ascii="Arial" w:cs="Arial" w:eastAsia="Arial" w:hAnsi="Arial"/>
                <w:sz w:val="14"/>
                <w:szCs w:val="14"/>
                <w:b w:val="1"/>
                <w:bCs w:val="1"/>
                <w:color w:val="336699"/>
              </w:rPr>
              <w:t>Disability</w:t>
            </w: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center"/>
              <w:ind w:left="140"/>
              <w:spacing w:after="0"/>
              <w:rPr>
                <w:sz w:val="20"/>
                <w:szCs w:val="20"/>
                <w:color w:val="auto"/>
              </w:rPr>
            </w:pPr>
            <w:r>
              <w:rPr>
                <w:rFonts w:ascii="Arial" w:cs="Arial" w:eastAsia="Arial" w:hAnsi="Arial"/>
                <w:sz w:val="14"/>
                <w:szCs w:val="14"/>
                <w:b w:val="1"/>
                <w:bCs w:val="1"/>
                <w:color w:val="336699"/>
              </w:rPr>
              <w:t>Change-in-</w:t>
            </w:r>
          </w:p>
        </w:tc>
        <w:tc>
          <w:tcPr>
            <w:tcW w:w="560" w:type="dxa"/>
            <w:vAlign w:val="bottom"/>
          </w:tcPr>
          <w:p>
            <w:pPr>
              <w:spacing w:after="0"/>
              <w:rPr>
                <w:sz w:val="15"/>
                <w:szCs w:val="15"/>
                <w:color w:val="auto"/>
              </w:rPr>
            </w:pPr>
          </w:p>
        </w:tc>
      </w:tr>
      <w:tr>
        <w:trPr>
          <w:trHeight w:val="176"/>
        </w:trPr>
        <w:tc>
          <w:tcPr>
            <w:tcW w:w="1820" w:type="dxa"/>
            <w:vAlign w:val="bottom"/>
          </w:tcPr>
          <w:p>
            <w:pPr>
              <w:ind w:left="680"/>
              <w:spacing w:after="0"/>
              <w:rPr>
                <w:sz w:val="20"/>
                <w:szCs w:val="20"/>
                <w:color w:val="auto"/>
              </w:rPr>
            </w:pPr>
            <w:r>
              <w:rPr>
                <w:rFonts w:ascii="Arial" w:cs="Arial" w:eastAsia="Arial" w:hAnsi="Arial"/>
                <w:sz w:val="14"/>
                <w:szCs w:val="14"/>
                <w:b w:val="1"/>
                <w:bCs w:val="1"/>
                <w:color w:val="336699"/>
              </w:rPr>
              <w:t>Named</w:t>
            </w:r>
          </w:p>
        </w:tc>
        <w:tc>
          <w:tcPr>
            <w:tcW w:w="3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gridSpan w:val="2"/>
          </w:tcPr>
          <w:p>
            <w:pPr>
              <w:jc w:val="center"/>
              <w:ind w:right="8"/>
              <w:spacing w:after="0"/>
              <w:rPr>
                <w:sz w:val="20"/>
                <w:szCs w:val="20"/>
                <w:color w:val="auto"/>
              </w:rPr>
            </w:pPr>
            <w:r>
              <w:rPr>
                <w:rFonts w:ascii="Arial" w:cs="Arial" w:eastAsia="Arial" w:hAnsi="Arial"/>
                <w:sz w:val="14"/>
                <w:szCs w:val="14"/>
                <w:b w:val="1"/>
                <w:bCs w:val="1"/>
                <w:color w:val="336699"/>
              </w:rPr>
              <w:t>For Good Reason</w:t>
            </w:r>
          </w:p>
        </w:tc>
        <w:tc>
          <w:tcPr>
            <w:tcW w:w="480" w:type="dxa"/>
            <w:vAlign w:val="bottom"/>
          </w:tcPr>
          <w:p>
            <w:pPr>
              <w:spacing w:after="0"/>
              <w:rPr>
                <w:sz w:val="15"/>
                <w:szCs w:val="15"/>
                <w:color w:val="auto"/>
              </w:rPr>
            </w:pPr>
          </w:p>
        </w:tc>
        <w:tc>
          <w:tcPr>
            <w:tcW w:w="1020" w:type="dxa"/>
            <w:vAlign w:val="bottom"/>
          </w:tcPr>
          <w:p>
            <w:pPr>
              <w:jc w:val="center"/>
              <w:ind w:left="160"/>
              <w:spacing w:after="0"/>
              <w:rPr>
                <w:sz w:val="20"/>
                <w:szCs w:val="20"/>
                <w:color w:val="auto"/>
              </w:rPr>
            </w:pPr>
            <w:r>
              <w:rPr>
                <w:rFonts w:ascii="Arial" w:cs="Arial" w:eastAsia="Arial" w:hAnsi="Arial"/>
                <w:sz w:val="14"/>
                <w:szCs w:val="14"/>
                <w:b w:val="1"/>
                <w:bCs w:val="1"/>
                <w:color w:val="336699"/>
              </w:rPr>
              <w:t>and Death</w:t>
            </w: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center"/>
              <w:ind w:left="160"/>
              <w:spacing w:after="0"/>
              <w:rPr>
                <w:sz w:val="20"/>
                <w:szCs w:val="20"/>
                <w:color w:val="auto"/>
              </w:rPr>
            </w:pPr>
            <w:r>
              <w:rPr>
                <w:rFonts w:ascii="Arial" w:cs="Arial" w:eastAsia="Arial" w:hAnsi="Arial"/>
                <w:sz w:val="14"/>
                <w:szCs w:val="14"/>
                <w:b w:val="1"/>
                <w:bCs w:val="1"/>
                <w:color w:val="336699"/>
              </w:rPr>
              <w:t>Control</w:t>
            </w:r>
          </w:p>
        </w:tc>
        <w:tc>
          <w:tcPr>
            <w:tcW w:w="560" w:type="dxa"/>
            <w:vAlign w:val="bottom"/>
          </w:tcPr>
          <w:p>
            <w:pPr>
              <w:spacing w:after="0"/>
              <w:rPr>
                <w:sz w:val="15"/>
                <w:szCs w:val="15"/>
                <w:color w:val="auto"/>
              </w:rPr>
            </w:pPr>
          </w:p>
        </w:tc>
      </w:tr>
      <w:tr>
        <w:trPr>
          <w:trHeight w:val="196"/>
        </w:trPr>
        <w:tc>
          <w:tcPr>
            <w:tcW w:w="1820" w:type="dxa"/>
            <w:vAlign w:val="bottom"/>
            <w:tcBorders>
              <w:bottom w:val="single" w:sz="8" w:color="336699"/>
            </w:tcBorders>
          </w:tcPr>
          <w:p>
            <w:pPr>
              <w:ind w:left="320"/>
              <w:spacing w:after="0"/>
              <w:rPr>
                <w:sz w:val="20"/>
                <w:szCs w:val="20"/>
                <w:color w:val="auto"/>
              </w:rPr>
            </w:pPr>
            <w:r>
              <w:rPr>
                <w:rFonts w:ascii="Arial" w:cs="Arial" w:eastAsia="Arial" w:hAnsi="Arial"/>
                <w:sz w:val="14"/>
                <w:szCs w:val="14"/>
                <w:b w:val="1"/>
                <w:bCs w:val="1"/>
                <w:color w:val="336699"/>
              </w:rPr>
              <w:t>Executive Officer</w:t>
            </w:r>
          </w:p>
        </w:tc>
        <w:tc>
          <w:tcPr>
            <w:tcW w:w="3200" w:type="dxa"/>
            <w:vAlign w:val="bottom"/>
            <w:tcBorders>
              <w:bottom w:val="single" w:sz="8" w:color="336699"/>
            </w:tcBorders>
          </w:tcPr>
          <w:p>
            <w:pPr>
              <w:ind w:left="1360"/>
              <w:spacing w:after="0"/>
              <w:rPr>
                <w:sz w:val="20"/>
                <w:szCs w:val="20"/>
                <w:color w:val="auto"/>
              </w:rPr>
            </w:pPr>
            <w:r>
              <w:rPr>
                <w:rFonts w:ascii="Arial" w:cs="Arial" w:eastAsia="Arial" w:hAnsi="Arial"/>
                <w:sz w:val="14"/>
                <w:szCs w:val="14"/>
                <w:b w:val="1"/>
                <w:bCs w:val="1"/>
                <w:color w:val="336699"/>
              </w:rPr>
              <w:t>Benefit</w:t>
            </w:r>
          </w:p>
        </w:tc>
        <w:tc>
          <w:tcPr>
            <w:tcW w:w="360" w:type="dxa"/>
            <w:vAlign w:val="bottom"/>
            <w:tcBorders>
              <w:bottom w:val="single" w:sz="8" w:color="336699"/>
            </w:tcBorders>
          </w:tcPr>
          <w:p>
            <w:pPr>
              <w:spacing w:after="0"/>
              <w:rPr>
                <w:sz w:val="17"/>
                <w:szCs w:val="17"/>
                <w:color w:val="auto"/>
              </w:rPr>
            </w:pPr>
          </w:p>
        </w:tc>
        <w:tc>
          <w:tcPr>
            <w:tcW w:w="1400" w:type="dxa"/>
            <w:vAlign w:val="bottom"/>
            <w:tcBorders>
              <w:bottom w:val="single" w:sz="8" w:color="336699"/>
            </w:tcBorders>
          </w:tcPr>
          <w:p>
            <w:pPr>
              <w:jc w:val="center"/>
              <w:ind w:left="340"/>
              <w:spacing w:after="0"/>
              <w:rPr>
                <w:sz w:val="20"/>
                <w:szCs w:val="20"/>
                <w:color w:val="auto"/>
              </w:rPr>
            </w:pPr>
            <w:r>
              <w:rPr>
                <w:rFonts w:ascii="Arial" w:cs="Arial" w:eastAsia="Arial" w:hAnsi="Arial"/>
                <w:sz w:val="14"/>
                <w:szCs w:val="14"/>
                <w:b w:val="1"/>
                <w:bCs w:val="1"/>
                <w:color w:val="336699"/>
              </w:rPr>
              <w:t>($)</w:t>
            </w:r>
          </w:p>
        </w:tc>
        <w:tc>
          <w:tcPr>
            <w:tcW w:w="520" w:type="dxa"/>
            <w:vAlign w:val="bottom"/>
            <w:tcBorders>
              <w:bottom w:val="single" w:sz="8" w:color="336699"/>
            </w:tcBorders>
          </w:tcPr>
          <w:p>
            <w:pPr>
              <w:spacing w:after="0"/>
              <w:rPr>
                <w:sz w:val="17"/>
                <w:szCs w:val="17"/>
                <w:color w:val="auto"/>
              </w:rPr>
            </w:pPr>
          </w:p>
        </w:tc>
        <w:tc>
          <w:tcPr>
            <w:tcW w:w="480" w:type="dxa"/>
            <w:vAlign w:val="bottom"/>
            <w:tcBorders>
              <w:bottom w:val="single" w:sz="8" w:color="336699"/>
            </w:tcBorders>
          </w:tcPr>
          <w:p>
            <w:pPr>
              <w:spacing w:after="0"/>
              <w:rPr>
                <w:sz w:val="17"/>
                <w:szCs w:val="17"/>
                <w:color w:val="auto"/>
              </w:rPr>
            </w:pPr>
          </w:p>
        </w:tc>
        <w:tc>
          <w:tcPr>
            <w:tcW w:w="1020" w:type="dxa"/>
            <w:vAlign w:val="bottom"/>
            <w:tcBorders>
              <w:bottom w:val="single" w:sz="8" w:color="336699"/>
            </w:tcBorders>
          </w:tcPr>
          <w:p>
            <w:pPr>
              <w:jc w:val="center"/>
              <w:ind w:left="160"/>
              <w:spacing w:after="0"/>
              <w:rPr>
                <w:sz w:val="20"/>
                <w:szCs w:val="20"/>
                <w:color w:val="auto"/>
              </w:rPr>
            </w:pPr>
            <w:r>
              <w:rPr>
                <w:rFonts w:ascii="Arial" w:cs="Arial" w:eastAsia="Arial" w:hAnsi="Arial"/>
                <w:sz w:val="14"/>
                <w:szCs w:val="14"/>
                <w:b w:val="1"/>
                <w:bCs w:val="1"/>
                <w:color w:val="336699"/>
              </w:rPr>
              <w:t>($)</w:t>
            </w:r>
          </w:p>
        </w:tc>
        <w:tc>
          <w:tcPr>
            <w:tcW w:w="480" w:type="dxa"/>
            <w:vAlign w:val="bottom"/>
            <w:tcBorders>
              <w:bottom w:val="single" w:sz="8" w:color="336699"/>
            </w:tcBorders>
          </w:tcPr>
          <w:p>
            <w:pPr>
              <w:spacing w:after="0"/>
              <w:rPr>
                <w:sz w:val="17"/>
                <w:szCs w:val="17"/>
                <w:color w:val="auto"/>
              </w:rPr>
            </w:pPr>
          </w:p>
        </w:tc>
        <w:tc>
          <w:tcPr>
            <w:tcW w:w="500" w:type="dxa"/>
            <w:vAlign w:val="bottom"/>
            <w:tcBorders>
              <w:bottom w:val="single" w:sz="8" w:color="336699"/>
            </w:tcBorders>
          </w:tcPr>
          <w:p>
            <w:pPr>
              <w:spacing w:after="0"/>
              <w:rPr>
                <w:sz w:val="17"/>
                <w:szCs w:val="17"/>
                <w:color w:val="auto"/>
              </w:rPr>
            </w:pPr>
          </w:p>
        </w:tc>
        <w:tc>
          <w:tcPr>
            <w:tcW w:w="1080" w:type="dxa"/>
            <w:vAlign w:val="bottom"/>
            <w:tcBorders>
              <w:bottom w:val="single" w:sz="8" w:color="336699"/>
            </w:tcBorders>
          </w:tcPr>
          <w:p>
            <w:pPr>
              <w:jc w:val="center"/>
              <w:ind w:left="140"/>
              <w:spacing w:after="0"/>
              <w:rPr>
                <w:sz w:val="20"/>
                <w:szCs w:val="20"/>
                <w:color w:val="auto"/>
              </w:rPr>
            </w:pPr>
            <w:r>
              <w:rPr>
                <w:rFonts w:ascii="Arial" w:cs="Arial" w:eastAsia="Arial" w:hAnsi="Arial"/>
                <w:sz w:val="14"/>
                <w:szCs w:val="14"/>
                <w:b w:val="1"/>
                <w:bCs w:val="1"/>
                <w:color w:val="336699"/>
                <w:w w:val="99"/>
              </w:rPr>
              <w:t>($)(1)</w:t>
            </w:r>
          </w:p>
        </w:tc>
        <w:tc>
          <w:tcPr>
            <w:tcW w:w="560" w:type="dxa"/>
            <w:vAlign w:val="bottom"/>
            <w:tcBorders>
              <w:bottom w:val="single" w:sz="8" w:color="336699"/>
            </w:tcBorders>
          </w:tcPr>
          <w:p>
            <w:pPr>
              <w:spacing w:after="0"/>
              <w:rPr>
                <w:sz w:val="17"/>
                <w:szCs w:val="17"/>
                <w:color w:val="auto"/>
              </w:rPr>
            </w:pPr>
          </w:p>
        </w:tc>
      </w:tr>
      <w:tr>
        <w:trPr>
          <w:trHeight w:val="250"/>
        </w:trPr>
        <w:tc>
          <w:tcPr>
            <w:tcW w:w="1820" w:type="dxa"/>
            <w:vAlign w:val="bottom"/>
            <w:shd w:val="clear" w:color="auto" w:fill="CCFFFF"/>
          </w:tcPr>
          <w:p>
            <w:pPr>
              <w:ind w:left="40"/>
              <w:spacing w:after="0"/>
              <w:rPr>
                <w:sz w:val="20"/>
                <w:szCs w:val="20"/>
                <w:color w:val="auto"/>
              </w:rPr>
            </w:pPr>
            <w:r>
              <w:rPr>
                <w:rFonts w:ascii="Arial" w:cs="Arial" w:eastAsia="Arial" w:hAnsi="Arial"/>
                <w:sz w:val="16"/>
                <w:szCs w:val="16"/>
                <w:color w:val="auto"/>
              </w:rPr>
              <w:t>Mark S. Casady</w:t>
            </w: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Severance</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900,000</w:t>
            </w:r>
          </w:p>
        </w:tc>
        <w:tc>
          <w:tcPr>
            <w:tcW w:w="520" w:type="dxa"/>
            <w:vAlign w:val="bottom"/>
            <w:shd w:val="clear" w:color="auto" w:fill="CCFFFF"/>
          </w:tcPr>
          <w:p>
            <w:pPr>
              <w:ind w:left="80"/>
              <w:spacing w:after="0"/>
              <w:rPr>
                <w:sz w:val="20"/>
                <w:szCs w:val="20"/>
                <w:color w:val="auto"/>
              </w:rPr>
            </w:pPr>
            <w:r>
              <w:rPr>
                <w:rFonts w:ascii="Arial" w:cs="Arial" w:eastAsia="Arial" w:hAnsi="Arial"/>
                <w:sz w:val="14"/>
                <w:szCs w:val="14"/>
                <w:color w:val="auto"/>
              </w:rPr>
              <w:t>(2)</w:t>
            </w:r>
          </w:p>
        </w:tc>
        <w:tc>
          <w:tcPr>
            <w:tcW w:w="480" w:type="dxa"/>
            <w:vAlign w:val="bottom"/>
            <w:shd w:val="clear" w:color="auto" w:fill="CCFF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FFFF"/>
          </w:tcPr>
          <w:p>
            <w:pPr>
              <w:spacing w:after="0"/>
              <w:rPr>
                <w:sz w:val="21"/>
                <w:szCs w:val="21"/>
                <w:color w:val="auto"/>
              </w:rPr>
            </w:pPr>
          </w:p>
        </w:tc>
        <w:tc>
          <w:tcPr>
            <w:tcW w:w="500" w:type="dxa"/>
            <w:vAlign w:val="bottom"/>
            <w:shd w:val="clear" w:color="auto" w:fill="CCFF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1,350,000</w:t>
            </w:r>
          </w:p>
        </w:tc>
        <w:tc>
          <w:tcPr>
            <w:tcW w:w="560" w:type="dxa"/>
            <w:vAlign w:val="bottom"/>
            <w:shd w:val="clear" w:color="auto" w:fill="CCFFFF"/>
          </w:tcPr>
          <w:p>
            <w:pPr>
              <w:ind w:left="40"/>
              <w:spacing w:after="0"/>
              <w:rPr>
                <w:sz w:val="20"/>
                <w:szCs w:val="20"/>
                <w:color w:val="auto"/>
              </w:rPr>
            </w:pPr>
            <w:r>
              <w:rPr>
                <w:rFonts w:ascii="Arial" w:cs="Arial" w:eastAsia="Arial" w:hAnsi="Arial"/>
                <w:sz w:val="14"/>
                <w:szCs w:val="14"/>
                <w:color w:val="auto"/>
              </w:rPr>
              <w:t>(3)</w:t>
            </w:r>
          </w:p>
        </w:tc>
      </w:tr>
      <w:tr>
        <w:trPr>
          <w:trHeight w:val="270"/>
        </w:trPr>
        <w:tc>
          <w:tcPr>
            <w:tcW w:w="1820" w:type="dxa"/>
            <w:vAlign w:val="bottom"/>
            <w:shd w:val="clear" w:color="auto" w:fill="CCFFFF"/>
          </w:tcPr>
          <w:p>
            <w:pPr>
              <w:spacing w:after="0"/>
              <w:rPr>
                <w:sz w:val="23"/>
                <w:szCs w:val="23"/>
                <w:color w:val="auto"/>
              </w:rPr>
            </w:pP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Bonus</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2,500,000</w:t>
            </w:r>
          </w:p>
        </w:tc>
        <w:tc>
          <w:tcPr>
            <w:tcW w:w="520" w:type="dxa"/>
            <w:vAlign w:val="bottom"/>
            <w:shd w:val="clear" w:color="auto" w:fill="CCFFFF"/>
          </w:tcPr>
          <w:p>
            <w:pPr>
              <w:ind w:left="80"/>
              <w:spacing w:after="0"/>
              <w:rPr>
                <w:sz w:val="20"/>
                <w:szCs w:val="20"/>
                <w:color w:val="auto"/>
              </w:rPr>
            </w:pPr>
            <w:r>
              <w:rPr>
                <w:rFonts w:ascii="Arial" w:cs="Arial" w:eastAsia="Arial" w:hAnsi="Arial"/>
                <w:sz w:val="14"/>
                <w:szCs w:val="14"/>
                <w:color w:val="auto"/>
              </w:rPr>
              <w:t>(4)</w:t>
            </w:r>
          </w:p>
        </w:tc>
        <w:tc>
          <w:tcPr>
            <w:tcW w:w="480" w:type="dxa"/>
            <w:vAlign w:val="bottom"/>
            <w:shd w:val="clear" w:color="auto" w:fill="CCFF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FFFF"/>
          </w:tcPr>
          <w:p>
            <w:pPr>
              <w:spacing w:after="0"/>
              <w:rPr>
                <w:sz w:val="23"/>
                <w:szCs w:val="23"/>
                <w:color w:val="auto"/>
              </w:rPr>
            </w:pPr>
          </w:p>
        </w:tc>
        <w:tc>
          <w:tcPr>
            <w:tcW w:w="500" w:type="dxa"/>
            <w:vAlign w:val="bottom"/>
            <w:shd w:val="clear" w:color="auto" w:fill="CCFF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3,712,500</w:t>
            </w:r>
          </w:p>
        </w:tc>
        <w:tc>
          <w:tcPr>
            <w:tcW w:w="560" w:type="dxa"/>
            <w:vAlign w:val="bottom"/>
            <w:shd w:val="clear" w:color="auto" w:fill="CCFFFF"/>
          </w:tcPr>
          <w:p>
            <w:pPr>
              <w:ind w:left="40"/>
              <w:spacing w:after="0"/>
              <w:rPr>
                <w:sz w:val="20"/>
                <w:szCs w:val="20"/>
                <w:color w:val="auto"/>
              </w:rPr>
            </w:pPr>
            <w:r>
              <w:rPr>
                <w:rFonts w:ascii="Arial" w:cs="Arial" w:eastAsia="Arial" w:hAnsi="Arial"/>
                <w:sz w:val="14"/>
                <w:szCs w:val="14"/>
                <w:color w:val="auto"/>
              </w:rPr>
              <w:t>(5)</w:t>
            </w:r>
          </w:p>
        </w:tc>
      </w:tr>
      <w:tr>
        <w:trPr>
          <w:trHeight w:val="270"/>
        </w:trPr>
        <w:tc>
          <w:tcPr>
            <w:tcW w:w="1820" w:type="dxa"/>
            <w:vAlign w:val="bottom"/>
            <w:shd w:val="clear" w:color="auto" w:fill="CCFFFF"/>
          </w:tcPr>
          <w:p>
            <w:pPr>
              <w:spacing w:after="0"/>
              <w:rPr>
                <w:sz w:val="23"/>
                <w:szCs w:val="23"/>
                <w:color w:val="auto"/>
              </w:rPr>
            </w:pP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Accelerated Vesting of Stock Options</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2,386,691</w:t>
            </w:r>
          </w:p>
        </w:tc>
        <w:tc>
          <w:tcPr>
            <w:tcW w:w="520" w:type="dxa"/>
            <w:vAlign w:val="bottom"/>
            <w:shd w:val="clear" w:color="auto" w:fill="CCFFFF"/>
          </w:tcPr>
          <w:p>
            <w:pPr>
              <w:ind w:left="80"/>
              <w:spacing w:after="0"/>
              <w:rPr>
                <w:sz w:val="20"/>
                <w:szCs w:val="20"/>
                <w:color w:val="auto"/>
              </w:rPr>
            </w:pPr>
            <w:r>
              <w:rPr>
                <w:rFonts w:ascii="Arial" w:cs="Arial" w:eastAsia="Arial" w:hAnsi="Arial"/>
                <w:sz w:val="14"/>
                <w:szCs w:val="14"/>
                <w:color w:val="auto"/>
              </w:rPr>
              <w:t>(6)</w:t>
            </w:r>
          </w:p>
        </w:tc>
        <w:tc>
          <w:tcPr>
            <w:tcW w:w="480" w:type="dxa"/>
            <w:vAlign w:val="bottom"/>
            <w:shd w:val="clear" w:color="auto" w:fill="CCFF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6,516,780</w:t>
            </w:r>
          </w:p>
        </w:tc>
        <w:tc>
          <w:tcPr>
            <w:tcW w:w="480" w:type="dxa"/>
            <w:vAlign w:val="bottom"/>
            <w:shd w:val="clear" w:color="auto" w:fill="CCFFFF"/>
          </w:tcPr>
          <w:p>
            <w:pPr>
              <w:ind w:left="40"/>
              <w:spacing w:after="0"/>
              <w:rPr>
                <w:sz w:val="20"/>
                <w:szCs w:val="20"/>
                <w:color w:val="auto"/>
              </w:rPr>
            </w:pPr>
            <w:r>
              <w:rPr>
                <w:rFonts w:ascii="Arial" w:cs="Arial" w:eastAsia="Arial" w:hAnsi="Arial"/>
                <w:sz w:val="14"/>
                <w:szCs w:val="14"/>
                <w:color w:val="auto"/>
              </w:rPr>
              <w:t>(7)</w:t>
            </w:r>
          </w:p>
        </w:tc>
        <w:tc>
          <w:tcPr>
            <w:tcW w:w="500" w:type="dxa"/>
            <w:vAlign w:val="bottom"/>
            <w:shd w:val="clear" w:color="auto" w:fill="CCFF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6,516,780</w:t>
            </w:r>
          </w:p>
        </w:tc>
        <w:tc>
          <w:tcPr>
            <w:tcW w:w="560" w:type="dxa"/>
            <w:vAlign w:val="bottom"/>
            <w:shd w:val="clear" w:color="auto" w:fill="CCFFFF"/>
          </w:tcPr>
          <w:p>
            <w:pPr>
              <w:ind w:left="40"/>
              <w:spacing w:after="0"/>
              <w:rPr>
                <w:sz w:val="20"/>
                <w:szCs w:val="20"/>
                <w:color w:val="auto"/>
              </w:rPr>
            </w:pPr>
            <w:r>
              <w:rPr>
                <w:rFonts w:ascii="Arial" w:cs="Arial" w:eastAsia="Arial" w:hAnsi="Arial"/>
                <w:sz w:val="14"/>
                <w:szCs w:val="14"/>
                <w:color w:val="auto"/>
              </w:rPr>
              <w:t>(8)</w:t>
            </w:r>
          </w:p>
        </w:tc>
      </w:tr>
      <w:tr>
        <w:trPr>
          <w:trHeight w:val="270"/>
        </w:trPr>
        <w:tc>
          <w:tcPr>
            <w:tcW w:w="1820" w:type="dxa"/>
            <w:vAlign w:val="bottom"/>
            <w:shd w:val="clear" w:color="auto" w:fill="CCFFFF"/>
          </w:tcPr>
          <w:p>
            <w:pPr>
              <w:spacing w:after="0"/>
              <w:rPr>
                <w:sz w:val="23"/>
                <w:szCs w:val="23"/>
                <w:color w:val="auto"/>
              </w:rPr>
            </w:pP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Accelerated Vesting of RSUs</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FFFF"/>
          </w:tcPr>
          <w:p>
            <w:pPr>
              <w:spacing w:after="0"/>
              <w:rPr>
                <w:sz w:val="23"/>
                <w:szCs w:val="23"/>
                <w:color w:val="auto"/>
              </w:rPr>
            </w:pPr>
          </w:p>
        </w:tc>
        <w:tc>
          <w:tcPr>
            <w:tcW w:w="480" w:type="dxa"/>
            <w:vAlign w:val="bottom"/>
            <w:shd w:val="clear" w:color="auto" w:fill="CCFF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FFFF"/>
          </w:tcPr>
          <w:p>
            <w:pPr>
              <w:spacing w:after="0"/>
              <w:rPr>
                <w:sz w:val="23"/>
                <w:szCs w:val="23"/>
                <w:color w:val="auto"/>
              </w:rPr>
            </w:pPr>
          </w:p>
        </w:tc>
        <w:tc>
          <w:tcPr>
            <w:tcW w:w="500" w:type="dxa"/>
            <w:vAlign w:val="bottom"/>
            <w:shd w:val="clear" w:color="auto" w:fill="CCFF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FFFF"/>
          </w:tcPr>
          <w:p>
            <w:pPr>
              <w:spacing w:after="0"/>
              <w:rPr>
                <w:sz w:val="23"/>
                <w:szCs w:val="23"/>
                <w:color w:val="auto"/>
              </w:rPr>
            </w:pPr>
          </w:p>
        </w:tc>
      </w:tr>
      <w:tr>
        <w:trPr>
          <w:trHeight w:val="290"/>
        </w:trPr>
        <w:tc>
          <w:tcPr>
            <w:tcW w:w="1820" w:type="dxa"/>
            <w:vAlign w:val="bottom"/>
            <w:shd w:val="clear" w:color="auto" w:fill="CCFFFF"/>
          </w:tcPr>
          <w:p>
            <w:pPr>
              <w:spacing w:after="0"/>
              <w:rPr>
                <w:sz w:val="24"/>
                <w:szCs w:val="24"/>
                <w:color w:val="auto"/>
              </w:rPr>
            </w:pP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Group Benefit Continuation</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20,563</w:t>
            </w:r>
          </w:p>
        </w:tc>
        <w:tc>
          <w:tcPr>
            <w:tcW w:w="520" w:type="dxa"/>
            <w:vAlign w:val="bottom"/>
            <w:shd w:val="clear" w:color="auto" w:fill="CCFFFF"/>
          </w:tcPr>
          <w:p>
            <w:pPr>
              <w:ind w:left="80"/>
              <w:spacing w:after="0"/>
              <w:rPr>
                <w:sz w:val="20"/>
                <w:szCs w:val="20"/>
                <w:color w:val="auto"/>
              </w:rPr>
            </w:pPr>
            <w:r>
              <w:rPr>
                <w:rFonts w:ascii="Arial" w:cs="Arial" w:eastAsia="Arial" w:hAnsi="Arial"/>
                <w:sz w:val="14"/>
                <w:szCs w:val="14"/>
                <w:color w:val="auto"/>
              </w:rPr>
              <w:t>(9)</w:t>
            </w:r>
          </w:p>
        </w:tc>
        <w:tc>
          <w:tcPr>
            <w:tcW w:w="480" w:type="dxa"/>
            <w:vAlign w:val="bottom"/>
            <w:shd w:val="clear" w:color="auto" w:fill="CCFF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FFFF"/>
          </w:tcPr>
          <w:p>
            <w:pPr>
              <w:spacing w:after="0"/>
              <w:rPr>
                <w:sz w:val="24"/>
                <w:szCs w:val="24"/>
                <w:color w:val="auto"/>
              </w:rPr>
            </w:pPr>
          </w:p>
        </w:tc>
        <w:tc>
          <w:tcPr>
            <w:tcW w:w="500" w:type="dxa"/>
            <w:vAlign w:val="bottom"/>
            <w:shd w:val="clear" w:color="auto" w:fill="CCFF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30,845</w:t>
            </w:r>
          </w:p>
        </w:tc>
        <w:tc>
          <w:tcPr>
            <w:tcW w:w="560" w:type="dxa"/>
            <w:vAlign w:val="bottom"/>
            <w:shd w:val="clear" w:color="auto" w:fill="CCFFFF"/>
          </w:tcPr>
          <w:p>
            <w:pPr>
              <w:ind w:left="40"/>
              <w:spacing w:after="0"/>
              <w:rPr>
                <w:sz w:val="20"/>
                <w:szCs w:val="20"/>
                <w:color w:val="auto"/>
              </w:rPr>
            </w:pPr>
            <w:r>
              <w:rPr>
                <w:rFonts w:ascii="Arial" w:cs="Arial" w:eastAsia="Arial" w:hAnsi="Arial"/>
                <w:sz w:val="14"/>
                <w:szCs w:val="14"/>
                <w:color w:val="auto"/>
              </w:rPr>
              <w:t>(10)</w:t>
            </w:r>
          </w:p>
        </w:tc>
      </w:tr>
      <w:tr>
        <w:trPr>
          <w:trHeight w:val="251"/>
        </w:trPr>
        <w:tc>
          <w:tcPr>
            <w:tcW w:w="1820" w:type="dxa"/>
            <w:vAlign w:val="bottom"/>
          </w:tcPr>
          <w:p>
            <w:pPr>
              <w:ind w:left="40"/>
              <w:spacing w:after="0"/>
              <w:rPr>
                <w:sz w:val="20"/>
                <w:szCs w:val="20"/>
                <w:color w:val="auto"/>
              </w:rPr>
            </w:pPr>
            <w:r>
              <w:rPr>
                <w:rFonts w:ascii="Arial" w:cs="Arial" w:eastAsia="Arial" w:hAnsi="Arial"/>
                <w:sz w:val="16"/>
                <w:szCs w:val="16"/>
                <w:color w:val="auto"/>
              </w:rPr>
              <w:t>Matthew J. Audette</w:t>
            </w:r>
          </w:p>
        </w:tc>
        <w:tc>
          <w:tcPr>
            <w:tcW w:w="3200" w:type="dxa"/>
            <w:vAlign w:val="bottom"/>
          </w:tcPr>
          <w:p>
            <w:pPr>
              <w:ind w:left="20"/>
              <w:spacing w:after="0"/>
              <w:rPr>
                <w:sz w:val="20"/>
                <w:szCs w:val="20"/>
                <w:color w:val="auto"/>
              </w:rPr>
            </w:pPr>
            <w:r>
              <w:rPr>
                <w:rFonts w:ascii="Arial" w:cs="Arial" w:eastAsia="Arial" w:hAnsi="Arial"/>
                <w:sz w:val="16"/>
                <w:szCs w:val="16"/>
                <w:color w:val="auto"/>
              </w:rPr>
              <w:t>Severance</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600,000</w:t>
            </w:r>
          </w:p>
        </w:tc>
        <w:tc>
          <w:tcPr>
            <w:tcW w:w="520" w:type="dxa"/>
            <w:vAlign w:val="bottom"/>
          </w:tcPr>
          <w:p>
            <w:pPr>
              <w:ind w:left="80"/>
              <w:spacing w:after="0"/>
              <w:rPr>
                <w:sz w:val="20"/>
                <w:szCs w:val="20"/>
                <w:color w:val="auto"/>
              </w:rPr>
            </w:pPr>
            <w:r>
              <w:rPr>
                <w:rFonts w:ascii="Arial" w:cs="Arial" w:eastAsia="Arial" w:hAnsi="Arial"/>
                <w:sz w:val="14"/>
                <w:szCs w:val="14"/>
                <w:color w:val="auto"/>
              </w:rPr>
              <w:t>(2)</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1"/>
                <w:szCs w:val="21"/>
                <w:color w:val="auto"/>
              </w:rPr>
            </w:pP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900,000</w:t>
            </w:r>
          </w:p>
        </w:tc>
        <w:tc>
          <w:tcPr>
            <w:tcW w:w="560" w:type="dxa"/>
            <w:vAlign w:val="bottom"/>
          </w:tcPr>
          <w:p>
            <w:pPr>
              <w:ind w:left="40"/>
              <w:spacing w:after="0"/>
              <w:rPr>
                <w:sz w:val="20"/>
                <w:szCs w:val="20"/>
                <w:color w:val="auto"/>
              </w:rPr>
            </w:pPr>
            <w:r>
              <w:rPr>
                <w:rFonts w:ascii="Arial" w:cs="Arial" w:eastAsia="Arial" w:hAnsi="Arial"/>
                <w:sz w:val="14"/>
                <w:szCs w:val="14"/>
                <w:color w:val="auto"/>
              </w:rPr>
              <w:t>(3)</w:t>
            </w:r>
          </w:p>
        </w:tc>
      </w:tr>
      <w:tr>
        <w:trPr>
          <w:trHeight w:val="270"/>
        </w:trPr>
        <w:tc>
          <w:tcPr>
            <w:tcW w:w="1820" w:type="dxa"/>
            <w:vAlign w:val="bottom"/>
          </w:tcPr>
          <w:p>
            <w:pPr>
              <w:spacing w:after="0"/>
              <w:rPr>
                <w:sz w:val="23"/>
                <w:szCs w:val="23"/>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Bonus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1,218,000</w:t>
            </w:r>
          </w:p>
        </w:tc>
        <w:tc>
          <w:tcPr>
            <w:tcW w:w="520" w:type="dxa"/>
            <w:vAlign w:val="bottom"/>
          </w:tcPr>
          <w:p>
            <w:pPr>
              <w:ind w:left="80"/>
              <w:spacing w:after="0"/>
              <w:rPr>
                <w:sz w:val="20"/>
                <w:szCs w:val="20"/>
                <w:color w:val="auto"/>
              </w:rPr>
            </w:pPr>
            <w:r>
              <w:rPr>
                <w:rFonts w:ascii="Arial" w:cs="Arial" w:eastAsia="Arial" w:hAnsi="Arial"/>
                <w:sz w:val="14"/>
                <w:szCs w:val="14"/>
                <w:color w:val="auto"/>
              </w:rPr>
              <w:t>(4)</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1,575,000</w:t>
            </w:r>
          </w:p>
        </w:tc>
        <w:tc>
          <w:tcPr>
            <w:tcW w:w="560" w:type="dxa"/>
            <w:vAlign w:val="bottom"/>
          </w:tcPr>
          <w:p>
            <w:pPr>
              <w:ind w:left="40"/>
              <w:spacing w:after="0"/>
              <w:rPr>
                <w:sz w:val="20"/>
                <w:szCs w:val="20"/>
                <w:color w:val="auto"/>
              </w:rPr>
            </w:pPr>
            <w:r>
              <w:rPr>
                <w:rFonts w:ascii="Arial" w:cs="Arial" w:eastAsia="Arial" w:hAnsi="Arial"/>
                <w:sz w:val="14"/>
                <w:szCs w:val="14"/>
                <w:color w:val="auto"/>
              </w:rPr>
              <w:t>(5)</w:t>
            </w:r>
          </w:p>
        </w:tc>
      </w:tr>
      <w:tr>
        <w:trPr>
          <w:trHeight w:val="270"/>
        </w:trPr>
        <w:tc>
          <w:tcPr>
            <w:tcW w:w="1820" w:type="dxa"/>
            <w:vAlign w:val="bottom"/>
          </w:tcPr>
          <w:p>
            <w:pPr>
              <w:spacing w:after="0"/>
              <w:rPr>
                <w:sz w:val="23"/>
                <w:szCs w:val="23"/>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Accelerated Vesting of Stock Options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481,843</w:t>
            </w:r>
          </w:p>
        </w:tc>
        <w:tc>
          <w:tcPr>
            <w:tcW w:w="520" w:type="dxa"/>
            <w:vAlign w:val="bottom"/>
          </w:tcPr>
          <w:p>
            <w:pPr>
              <w:ind w:left="80"/>
              <w:spacing w:after="0"/>
              <w:rPr>
                <w:sz w:val="20"/>
                <w:szCs w:val="20"/>
                <w:color w:val="auto"/>
              </w:rPr>
            </w:pPr>
            <w:r>
              <w:rPr>
                <w:rFonts w:ascii="Arial" w:cs="Arial" w:eastAsia="Arial" w:hAnsi="Arial"/>
                <w:sz w:val="14"/>
                <w:szCs w:val="14"/>
                <w:color w:val="auto"/>
              </w:rPr>
              <w:t>(6)</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1,445,530</w:t>
            </w:r>
          </w:p>
        </w:tc>
        <w:tc>
          <w:tcPr>
            <w:tcW w:w="480" w:type="dxa"/>
            <w:vAlign w:val="bottom"/>
          </w:tcPr>
          <w:p>
            <w:pPr>
              <w:ind w:left="40"/>
              <w:spacing w:after="0"/>
              <w:rPr>
                <w:sz w:val="20"/>
                <w:szCs w:val="20"/>
                <w:color w:val="auto"/>
              </w:rPr>
            </w:pPr>
            <w:r>
              <w:rPr>
                <w:rFonts w:ascii="Arial" w:cs="Arial" w:eastAsia="Arial" w:hAnsi="Arial"/>
                <w:sz w:val="14"/>
                <w:szCs w:val="14"/>
                <w:color w:val="auto"/>
              </w:rPr>
              <w:t>(7)</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1,445,530</w:t>
            </w:r>
          </w:p>
        </w:tc>
        <w:tc>
          <w:tcPr>
            <w:tcW w:w="560" w:type="dxa"/>
            <w:vAlign w:val="bottom"/>
          </w:tcPr>
          <w:p>
            <w:pPr>
              <w:ind w:left="40"/>
              <w:spacing w:after="0"/>
              <w:rPr>
                <w:sz w:val="20"/>
                <w:szCs w:val="20"/>
                <w:color w:val="auto"/>
              </w:rPr>
            </w:pPr>
            <w:r>
              <w:rPr>
                <w:rFonts w:ascii="Arial" w:cs="Arial" w:eastAsia="Arial" w:hAnsi="Arial"/>
                <w:sz w:val="14"/>
                <w:szCs w:val="14"/>
                <w:color w:val="auto"/>
              </w:rPr>
              <w:t>(11)</w:t>
            </w:r>
          </w:p>
        </w:tc>
      </w:tr>
      <w:tr>
        <w:trPr>
          <w:trHeight w:val="270"/>
        </w:trPr>
        <w:tc>
          <w:tcPr>
            <w:tcW w:w="1820" w:type="dxa"/>
            <w:vAlign w:val="bottom"/>
          </w:tcPr>
          <w:p>
            <w:pPr>
              <w:spacing w:after="0"/>
              <w:rPr>
                <w:sz w:val="23"/>
                <w:szCs w:val="23"/>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Accelerated Vesting of RSUs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341,995</w:t>
            </w:r>
          </w:p>
        </w:tc>
        <w:tc>
          <w:tcPr>
            <w:tcW w:w="520" w:type="dxa"/>
            <w:vAlign w:val="bottom"/>
          </w:tcPr>
          <w:p>
            <w:pPr>
              <w:ind w:left="80"/>
              <w:spacing w:after="0"/>
              <w:rPr>
                <w:sz w:val="20"/>
                <w:szCs w:val="20"/>
                <w:color w:val="auto"/>
              </w:rPr>
            </w:pPr>
            <w:r>
              <w:rPr>
                <w:rFonts w:ascii="Arial" w:cs="Arial" w:eastAsia="Arial" w:hAnsi="Arial"/>
                <w:sz w:val="14"/>
                <w:szCs w:val="14"/>
                <w:color w:val="auto"/>
              </w:rPr>
              <w:t>(12)</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928,734</w:t>
            </w:r>
          </w:p>
        </w:tc>
        <w:tc>
          <w:tcPr>
            <w:tcW w:w="480" w:type="dxa"/>
            <w:vAlign w:val="bottom"/>
          </w:tcPr>
          <w:p>
            <w:pPr>
              <w:ind w:left="40"/>
              <w:spacing w:after="0"/>
              <w:rPr>
                <w:sz w:val="20"/>
                <w:szCs w:val="20"/>
                <w:color w:val="auto"/>
              </w:rPr>
            </w:pPr>
            <w:r>
              <w:rPr>
                <w:rFonts w:ascii="Arial" w:cs="Arial" w:eastAsia="Arial" w:hAnsi="Arial"/>
                <w:sz w:val="14"/>
                <w:szCs w:val="14"/>
                <w:color w:val="auto"/>
              </w:rPr>
              <w:t>(13)</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928,734</w:t>
            </w:r>
          </w:p>
        </w:tc>
        <w:tc>
          <w:tcPr>
            <w:tcW w:w="560" w:type="dxa"/>
            <w:vAlign w:val="bottom"/>
          </w:tcPr>
          <w:p>
            <w:pPr>
              <w:ind w:left="40"/>
              <w:spacing w:after="0"/>
              <w:rPr>
                <w:sz w:val="20"/>
                <w:szCs w:val="20"/>
                <w:color w:val="auto"/>
              </w:rPr>
            </w:pPr>
            <w:r>
              <w:rPr>
                <w:rFonts w:ascii="Arial" w:cs="Arial" w:eastAsia="Arial" w:hAnsi="Arial"/>
                <w:sz w:val="14"/>
                <w:szCs w:val="14"/>
                <w:color w:val="auto"/>
              </w:rPr>
              <w:t>(14)</w:t>
            </w:r>
          </w:p>
        </w:tc>
      </w:tr>
      <w:tr>
        <w:trPr>
          <w:trHeight w:val="280"/>
        </w:trPr>
        <w:tc>
          <w:tcPr>
            <w:tcW w:w="1820" w:type="dxa"/>
            <w:vAlign w:val="bottom"/>
          </w:tcPr>
          <w:p>
            <w:pPr>
              <w:spacing w:after="0"/>
              <w:rPr>
                <w:sz w:val="24"/>
                <w:szCs w:val="24"/>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Group Benefit Continuation</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21,212</w:t>
            </w:r>
          </w:p>
        </w:tc>
        <w:tc>
          <w:tcPr>
            <w:tcW w:w="520" w:type="dxa"/>
            <w:vAlign w:val="bottom"/>
          </w:tcPr>
          <w:p>
            <w:pPr>
              <w:ind w:left="80"/>
              <w:spacing w:after="0"/>
              <w:rPr>
                <w:sz w:val="20"/>
                <w:szCs w:val="20"/>
                <w:color w:val="auto"/>
              </w:rPr>
            </w:pPr>
            <w:r>
              <w:rPr>
                <w:rFonts w:ascii="Arial" w:cs="Arial" w:eastAsia="Arial" w:hAnsi="Arial"/>
                <w:sz w:val="14"/>
                <w:szCs w:val="14"/>
                <w:color w:val="auto"/>
              </w:rPr>
              <w:t>(9)</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31,818</w:t>
            </w:r>
          </w:p>
        </w:tc>
        <w:tc>
          <w:tcPr>
            <w:tcW w:w="560" w:type="dxa"/>
            <w:vAlign w:val="bottom"/>
          </w:tcPr>
          <w:p>
            <w:pPr>
              <w:ind w:left="40"/>
              <w:spacing w:after="0"/>
              <w:rPr>
                <w:sz w:val="20"/>
                <w:szCs w:val="20"/>
                <w:color w:val="auto"/>
              </w:rPr>
            </w:pPr>
            <w:r>
              <w:rPr>
                <w:rFonts w:ascii="Arial" w:cs="Arial" w:eastAsia="Arial" w:hAnsi="Arial"/>
                <w:sz w:val="14"/>
                <w:szCs w:val="14"/>
                <w:color w:val="auto"/>
              </w:rPr>
              <w:t>(10)</w:t>
            </w:r>
          </w:p>
        </w:tc>
      </w:tr>
      <w:tr>
        <w:trPr>
          <w:trHeight w:val="260"/>
        </w:trPr>
        <w:tc>
          <w:tcPr>
            <w:tcW w:w="1820" w:type="dxa"/>
            <w:vAlign w:val="bottom"/>
            <w:shd w:val="clear" w:color="auto" w:fill="CCFFFF"/>
          </w:tcPr>
          <w:p>
            <w:pPr>
              <w:ind w:left="40"/>
              <w:spacing w:after="0"/>
              <w:rPr>
                <w:sz w:val="20"/>
                <w:szCs w:val="20"/>
                <w:color w:val="auto"/>
              </w:rPr>
            </w:pPr>
            <w:r>
              <w:rPr>
                <w:rFonts w:ascii="Arial" w:cs="Arial" w:eastAsia="Arial" w:hAnsi="Arial"/>
                <w:sz w:val="16"/>
                <w:szCs w:val="16"/>
                <w:color w:val="auto"/>
              </w:rPr>
              <w:t>Dan H. Arnold</w:t>
            </w: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Severance</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675,000</w:t>
            </w:r>
          </w:p>
        </w:tc>
        <w:tc>
          <w:tcPr>
            <w:tcW w:w="520" w:type="dxa"/>
            <w:vAlign w:val="bottom"/>
            <w:shd w:val="clear" w:color="auto" w:fill="CCFFFF"/>
          </w:tcPr>
          <w:p>
            <w:pPr>
              <w:ind w:left="80"/>
              <w:spacing w:after="0"/>
              <w:rPr>
                <w:sz w:val="20"/>
                <w:szCs w:val="20"/>
                <w:color w:val="auto"/>
              </w:rPr>
            </w:pPr>
            <w:r>
              <w:rPr>
                <w:rFonts w:ascii="Arial" w:cs="Arial" w:eastAsia="Arial" w:hAnsi="Arial"/>
                <w:sz w:val="14"/>
                <w:szCs w:val="14"/>
                <w:color w:val="auto"/>
              </w:rPr>
              <w:t>(2)</w:t>
            </w:r>
          </w:p>
        </w:tc>
        <w:tc>
          <w:tcPr>
            <w:tcW w:w="480" w:type="dxa"/>
            <w:vAlign w:val="bottom"/>
            <w:shd w:val="clear" w:color="auto" w:fill="CCFF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FFFF"/>
          </w:tcPr>
          <w:p>
            <w:pPr>
              <w:spacing w:after="0"/>
              <w:rPr>
                <w:sz w:val="22"/>
                <w:szCs w:val="22"/>
                <w:color w:val="auto"/>
              </w:rPr>
            </w:pPr>
          </w:p>
        </w:tc>
        <w:tc>
          <w:tcPr>
            <w:tcW w:w="500" w:type="dxa"/>
            <w:vAlign w:val="bottom"/>
            <w:shd w:val="clear" w:color="auto" w:fill="CCFF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1,012,500</w:t>
            </w:r>
          </w:p>
        </w:tc>
        <w:tc>
          <w:tcPr>
            <w:tcW w:w="560" w:type="dxa"/>
            <w:vAlign w:val="bottom"/>
            <w:shd w:val="clear" w:color="auto" w:fill="CCFFFF"/>
          </w:tcPr>
          <w:p>
            <w:pPr>
              <w:ind w:left="40"/>
              <w:spacing w:after="0"/>
              <w:rPr>
                <w:sz w:val="20"/>
                <w:szCs w:val="20"/>
                <w:color w:val="auto"/>
              </w:rPr>
            </w:pPr>
            <w:r>
              <w:rPr>
                <w:rFonts w:ascii="Arial" w:cs="Arial" w:eastAsia="Arial" w:hAnsi="Arial"/>
                <w:sz w:val="14"/>
                <w:szCs w:val="14"/>
                <w:color w:val="auto"/>
              </w:rPr>
              <w:t>(3)</w:t>
            </w:r>
          </w:p>
        </w:tc>
      </w:tr>
      <w:tr>
        <w:trPr>
          <w:trHeight w:val="270"/>
        </w:trPr>
        <w:tc>
          <w:tcPr>
            <w:tcW w:w="1820" w:type="dxa"/>
            <w:vAlign w:val="bottom"/>
            <w:shd w:val="clear" w:color="auto" w:fill="CCFFFF"/>
          </w:tcPr>
          <w:p>
            <w:pPr>
              <w:spacing w:after="0"/>
              <w:rPr>
                <w:sz w:val="23"/>
                <w:szCs w:val="23"/>
                <w:color w:val="auto"/>
              </w:rPr>
            </w:pP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Bonus</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1,400,000</w:t>
            </w:r>
          </w:p>
        </w:tc>
        <w:tc>
          <w:tcPr>
            <w:tcW w:w="520" w:type="dxa"/>
            <w:vAlign w:val="bottom"/>
            <w:shd w:val="clear" w:color="auto" w:fill="CCFFFF"/>
          </w:tcPr>
          <w:p>
            <w:pPr>
              <w:ind w:left="80"/>
              <w:spacing w:after="0"/>
              <w:rPr>
                <w:sz w:val="20"/>
                <w:szCs w:val="20"/>
                <w:color w:val="auto"/>
              </w:rPr>
            </w:pPr>
            <w:r>
              <w:rPr>
                <w:rFonts w:ascii="Arial" w:cs="Arial" w:eastAsia="Arial" w:hAnsi="Arial"/>
                <w:sz w:val="14"/>
                <w:szCs w:val="14"/>
                <w:color w:val="auto"/>
              </w:rPr>
              <w:t>(4)</w:t>
            </w:r>
          </w:p>
        </w:tc>
        <w:tc>
          <w:tcPr>
            <w:tcW w:w="480" w:type="dxa"/>
            <w:vAlign w:val="bottom"/>
            <w:shd w:val="clear" w:color="auto" w:fill="CCFF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FFFF"/>
          </w:tcPr>
          <w:p>
            <w:pPr>
              <w:spacing w:after="0"/>
              <w:rPr>
                <w:sz w:val="23"/>
                <w:szCs w:val="23"/>
                <w:color w:val="auto"/>
              </w:rPr>
            </w:pPr>
          </w:p>
        </w:tc>
        <w:tc>
          <w:tcPr>
            <w:tcW w:w="500" w:type="dxa"/>
            <w:vAlign w:val="bottom"/>
            <w:shd w:val="clear" w:color="auto" w:fill="CCFF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1,771,875</w:t>
            </w:r>
          </w:p>
        </w:tc>
        <w:tc>
          <w:tcPr>
            <w:tcW w:w="560" w:type="dxa"/>
            <w:vAlign w:val="bottom"/>
            <w:shd w:val="clear" w:color="auto" w:fill="CCFFFF"/>
          </w:tcPr>
          <w:p>
            <w:pPr>
              <w:ind w:left="40"/>
              <w:spacing w:after="0"/>
              <w:rPr>
                <w:sz w:val="20"/>
                <w:szCs w:val="20"/>
                <w:color w:val="auto"/>
              </w:rPr>
            </w:pPr>
            <w:r>
              <w:rPr>
                <w:rFonts w:ascii="Arial" w:cs="Arial" w:eastAsia="Arial" w:hAnsi="Arial"/>
                <w:sz w:val="14"/>
                <w:szCs w:val="14"/>
                <w:color w:val="auto"/>
              </w:rPr>
              <w:t>(5)</w:t>
            </w:r>
          </w:p>
        </w:tc>
      </w:tr>
      <w:tr>
        <w:trPr>
          <w:trHeight w:val="270"/>
        </w:trPr>
        <w:tc>
          <w:tcPr>
            <w:tcW w:w="1820" w:type="dxa"/>
            <w:vAlign w:val="bottom"/>
            <w:shd w:val="clear" w:color="auto" w:fill="CCFFFF"/>
          </w:tcPr>
          <w:p>
            <w:pPr>
              <w:spacing w:after="0"/>
              <w:rPr>
                <w:sz w:val="23"/>
                <w:szCs w:val="23"/>
                <w:color w:val="auto"/>
              </w:rPr>
            </w:pP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Accelerated Vesting of Stock Options</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561,414</w:t>
            </w:r>
          </w:p>
        </w:tc>
        <w:tc>
          <w:tcPr>
            <w:tcW w:w="520" w:type="dxa"/>
            <w:vAlign w:val="bottom"/>
            <w:shd w:val="clear" w:color="auto" w:fill="CCFFFF"/>
          </w:tcPr>
          <w:p>
            <w:pPr>
              <w:ind w:left="80"/>
              <w:spacing w:after="0"/>
              <w:rPr>
                <w:sz w:val="20"/>
                <w:szCs w:val="20"/>
                <w:color w:val="auto"/>
              </w:rPr>
            </w:pPr>
            <w:r>
              <w:rPr>
                <w:rFonts w:ascii="Arial" w:cs="Arial" w:eastAsia="Arial" w:hAnsi="Arial"/>
                <w:sz w:val="14"/>
                <w:szCs w:val="14"/>
                <w:color w:val="auto"/>
              </w:rPr>
              <w:t>(6)</w:t>
            </w:r>
          </w:p>
        </w:tc>
        <w:tc>
          <w:tcPr>
            <w:tcW w:w="480" w:type="dxa"/>
            <w:vAlign w:val="bottom"/>
            <w:shd w:val="clear" w:color="auto" w:fill="CCFF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1,565,252</w:t>
            </w:r>
          </w:p>
        </w:tc>
        <w:tc>
          <w:tcPr>
            <w:tcW w:w="480" w:type="dxa"/>
            <w:vAlign w:val="bottom"/>
            <w:shd w:val="clear" w:color="auto" w:fill="CCFFFF"/>
          </w:tcPr>
          <w:p>
            <w:pPr>
              <w:ind w:left="40"/>
              <w:spacing w:after="0"/>
              <w:rPr>
                <w:sz w:val="20"/>
                <w:szCs w:val="20"/>
                <w:color w:val="auto"/>
              </w:rPr>
            </w:pPr>
            <w:r>
              <w:rPr>
                <w:rFonts w:ascii="Arial" w:cs="Arial" w:eastAsia="Arial" w:hAnsi="Arial"/>
                <w:sz w:val="14"/>
                <w:szCs w:val="14"/>
                <w:color w:val="auto"/>
              </w:rPr>
              <w:t>(7)</w:t>
            </w:r>
          </w:p>
        </w:tc>
        <w:tc>
          <w:tcPr>
            <w:tcW w:w="500" w:type="dxa"/>
            <w:vAlign w:val="bottom"/>
            <w:shd w:val="clear" w:color="auto" w:fill="CCFF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1,565,252</w:t>
            </w:r>
          </w:p>
        </w:tc>
        <w:tc>
          <w:tcPr>
            <w:tcW w:w="560" w:type="dxa"/>
            <w:vAlign w:val="bottom"/>
            <w:shd w:val="clear" w:color="auto" w:fill="CCFFFF"/>
          </w:tcPr>
          <w:p>
            <w:pPr>
              <w:ind w:left="40"/>
              <w:spacing w:after="0"/>
              <w:rPr>
                <w:sz w:val="20"/>
                <w:szCs w:val="20"/>
                <w:color w:val="auto"/>
              </w:rPr>
            </w:pPr>
            <w:r>
              <w:rPr>
                <w:rFonts w:ascii="Arial" w:cs="Arial" w:eastAsia="Arial" w:hAnsi="Arial"/>
                <w:sz w:val="14"/>
                <w:szCs w:val="14"/>
                <w:color w:val="auto"/>
              </w:rPr>
              <w:t>(11)</w:t>
            </w:r>
          </w:p>
        </w:tc>
      </w:tr>
      <w:tr>
        <w:trPr>
          <w:trHeight w:val="270"/>
        </w:trPr>
        <w:tc>
          <w:tcPr>
            <w:tcW w:w="1820" w:type="dxa"/>
            <w:vAlign w:val="bottom"/>
            <w:shd w:val="clear" w:color="auto" w:fill="CCFFFF"/>
          </w:tcPr>
          <w:p>
            <w:pPr>
              <w:spacing w:after="0"/>
              <w:rPr>
                <w:sz w:val="23"/>
                <w:szCs w:val="23"/>
                <w:color w:val="auto"/>
              </w:rPr>
            </w:pP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Accelerated Vesting of RSUs</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543,220</w:t>
            </w:r>
          </w:p>
        </w:tc>
        <w:tc>
          <w:tcPr>
            <w:tcW w:w="520" w:type="dxa"/>
            <w:vAlign w:val="bottom"/>
            <w:shd w:val="clear" w:color="auto" w:fill="CCFFFF"/>
          </w:tcPr>
          <w:p>
            <w:pPr>
              <w:ind w:left="80"/>
              <w:spacing w:after="0"/>
              <w:rPr>
                <w:sz w:val="20"/>
                <w:szCs w:val="20"/>
                <w:color w:val="auto"/>
              </w:rPr>
            </w:pPr>
            <w:r>
              <w:rPr>
                <w:rFonts w:ascii="Arial" w:cs="Arial" w:eastAsia="Arial" w:hAnsi="Arial"/>
                <w:sz w:val="14"/>
                <w:szCs w:val="14"/>
                <w:color w:val="auto"/>
              </w:rPr>
              <w:t>(12)</w:t>
            </w:r>
          </w:p>
        </w:tc>
        <w:tc>
          <w:tcPr>
            <w:tcW w:w="480" w:type="dxa"/>
            <w:vAlign w:val="bottom"/>
            <w:shd w:val="clear" w:color="auto" w:fill="CCFF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977,113</w:t>
            </w:r>
          </w:p>
        </w:tc>
        <w:tc>
          <w:tcPr>
            <w:tcW w:w="480" w:type="dxa"/>
            <w:vAlign w:val="bottom"/>
            <w:shd w:val="clear" w:color="auto" w:fill="CCFFFF"/>
          </w:tcPr>
          <w:p>
            <w:pPr>
              <w:ind w:left="40"/>
              <w:spacing w:after="0"/>
              <w:rPr>
                <w:sz w:val="20"/>
                <w:szCs w:val="20"/>
                <w:color w:val="auto"/>
              </w:rPr>
            </w:pPr>
            <w:r>
              <w:rPr>
                <w:rFonts w:ascii="Arial" w:cs="Arial" w:eastAsia="Arial" w:hAnsi="Arial"/>
                <w:sz w:val="14"/>
                <w:szCs w:val="14"/>
                <w:color w:val="auto"/>
              </w:rPr>
              <w:t>(13)</w:t>
            </w:r>
          </w:p>
        </w:tc>
        <w:tc>
          <w:tcPr>
            <w:tcW w:w="500" w:type="dxa"/>
            <w:vAlign w:val="bottom"/>
            <w:shd w:val="clear" w:color="auto" w:fill="CCFF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977,113</w:t>
            </w:r>
          </w:p>
        </w:tc>
        <w:tc>
          <w:tcPr>
            <w:tcW w:w="560" w:type="dxa"/>
            <w:vAlign w:val="bottom"/>
            <w:shd w:val="clear" w:color="auto" w:fill="CCFFFF"/>
          </w:tcPr>
          <w:p>
            <w:pPr>
              <w:ind w:left="40"/>
              <w:spacing w:after="0"/>
              <w:rPr>
                <w:sz w:val="20"/>
                <w:szCs w:val="20"/>
                <w:color w:val="auto"/>
              </w:rPr>
            </w:pPr>
            <w:r>
              <w:rPr>
                <w:rFonts w:ascii="Arial" w:cs="Arial" w:eastAsia="Arial" w:hAnsi="Arial"/>
                <w:sz w:val="14"/>
                <w:szCs w:val="14"/>
                <w:color w:val="auto"/>
              </w:rPr>
              <w:t>(14)</w:t>
            </w:r>
          </w:p>
        </w:tc>
      </w:tr>
      <w:tr>
        <w:trPr>
          <w:trHeight w:val="290"/>
        </w:trPr>
        <w:tc>
          <w:tcPr>
            <w:tcW w:w="1820" w:type="dxa"/>
            <w:vAlign w:val="bottom"/>
            <w:shd w:val="clear" w:color="auto" w:fill="CCFFFF"/>
          </w:tcPr>
          <w:p>
            <w:pPr>
              <w:spacing w:after="0"/>
              <w:rPr>
                <w:sz w:val="24"/>
                <w:szCs w:val="24"/>
                <w:color w:val="auto"/>
              </w:rPr>
            </w:pP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Group Benefit Continuation</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20,955</w:t>
            </w:r>
          </w:p>
        </w:tc>
        <w:tc>
          <w:tcPr>
            <w:tcW w:w="520" w:type="dxa"/>
            <w:vAlign w:val="bottom"/>
            <w:shd w:val="clear" w:color="auto" w:fill="CCFFFF"/>
          </w:tcPr>
          <w:p>
            <w:pPr>
              <w:ind w:left="80"/>
              <w:spacing w:after="0"/>
              <w:rPr>
                <w:sz w:val="20"/>
                <w:szCs w:val="20"/>
                <w:color w:val="auto"/>
              </w:rPr>
            </w:pPr>
            <w:r>
              <w:rPr>
                <w:rFonts w:ascii="Arial" w:cs="Arial" w:eastAsia="Arial" w:hAnsi="Arial"/>
                <w:sz w:val="14"/>
                <w:szCs w:val="14"/>
                <w:color w:val="auto"/>
              </w:rPr>
              <w:t>(9)</w:t>
            </w:r>
          </w:p>
        </w:tc>
        <w:tc>
          <w:tcPr>
            <w:tcW w:w="480" w:type="dxa"/>
            <w:vAlign w:val="bottom"/>
            <w:shd w:val="clear" w:color="auto" w:fill="CCFF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FFFF"/>
          </w:tcPr>
          <w:p>
            <w:pPr>
              <w:spacing w:after="0"/>
              <w:rPr>
                <w:sz w:val="24"/>
                <w:szCs w:val="24"/>
                <w:color w:val="auto"/>
              </w:rPr>
            </w:pPr>
          </w:p>
        </w:tc>
        <w:tc>
          <w:tcPr>
            <w:tcW w:w="500" w:type="dxa"/>
            <w:vAlign w:val="bottom"/>
            <w:shd w:val="clear" w:color="auto" w:fill="CCFF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31,432</w:t>
            </w:r>
          </w:p>
        </w:tc>
        <w:tc>
          <w:tcPr>
            <w:tcW w:w="560" w:type="dxa"/>
            <w:vAlign w:val="bottom"/>
            <w:shd w:val="clear" w:color="auto" w:fill="CCFFFF"/>
          </w:tcPr>
          <w:p>
            <w:pPr>
              <w:ind w:left="40"/>
              <w:spacing w:after="0"/>
              <w:rPr>
                <w:sz w:val="20"/>
                <w:szCs w:val="20"/>
                <w:color w:val="auto"/>
              </w:rPr>
            </w:pPr>
            <w:r>
              <w:rPr>
                <w:rFonts w:ascii="Arial" w:cs="Arial" w:eastAsia="Arial" w:hAnsi="Arial"/>
                <w:sz w:val="14"/>
                <w:szCs w:val="14"/>
                <w:color w:val="auto"/>
              </w:rPr>
              <w:t>(10)</w:t>
            </w:r>
          </w:p>
        </w:tc>
      </w:tr>
      <w:tr>
        <w:trPr>
          <w:trHeight w:val="251"/>
        </w:trPr>
        <w:tc>
          <w:tcPr>
            <w:tcW w:w="1820" w:type="dxa"/>
            <w:vAlign w:val="bottom"/>
          </w:tcPr>
          <w:p>
            <w:pPr>
              <w:ind w:left="40"/>
              <w:spacing w:after="0"/>
              <w:rPr>
                <w:sz w:val="20"/>
                <w:szCs w:val="20"/>
                <w:color w:val="auto"/>
              </w:rPr>
            </w:pPr>
            <w:r>
              <w:rPr>
                <w:rFonts w:ascii="Arial" w:cs="Arial" w:eastAsia="Arial" w:hAnsi="Arial"/>
                <w:sz w:val="16"/>
                <w:szCs w:val="16"/>
                <w:color w:val="auto"/>
              </w:rPr>
              <w:t>Tracy E. Calder</w:t>
            </w:r>
          </w:p>
        </w:tc>
        <w:tc>
          <w:tcPr>
            <w:tcW w:w="3200" w:type="dxa"/>
            <w:vAlign w:val="bottom"/>
          </w:tcPr>
          <w:p>
            <w:pPr>
              <w:ind w:left="20"/>
              <w:spacing w:after="0"/>
              <w:rPr>
                <w:sz w:val="20"/>
                <w:szCs w:val="20"/>
                <w:color w:val="auto"/>
              </w:rPr>
            </w:pPr>
            <w:r>
              <w:rPr>
                <w:rFonts w:ascii="Arial" w:cs="Arial" w:eastAsia="Arial" w:hAnsi="Arial"/>
                <w:sz w:val="16"/>
                <w:szCs w:val="16"/>
                <w:color w:val="auto"/>
              </w:rPr>
              <w:t>Severance</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442,000</w:t>
            </w:r>
          </w:p>
        </w:tc>
        <w:tc>
          <w:tcPr>
            <w:tcW w:w="520" w:type="dxa"/>
            <w:vAlign w:val="bottom"/>
          </w:tcPr>
          <w:p>
            <w:pPr>
              <w:ind w:left="80"/>
              <w:spacing w:after="0"/>
              <w:rPr>
                <w:sz w:val="20"/>
                <w:szCs w:val="20"/>
                <w:color w:val="auto"/>
              </w:rPr>
            </w:pPr>
            <w:r>
              <w:rPr>
                <w:rFonts w:ascii="Arial" w:cs="Arial" w:eastAsia="Arial" w:hAnsi="Arial"/>
                <w:sz w:val="14"/>
                <w:szCs w:val="14"/>
                <w:color w:val="auto"/>
              </w:rPr>
              <w:t>(2)</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1"/>
                <w:szCs w:val="21"/>
                <w:color w:val="auto"/>
              </w:rPr>
            </w:pP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663,000</w:t>
            </w:r>
          </w:p>
        </w:tc>
        <w:tc>
          <w:tcPr>
            <w:tcW w:w="560" w:type="dxa"/>
            <w:vAlign w:val="bottom"/>
          </w:tcPr>
          <w:p>
            <w:pPr>
              <w:ind w:left="40"/>
              <w:spacing w:after="0"/>
              <w:rPr>
                <w:sz w:val="20"/>
                <w:szCs w:val="20"/>
                <w:color w:val="auto"/>
              </w:rPr>
            </w:pPr>
            <w:r>
              <w:rPr>
                <w:rFonts w:ascii="Arial" w:cs="Arial" w:eastAsia="Arial" w:hAnsi="Arial"/>
                <w:sz w:val="14"/>
                <w:szCs w:val="14"/>
                <w:color w:val="auto"/>
              </w:rPr>
              <w:t>(3)</w:t>
            </w:r>
          </w:p>
        </w:tc>
      </w:tr>
      <w:tr>
        <w:trPr>
          <w:trHeight w:val="270"/>
        </w:trPr>
        <w:tc>
          <w:tcPr>
            <w:tcW w:w="1820" w:type="dxa"/>
            <w:vAlign w:val="bottom"/>
          </w:tcPr>
          <w:p>
            <w:pPr>
              <w:spacing w:after="0"/>
              <w:rPr>
                <w:sz w:val="23"/>
                <w:szCs w:val="23"/>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Bonus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425,000</w:t>
            </w:r>
          </w:p>
        </w:tc>
        <w:tc>
          <w:tcPr>
            <w:tcW w:w="520" w:type="dxa"/>
            <w:vAlign w:val="bottom"/>
          </w:tcPr>
          <w:p>
            <w:pPr>
              <w:ind w:left="80"/>
              <w:spacing w:after="0"/>
              <w:rPr>
                <w:sz w:val="20"/>
                <w:szCs w:val="20"/>
                <w:color w:val="auto"/>
              </w:rPr>
            </w:pPr>
            <w:r>
              <w:rPr>
                <w:rFonts w:ascii="Arial" w:cs="Arial" w:eastAsia="Arial" w:hAnsi="Arial"/>
                <w:sz w:val="14"/>
                <w:szCs w:val="14"/>
                <w:color w:val="auto"/>
              </w:rPr>
              <w:t>(4)</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560,656</w:t>
            </w:r>
          </w:p>
        </w:tc>
        <w:tc>
          <w:tcPr>
            <w:tcW w:w="560" w:type="dxa"/>
            <w:vAlign w:val="bottom"/>
          </w:tcPr>
          <w:p>
            <w:pPr>
              <w:ind w:left="40"/>
              <w:spacing w:after="0"/>
              <w:rPr>
                <w:sz w:val="20"/>
                <w:szCs w:val="20"/>
                <w:color w:val="auto"/>
              </w:rPr>
            </w:pPr>
            <w:r>
              <w:rPr>
                <w:rFonts w:ascii="Arial" w:cs="Arial" w:eastAsia="Arial" w:hAnsi="Arial"/>
                <w:sz w:val="14"/>
                <w:szCs w:val="14"/>
                <w:color w:val="auto"/>
              </w:rPr>
              <w:t>(5)</w:t>
            </w:r>
          </w:p>
        </w:tc>
      </w:tr>
      <w:tr>
        <w:trPr>
          <w:trHeight w:val="270"/>
        </w:trPr>
        <w:tc>
          <w:tcPr>
            <w:tcW w:w="1820" w:type="dxa"/>
            <w:vAlign w:val="bottom"/>
          </w:tcPr>
          <w:p>
            <w:pPr>
              <w:spacing w:after="0"/>
              <w:rPr>
                <w:sz w:val="23"/>
                <w:szCs w:val="23"/>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Accelerated Vesting of Stock Options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146,857</w:t>
            </w:r>
          </w:p>
        </w:tc>
        <w:tc>
          <w:tcPr>
            <w:tcW w:w="520" w:type="dxa"/>
            <w:vAlign w:val="bottom"/>
          </w:tcPr>
          <w:p>
            <w:pPr>
              <w:ind w:left="80"/>
              <w:spacing w:after="0"/>
              <w:rPr>
                <w:sz w:val="20"/>
                <w:szCs w:val="20"/>
                <w:color w:val="auto"/>
              </w:rPr>
            </w:pPr>
            <w:r>
              <w:rPr>
                <w:rFonts w:ascii="Arial" w:cs="Arial" w:eastAsia="Arial" w:hAnsi="Arial"/>
                <w:sz w:val="14"/>
                <w:szCs w:val="14"/>
                <w:color w:val="auto"/>
              </w:rPr>
              <w:t>(6)</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440,540</w:t>
            </w:r>
          </w:p>
        </w:tc>
        <w:tc>
          <w:tcPr>
            <w:tcW w:w="480" w:type="dxa"/>
            <w:vAlign w:val="bottom"/>
          </w:tcPr>
          <w:p>
            <w:pPr>
              <w:ind w:left="40"/>
              <w:spacing w:after="0"/>
              <w:rPr>
                <w:sz w:val="20"/>
                <w:szCs w:val="20"/>
                <w:color w:val="auto"/>
              </w:rPr>
            </w:pPr>
            <w:r>
              <w:rPr>
                <w:rFonts w:ascii="Arial" w:cs="Arial" w:eastAsia="Arial" w:hAnsi="Arial"/>
                <w:sz w:val="14"/>
                <w:szCs w:val="14"/>
                <w:color w:val="auto"/>
              </w:rPr>
              <w:t>(7)</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440,540</w:t>
            </w:r>
          </w:p>
        </w:tc>
        <w:tc>
          <w:tcPr>
            <w:tcW w:w="560" w:type="dxa"/>
            <w:vAlign w:val="bottom"/>
          </w:tcPr>
          <w:p>
            <w:pPr>
              <w:ind w:left="40"/>
              <w:spacing w:after="0"/>
              <w:rPr>
                <w:sz w:val="20"/>
                <w:szCs w:val="20"/>
                <w:color w:val="auto"/>
              </w:rPr>
            </w:pPr>
            <w:r>
              <w:rPr>
                <w:rFonts w:ascii="Arial" w:cs="Arial" w:eastAsia="Arial" w:hAnsi="Arial"/>
                <w:sz w:val="14"/>
                <w:szCs w:val="14"/>
                <w:color w:val="auto"/>
              </w:rPr>
              <w:t>(11)</w:t>
            </w:r>
          </w:p>
        </w:tc>
      </w:tr>
      <w:tr>
        <w:trPr>
          <w:trHeight w:val="270"/>
        </w:trPr>
        <w:tc>
          <w:tcPr>
            <w:tcW w:w="1820" w:type="dxa"/>
            <w:vAlign w:val="bottom"/>
          </w:tcPr>
          <w:p>
            <w:pPr>
              <w:spacing w:after="0"/>
              <w:rPr>
                <w:sz w:val="23"/>
                <w:szCs w:val="23"/>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Accelerated Vesting of RSUs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419,633</w:t>
            </w:r>
          </w:p>
        </w:tc>
        <w:tc>
          <w:tcPr>
            <w:tcW w:w="520" w:type="dxa"/>
            <w:vAlign w:val="bottom"/>
          </w:tcPr>
          <w:p>
            <w:pPr>
              <w:ind w:left="80"/>
              <w:spacing w:after="0"/>
              <w:rPr>
                <w:sz w:val="20"/>
                <w:szCs w:val="20"/>
                <w:color w:val="auto"/>
              </w:rPr>
            </w:pPr>
            <w:r>
              <w:rPr>
                <w:rFonts w:ascii="Arial" w:cs="Arial" w:eastAsia="Arial" w:hAnsi="Arial"/>
                <w:sz w:val="14"/>
                <w:szCs w:val="14"/>
                <w:color w:val="auto"/>
              </w:rPr>
              <w:t>(12)</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1,258,898</w:t>
            </w:r>
          </w:p>
        </w:tc>
        <w:tc>
          <w:tcPr>
            <w:tcW w:w="480" w:type="dxa"/>
            <w:vAlign w:val="bottom"/>
          </w:tcPr>
          <w:p>
            <w:pPr>
              <w:ind w:left="40"/>
              <w:spacing w:after="0"/>
              <w:rPr>
                <w:sz w:val="20"/>
                <w:szCs w:val="20"/>
                <w:color w:val="auto"/>
              </w:rPr>
            </w:pPr>
            <w:r>
              <w:rPr>
                <w:rFonts w:ascii="Arial" w:cs="Arial" w:eastAsia="Arial" w:hAnsi="Arial"/>
                <w:sz w:val="14"/>
                <w:szCs w:val="14"/>
                <w:color w:val="auto"/>
              </w:rPr>
              <w:t>(13)</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1,258,898</w:t>
            </w:r>
          </w:p>
        </w:tc>
        <w:tc>
          <w:tcPr>
            <w:tcW w:w="560" w:type="dxa"/>
            <w:vAlign w:val="bottom"/>
          </w:tcPr>
          <w:p>
            <w:pPr>
              <w:ind w:left="40"/>
              <w:spacing w:after="0"/>
              <w:rPr>
                <w:sz w:val="20"/>
                <w:szCs w:val="20"/>
                <w:color w:val="auto"/>
              </w:rPr>
            </w:pPr>
            <w:r>
              <w:rPr>
                <w:rFonts w:ascii="Arial" w:cs="Arial" w:eastAsia="Arial" w:hAnsi="Arial"/>
                <w:sz w:val="14"/>
                <w:szCs w:val="14"/>
                <w:color w:val="auto"/>
              </w:rPr>
              <w:t>(14)</w:t>
            </w:r>
          </w:p>
        </w:tc>
      </w:tr>
      <w:tr>
        <w:trPr>
          <w:trHeight w:val="280"/>
        </w:trPr>
        <w:tc>
          <w:tcPr>
            <w:tcW w:w="1820" w:type="dxa"/>
            <w:vAlign w:val="bottom"/>
          </w:tcPr>
          <w:p>
            <w:pPr>
              <w:spacing w:after="0"/>
              <w:rPr>
                <w:sz w:val="24"/>
                <w:szCs w:val="24"/>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Group Benefit Continuation</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16,463</w:t>
            </w:r>
          </w:p>
        </w:tc>
        <w:tc>
          <w:tcPr>
            <w:tcW w:w="520" w:type="dxa"/>
            <w:vAlign w:val="bottom"/>
          </w:tcPr>
          <w:p>
            <w:pPr>
              <w:ind w:left="80"/>
              <w:spacing w:after="0"/>
              <w:rPr>
                <w:sz w:val="20"/>
                <w:szCs w:val="20"/>
                <w:color w:val="auto"/>
              </w:rPr>
            </w:pPr>
            <w:r>
              <w:rPr>
                <w:rFonts w:ascii="Arial" w:cs="Arial" w:eastAsia="Arial" w:hAnsi="Arial"/>
                <w:sz w:val="14"/>
                <w:szCs w:val="14"/>
                <w:color w:val="auto"/>
              </w:rPr>
              <w:t>(9)</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24,694</w:t>
            </w:r>
          </w:p>
        </w:tc>
        <w:tc>
          <w:tcPr>
            <w:tcW w:w="560" w:type="dxa"/>
            <w:vAlign w:val="bottom"/>
          </w:tcPr>
          <w:p>
            <w:pPr>
              <w:ind w:left="40"/>
              <w:spacing w:after="0"/>
              <w:rPr>
                <w:sz w:val="20"/>
                <w:szCs w:val="20"/>
                <w:color w:val="auto"/>
              </w:rPr>
            </w:pPr>
            <w:r>
              <w:rPr>
                <w:rFonts w:ascii="Arial" w:cs="Arial" w:eastAsia="Arial" w:hAnsi="Arial"/>
                <w:sz w:val="14"/>
                <w:szCs w:val="14"/>
                <w:color w:val="auto"/>
              </w:rPr>
              <w:t>(10)</w:t>
            </w:r>
          </w:p>
        </w:tc>
      </w:tr>
      <w:tr>
        <w:trPr>
          <w:trHeight w:val="260"/>
        </w:trPr>
        <w:tc>
          <w:tcPr>
            <w:tcW w:w="1820" w:type="dxa"/>
            <w:vAlign w:val="bottom"/>
            <w:shd w:val="clear" w:color="auto" w:fill="CCFFFF"/>
          </w:tcPr>
          <w:p>
            <w:pPr>
              <w:ind w:left="40"/>
              <w:spacing w:after="0"/>
              <w:rPr>
                <w:sz w:val="20"/>
                <w:szCs w:val="20"/>
                <w:color w:val="auto"/>
              </w:rPr>
            </w:pPr>
            <w:r>
              <w:rPr>
                <w:rFonts w:ascii="Arial" w:cs="Arial" w:eastAsia="Arial" w:hAnsi="Arial"/>
                <w:sz w:val="16"/>
                <w:szCs w:val="16"/>
                <w:color w:val="auto"/>
              </w:rPr>
              <w:t>Thomas Gooley</w:t>
            </w: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Severance</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500,000</w:t>
            </w:r>
          </w:p>
        </w:tc>
        <w:tc>
          <w:tcPr>
            <w:tcW w:w="520" w:type="dxa"/>
            <w:vAlign w:val="bottom"/>
            <w:shd w:val="clear" w:color="auto" w:fill="CCFFFF"/>
          </w:tcPr>
          <w:p>
            <w:pPr>
              <w:ind w:left="80"/>
              <w:spacing w:after="0"/>
              <w:rPr>
                <w:sz w:val="20"/>
                <w:szCs w:val="20"/>
                <w:color w:val="auto"/>
              </w:rPr>
            </w:pPr>
            <w:r>
              <w:rPr>
                <w:rFonts w:ascii="Arial" w:cs="Arial" w:eastAsia="Arial" w:hAnsi="Arial"/>
                <w:sz w:val="14"/>
                <w:szCs w:val="14"/>
                <w:color w:val="auto"/>
              </w:rPr>
              <w:t>(2)</w:t>
            </w:r>
          </w:p>
        </w:tc>
        <w:tc>
          <w:tcPr>
            <w:tcW w:w="480" w:type="dxa"/>
            <w:vAlign w:val="bottom"/>
            <w:shd w:val="clear" w:color="auto" w:fill="CCFF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FFFF"/>
          </w:tcPr>
          <w:p>
            <w:pPr>
              <w:spacing w:after="0"/>
              <w:rPr>
                <w:sz w:val="22"/>
                <w:szCs w:val="22"/>
                <w:color w:val="auto"/>
              </w:rPr>
            </w:pPr>
          </w:p>
        </w:tc>
        <w:tc>
          <w:tcPr>
            <w:tcW w:w="500" w:type="dxa"/>
            <w:vAlign w:val="bottom"/>
            <w:shd w:val="clear" w:color="auto" w:fill="CCFF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750,000</w:t>
            </w:r>
          </w:p>
        </w:tc>
        <w:tc>
          <w:tcPr>
            <w:tcW w:w="560" w:type="dxa"/>
            <w:vAlign w:val="bottom"/>
            <w:shd w:val="clear" w:color="auto" w:fill="CCFFFF"/>
          </w:tcPr>
          <w:p>
            <w:pPr>
              <w:ind w:left="40"/>
              <w:spacing w:after="0"/>
              <w:rPr>
                <w:sz w:val="20"/>
                <w:szCs w:val="20"/>
                <w:color w:val="auto"/>
              </w:rPr>
            </w:pPr>
            <w:r>
              <w:rPr>
                <w:rFonts w:ascii="Arial" w:cs="Arial" w:eastAsia="Arial" w:hAnsi="Arial"/>
                <w:sz w:val="14"/>
                <w:szCs w:val="14"/>
                <w:color w:val="auto"/>
              </w:rPr>
              <w:t>(3)</w:t>
            </w:r>
          </w:p>
        </w:tc>
      </w:tr>
      <w:tr>
        <w:trPr>
          <w:trHeight w:val="270"/>
        </w:trPr>
        <w:tc>
          <w:tcPr>
            <w:tcW w:w="1820" w:type="dxa"/>
            <w:vAlign w:val="bottom"/>
            <w:shd w:val="clear" w:color="auto" w:fill="CCFFFF"/>
          </w:tcPr>
          <w:p>
            <w:pPr>
              <w:spacing w:after="0"/>
              <w:rPr>
                <w:sz w:val="23"/>
                <w:szCs w:val="23"/>
                <w:color w:val="auto"/>
              </w:rPr>
            </w:pP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Bonus</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910,000</w:t>
            </w:r>
          </w:p>
        </w:tc>
        <w:tc>
          <w:tcPr>
            <w:tcW w:w="520" w:type="dxa"/>
            <w:vAlign w:val="bottom"/>
            <w:shd w:val="clear" w:color="auto" w:fill="CCFFFF"/>
          </w:tcPr>
          <w:p>
            <w:pPr>
              <w:ind w:left="80"/>
              <w:spacing w:after="0"/>
              <w:rPr>
                <w:sz w:val="20"/>
                <w:szCs w:val="20"/>
                <w:color w:val="auto"/>
              </w:rPr>
            </w:pPr>
            <w:r>
              <w:rPr>
                <w:rFonts w:ascii="Arial" w:cs="Arial" w:eastAsia="Arial" w:hAnsi="Arial"/>
                <w:sz w:val="14"/>
                <w:szCs w:val="14"/>
                <w:color w:val="auto"/>
              </w:rPr>
              <w:t>(4)</w:t>
            </w:r>
          </w:p>
        </w:tc>
        <w:tc>
          <w:tcPr>
            <w:tcW w:w="480" w:type="dxa"/>
            <w:vAlign w:val="bottom"/>
            <w:shd w:val="clear" w:color="auto" w:fill="CCFF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FFFF"/>
          </w:tcPr>
          <w:p>
            <w:pPr>
              <w:spacing w:after="0"/>
              <w:rPr>
                <w:sz w:val="23"/>
                <w:szCs w:val="23"/>
                <w:color w:val="auto"/>
              </w:rPr>
            </w:pPr>
          </w:p>
        </w:tc>
        <w:tc>
          <w:tcPr>
            <w:tcW w:w="500" w:type="dxa"/>
            <w:vAlign w:val="bottom"/>
            <w:shd w:val="clear" w:color="auto" w:fill="CCFF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1,125,000</w:t>
            </w:r>
          </w:p>
        </w:tc>
        <w:tc>
          <w:tcPr>
            <w:tcW w:w="560" w:type="dxa"/>
            <w:vAlign w:val="bottom"/>
            <w:shd w:val="clear" w:color="auto" w:fill="CCFFFF"/>
          </w:tcPr>
          <w:p>
            <w:pPr>
              <w:ind w:left="40"/>
              <w:spacing w:after="0"/>
              <w:rPr>
                <w:sz w:val="20"/>
                <w:szCs w:val="20"/>
                <w:color w:val="auto"/>
              </w:rPr>
            </w:pPr>
            <w:r>
              <w:rPr>
                <w:rFonts w:ascii="Arial" w:cs="Arial" w:eastAsia="Arial" w:hAnsi="Arial"/>
                <w:sz w:val="14"/>
                <w:szCs w:val="14"/>
                <w:color w:val="auto"/>
              </w:rPr>
              <w:t>(5)</w:t>
            </w:r>
          </w:p>
        </w:tc>
      </w:tr>
      <w:tr>
        <w:trPr>
          <w:trHeight w:val="270"/>
        </w:trPr>
        <w:tc>
          <w:tcPr>
            <w:tcW w:w="1820" w:type="dxa"/>
            <w:vAlign w:val="bottom"/>
            <w:shd w:val="clear" w:color="auto" w:fill="CCFFFF"/>
          </w:tcPr>
          <w:p>
            <w:pPr>
              <w:spacing w:after="0"/>
              <w:rPr>
                <w:sz w:val="23"/>
                <w:szCs w:val="23"/>
                <w:color w:val="auto"/>
              </w:rPr>
            </w:pP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Accelerated Vesting of Stock Options</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315,752</w:t>
            </w:r>
          </w:p>
        </w:tc>
        <w:tc>
          <w:tcPr>
            <w:tcW w:w="520" w:type="dxa"/>
            <w:vAlign w:val="bottom"/>
            <w:shd w:val="clear" w:color="auto" w:fill="CCFFFF"/>
          </w:tcPr>
          <w:p>
            <w:pPr>
              <w:ind w:left="80"/>
              <w:spacing w:after="0"/>
              <w:rPr>
                <w:sz w:val="20"/>
                <w:szCs w:val="20"/>
                <w:color w:val="auto"/>
              </w:rPr>
            </w:pPr>
            <w:r>
              <w:rPr>
                <w:rFonts w:ascii="Arial" w:cs="Arial" w:eastAsia="Arial" w:hAnsi="Arial"/>
                <w:sz w:val="14"/>
                <w:szCs w:val="14"/>
                <w:color w:val="auto"/>
              </w:rPr>
              <w:t>(6)</w:t>
            </w:r>
          </w:p>
        </w:tc>
        <w:tc>
          <w:tcPr>
            <w:tcW w:w="480" w:type="dxa"/>
            <w:vAlign w:val="bottom"/>
            <w:shd w:val="clear" w:color="auto" w:fill="CCFF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947,256</w:t>
            </w:r>
          </w:p>
        </w:tc>
        <w:tc>
          <w:tcPr>
            <w:tcW w:w="480" w:type="dxa"/>
            <w:vAlign w:val="bottom"/>
            <w:shd w:val="clear" w:color="auto" w:fill="CCFFFF"/>
          </w:tcPr>
          <w:p>
            <w:pPr>
              <w:ind w:left="40"/>
              <w:spacing w:after="0"/>
              <w:rPr>
                <w:sz w:val="20"/>
                <w:szCs w:val="20"/>
                <w:color w:val="auto"/>
              </w:rPr>
            </w:pPr>
            <w:r>
              <w:rPr>
                <w:rFonts w:ascii="Arial" w:cs="Arial" w:eastAsia="Arial" w:hAnsi="Arial"/>
                <w:sz w:val="14"/>
                <w:szCs w:val="14"/>
                <w:color w:val="auto"/>
              </w:rPr>
              <w:t>(7)</w:t>
            </w:r>
          </w:p>
        </w:tc>
        <w:tc>
          <w:tcPr>
            <w:tcW w:w="500" w:type="dxa"/>
            <w:vAlign w:val="bottom"/>
            <w:shd w:val="clear" w:color="auto" w:fill="CCFF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947,256</w:t>
            </w:r>
          </w:p>
        </w:tc>
        <w:tc>
          <w:tcPr>
            <w:tcW w:w="560" w:type="dxa"/>
            <w:vAlign w:val="bottom"/>
            <w:shd w:val="clear" w:color="auto" w:fill="CCFFFF"/>
          </w:tcPr>
          <w:p>
            <w:pPr>
              <w:ind w:left="40"/>
              <w:spacing w:after="0"/>
              <w:rPr>
                <w:sz w:val="20"/>
                <w:szCs w:val="20"/>
                <w:color w:val="auto"/>
              </w:rPr>
            </w:pPr>
            <w:r>
              <w:rPr>
                <w:rFonts w:ascii="Arial" w:cs="Arial" w:eastAsia="Arial" w:hAnsi="Arial"/>
                <w:sz w:val="14"/>
                <w:szCs w:val="14"/>
                <w:color w:val="auto"/>
              </w:rPr>
              <w:t>(11)</w:t>
            </w:r>
          </w:p>
        </w:tc>
      </w:tr>
      <w:tr>
        <w:trPr>
          <w:trHeight w:val="270"/>
        </w:trPr>
        <w:tc>
          <w:tcPr>
            <w:tcW w:w="1820" w:type="dxa"/>
            <w:vAlign w:val="bottom"/>
            <w:shd w:val="clear" w:color="auto" w:fill="CCFFFF"/>
          </w:tcPr>
          <w:p>
            <w:pPr>
              <w:spacing w:after="0"/>
              <w:rPr>
                <w:sz w:val="23"/>
                <w:szCs w:val="23"/>
                <w:color w:val="auto"/>
              </w:rPr>
            </w:pP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Accelerated Vesting of RSUs</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179,289</w:t>
            </w:r>
          </w:p>
        </w:tc>
        <w:tc>
          <w:tcPr>
            <w:tcW w:w="520" w:type="dxa"/>
            <w:vAlign w:val="bottom"/>
            <w:shd w:val="clear" w:color="auto" w:fill="CCFFFF"/>
          </w:tcPr>
          <w:p>
            <w:pPr>
              <w:ind w:left="80"/>
              <w:spacing w:after="0"/>
              <w:rPr>
                <w:sz w:val="20"/>
                <w:szCs w:val="20"/>
                <w:color w:val="auto"/>
              </w:rPr>
            </w:pPr>
            <w:r>
              <w:rPr>
                <w:rFonts w:ascii="Arial" w:cs="Arial" w:eastAsia="Arial" w:hAnsi="Arial"/>
                <w:sz w:val="14"/>
                <w:szCs w:val="14"/>
                <w:color w:val="auto"/>
              </w:rPr>
              <w:t>(12)</w:t>
            </w:r>
          </w:p>
        </w:tc>
        <w:tc>
          <w:tcPr>
            <w:tcW w:w="480" w:type="dxa"/>
            <w:vAlign w:val="bottom"/>
            <w:shd w:val="clear" w:color="auto" w:fill="CCFF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566,916</w:t>
            </w:r>
          </w:p>
        </w:tc>
        <w:tc>
          <w:tcPr>
            <w:tcW w:w="480" w:type="dxa"/>
            <w:vAlign w:val="bottom"/>
            <w:shd w:val="clear" w:color="auto" w:fill="CCFFFF"/>
          </w:tcPr>
          <w:p>
            <w:pPr>
              <w:ind w:left="40"/>
              <w:spacing w:after="0"/>
              <w:rPr>
                <w:sz w:val="20"/>
                <w:szCs w:val="20"/>
                <w:color w:val="auto"/>
              </w:rPr>
            </w:pPr>
            <w:r>
              <w:rPr>
                <w:rFonts w:ascii="Arial" w:cs="Arial" w:eastAsia="Arial" w:hAnsi="Arial"/>
                <w:sz w:val="14"/>
                <w:szCs w:val="14"/>
                <w:color w:val="auto"/>
              </w:rPr>
              <w:t>(13)</w:t>
            </w:r>
          </w:p>
        </w:tc>
        <w:tc>
          <w:tcPr>
            <w:tcW w:w="500" w:type="dxa"/>
            <w:vAlign w:val="bottom"/>
            <w:shd w:val="clear" w:color="auto" w:fill="CCFF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566,916</w:t>
            </w:r>
          </w:p>
        </w:tc>
        <w:tc>
          <w:tcPr>
            <w:tcW w:w="560" w:type="dxa"/>
            <w:vAlign w:val="bottom"/>
            <w:shd w:val="clear" w:color="auto" w:fill="CCFFFF"/>
          </w:tcPr>
          <w:p>
            <w:pPr>
              <w:ind w:left="40"/>
              <w:spacing w:after="0"/>
              <w:rPr>
                <w:sz w:val="20"/>
                <w:szCs w:val="20"/>
                <w:color w:val="auto"/>
              </w:rPr>
            </w:pPr>
            <w:r>
              <w:rPr>
                <w:rFonts w:ascii="Arial" w:cs="Arial" w:eastAsia="Arial" w:hAnsi="Arial"/>
                <w:sz w:val="14"/>
                <w:szCs w:val="14"/>
                <w:color w:val="auto"/>
              </w:rPr>
              <w:t>(14)</w:t>
            </w:r>
          </w:p>
        </w:tc>
      </w:tr>
      <w:tr>
        <w:trPr>
          <w:trHeight w:val="283"/>
        </w:trPr>
        <w:tc>
          <w:tcPr>
            <w:tcW w:w="1820" w:type="dxa"/>
            <w:vAlign w:val="bottom"/>
            <w:tcBorders>
              <w:bottom w:val="single" w:sz="8" w:color="336699"/>
            </w:tcBorders>
            <w:shd w:val="clear" w:color="auto" w:fill="CCFFFF"/>
          </w:tcPr>
          <w:p>
            <w:pPr>
              <w:spacing w:after="0"/>
              <w:rPr>
                <w:sz w:val="24"/>
                <w:szCs w:val="24"/>
                <w:color w:val="auto"/>
              </w:rPr>
            </w:pPr>
          </w:p>
        </w:tc>
        <w:tc>
          <w:tcPr>
            <w:tcW w:w="3200" w:type="dxa"/>
            <w:vAlign w:val="bottom"/>
            <w:tcBorders>
              <w:bottom w:val="single" w:sz="8" w:color="336699"/>
            </w:tcBorders>
            <w:shd w:val="clear" w:color="auto" w:fill="CCFFFF"/>
          </w:tcPr>
          <w:p>
            <w:pPr>
              <w:ind w:left="20"/>
              <w:spacing w:after="0"/>
              <w:rPr>
                <w:sz w:val="20"/>
                <w:szCs w:val="20"/>
                <w:color w:val="auto"/>
              </w:rPr>
            </w:pPr>
            <w:r>
              <w:rPr>
                <w:rFonts w:ascii="Arial" w:cs="Arial" w:eastAsia="Arial" w:hAnsi="Arial"/>
                <w:sz w:val="16"/>
                <w:szCs w:val="16"/>
                <w:color w:val="auto"/>
              </w:rPr>
              <w:t>Group Benefit Continuation</w:t>
            </w:r>
          </w:p>
        </w:tc>
        <w:tc>
          <w:tcPr>
            <w:tcW w:w="36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6"/>
                <w:szCs w:val="16"/>
                <w:color w:val="auto"/>
              </w:rPr>
              <w:t>16,059</w:t>
            </w:r>
          </w:p>
        </w:tc>
        <w:tc>
          <w:tcPr>
            <w:tcW w:w="520" w:type="dxa"/>
            <w:vAlign w:val="bottom"/>
            <w:tcBorders>
              <w:bottom w:val="single" w:sz="8" w:color="336699"/>
            </w:tcBorders>
            <w:shd w:val="clear" w:color="auto" w:fill="CCFFFF"/>
          </w:tcPr>
          <w:p>
            <w:pPr>
              <w:ind w:left="80"/>
              <w:spacing w:after="0"/>
              <w:rPr>
                <w:sz w:val="20"/>
                <w:szCs w:val="20"/>
                <w:color w:val="auto"/>
              </w:rPr>
            </w:pPr>
            <w:r>
              <w:rPr>
                <w:rFonts w:ascii="Arial" w:cs="Arial" w:eastAsia="Arial" w:hAnsi="Arial"/>
                <w:sz w:val="14"/>
                <w:szCs w:val="14"/>
                <w:color w:val="auto"/>
              </w:rPr>
              <w:t>(9)</w:t>
            </w:r>
          </w:p>
        </w:tc>
        <w:tc>
          <w:tcPr>
            <w:tcW w:w="480" w:type="dxa"/>
            <w:vAlign w:val="bottom"/>
            <w:tcBorders>
              <w:bottom w:val="single" w:sz="8" w:color="336699"/>
            </w:tcBorders>
            <w:shd w:val="clear" w:color="auto" w:fill="CCFF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336699"/>
            </w:tcBorders>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336699"/>
            </w:tcBorders>
            <w:shd w:val="clear" w:color="auto" w:fill="CCFFFF"/>
          </w:tcPr>
          <w:p>
            <w:pPr>
              <w:spacing w:after="0"/>
              <w:rPr>
                <w:sz w:val="24"/>
                <w:szCs w:val="24"/>
                <w:color w:val="auto"/>
              </w:rPr>
            </w:pPr>
          </w:p>
        </w:tc>
        <w:tc>
          <w:tcPr>
            <w:tcW w:w="500" w:type="dxa"/>
            <w:vAlign w:val="bottom"/>
            <w:tcBorders>
              <w:bottom w:val="single" w:sz="8" w:color="336699"/>
            </w:tcBorders>
            <w:shd w:val="clear" w:color="auto" w:fill="CCFF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336699"/>
            </w:tcBorders>
            <w:shd w:val="clear" w:color="auto" w:fill="CCFFFF"/>
          </w:tcPr>
          <w:p>
            <w:pPr>
              <w:jc w:val="right"/>
              <w:ind w:right="20"/>
              <w:spacing w:after="0"/>
              <w:rPr>
                <w:sz w:val="20"/>
                <w:szCs w:val="20"/>
                <w:color w:val="auto"/>
              </w:rPr>
            </w:pPr>
            <w:r>
              <w:rPr>
                <w:rFonts w:ascii="Arial" w:cs="Arial" w:eastAsia="Arial" w:hAnsi="Arial"/>
                <w:sz w:val="16"/>
                <w:szCs w:val="16"/>
                <w:color w:val="auto"/>
              </w:rPr>
              <w:t>24,088</w:t>
            </w:r>
          </w:p>
        </w:tc>
        <w:tc>
          <w:tcPr>
            <w:tcW w:w="560" w:type="dxa"/>
            <w:vAlign w:val="bottom"/>
            <w:tcBorders>
              <w:bottom w:val="single" w:sz="8" w:color="336699"/>
            </w:tcBorders>
            <w:shd w:val="clear" w:color="auto" w:fill="CCFFFF"/>
          </w:tcPr>
          <w:p>
            <w:pPr>
              <w:ind w:left="40"/>
              <w:spacing w:after="0"/>
              <w:rPr>
                <w:sz w:val="20"/>
                <w:szCs w:val="20"/>
                <w:color w:val="auto"/>
              </w:rPr>
            </w:pPr>
            <w:r>
              <w:rPr>
                <w:rFonts w:ascii="Arial" w:cs="Arial" w:eastAsia="Arial" w:hAnsi="Arial"/>
                <w:sz w:val="14"/>
                <w:szCs w:val="14"/>
                <w:color w:val="auto"/>
              </w:rPr>
              <w:t>(10)</w:t>
            </w:r>
          </w:p>
        </w:tc>
      </w:tr>
    </w:tbl>
    <w:p>
      <w:pPr>
        <w:spacing w:after="0" w:line="69" w:lineRule="exact"/>
        <w:rPr>
          <w:sz w:val="20"/>
          <w:szCs w:val="20"/>
          <w:color w:val="auto"/>
        </w:rPr>
      </w:pPr>
    </w:p>
    <w:p>
      <w:pPr>
        <w:ind w:left="340" w:right="280" w:hanging="332"/>
        <w:spacing w:after="0" w:line="286"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Executive Severance Plan provides benefits on a “double trigger” basis, requiring a termination of employment by the Company without cause or a termination by the executive for good reason within 12 months following a change-in-control. All amounts reported in this column assume both that a change-in-control occurred on December 31, 2016 and that the executive’s employment was terminated by the Company without cause or by the executive for good reason on December 31, 2016.</w:t>
      </w:r>
    </w:p>
    <w:p>
      <w:pPr>
        <w:spacing w:after="0" w:line="81" w:lineRule="exact"/>
        <w:rPr>
          <w:rFonts w:ascii="Arial" w:cs="Arial" w:eastAsia="Arial" w:hAnsi="Arial"/>
          <w:sz w:val="16"/>
          <w:szCs w:val="16"/>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continued payment under our Executive Severance Plan of the NEO’s base salary in effect on the separation date for 12 months.</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continued payment under our Executive Severance Plan of the NEO’s base salary in effect on the separation date for 18 months.</w:t>
      </w:r>
    </w:p>
    <w:p>
      <w:pPr>
        <w:spacing w:after="0" w:line="113" w:lineRule="exact"/>
        <w:rPr>
          <w:rFonts w:ascii="Arial" w:cs="Arial" w:eastAsia="Arial" w:hAnsi="Arial"/>
          <w:sz w:val="16"/>
          <w:szCs w:val="16"/>
          <w:color w:val="auto"/>
        </w:rPr>
      </w:pPr>
    </w:p>
    <w:p>
      <w:pPr>
        <w:ind w:left="340" w:right="140" w:hanging="332"/>
        <w:spacing w:after="0" w:line="260"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payment under our Executive Severance Plan of an amount equal to the bonus paid (or payable) to the NEO for the most recently completed calendar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48 | </w:t>
      </w:r>
      <w:r>
        <w:rPr>
          <w:rFonts w:ascii="Arial" w:cs="Arial" w:eastAsia="Arial" w:hAnsi="Arial"/>
          <w:sz w:val="18"/>
          <w:szCs w:val="18"/>
          <w:b w:val="1"/>
          <w:bCs w:val="1"/>
          <w:color w:val="003B71"/>
        </w:rPr>
        <w:t>2017 Proxy Statement</w:t>
      </w:r>
    </w:p>
    <w:p>
      <w:pPr>
        <w:sectPr>
          <w:pgSz w:w="11900" w:h="16838" w:orient="portrait"/>
          <w:cols w:equalWidth="0" w:num="1">
            <w:col w:w="11420"/>
          </w:cols>
          <w:pgMar w:left="240" w:top="436" w:right="239" w:bottom="1440" w:gutter="0" w:footer="0" w:header="0"/>
        </w:sectPr>
      </w:pPr>
    </w:p>
    <w:bookmarkStart w:id="54" w:name="page55"/>
    <w:bookmarkEnd w:id="54"/>
    <w:p>
      <w:pPr>
        <w:ind w:left="7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pacing w:after="0" w:line="200" w:lineRule="exact"/>
        <w:rPr>
          <w:sz w:val="20"/>
          <w:szCs w:val="20"/>
          <w:color w:val="auto"/>
        </w:rPr>
      </w:pPr>
    </w:p>
    <w:p>
      <w:pPr>
        <w:spacing w:after="0" w:line="381" w:lineRule="exact"/>
        <w:rPr>
          <w:sz w:val="20"/>
          <w:szCs w:val="20"/>
          <w:color w:val="auto"/>
        </w:rPr>
      </w:pPr>
    </w:p>
    <w:p>
      <w:pPr>
        <w:ind w:left="340" w:right="440" w:hanging="332"/>
        <w:spacing w:after="0" w:line="260"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payment under our Executive Severance Plan of an amount equal to 150% of the target bonus amount for the calendar year in which the NEO’s employment is terminated.</w:t>
      </w:r>
    </w:p>
    <w:p>
      <w:pPr>
        <w:spacing w:after="0" w:line="87"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the exercise by the NEO of the unvested portion of any outstanding stock options scheduled to vest based solely on the passage of time within 12 months following separation, the vesting of which would have been accelerated under our Executive Severance Plan.</w:t>
      </w:r>
    </w:p>
    <w:p>
      <w:pPr>
        <w:spacing w:after="0" w:line="87" w:lineRule="exact"/>
        <w:rPr>
          <w:rFonts w:ascii="Arial" w:cs="Arial" w:eastAsia="Arial" w:hAnsi="Arial"/>
          <w:sz w:val="16"/>
          <w:szCs w:val="16"/>
          <w:color w:val="auto"/>
        </w:rPr>
      </w:pPr>
    </w:p>
    <w:p>
      <w:pPr>
        <w:ind w:left="340" w:right="460" w:hanging="332"/>
        <w:spacing w:after="0" w:line="260"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the exercise by the NEO of the unvested portion all stock options, the vesting of which would have been accelerated upon termination of employment due to death under the terms of the executive’s stock option agreement.</w:t>
      </w:r>
    </w:p>
    <w:p>
      <w:pPr>
        <w:spacing w:after="0" w:line="87" w:lineRule="exact"/>
        <w:rPr>
          <w:rFonts w:ascii="Arial" w:cs="Arial" w:eastAsia="Arial" w:hAnsi="Arial"/>
          <w:sz w:val="16"/>
          <w:szCs w:val="16"/>
          <w:color w:val="auto"/>
        </w:rPr>
      </w:pPr>
    </w:p>
    <w:p>
      <w:pPr>
        <w:ind w:left="340" w:right="40" w:hanging="332"/>
        <w:spacing w:after="0" w:line="252"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the exercise by Mr. Casady of the unvested portion of all stock options, the vesting of which would have been accelerated under our Executive Severance Plan. The terms of stock option awards granted to Mr. Casady in 2012 and 2013 provided for accelerated vesting on a “single-trigger” basis. The exercise of the unvested portion of these awards, the vesting of which would have been accelerated upon a change-in-control, would represent $321,647.</w:t>
      </w:r>
    </w:p>
    <w:p>
      <w:pPr>
        <w:spacing w:after="0" w:line="284" w:lineRule="exact"/>
        <w:rPr>
          <w:rFonts w:ascii="Arial" w:cs="Arial" w:eastAsia="Arial" w:hAnsi="Arial"/>
          <w:sz w:val="16"/>
          <w:szCs w:val="16"/>
          <w:color w:val="auto"/>
        </w:rPr>
      </w:pPr>
    </w:p>
    <w:p>
      <w:pPr>
        <w:ind w:left="340" w:right="480" w:hanging="332"/>
        <w:spacing w:after="0" w:line="260"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payments under our Executive Severance Plan of amounts equal to 100% of the employer portion of premiums for continued health and dental plan participation under COBRA for the NEO and his or her qualified beneficiaries for a one-year period.</w:t>
      </w:r>
    </w:p>
    <w:p>
      <w:pPr>
        <w:spacing w:after="0" w:line="87" w:lineRule="exact"/>
        <w:rPr>
          <w:rFonts w:ascii="Arial" w:cs="Arial" w:eastAsia="Arial" w:hAnsi="Arial"/>
          <w:sz w:val="16"/>
          <w:szCs w:val="16"/>
          <w:color w:val="auto"/>
        </w:rPr>
      </w:pPr>
    </w:p>
    <w:p>
      <w:pPr>
        <w:ind w:left="340" w:right="340" w:hanging="332"/>
        <w:spacing w:after="0" w:line="260"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payments under our Executive Severance Plan of an amount equal to 100% of the employer portion of premiums for continued health and dental plan participation under COBRA for the NEO and his or her qualified beneficiaries for an 18-month period.</w:t>
      </w:r>
    </w:p>
    <w:p>
      <w:pPr>
        <w:spacing w:after="0" w:line="87" w:lineRule="exact"/>
        <w:rPr>
          <w:rFonts w:ascii="Arial" w:cs="Arial" w:eastAsia="Arial" w:hAnsi="Arial"/>
          <w:sz w:val="16"/>
          <w:szCs w:val="16"/>
          <w:color w:val="auto"/>
        </w:rPr>
      </w:pPr>
    </w:p>
    <w:p>
      <w:pPr>
        <w:ind w:left="340" w:right="240" w:hanging="332"/>
        <w:spacing w:after="0" w:line="260"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the exercise by the NEO of the unvested portion of all stock options, the vesting of which would have been accelerated under the Executive Severance Plan.</w:t>
      </w:r>
    </w:p>
    <w:p>
      <w:pPr>
        <w:spacing w:after="0" w:line="87" w:lineRule="exact"/>
        <w:rPr>
          <w:rFonts w:ascii="Arial" w:cs="Arial" w:eastAsia="Arial" w:hAnsi="Arial"/>
          <w:sz w:val="16"/>
          <w:szCs w:val="16"/>
          <w:color w:val="auto"/>
        </w:rPr>
      </w:pPr>
    </w:p>
    <w:p>
      <w:pPr>
        <w:ind w:left="340" w:right="80" w:hanging="332"/>
        <w:spacing w:after="0" w:line="253"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the issuance of shares of Common Stock in respect of the unvested portion of any outstanding RSUs scheduled to vest based solely on the passage of time within 12 months following termination of employment, the vesting of which would have been accelerated under our Executive Severance Plan.</w:t>
      </w:r>
    </w:p>
    <w:p>
      <w:pPr>
        <w:spacing w:after="0" w:line="93" w:lineRule="exact"/>
        <w:rPr>
          <w:rFonts w:ascii="Arial" w:cs="Arial" w:eastAsia="Arial" w:hAnsi="Arial"/>
          <w:sz w:val="16"/>
          <w:szCs w:val="16"/>
          <w:color w:val="auto"/>
        </w:rPr>
      </w:pPr>
    </w:p>
    <w:p>
      <w:pPr>
        <w:ind w:left="340" w:right="740" w:hanging="332"/>
        <w:spacing w:after="0" w:line="260"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the issuance of shares of Common Stock in respect of all unvested RSUs, the vesting of which would have been accelerated upon a termination due to death under the terms of the executive’s RSU agreement.</w:t>
      </w:r>
    </w:p>
    <w:p>
      <w:pPr>
        <w:spacing w:after="0" w:line="33" w:lineRule="exact"/>
        <w:rPr>
          <w:rFonts w:ascii="Arial" w:cs="Arial" w:eastAsia="Arial" w:hAnsi="Arial"/>
          <w:sz w:val="16"/>
          <w:szCs w:val="16"/>
          <w:color w:val="auto"/>
        </w:rPr>
      </w:pPr>
    </w:p>
    <w:p>
      <w:pPr>
        <w:ind w:left="340" w:right="540" w:hanging="332"/>
        <w:spacing w:after="0" w:line="260"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the issuance of shares of Common Stock in respect of all unvested RSUs, the vesting of which would have been accelerated under our Executive Severance Plan.</w:t>
      </w:r>
    </w:p>
    <w:p>
      <w:pPr>
        <w:sectPr>
          <w:pgSz w:w="11900" w:h="16838" w:orient="portrait"/>
          <w:cols w:equalWidth="0" w:num="1">
            <w:col w:w="11420"/>
          </w:cols>
          <w:pgMar w:left="240" w:top="436" w:right="2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Executive Severance Plan</w:t>
      </w:r>
    </w:p>
    <w:p>
      <w:pPr>
        <w:spacing w:after="0" w:line="242"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All of our NEOs are eligible to participate in our Executive Severance Plan. As described in more detail below, our Executive Severance Plan provides a uniform framework for payments and benefits to be provided to all executive participants upon certain terminations of employment in exchange for a participant’s compliance with restrictive covenants and the participant signing a general release agreement in favor of the Company. Our Executive Severance Plan can be amended or terminated at any time, in our discretion, and no eligible executive, including our NEOs, has a legally binding right to any payments or benefits under the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Intellectual Property, Confidentiality, and Non-Compete Clauses</w:t>
      </w:r>
    </w:p>
    <w:p>
      <w:pPr>
        <w:spacing w:after="0" w:line="24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a condition to benefits under the Executive Severance Plan, an executive is not permitted to engage in prohibited competitive conduct for a period of:</w:t>
      </w:r>
    </w:p>
    <w:p>
      <w:pPr>
        <w:spacing w:after="0" w:line="229" w:lineRule="exact"/>
        <w:rPr>
          <w:sz w:val="20"/>
          <w:szCs w:val="20"/>
          <w:color w:val="auto"/>
        </w:rPr>
      </w:pPr>
    </w:p>
    <w:p>
      <w:pPr>
        <w:jc w:val="both"/>
        <w:ind w:left="340" w:hanging="332"/>
        <w:spacing w:after="0" w:line="272" w:lineRule="auto"/>
        <w:tabs>
          <w:tab w:leader="none" w:pos="340" w:val="left"/>
        </w:tabs>
        <w:numPr>
          <w:ilvl w:val="0"/>
          <w:numId w:val="41"/>
        </w:numPr>
        <w:rPr>
          <w:rFonts w:ascii="Arial" w:cs="Arial" w:eastAsia="Arial" w:hAnsi="Arial"/>
          <w:sz w:val="22"/>
          <w:szCs w:val="22"/>
          <w:color w:val="auto"/>
        </w:rPr>
      </w:pPr>
      <w:r>
        <w:rPr>
          <w:rFonts w:ascii="Arial" w:cs="Arial" w:eastAsia="Arial" w:hAnsi="Arial"/>
          <w:sz w:val="18"/>
          <w:szCs w:val="18"/>
          <w:color w:val="auto"/>
        </w:rPr>
        <w:t>12 months following termination of employment by the Company without cause or a termination by the executive for good reason; and</w:t>
      </w:r>
    </w:p>
    <w:p>
      <w:pPr>
        <w:spacing w:after="0" w:line="230" w:lineRule="exact"/>
        <w:rPr>
          <w:rFonts w:ascii="Arial" w:cs="Arial" w:eastAsia="Arial" w:hAnsi="Arial"/>
          <w:sz w:val="22"/>
          <w:szCs w:val="22"/>
          <w:color w:val="auto"/>
        </w:rPr>
      </w:pPr>
    </w:p>
    <w:p>
      <w:pPr>
        <w:jc w:val="both"/>
        <w:ind w:left="340" w:hanging="332"/>
        <w:spacing w:after="0" w:line="272" w:lineRule="auto"/>
        <w:tabs>
          <w:tab w:leader="none" w:pos="340" w:val="left"/>
        </w:tabs>
        <w:numPr>
          <w:ilvl w:val="0"/>
          <w:numId w:val="41"/>
        </w:numPr>
        <w:rPr>
          <w:rFonts w:ascii="Arial" w:cs="Arial" w:eastAsia="Arial" w:hAnsi="Arial"/>
          <w:sz w:val="22"/>
          <w:szCs w:val="22"/>
          <w:color w:val="auto"/>
        </w:rPr>
      </w:pPr>
      <w:r>
        <w:rPr>
          <w:rFonts w:ascii="Arial" w:cs="Arial" w:eastAsia="Arial" w:hAnsi="Arial"/>
          <w:sz w:val="18"/>
          <w:szCs w:val="18"/>
          <w:color w:val="auto"/>
        </w:rPr>
        <w:t>18 months following termination of employment by the Company without cause or a termination by the executive for good reason within 12 months following a change-in-control.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Severance and Change-in-Control Payments</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may become obligated to make severance payments to each of our NEOs upon the termination of the executive’s employment under our Executive Severance Plan. These benefits are described below. We, however, have no obligation to grant any of the executive officers any “gross-up” or other “make-whole” compensation for any tax imposed on severance or change-in-control payments made to the executive officer, including “parachute payments.” Severance payable in connection with a change-in-control under our Executive Severance Plan is subject to a so-called “modified golden parachute cutback” provision pursuant to which excess parachute payments would be reduced to the extent such reduction would result in greater after-tax benefits to the executive.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Termination Without Cause or For Good Reason</w:t>
      </w:r>
    </w:p>
    <w:p>
      <w:pPr>
        <w:spacing w:after="0" w:line="24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Under the terms of our Executive Severance Plan, upon a termination of employment by the Company without cause or by the executive for good reason, a participant in the Executive Severance Plan (“Participant”) will be entitled to the following payments and benefits, subject to the execution of a release of claims and continued compliance with post-termination restrictive covenants:</w:t>
      </w:r>
    </w:p>
    <w:p>
      <w:pPr>
        <w:spacing w:after="0" w:line="220" w:lineRule="exact"/>
        <w:rPr>
          <w:sz w:val="20"/>
          <w:szCs w:val="20"/>
          <w:color w:val="auto"/>
        </w:rPr>
      </w:pPr>
    </w:p>
    <w:p>
      <w:pPr>
        <w:ind w:left="320" w:right="880" w:hanging="318"/>
        <w:spacing w:after="0" w:line="255" w:lineRule="auto"/>
        <w:tabs>
          <w:tab w:leader="none" w:pos="320" w:val="left"/>
        </w:tabs>
        <w:numPr>
          <w:ilvl w:val="0"/>
          <w:numId w:val="42"/>
        </w:numPr>
        <w:rPr>
          <w:rFonts w:ascii="Arial" w:cs="Arial" w:eastAsia="Arial" w:hAnsi="Arial"/>
          <w:sz w:val="22"/>
          <w:szCs w:val="22"/>
          <w:color w:val="auto"/>
        </w:rPr>
      </w:pPr>
      <w:r>
        <w:rPr>
          <w:rFonts w:ascii="Arial" w:cs="Arial" w:eastAsia="Arial" w:hAnsi="Arial"/>
          <w:sz w:val="18"/>
          <w:szCs w:val="18"/>
          <w:color w:val="auto"/>
        </w:rPr>
        <w:t>Base salary through the Participant’s separation date, reimbursements for reasonable business</w:t>
      </w:r>
    </w:p>
    <w:p>
      <w:pPr>
        <w:spacing w:after="0" w:line="386" w:lineRule="exact"/>
        <w:rPr>
          <w:sz w:val="20"/>
          <w:szCs w:val="20"/>
          <w:color w:val="auto"/>
        </w:rPr>
      </w:pPr>
    </w:p>
    <w:p>
      <w:pPr>
        <w:sectPr>
          <w:pgSz w:w="11900" w:h="16838" w:orient="portrait"/>
          <w:cols w:equalWidth="0" w:num="2">
            <w:col w:w="5460" w:space="480"/>
            <w:col w:w="5480"/>
          </w:cols>
          <w:pgMar w:left="240" w:top="436" w:right="239" w:bottom="1440" w:gutter="0" w:footer="0" w:header="0"/>
          <w:type w:val="continuous"/>
        </w:sectPr>
      </w:pPr>
    </w:p>
    <w:p>
      <w:pPr>
        <w:spacing w:after="0" w:line="116"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49</w:t>
      </w:r>
    </w:p>
    <w:p>
      <w:pPr>
        <w:sectPr>
          <w:pgSz w:w="11900" w:h="16838" w:orient="portrait"/>
          <w:cols w:equalWidth="0" w:num="1">
            <w:col w:w="11420"/>
          </w:cols>
          <w:pgMar w:left="240" w:top="436" w:right="239" w:bottom="1440" w:gutter="0" w:footer="0" w:header="0"/>
          <w:type w:val="continuous"/>
        </w:sectPr>
      </w:pPr>
    </w:p>
    <w:bookmarkStart w:id="55" w:name="page56"/>
    <w:bookmarkEnd w:id="55"/>
    <w:p>
      <w:pPr>
        <w:ind w:left="7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ectPr>
          <w:pgSz w:w="11900" w:h="16838" w:orient="portrait"/>
          <w:cols w:equalWidth="0" w:num="1">
            <w:col w:w="11400"/>
          </w:cols>
          <w:pgMar w:left="240" w:top="43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expenses, and any other employee benefit entitlements;</w:t>
      </w:r>
    </w:p>
    <w:p>
      <w:pPr>
        <w:spacing w:after="0" w:line="266" w:lineRule="exact"/>
        <w:rPr>
          <w:sz w:val="20"/>
          <w:szCs w:val="20"/>
          <w:color w:val="auto"/>
        </w:rPr>
      </w:pPr>
    </w:p>
    <w:p>
      <w:pPr>
        <w:ind w:left="340" w:right="540" w:hanging="332"/>
        <w:spacing w:after="0" w:line="284" w:lineRule="auto"/>
        <w:tabs>
          <w:tab w:leader="none" w:pos="340" w:val="left"/>
        </w:tabs>
        <w:numPr>
          <w:ilvl w:val="0"/>
          <w:numId w:val="43"/>
        </w:numPr>
        <w:rPr>
          <w:rFonts w:ascii="Arial" w:cs="Arial" w:eastAsia="Arial" w:hAnsi="Arial"/>
          <w:sz w:val="21"/>
          <w:szCs w:val="21"/>
          <w:color w:val="auto"/>
        </w:rPr>
      </w:pPr>
      <w:r>
        <w:rPr>
          <w:rFonts w:ascii="Arial" w:cs="Arial" w:eastAsia="Arial" w:hAnsi="Arial"/>
          <w:sz w:val="17"/>
          <w:szCs w:val="17"/>
          <w:color w:val="auto"/>
        </w:rPr>
        <w:t>An amount equal to the bonus paid (or payable) to the Participant for the most recently completed calendar year;</w:t>
      </w:r>
    </w:p>
    <w:p>
      <w:pPr>
        <w:spacing w:after="0" w:line="212" w:lineRule="exact"/>
        <w:rPr>
          <w:rFonts w:ascii="Arial" w:cs="Arial" w:eastAsia="Arial" w:hAnsi="Arial"/>
          <w:sz w:val="21"/>
          <w:szCs w:val="21"/>
          <w:color w:val="auto"/>
        </w:rPr>
      </w:pPr>
    </w:p>
    <w:p>
      <w:pPr>
        <w:ind w:left="340" w:right="60" w:hanging="332"/>
        <w:spacing w:after="0" w:line="255" w:lineRule="auto"/>
        <w:tabs>
          <w:tab w:leader="none" w:pos="340" w:val="left"/>
        </w:tabs>
        <w:numPr>
          <w:ilvl w:val="0"/>
          <w:numId w:val="43"/>
        </w:numPr>
        <w:rPr>
          <w:rFonts w:ascii="Arial" w:cs="Arial" w:eastAsia="Arial" w:hAnsi="Arial"/>
          <w:sz w:val="22"/>
          <w:szCs w:val="22"/>
          <w:color w:val="auto"/>
        </w:rPr>
      </w:pPr>
      <w:r>
        <w:rPr>
          <w:rFonts w:ascii="Arial" w:cs="Arial" w:eastAsia="Arial" w:hAnsi="Arial"/>
          <w:sz w:val="18"/>
          <w:szCs w:val="18"/>
          <w:color w:val="auto"/>
        </w:rPr>
        <w:t>Continued payment of base salary for one year after termination of employment;</w:t>
      </w:r>
    </w:p>
    <w:p>
      <w:pPr>
        <w:spacing w:after="0" w:line="240" w:lineRule="exact"/>
        <w:rPr>
          <w:rFonts w:ascii="Arial" w:cs="Arial" w:eastAsia="Arial" w:hAnsi="Arial"/>
          <w:sz w:val="22"/>
          <w:szCs w:val="22"/>
          <w:color w:val="auto"/>
        </w:rPr>
      </w:pPr>
    </w:p>
    <w:p>
      <w:pPr>
        <w:ind w:left="340" w:right="100" w:hanging="332"/>
        <w:spacing w:after="0" w:line="280" w:lineRule="auto"/>
        <w:tabs>
          <w:tab w:leader="none" w:pos="340" w:val="left"/>
        </w:tabs>
        <w:numPr>
          <w:ilvl w:val="0"/>
          <w:numId w:val="43"/>
        </w:numPr>
        <w:rPr>
          <w:rFonts w:ascii="Arial" w:cs="Arial" w:eastAsia="Arial" w:hAnsi="Arial"/>
          <w:sz w:val="22"/>
          <w:szCs w:val="22"/>
          <w:color w:val="auto"/>
        </w:rPr>
      </w:pPr>
      <w:r>
        <w:rPr>
          <w:rFonts w:ascii="Arial" w:cs="Arial" w:eastAsia="Arial" w:hAnsi="Arial"/>
          <w:sz w:val="18"/>
          <w:szCs w:val="18"/>
          <w:color w:val="auto"/>
        </w:rPr>
        <w:t>Accelerated vesting of the unvested portion of any outstanding equity and equity-based awards scheduled to vest based solely on the passage of time within 12 months of such Participant’s separation date; and</w:t>
      </w:r>
    </w:p>
    <w:p>
      <w:pPr>
        <w:spacing w:after="0" w:line="222" w:lineRule="exact"/>
        <w:rPr>
          <w:rFonts w:ascii="Arial" w:cs="Arial" w:eastAsia="Arial" w:hAnsi="Arial"/>
          <w:sz w:val="22"/>
          <w:szCs w:val="22"/>
          <w:color w:val="auto"/>
        </w:rPr>
      </w:pPr>
    </w:p>
    <w:p>
      <w:pPr>
        <w:ind w:left="340" w:right="20" w:hanging="332"/>
        <w:spacing w:after="0" w:line="289" w:lineRule="auto"/>
        <w:tabs>
          <w:tab w:leader="none" w:pos="340" w:val="left"/>
        </w:tabs>
        <w:numPr>
          <w:ilvl w:val="0"/>
          <w:numId w:val="43"/>
        </w:numPr>
        <w:rPr>
          <w:rFonts w:ascii="Arial" w:cs="Arial" w:eastAsia="Arial" w:hAnsi="Arial"/>
          <w:sz w:val="22"/>
          <w:szCs w:val="22"/>
          <w:color w:val="auto"/>
        </w:rPr>
      </w:pPr>
      <w:r>
        <w:rPr>
          <w:rFonts w:ascii="Arial" w:cs="Arial" w:eastAsia="Arial" w:hAnsi="Arial"/>
          <w:sz w:val="18"/>
          <w:szCs w:val="18"/>
          <w:color w:val="auto"/>
        </w:rPr>
        <w:t>Payment of the employer portion of the premium for COBRA participation in the Company’s health and dental plans until the earliest of 12 months following termination of the Participant’s participation in such plans as an employee, the date that such Participant becomes eligible for comparable benefit coverage, or the date the Participant is no longer eligible for COBRA (subject to the Participant’s eligibility under COBRA and proper and timely elections).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any performance-based equity or equity-based awards will remain outstanding and eligible to become earned in accordance with their terms, provided that the portion of the awards that becomes earned and vested will be prorated based upon the number of days that have elapsed in the applicable Performance Period.</w:t>
      </w:r>
    </w:p>
    <w:p>
      <w:pPr>
        <w:spacing w:after="0" w:line="20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Further, upon a termination of employment by the Company without cause or by the executive for good reason within a 12-month period following the date of consummation of a change-in-control (as defined in the Executive Severance Plan), a Participant will be entitled to the following payments and benefits, subject to the execution of a release of claims and continued compliance with post-termination restrictive covenants:</w:t>
      </w:r>
    </w:p>
    <w:p>
      <w:pPr>
        <w:spacing w:after="0" w:line="234" w:lineRule="exact"/>
        <w:rPr>
          <w:sz w:val="20"/>
          <w:szCs w:val="20"/>
          <w:color w:val="auto"/>
        </w:rPr>
      </w:pPr>
    </w:p>
    <w:p>
      <w:pPr>
        <w:ind w:left="340" w:right="340" w:hanging="332"/>
        <w:spacing w:after="0" w:line="272" w:lineRule="auto"/>
        <w:tabs>
          <w:tab w:leader="none" w:pos="340" w:val="left"/>
        </w:tabs>
        <w:numPr>
          <w:ilvl w:val="0"/>
          <w:numId w:val="44"/>
        </w:numPr>
        <w:rPr>
          <w:rFonts w:ascii="Arial" w:cs="Arial" w:eastAsia="Arial" w:hAnsi="Arial"/>
          <w:sz w:val="22"/>
          <w:szCs w:val="22"/>
          <w:color w:val="auto"/>
        </w:rPr>
      </w:pPr>
      <w:r>
        <w:rPr>
          <w:rFonts w:ascii="Arial" w:cs="Arial" w:eastAsia="Arial" w:hAnsi="Arial"/>
          <w:sz w:val="18"/>
          <w:szCs w:val="18"/>
          <w:color w:val="auto"/>
        </w:rPr>
        <w:t>Base salary through the Participant’s separation date, reimbursements for reasonable business expenses, and any other employee benefit entitlements;</w:t>
      </w:r>
    </w:p>
    <w:p>
      <w:pPr>
        <w:spacing w:after="0" w:line="230" w:lineRule="exact"/>
        <w:rPr>
          <w:rFonts w:ascii="Arial" w:cs="Arial" w:eastAsia="Arial" w:hAnsi="Arial"/>
          <w:sz w:val="22"/>
          <w:szCs w:val="22"/>
          <w:color w:val="auto"/>
        </w:rPr>
      </w:pPr>
    </w:p>
    <w:p>
      <w:pPr>
        <w:ind w:left="340" w:right="240" w:hanging="332"/>
        <w:spacing w:after="0" w:line="255" w:lineRule="auto"/>
        <w:tabs>
          <w:tab w:leader="none" w:pos="340" w:val="left"/>
        </w:tabs>
        <w:numPr>
          <w:ilvl w:val="0"/>
          <w:numId w:val="44"/>
        </w:numPr>
        <w:rPr>
          <w:rFonts w:ascii="Arial" w:cs="Arial" w:eastAsia="Arial" w:hAnsi="Arial"/>
          <w:sz w:val="22"/>
          <w:szCs w:val="22"/>
          <w:color w:val="auto"/>
        </w:rPr>
      </w:pPr>
      <w:r>
        <w:rPr>
          <w:rFonts w:ascii="Arial" w:cs="Arial" w:eastAsia="Arial" w:hAnsi="Arial"/>
          <w:sz w:val="18"/>
          <w:szCs w:val="18"/>
          <w:color w:val="auto"/>
        </w:rPr>
        <w:t>An amount equal to 150% of the Participant’s target bonus for the calendar year in which employment is terminated;</w:t>
      </w:r>
    </w:p>
    <w:p>
      <w:pPr>
        <w:spacing w:after="0" w:line="240" w:lineRule="exact"/>
        <w:rPr>
          <w:rFonts w:ascii="Arial" w:cs="Arial" w:eastAsia="Arial" w:hAnsi="Arial"/>
          <w:sz w:val="22"/>
          <w:szCs w:val="22"/>
          <w:color w:val="auto"/>
        </w:rPr>
      </w:pPr>
    </w:p>
    <w:p>
      <w:pPr>
        <w:ind w:left="340" w:right="860" w:hanging="332"/>
        <w:spacing w:after="0" w:line="255" w:lineRule="auto"/>
        <w:tabs>
          <w:tab w:leader="none" w:pos="340" w:val="left"/>
        </w:tabs>
        <w:numPr>
          <w:ilvl w:val="0"/>
          <w:numId w:val="44"/>
        </w:numPr>
        <w:rPr>
          <w:rFonts w:ascii="Arial" w:cs="Arial" w:eastAsia="Arial" w:hAnsi="Arial"/>
          <w:sz w:val="22"/>
          <w:szCs w:val="22"/>
          <w:color w:val="auto"/>
        </w:rPr>
      </w:pPr>
      <w:r>
        <w:rPr>
          <w:rFonts w:ascii="Arial" w:cs="Arial" w:eastAsia="Arial" w:hAnsi="Arial"/>
          <w:sz w:val="18"/>
          <w:szCs w:val="18"/>
          <w:color w:val="auto"/>
        </w:rPr>
        <w:t>Continued payment of base salary for 18 months after termination;</w:t>
      </w:r>
    </w:p>
    <w:p>
      <w:pPr>
        <w:spacing w:after="0" w:line="240" w:lineRule="exact"/>
        <w:rPr>
          <w:rFonts w:ascii="Arial" w:cs="Arial" w:eastAsia="Arial" w:hAnsi="Arial"/>
          <w:sz w:val="22"/>
          <w:szCs w:val="22"/>
          <w:color w:val="auto"/>
        </w:rPr>
      </w:pPr>
    </w:p>
    <w:p>
      <w:pPr>
        <w:ind w:left="340" w:right="220" w:hanging="332"/>
        <w:spacing w:after="0" w:line="255" w:lineRule="auto"/>
        <w:tabs>
          <w:tab w:leader="none" w:pos="340" w:val="left"/>
        </w:tabs>
        <w:numPr>
          <w:ilvl w:val="0"/>
          <w:numId w:val="44"/>
        </w:numPr>
        <w:rPr>
          <w:rFonts w:ascii="Arial" w:cs="Arial" w:eastAsia="Arial" w:hAnsi="Arial"/>
          <w:sz w:val="22"/>
          <w:szCs w:val="22"/>
          <w:color w:val="auto"/>
        </w:rPr>
      </w:pPr>
      <w:r>
        <w:rPr>
          <w:rFonts w:ascii="Arial" w:cs="Arial" w:eastAsia="Arial" w:hAnsi="Arial"/>
          <w:sz w:val="18"/>
          <w:szCs w:val="18"/>
          <w:color w:val="auto"/>
        </w:rPr>
        <w:t>Accelerated vesting in full of all outstanding time-based equity and equity-based awards and pro-</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50 | </w:t>
      </w:r>
      <w:r>
        <w:rPr>
          <w:rFonts w:ascii="Arial" w:cs="Arial" w:eastAsia="Arial" w:hAnsi="Arial"/>
          <w:sz w:val="18"/>
          <w:szCs w:val="18"/>
          <w:b w:val="1"/>
          <w:bCs w:val="1"/>
          <w:color w:val="003B71"/>
        </w:rPr>
        <w:t>2017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line="309" w:lineRule="auto"/>
        <w:rPr>
          <w:sz w:val="20"/>
          <w:szCs w:val="20"/>
          <w:color w:val="auto"/>
        </w:rPr>
      </w:pPr>
      <w:r>
        <w:rPr>
          <w:rFonts w:ascii="Arial" w:cs="Arial" w:eastAsia="Arial" w:hAnsi="Arial"/>
          <w:sz w:val="18"/>
          <w:szCs w:val="18"/>
          <w:color w:val="auto"/>
        </w:rPr>
        <w:t>rated vesting of any performance-based equity and equity-based awards at target; and</w:t>
      </w:r>
    </w:p>
    <w:p>
      <w:pPr>
        <w:spacing w:after="0" w:line="196" w:lineRule="exact"/>
        <w:rPr>
          <w:sz w:val="20"/>
          <w:szCs w:val="20"/>
          <w:color w:val="auto"/>
        </w:rPr>
      </w:pPr>
    </w:p>
    <w:p>
      <w:pPr>
        <w:ind w:left="320" w:hanging="318"/>
        <w:spacing w:after="0" w:line="289" w:lineRule="auto"/>
        <w:tabs>
          <w:tab w:leader="none" w:pos="320" w:val="left"/>
        </w:tabs>
        <w:numPr>
          <w:ilvl w:val="0"/>
          <w:numId w:val="45"/>
        </w:numPr>
        <w:rPr>
          <w:rFonts w:ascii="Arial" w:cs="Arial" w:eastAsia="Arial" w:hAnsi="Arial"/>
          <w:sz w:val="22"/>
          <w:szCs w:val="22"/>
          <w:color w:val="auto"/>
        </w:rPr>
      </w:pPr>
      <w:r>
        <w:rPr>
          <w:rFonts w:ascii="Arial" w:cs="Arial" w:eastAsia="Arial" w:hAnsi="Arial"/>
          <w:sz w:val="18"/>
          <w:szCs w:val="18"/>
          <w:color w:val="auto"/>
        </w:rPr>
        <w:t>Payment of the employer portion of the premium for COBRA participation in the Company’s health and dental plans until the earliest of 18 months following termination of the Participant’s participation in such plans as an employee, the date that such Participant becomes eligible for comparable benefit coverage, or the date the Participant is no longer eligible for COBRA (subject to the Participant’s eligibility under COBRA and proper and timely elections).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under our Executive Severance Plan means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Participant’s:</w:t>
      </w:r>
    </w:p>
    <w:p>
      <w:pPr>
        <w:spacing w:after="0" w:line="225" w:lineRule="exact"/>
        <w:rPr>
          <w:sz w:val="20"/>
          <w:szCs w:val="20"/>
          <w:color w:val="auto"/>
        </w:rPr>
      </w:pPr>
    </w:p>
    <w:p>
      <w:pPr>
        <w:ind w:left="320" w:right="40" w:hanging="318"/>
        <w:spacing w:after="0" w:line="252" w:lineRule="auto"/>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willful and continued failure to perform, or gross negligence or willful misconduct in the performance of, his or her material duties with respect to the Company or an affiliate which, if curable, continues beyond ten (10) business days after a written demand for substantial performance is delivered to such Participant by the Company;</w:t>
      </w:r>
    </w:p>
    <w:p>
      <w:pPr>
        <w:spacing w:after="0" w:line="208" w:lineRule="exact"/>
        <w:rPr>
          <w:rFonts w:ascii="Arial" w:cs="Arial" w:eastAsia="Arial" w:hAnsi="Arial"/>
          <w:sz w:val="18"/>
          <w:szCs w:val="18"/>
          <w:color w:val="auto"/>
        </w:rPr>
      </w:pPr>
    </w:p>
    <w:p>
      <w:pPr>
        <w:ind w:left="320" w:right="140" w:hanging="318"/>
        <w:spacing w:after="0" w:line="256" w:lineRule="auto"/>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conviction of, or a plea of nolo contendere to, a crime constituting a felony under the laws of the United States or any state thereof;</w:t>
      </w:r>
    </w:p>
    <w:p>
      <w:pPr>
        <w:spacing w:after="0" w:line="201" w:lineRule="exact"/>
        <w:rPr>
          <w:rFonts w:ascii="Arial" w:cs="Arial" w:eastAsia="Arial" w:hAnsi="Arial"/>
          <w:sz w:val="18"/>
          <w:szCs w:val="18"/>
          <w:color w:val="auto"/>
        </w:rPr>
      </w:pPr>
    </w:p>
    <w:p>
      <w:pPr>
        <w:jc w:val="both"/>
        <w:ind w:left="320" w:right="20" w:hanging="318"/>
        <w:spacing w:after="0" w:line="256" w:lineRule="auto"/>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committing or engaging in any act of fraud, embezzlement, theft, or other act of dishonesty that causes material injury, monetarily or otherwise, to the Company or an affiliate;</w:t>
      </w:r>
    </w:p>
    <w:p>
      <w:pPr>
        <w:spacing w:after="0" w:line="201" w:lineRule="exact"/>
        <w:rPr>
          <w:rFonts w:ascii="Arial" w:cs="Arial" w:eastAsia="Arial" w:hAnsi="Arial"/>
          <w:sz w:val="18"/>
          <w:szCs w:val="18"/>
          <w:color w:val="auto"/>
        </w:rPr>
      </w:pPr>
    </w:p>
    <w:p>
      <w:pPr>
        <w:ind w:left="320" w:right="160" w:hanging="318"/>
        <w:spacing w:after="0" w:line="262" w:lineRule="auto"/>
        <w:tabs>
          <w:tab w:leader="none" w:pos="316" w:val="left"/>
        </w:tabs>
        <w:numPr>
          <w:ilvl w:val="0"/>
          <w:numId w:val="46"/>
        </w:numPr>
        <w:rPr>
          <w:rFonts w:ascii="Arial" w:cs="Arial" w:eastAsia="Arial" w:hAnsi="Arial"/>
          <w:sz w:val="18"/>
          <w:szCs w:val="18"/>
          <w:color w:val="auto"/>
        </w:rPr>
      </w:pPr>
      <w:r>
        <w:rPr>
          <w:rFonts w:ascii="Arial" w:cs="Arial" w:eastAsia="Arial" w:hAnsi="Arial"/>
          <w:sz w:val="18"/>
          <w:szCs w:val="18"/>
          <w:color w:val="auto"/>
        </w:rPr>
        <w:t>breach of the restrictive covenants in the Executive Severance Plan;</w:t>
      </w:r>
    </w:p>
    <w:p>
      <w:pPr>
        <w:spacing w:after="0" w:line="196" w:lineRule="exact"/>
        <w:rPr>
          <w:rFonts w:ascii="Arial" w:cs="Arial" w:eastAsia="Arial" w:hAnsi="Arial"/>
          <w:sz w:val="18"/>
          <w:szCs w:val="18"/>
          <w:color w:val="auto"/>
        </w:rPr>
      </w:pPr>
    </w:p>
    <w:p>
      <w:pPr>
        <w:ind w:left="320" w:right="100" w:hanging="318"/>
        <w:spacing w:after="0" w:line="254" w:lineRule="auto"/>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violation of the code of conduct of the Company or its subsidiaries or any policy of the Company or its subsidiaries, or of any statutory or common law duty of loyalty to the Company or its subsidiaries; or</w:t>
      </w:r>
    </w:p>
    <w:p>
      <w:pPr>
        <w:spacing w:after="0" w:line="204" w:lineRule="exact"/>
        <w:rPr>
          <w:rFonts w:ascii="Arial" w:cs="Arial" w:eastAsia="Arial" w:hAnsi="Arial"/>
          <w:sz w:val="18"/>
          <w:szCs w:val="18"/>
          <w:color w:val="auto"/>
        </w:rPr>
      </w:pPr>
    </w:p>
    <w:p>
      <w:pPr>
        <w:ind w:left="320" w:hanging="318"/>
        <w:spacing w:after="0" w:line="262" w:lineRule="auto"/>
        <w:tabs>
          <w:tab w:leader="none" w:pos="266"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conduct that could reasonably be expected to be harmful to the business, interests, or reputation of the Company.</w:t>
      </w:r>
    </w:p>
    <w:p>
      <w:pPr>
        <w:spacing w:after="0" w:line="178"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Reason</w:t>
      </w:r>
      <w:r>
        <w:rPr>
          <w:rFonts w:ascii="Arial" w:cs="Arial" w:eastAsia="Arial" w:hAnsi="Arial"/>
          <w:sz w:val="18"/>
          <w:szCs w:val="18"/>
          <w:color w:val="auto"/>
        </w:rPr>
        <w:t>” under our Executive Severance Plan means the occurrence, without the Participant’s written consent, of:</w:t>
      </w:r>
    </w:p>
    <w:p>
      <w:pPr>
        <w:spacing w:after="0" w:line="180" w:lineRule="exact"/>
        <w:rPr>
          <w:sz w:val="20"/>
          <w:szCs w:val="20"/>
          <w:color w:val="auto"/>
        </w:rPr>
      </w:pPr>
    </w:p>
    <w:p>
      <w:pPr>
        <w:ind w:left="320" w:right="20" w:hanging="318"/>
        <w:spacing w:after="0" w:line="254" w:lineRule="auto"/>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material reduction in base salary unless such reduction is consistent with reductions made in the applicable annual base salaries of other similarly situated employees of the Company or its affiliates;</w:t>
      </w:r>
    </w:p>
    <w:p>
      <w:pPr>
        <w:spacing w:after="0" w:line="204" w:lineRule="exact"/>
        <w:rPr>
          <w:rFonts w:ascii="Arial" w:cs="Arial" w:eastAsia="Arial" w:hAnsi="Arial"/>
          <w:sz w:val="18"/>
          <w:szCs w:val="18"/>
          <w:color w:val="auto"/>
        </w:rPr>
      </w:pPr>
    </w:p>
    <w:p>
      <w:pPr>
        <w:ind w:left="320" w:right="80" w:hanging="318"/>
        <w:spacing w:after="0" w:line="291" w:lineRule="auto"/>
        <w:tabs>
          <w:tab w:leader="none" w:pos="3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material adverse change in duties and responsibilities at the Company or its affiliates (but not changes in functional titles); or</w:t>
      </w:r>
    </w:p>
    <w:p>
      <w:pPr>
        <w:sectPr>
          <w:pgSz w:w="11900" w:h="16838" w:orient="portrait"/>
          <w:cols w:equalWidth="0" w:num="2">
            <w:col w:w="5480" w:space="460"/>
            <w:col w:w="5460"/>
          </w:cols>
          <w:pgMar w:left="240" w:top="436" w:right="259" w:bottom="1440" w:gutter="0" w:footer="0" w:header="0"/>
          <w:type w:val="continuous"/>
        </w:sectPr>
      </w:pPr>
    </w:p>
    <w:bookmarkStart w:id="56" w:name="page57"/>
    <w:bookmarkEnd w:id="56"/>
    <w:p>
      <w:pPr>
        <w:ind w:left="7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ectPr>
          <w:pgSz w:w="11900" w:h="16838" w:orient="portrait"/>
          <w:cols w:equalWidth="0" w:num="1">
            <w:col w:w="11420"/>
          </w:cols>
          <w:pgMar w:left="240" w:top="4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 w:hanging="332"/>
        <w:spacing w:after="0" w:line="252"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relocation that would result in the Participant’s principal location of employment being moved 50 miles away from the Participant’s principal location of employment as in effect immediately prior to the consummation of a change-in-control, to the extent any such relocation occurs during the 12-month period following the date of the consummation of a change-in-control.</w:t>
      </w:r>
    </w:p>
    <w:p>
      <w:pPr>
        <w:spacing w:after="0" w:line="2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Participant is required to provide notice within 90 days following the “</w:t>
      </w:r>
      <w:r>
        <w:rPr>
          <w:rFonts w:ascii="Arial" w:cs="Arial" w:eastAsia="Arial" w:hAnsi="Arial"/>
          <w:sz w:val="18"/>
          <w:szCs w:val="18"/>
          <w:i w:val="1"/>
          <w:iCs w:val="1"/>
          <w:color w:val="auto"/>
        </w:rPr>
        <w:t>Good Reason</w:t>
      </w:r>
      <w:r>
        <w:rPr>
          <w:rFonts w:ascii="Arial" w:cs="Arial" w:eastAsia="Arial" w:hAnsi="Arial"/>
          <w:sz w:val="18"/>
          <w:szCs w:val="18"/>
          <w:color w:val="auto"/>
        </w:rPr>
        <w:t>” event (and the Company will have 30 days following such notice to cure). “</w:t>
      </w:r>
      <w:r>
        <w:rPr>
          <w:rFonts w:ascii="Arial" w:cs="Arial" w:eastAsia="Arial" w:hAnsi="Arial"/>
          <w:sz w:val="18"/>
          <w:szCs w:val="18"/>
          <w:i w:val="1"/>
          <w:iCs w:val="1"/>
          <w:color w:val="auto"/>
        </w:rPr>
        <w:t>Good Reason</w:t>
      </w:r>
      <w:r>
        <w:rPr>
          <w:rFonts w:ascii="Arial" w:cs="Arial" w:eastAsia="Arial" w:hAnsi="Arial"/>
          <w:sz w:val="18"/>
          <w:szCs w:val="18"/>
          <w:color w:val="auto"/>
        </w:rPr>
        <w:t>” will cease to exist for an event on the 90th day following the date on which the Participant knew or reasonably should have known of such event and failed to give notice as described above or if the Participant failed to terminate employment within 14 days following the expiration of the cure period.</w:t>
      </w:r>
    </w:p>
    <w:p>
      <w:pPr>
        <w:spacing w:after="0" w:line="18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Change-in-Control</w:t>
      </w:r>
      <w:r>
        <w:rPr>
          <w:rFonts w:ascii="Arial" w:cs="Arial" w:eastAsia="Arial" w:hAnsi="Arial"/>
          <w:sz w:val="18"/>
          <w:szCs w:val="18"/>
          <w:color w:val="auto"/>
        </w:rPr>
        <w:t>” under our Executive Severance Plan means the consummation of:</w:t>
      </w:r>
    </w:p>
    <w:p>
      <w:pPr>
        <w:spacing w:after="0" w:line="180" w:lineRule="exact"/>
        <w:rPr>
          <w:sz w:val="20"/>
          <w:szCs w:val="20"/>
          <w:color w:val="auto"/>
        </w:rPr>
      </w:pPr>
    </w:p>
    <w:p>
      <w:pPr>
        <w:ind w:left="340" w:right="20" w:hanging="332"/>
        <w:spacing w:after="0" w:line="252"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transaction or series of related transactions, whether or not the Company is a party thereto, after giving effect to which in excess of 50 percent of the Company’s voting power is owned directly, or indirectly through one or more entities, by any person and its “affiliates” or “associates” (as such terms are defined in the Exchange Act rules) or any “group” (as defined in the Exchange Act rules) other than, in each case, the Company or an affiliate of the Company after February 23, 2017; or</w:t>
      </w:r>
    </w:p>
    <w:p>
      <w:pPr>
        <w:spacing w:after="0" w:line="206" w:lineRule="exact"/>
        <w:rPr>
          <w:rFonts w:ascii="Arial" w:cs="Arial" w:eastAsia="Arial" w:hAnsi="Arial"/>
          <w:sz w:val="18"/>
          <w:szCs w:val="18"/>
          <w:color w:val="auto"/>
        </w:rPr>
      </w:pPr>
    </w:p>
    <w:p>
      <w:pPr>
        <w:ind w:left="340" w:right="20" w:hanging="332"/>
        <w:spacing w:after="0" w:line="251"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sale or other disposition of all or substantially all of the consolidated assets of the Company (each of the foregoing, a “Business Combination”), provided that, notwithstanding the foregoing, a “change-in-control” is not deemed to occur as a result of a Business Combination following which the individuals or entities who were beneficial owners of the outstanding securities entitled to vote generally in the election of directors of the Company immediately prior to such Business Combination beneficially own, directly or indirectly, 50% or more of the outstanding securities entitled to vote generally in the election of directors of the resulting, surviving, or acquiring corporation in such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Termination Other than For Good Reason</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Executive Severance Plan does not provide for any separation benefits or payments upon an executive’s retirement or voluntary resignation from employment other than for good reason. Upon such a retirement or voluntary resignation, an eligible executive would be entitled to receive only base salary through such executive’s separation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reimbursements for reasonable business expenses, and any other employee benefit entitlements to which the executive is entitled under the Company’s other employee benefit plans and programs.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Death, Disability, and Retirement</w:t>
      </w:r>
    </w:p>
    <w:p>
      <w:pPr>
        <w:spacing w:after="0" w:line="247"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The Executive Severance Plan does not provide for any separation benefits or payments upon a termination due to death, disability, or voluntary termination (regardless of age). Upon such a termination, an eligible executive would be entitled to receive only:</w:t>
      </w:r>
    </w:p>
    <w:p>
      <w:pPr>
        <w:spacing w:after="0" w:line="204" w:lineRule="exact"/>
        <w:rPr>
          <w:sz w:val="20"/>
          <w:szCs w:val="20"/>
          <w:color w:val="auto"/>
        </w:rPr>
      </w:pPr>
    </w:p>
    <w:p>
      <w:pPr>
        <w:ind w:left="320" w:hanging="318"/>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 salary through the separation date;</w:t>
      </w:r>
    </w:p>
    <w:p>
      <w:pPr>
        <w:spacing w:after="0" w:line="225" w:lineRule="exact"/>
        <w:rPr>
          <w:rFonts w:ascii="Arial" w:cs="Arial" w:eastAsia="Arial" w:hAnsi="Arial"/>
          <w:sz w:val="18"/>
          <w:szCs w:val="18"/>
          <w:color w:val="auto"/>
        </w:rPr>
      </w:pPr>
    </w:p>
    <w:p>
      <w:pPr>
        <w:ind w:left="320" w:hanging="318"/>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reimbursements for reasonable business expenses; and</w:t>
      </w:r>
    </w:p>
    <w:p>
      <w:pPr>
        <w:spacing w:after="0" w:line="225" w:lineRule="exact"/>
        <w:rPr>
          <w:rFonts w:ascii="Arial" w:cs="Arial" w:eastAsia="Arial" w:hAnsi="Arial"/>
          <w:sz w:val="18"/>
          <w:szCs w:val="18"/>
          <w:color w:val="auto"/>
        </w:rPr>
      </w:pPr>
    </w:p>
    <w:p>
      <w:pPr>
        <w:ind w:left="320" w:right="140" w:hanging="318"/>
        <w:spacing w:after="0" w:line="256" w:lineRule="auto"/>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employee benefit entitlements to which the executive is entitled under the Company’s other employee benefit plans and programs.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Equity Award Agreements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Stock Options</w:t>
      </w:r>
    </w:p>
    <w:p>
      <w:pPr>
        <w:spacing w:after="0" w:line="247" w:lineRule="exact"/>
        <w:rPr>
          <w:sz w:val="20"/>
          <w:szCs w:val="20"/>
          <w:color w:val="auto"/>
        </w:rPr>
      </w:pPr>
    </w:p>
    <w:p>
      <w:pPr>
        <w:jc w:val="both"/>
        <w:ind w:right="160"/>
        <w:spacing w:after="0" w:line="274" w:lineRule="auto"/>
        <w:rPr>
          <w:sz w:val="20"/>
          <w:szCs w:val="20"/>
          <w:color w:val="auto"/>
        </w:rPr>
      </w:pPr>
      <w:r>
        <w:rPr>
          <w:rFonts w:ascii="Arial" w:cs="Arial" w:eastAsia="Arial" w:hAnsi="Arial"/>
          <w:sz w:val="17"/>
          <w:szCs w:val="17"/>
          <w:color w:val="auto"/>
        </w:rPr>
        <w:t>All stock options held by our NEOs as of December 31, 2016 were granted under our 2008 Stock Option Plan (the “2008 Plan”) or our 2010 Plan. All stock options held by our NEOs that are outstanding under the 2008 Plan were fully vested as of December 31, 2016.</w:t>
      </w:r>
    </w:p>
    <w:p>
      <w:pPr>
        <w:spacing w:after="0" w:line="188"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In accordance with the NEOs’ option agreements, unvested stock options are canceled upon termination of employment, unless</w:t>
      </w:r>
    </w:p>
    <w:p>
      <w:pPr>
        <w:spacing w:after="0" w:line="1" w:lineRule="exact"/>
        <w:rPr>
          <w:sz w:val="20"/>
          <w:szCs w:val="20"/>
          <w:color w:val="auto"/>
        </w:rPr>
      </w:pPr>
    </w:p>
    <w:p>
      <w:pPr>
        <w:ind w:right="100" w:firstLine="2"/>
        <w:spacing w:after="0" w:line="252" w:lineRule="auto"/>
        <w:tabs>
          <w:tab w:leader="none" w:pos="2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otherwise agreed by the Company, or (2) in the case of death or retirement, in which case any and all unvested portions shall become vested. The unvested portion of stock options granted subsequent to February 23, 2017 will become vested in full in the event of disability (as defined in the stock option award agreement). Unless the NEO is terminated for cause, vested options will be exercisable for:</w:t>
      </w:r>
    </w:p>
    <w:p>
      <w:pPr>
        <w:spacing w:after="0" w:line="207" w:lineRule="exact"/>
        <w:rPr>
          <w:sz w:val="20"/>
          <w:szCs w:val="20"/>
          <w:color w:val="auto"/>
        </w:rPr>
      </w:pPr>
    </w:p>
    <w:p>
      <w:pPr>
        <w:ind w:left="320" w:right="420" w:hanging="318"/>
        <w:spacing w:after="0" w:line="262" w:lineRule="auto"/>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two years following termination of employment by reason of retirement, but not later than the option expiration date;</w:t>
      </w:r>
    </w:p>
    <w:p>
      <w:pPr>
        <w:spacing w:after="0" w:line="196" w:lineRule="exact"/>
        <w:rPr>
          <w:rFonts w:ascii="Arial" w:cs="Arial" w:eastAsia="Arial" w:hAnsi="Arial"/>
          <w:sz w:val="18"/>
          <w:szCs w:val="18"/>
          <w:color w:val="auto"/>
        </w:rPr>
      </w:pPr>
    </w:p>
    <w:p>
      <w:pPr>
        <w:ind w:left="320" w:right="400" w:hanging="318"/>
        <w:spacing w:after="0" w:line="262" w:lineRule="auto"/>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one year following death or disability, in each case, not later than the option expiration date; and</w:t>
      </w:r>
    </w:p>
    <w:p>
      <w:pPr>
        <w:spacing w:after="0" w:line="196" w:lineRule="exact"/>
        <w:rPr>
          <w:rFonts w:ascii="Arial" w:cs="Arial" w:eastAsia="Arial" w:hAnsi="Arial"/>
          <w:sz w:val="18"/>
          <w:szCs w:val="18"/>
          <w:color w:val="auto"/>
        </w:rPr>
      </w:pPr>
    </w:p>
    <w:p>
      <w:pPr>
        <w:ind w:left="320" w:right="220" w:hanging="318"/>
        <w:spacing w:after="0" w:line="262" w:lineRule="auto"/>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90 days following termination in other cases, but not later than the option expiration date.</w:t>
      </w:r>
    </w:p>
    <w:p>
      <w:pPr>
        <w:spacing w:after="0" w:line="1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our 2008 Plan, in the event of a change-in-control, if the NEO’s stock options will not be assumed, substituted, or cashed out, all outstanding unvested options will vest and become exercisable prior to the change in control. Upon consummation of</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51</w:t>
      </w:r>
    </w:p>
    <w:p>
      <w:pPr>
        <w:sectPr>
          <w:pgSz w:w="11900" w:h="16838" w:orient="portrait"/>
          <w:cols w:equalWidth="0" w:num="2">
            <w:col w:w="5460" w:space="480"/>
            <w:col w:w="5480"/>
          </w:cols>
          <w:pgMar w:left="240" w:top="436" w:right="239" w:bottom="1440" w:gutter="0" w:footer="0" w:header="0"/>
          <w:type w:val="continuous"/>
        </w:sectPr>
      </w:pPr>
    </w:p>
    <w:bookmarkStart w:id="57" w:name="page58"/>
    <w:bookmarkEnd w:id="57"/>
    <w:p>
      <w:pPr>
        <w:ind w:left="7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ectPr>
          <w:pgSz w:w="11900" w:h="16838" w:orient="portrait"/>
          <w:cols w:equalWidth="0" w:num="1">
            <w:col w:w="11360"/>
          </w:cols>
          <w:pgMar w:left="240" w:top="43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change-in-control event, all outstanding but unexercised options will be terminated.</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All outstanding unvested options granted under the 2010 Plan to Mr. Casady prior to January 1, 2014 were to vest upon the occurrence of a change-in-control, pursuant to their award agreements. Mr.</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Casady was the only executive with award agreements that provide for accelerated vesting on a “single trigger” basis, and no award agreements subsequent to January 1, 2014 provide for such accelerated vesting.</w:t>
      </w:r>
    </w:p>
    <w:p>
      <w:pPr>
        <w:spacing w:after="0" w:line="18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color w:val="auto"/>
        </w:rPr>
        <w:t xml:space="preserve">“Change-in-control” </w:t>
      </w:r>
      <w:r>
        <w:rPr>
          <w:rFonts w:ascii="Arial" w:cs="Arial" w:eastAsia="Arial" w:hAnsi="Arial"/>
          <w:sz w:val="18"/>
          <w:szCs w:val="18"/>
          <w:color w:val="auto"/>
        </w:rPr>
        <w:t>under the 2008 Plan means the consummation</w:t>
      </w:r>
      <w:r>
        <w:rPr>
          <w:rFonts w:ascii="Arial" w:cs="Arial" w:eastAsia="Arial" w:hAnsi="Arial"/>
          <w:sz w:val="18"/>
          <w:szCs w:val="18"/>
          <w:i w:val="1"/>
          <w:iCs w:val="1"/>
          <w:color w:val="auto"/>
        </w:rPr>
        <w:t xml:space="preserve"> </w:t>
      </w:r>
      <w:r>
        <w:rPr>
          <w:rFonts w:ascii="Arial" w:cs="Arial" w:eastAsia="Arial" w:hAnsi="Arial"/>
          <w:sz w:val="18"/>
          <w:szCs w:val="18"/>
          <w:color w:val="auto"/>
        </w:rPr>
        <w:t>of:</w:t>
      </w:r>
    </w:p>
    <w:p>
      <w:pPr>
        <w:spacing w:after="0" w:line="180" w:lineRule="exact"/>
        <w:rPr>
          <w:sz w:val="20"/>
          <w:szCs w:val="20"/>
          <w:color w:val="auto"/>
        </w:rPr>
      </w:pPr>
    </w:p>
    <w:p>
      <w:pPr>
        <w:ind w:left="340" w:right="20" w:hanging="332"/>
        <w:spacing w:after="0" w:line="253"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consolidation or merger of the Company with or into any other person, or any other similar transaction, whether or not the Company is a party thereto, in which our stockholders immediately prior to such transaction own directly or indirectly capital stock either:</w:t>
      </w:r>
    </w:p>
    <w:p>
      <w:pPr>
        <w:spacing w:after="0" w:line="205" w:lineRule="exact"/>
        <w:rPr>
          <w:rFonts w:ascii="Arial" w:cs="Arial" w:eastAsia="Arial" w:hAnsi="Arial"/>
          <w:sz w:val="18"/>
          <w:szCs w:val="18"/>
          <w:color w:val="auto"/>
        </w:rPr>
      </w:pPr>
    </w:p>
    <w:p>
      <w:pPr>
        <w:ind w:left="660" w:right="140" w:hanging="328"/>
        <w:spacing w:after="0" w:line="262"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representing less than 50% of the equity interests or voting power of the Company or the surviving entity; or</w:t>
      </w:r>
    </w:p>
    <w:p>
      <w:pPr>
        <w:spacing w:after="0" w:line="196" w:lineRule="exact"/>
        <w:rPr>
          <w:rFonts w:ascii="Arial" w:cs="Arial" w:eastAsia="Arial" w:hAnsi="Arial"/>
          <w:sz w:val="18"/>
          <w:szCs w:val="18"/>
          <w:color w:val="auto"/>
        </w:rPr>
      </w:pPr>
    </w:p>
    <w:p>
      <w:pPr>
        <w:jc w:val="both"/>
        <w:ind w:left="660" w:right="120" w:hanging="328"/>
        <w:spacing w:after="0" w:line="291" w:lineRule="auto"/>
        <w:tabs>
          <w:tab w:leader="none" w:pos="6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that does not directly or indirectly have the power to elect a majority of the entire board or other similar governing body;</w:t>
      </w:r>
    </w:p>
    <w:p>
      <w:pPr>
        <w:spacing w:after="0" w:line="174" w:lineRule="exact"/>
        <w:rPr>
          <w:rFonts w:ascii="Arial" w:cs="Arial" w:eastAsia="Arial" w:hAnsi="Arial"/>
          <w:sz w:val="17"/>
          <w:szCs w:val="17"/>
          <w:color w:val="auto"/>
        </w:rPr>
      </w:pPr>
    </w:p>
    <w:p>
      <w:pPr>
        <w:ind w:left="340" w:right="120" w:hanging="332"/>
        <w:spacing w:after="0" w:line="253"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transaction or series of related transactions, whether or not the Company is party thereto, which results in over 50% of the Company’s voting power being owned directly or indirectly by any person and its “affiliates” or “associates” or any “group” other than the Company or an affiliate; or</w:t>
      </w:r>
    </w:p>
    <w:p>
      <w:pPr>
        <w:spacing w:after="0" w:line="205" w:lineRule="exact"/>
        <w:rPr>
          <w:rFonts w:ascii="Arial" w:cs="Arial" w:eastAsia="Arial" w:hAnsi="Arial"/>
          <w:sz w:val="18"/>
          <w:szCs w:val="18"/>
          <w:color w:val="auto"/>
        </w:rPr>
      </w:pPr>
    </w:p>
    <w:p>
      <w:pPr>
        <w:ind w:left="340" w:right="80" w:hanging="332"/>
        <w:spacing w:after="0" w:line="252"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sale or disposition of all or substantially all of our assets. Notwithstanding the foregoing, a “change-in-control” does not include an event described in (1)-(3) above if the stockholders entitled to vote generally in the election of directors immediately prior to the event beneficially own, directly or indirectly, 50% or more of the voting stock of the resulting, surviving, or acquiring corporation</w:t>
      </w:r>
    </w:p>
    <w:p>
      <w:pPr>
        <w:spacing w:after="0" w:line="18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 xml:space="preserve">“Change-in-control” </w:t>
      </w:r>
      <w:r>
        <w:rPr>
          <w:rFonts w:ascii="Arial" w:cs="Arial" w:eastAsia="Arial" w:hAnsi="Arial"/>
          <w:sz w:val="18"/>
          <w:szCs w:val="18"/>
          <w:color w:val="auto"/>
        </w:rPr>
        <w:t>under the named executive officers’ 2010 Plan</w:t>
      </w:r>
      <w:r>
        <w:rPr>
          <w:rFonts w:ascii="Arial" w:cs="Arial" w:eastAsia="Arial" w:hAnsi="Arial"/>
          <w:sz w:val="18"/>
          <w:szCs w:val="18"/>
          <w:i w:val="1"/>
          <w:iCs w:val="1"/>
          <w:color w:val="auto"/>
        </w:rPr>
        <w:t xml:space="preserve"> </w:t>
      </w:r>
      <w:r>
        <w:rPr>
          <w:rFonts w:ascii="Arial" w:cs="Arial" w:eastAsia="Arial" w:hAnsi="Arial"/>
          <w:sz w:val="18"/>
          <w:szCs w:val="18"/>
          <w:color w:val="auto"/>
        </w:rPr>
        <w:t>awards means the consummation of an event described in (2) or (3) above or the dissolution or liquidation of the Company.</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52 | </w:t>
      </w:r>
      <w:r>
        <w:rPr>
          <w:rFonts w:ascii="Arial" w:cs="Arial" w:eastAsia="Arial" w:hAnsi="Arial"/>
          <w:sz w:val="18"/>
          <w:szCs w:val="18"/>
          <w:b w:val="1"/>
          <w:bCs w:val="1"/>
          <w:color w:val="003B71"/>
        </w:rPr>
        <w:t>2017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Restricted Stock Units (RSUs)</w:t>
      </w:r>
    </w:p>
    <w:p>
      <w:pPr>
        <w:spacing w:after="0" w:line="24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accordance with the NEOs’ RSU agreements, unvested portions of RSU awards are cancelled upon termination of employment, unless (1) otherwise agreed by the Company, or (2) in the case of death or retirement, in which case any and all unvested portions shall become vested. The unvested portion of RSUs granted subsequent to February 23, 2017 will become vested in full in the event of disability (as defined in the RSU award agreement). If the NEO is terminated for cause, the vested portion of the award will terminate. All RSUs held by our NEOs as of December 31, 2014 were granted under our 2010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Performance Share Units (PSUs)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accordance with the NEOs’ PSU agreements, unvested portions of PSUs are forfeited upon termination of employment, except in the case of death, disability or retirement, in which case the PSUs will not terminate and will instead remain outstanding and eligible to become earned PSUs in accordance with the terms of the PSU award agreement. All PSUs held by our NEOs were granted in 2017 under our 2010 Plan.</w:t>
      </w:r>
    </w:p>
    <w:p>
      <w:pPr>
        <w:sectPr>
          <w:pgSz w:w="11900" w:h="16838" w:orient="portrait"/>
          <w:cols w:equalWidth="0" w:num="2">
            <w:col w:w="5480" w:space="460"/>
            <w:col w:w="5420"/>
          </w:cols>
          <w:pgMar w:left="240" w:top="436" w:right="299" w:bottom="1440" w:gutter="0" w:footer="0" w:header="0"/>
          <w:type w:val="continuous"/>
        </w:sectPr>
      </w:pPr>
    </w:p>
    <w:bookmarkStart w:id="58" w:name="page59"/>
    <w:bookmarkEnd w:id="58"/>
    <w:p>
      <w:pPr>
        <w:jc w:val="right"/>
        <w:ind w:right="6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3257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20585" cy="325755"/>
                    </a:xfrm>
                    <a:prstGeom prst="rect">
                      <a:avLst/>
                    </a:prstGeom>
                    <a:noFill/>
                  </pic:spPr>
                </pic:pic>
              </a:graphicData>
            </a:graphic>
          </wp:anchor>
        </w:drawing>
        <w:t>Security Ownership of Certain Beneficial</w:t>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003B71"/>
        </w:rPr>
        <w:t>Owners and Management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36699"/>
        </w:rPr>
        <w:t>Security Ownership of Certain Beneficial Owners and Management</w:t>
      </w:r>
    </w:p>
    <w:p>
      <w:pPr>
        <w:sectPr>
          <w:pgSz w:w="11900" w:h="16838" w:orient="portrait"/>
          <w:cols w:equalWidth="0" w:num="1">
            <w:col w:w="11420"/>
          </w:cols>
          <w:pgMar w:left="240" w:top="288" w:right="239" w:bottom="1440" w:gutter="0" w:footer="0" w:header="0"/>
        </w:sectPr>
      </w:pPr>
    </w:p>
    <w:p>
      <w:pPr>
        <w:spacing w:after="0" w:line="19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table below describes the beneficial ownership of our Common Stock as of March 10, 2017, by: (i) persons or “groups” (as that term is used in Section 13(d)(3) of the Exchange Act) known by us to be the beneficial owner of 5% or more of the Common Stock; (ii) each of our NEOs and directors, as well as our director nominee; and (iii) all of our current directors and executive officers as a group.</w:t>
      </w:r>
    </w:p>
    <w:p>
      <w:pPr>
        <w:spacing w:after="0" w:line="2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Beneficial ownership is determined in accordance with the rules of the SEC. Unless otherwise indicated, we believe, based on information furnished by such persons, that each person listed below has sole voting and investment power with respect to the shares of Common Stock shown as beneficially</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owned. Securities that may be beneficially acquired within 60 days of March 10, 2017 are deemed to be beneficially owned by the person holding such securities for the purpose of computing ownership of such person, but are not treated as outstanding for the purpose of computing the ownership of any other person. The applicable percentage of beneficial ownership is based on 90,478,507 shares of Common Stock outstanding as of March 10, 2017.</w:t>
      </w:r>
    </w:p>
    <w:p>
      <w:pPr>
        <w:spacing w:after="0" w:line="20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Unless otherwise indicated in the footnotes to the following table, the address of each of the individuals named below is: c/o LPL Financial Holdings Inc. 75 State Street, Boston, MA 02109.</w:t>
      </w:r>
    </w:p>
    <w:p>
      <w:pPr>
        <w:spacing w:after="0" w:line="200" w:lineRule="exact"/>
        <w:rPr>
          <w:sz w:val="20"/>
          <w:szCs w:val="20"/>
          <w:color w:val="auto"/>
        </w:rPr>
      </w:pPr>
    </w:p>
    <w:p>
      <w:pPr>
        <w:sectPr>
          <w:pgSz w:w="11900" w:h="16838" w:orient="portrait"/>
          <w:cols w:equalWidth="0" w:num="2">
            <w:col w:w="5480" w:space="460"/>
            <w:col w:w="5480"/>
          </w:cols>
          <w:pgMar w:left="240" w:top="288" w:right="23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0" w:type="dxa"/>
            <w:vAlign w:val="bottom"/>
          </w:tcPr>
          <w:p>
            <w:pPr>
              <w:jc w:val="center"/>
              <w:ind w:right="17"/>
              <w:spacing w:after="0"/>
              <w:rPr>
                <w:sz w:val="20"/>
                <w:szCs w:val="20"/>
                <w:color w:val="auto"/>
              </w:rPr>
            </w:pPr>
            <w:r>
              <w:rPr>
                <w:rFonts w:ascii="Arial" w:cs="Arial" w:eastAsia="Arial" w:hAnsi="Arial"/>
                <w:sz w:val="18"/>
                <w:szCs w:val="18"/>
                <w:b w:val="1"/>
                <w:bCs w:val="1"/>
                <w:color w:val="336699"/>
                <w:w w:val="98"/>
              </w:rPr>
              <w:t>Total Amount</w:t>
            </w:r>
          </w:p>
        </w:tc>
        <w:tc>
          <w:tcPr>
            <w:tcW w:w="154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0" w:type="dxa"/>
            <w:vAlign w:val="bottom"/>
          </w:tcPr>
          <w:p>
            <w:pPr>
              <w:jc w:val="center"/>
              <w:spacing w:after="0" w:line="202" w:lineRule="exact"/>
              <w:rPr>
                <w:sz w:val="20"/>
                <w:szCs w:val="20"/>
                <w:color w:val="auto"/>
              </w:rPr>
            </w:pPr>
            <w:r>
              <w:rPr>
                <w:rFonts w:ascii="Arial" w:cs="Arial" w:eastAsia="Arial" w:hAnsi="Arial"/>
                <w:sz w:val="18"/>
                <w:szCs w:val="18"/>
                <w:b w:val="1"/>
                <w:bCs w:val="1"/>
                <w:color w:val="336699"/>
                <w:w w:val="99"/>
              </w:rPr>
              <w:t>and Nature of</w:t>
            </w:r>
          </w:p>
        </w:tc>
        <w:tc>
          <w:tcPr>
            <w:tcW w:w="154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0" w:type="dxa"/>
            <w:vAlign w:val="bottom"/>
          </w:tcPr>
          <w:p>
            <w:pPr>
              <w:jc w:val="center"/>
              <w:ind w:right="17"/>
              <w:spacing w:after="0" w:line="202" w:lineRule="exact"/>
              <w:rPr>
                <w:sz w:val="20"/>
                <w:szCs w:val="20"/>
                <w:color w:val="auto"/>
              </w:rPr>
            </w:pPr>
            <w:r>
              <w:rPr>
                <w:rFonts w:ascii="Arial" w:cs="Arial" w:eastAsia="Arial" w:hAnsi="Arial"/>
                <w:sz w:val="18"/>
                <w:szCs w:val="18"/>
                <w:b w:val="1"/>
                <w:bCs w:val="1"/>
                <w:color w:val="336699"/>
              </w:rPr>
              <w:t>Beneficial</w:t>
            </w:r>
          </w:p>
        </w:tc>
        <w:tc>
          <w:tcPr>
            <w:tcW w:w="154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5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336699"/>
              </w:rPr>
              <w:t>Directly or</w:t>
            </w:r>
          </w:p>
        </w:tc>
        <w:tc>
          <w:tcPr>
            <w:tcW w:w="1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0" w:type="dxa"/>
            <w:vAlign w:val="bottom"/>
          </w:tcPr>
          <w:p>
            <w:pPr>
              <w:jc w:val="center"/>
              <w:spacing w:after="0" w:line="202" w:lineRule="exact"/>
              <w:rPr>
                <w:sz w:val="20"/>
                <w:szCs w:val="20"/>
                <w:color w:val="auto"/>
              </w:rPr>
            </w:pPr>
            <w:r>
              <w:rPr>
                <w:rFonts w:ascii="Arial" w:cs="Arial" w:eastAsia="Arial" w:hAnsi="Arial"/>
                <w:sz w:val="18"/>
                <w:szCs w:val="18"/>
                <w:b w:val="1"/>
                <w:bCs w:val="1"/>
                <w:color w:val="336699"/>
              </w:rPr>
              <w:t>Ownership of</w:t>
            </w:r>
          </w:p>
        </w:tc>
        <w:tc>
          <w:tcPr>
            <w:tcW w:w="1540" w:type="dxa"/>
            <w:vAlign w:val="bottom"/>
          </w:tcPr>
          <w:p>
            <w:pPr>
              <w:jc w:val="center"/>
              <w:spacing w:after="0" w:line="202" w:lineRule="exact"/>
              <w:rPr>
                <w:sz w:val="20"/>
                <w:szCs w:val="20"/>
                <w:color w:val="auto"/>
              </w:rPr>
            </w:pPr>
            <w:r>
              <w:rPr>
                <w:rFonts w:ascii="Arial" w:cs="Arial" w:eastAsia="Arial" w:hAnsi="Arial"/>
                <w:sz w:val="18"/>
                <w:szCs w:val="18"/>
                <w:b w:val="1"/>
                <w:bCs w:val="1"/>
                <w:color w:val="336699"/>
              </w:rPr>
              <w:t>Percentage of</w:t>
            </w:r>
          </w:p>
        </w:tc>
      </w:tr>
      <w:tr>
        <w:trPr>
          <w:trHeight w:val="203"/>
        </w:trPr>
        <w:tc>
          <w:tcPr>
            <w:tcW w:w="3760" w:type="dxa"/>
            <w:vAlign w:val="bottom"/>
          </w:tcPr>
          <w:p>
            <w:pPr>
              <w:spacing w:after="0"/>
              <w:rPr>
                <w:sz w:val="17"/>
                <w:szCs w:val="17"/>
                <w:color w:val="auto"/>
              </w:rPr>
            </w:pPr>
          </w:p>
        </w:tc>
        <w:tc>
          <w:tcPr>
            <w:tcW w:w="15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336699"/>
                <w:w w:val="99"/>
              </w:rPr>
              <w:t>Indirectly Held</w:t>
            </w:r>
          </w:p>
        </w:tc>
        <w:tc>
          <w:tcPr>
            <w:tcW w:w="1620" w:type="dxa"/>
            <w:vAlign w:val="bottom"/>
          </w:tcPr>
          <w:p>
            <w:pPr>
              <w:jc w:val="right"/>
              <w:ind w:right="18"/>
              <w:spacing w:after="0" w:line="202" w:lineRule="exact"/>
              <w:rPr>
                <w:sz w:val="20"/>
                <w:szCs w:val="20"/>
                <w:color w:val="auto"/>
              </w:rPr>
            </w:pPr>
            <w:r>
              <w:rPr>
                <w:rFonts w:ascii="Arial" w:cs="Arial" w:eastAsia="Arial" w:hAnsi="Arial"/>
                <w:sz w:val="18"/>
                <w:szCs w:val="18"/>
                <w:b w:val="1"/>
                <w:bCs w:val="1"/>
                <w:color w:val="336699"/>
              </w:rPr>
              <w:t>Right to Acquire</w:t>
            </w:r>
          </w:p>
        </w:tc>
        <w:tc>
          <w:tcPr>
            <w:tcW w:w="700" w:type="dxa"/>
            <w:vAlign w:val="bottom"/>
          </w:tcPr>
          <w:p>
            <w:pPr>
              <w:jc w:val="right"/>
              <w:ind w:right="38"/>
              <w:spacing w:after="0" w:line="202" w:lineRule="exact"/>
              <w:rPr>
                <w:sz w:val="20"/>
                <w:szCs w:val="20"/>
                <w:color w:val="auto"/>
              </w:rPr>
            </w:pPr>
            <w:r>
              <w:rPr>
                <w:rFonts w:ascii="Arial" w:cs="Arial" w:eastAsia="Arial" w:hAnsi="Arial"/>
                <w:sz w:val="18"/>
                <w:szCs w:val="18"/>
                <w:b w:val="1"/>
                <w:bCs w:val="1"/>
                <w:color w:val="336699"/>
              </w:rPr>
              <w:t>Other</w:t>
            </w:r>
          </w:p>
        </w:tc>
        <w:tc>
          <w:tcPr>
            <w:tcW w:w="420" w:type="dxa"/>
            <w:vAlign w:val="bottom"/>
          </w:tcPr>
          <w:p>
            <w:pPr>
              <w:spacing w:after="0"/>
              <w:rPr>
                <w:sz w:val="17"/>
                <w:szCs w:val="17"/>
                <w:color w:val="auto"/>
              </w:rPr>
            </w:pPr>
          </w:p>
        </w:tc>
        <w:tc>
          <w:tcPr>
            <w:tcW w:w="1800" w:type="dxa"/>
            <w:vAlign w:val="bottom"/>
          </w:tcPr>
          <w:p>
            <w:pPr>
              <w:jc w:val="center"/>
              <w:spacing w:after="0" w:line="202" w:lineRule="exact"/>
              <w:rPr>
                <w:sz w:val="20"/>
                <w:szCs w:val="20"/>
                <w:color w:val="auto"/>
              </w:rPr>
            </w:pPr>
            <w:r>
              <w:rPr>
                <w:rFonts w:ascii="Arial" w:cs="Arial" w:eastAsia="Arial" w:hAnsi="Arial"/>
                <w:sz w:val="18"/>
                <w:szCs w:val="18"/>
                <w:b w:val="1"/>
                <w:bCs w:val="1"/>
                <w:color w:val="336699"/>
                <w:w w:val="99"/>
              </w:rPr>
              <w:t>Common Stock</w:t>
            </w:r>
          </w:p>
        </w:tc>
        <w:tc>
          <w:tcPr>
            <w:tcW w:w="1540" w:type="dxa"/>
            <w:vAlign w:val="bottom"/>
          </w:tcPr>
          <w:p>
            <w:pPr>
              <w:jc w:val="center"/>
              <w:spacing w:after="0" w:line="202" w:lineRule="exact"/>
              <w:rPr>
                <w:sz w:val="20"/>
                <w:szCs w:val="20"/>
                <w:color w:val="auto"/>
              </w:rPr>
            </w:pPr>
            <w:r>
              <w:rPr>
                <w:rFonts w:ascii="Arial" w:cs="Arial" w:eastAsia="Arial" w:hAnsi="Arial"/>
                <w:sz w:val="18"/>
                <w:szCs w:val="18"/>
                <w:b w:val="1"/>
                <w:bCs w:val="1"/>
                <w:color w:val="336699"/>
                <w:w w:val="99"/>
              </w:rPr>
              <w:t>Common Stock</w:t>
            </w:r>
          </w:p>
        </w:tc>
      </w:tr>
      <w:tr>
        <w:trPr>
          <w:trHeight w:val="246"/>
        </w:trPr>
        <w:tc>
          <w:tcPr>
            <w:tcW w:w="3760" w:type="dxa"/>
            <w:vAlign w:val="bottom"/>
            <w:tcBorders>
              <w:bottom w:val="single" w:sz="8" w:color="336699"/>
            </w:tcBorders>
          </w:tcPr>
          <w:p>
            <w:pPr>
              <w:ind w:left="720"/>
              <w:spacing w:after="0"/>
              <w:rPr>
                <w:sz w:val="20"/>
                <w:szCs w:val="20"/>
                <w:color w:val="auto"/>
              </w:rPr>
            </w:pPr>
            <w:r>
              <w:rPr>
                <w:rFonts w:ascii="Arial" w:cs="Arial" w:eastAsia="Arial" w:hAnsi="Arial"/>
                <w:sz w:val="18"/>
                <w:szCs w:val="18"/>
                <w:b w:val="1"/>
                <w:bCs w:val="1"/>
                <w:color w:val="336699"/>
              </w:rPr>
              <w:t>Name of Beneficial Owner</w:t>
            </w:r>
          </w:p>
        </w:tc>
        <w:tc>
          <w:tcPr>
            <w:tcW w:w="1140" w:type="dxa"/>
            <w:vAlign w:val="bottom"/>
            <w:tcBorders>
              <w:bottom w:val="single" w:sz="8" w:color="336699"/>
            </w:tcBorders>
          </w:tcPr>
          <w:p>
            <w:pPr>
              <w:jc w:val="center"/>
              <w:ind w:left="357"/>
              <w:spacing w:after="0"/>
              <w:rPr>
                <w:sz w:val="20"/>
                <w:szCs w:val="20"/>
                <w:color w:val="auto"/>
              </w:rPr>
            </w:pPr>
            <w:r>
              <w:rPr>
                <w:rFonts w:ascii="Arial" w:cs="Arial" w:eastAsia="Arial" w:hAnsi="Arial"/>
                <w:sz w:val="18"/>
                <w:szCs w:val="18"/>
                <w:b w:val="1"/>
                <w:bCs w:val="1"/>
                <w:color w:val="336699"/>
                <w:w w:val="99"/>
              </w:rPr>
              <w:t>(#)</w:t>
            </w:r>
          </w:p>
        </w:tc>
        <w:tc>
          <w:tcPr>
            <w:tcW w:w="440" w:type="dxa"/>
            <w:vAlign w:val="bottom"/>
            <w:tcBorders>
              <w:bottom w:val="single" w:sz="8" w:color="336699"/>
            </w:tcBorders>
          </w:tcPr>
          <w:p>
            <w:pPr>
              <w:spacing w:after="0"/>
              <w:rPr>
                <w:sz w:val="21"/>
                <w:szCs w:val="21"/>
                <w:color w:val="auto"/>
              </w:rPr>
            </w:pPr>
          </w:p>
        </w:tc>
        <w:tc>
          <w:tcPr>
            <w:tcW w:w="1620" w:type="dxa"/>
            <w:vAlign w:val="bottom"/>
            <w:tcBorders>
              <w:bottom w:val="single" w:sz="8" w:color="336699"/>
            </w:tcBorders>
          </w:tcPr>
          <w:p>
            <w:pPr>
              <w:jc w:val="right"/>
              <w:ind w:right="498"/>
              <w:spacing w:after="0"/>
              <w:rPr>
                <w:sz w:val="20"/>
                <w:szCs w:val="20"/>
                <w:color w:val="auto"/>
              </w:rPr>
            </w:pPr>
            <w:r>
              <w:rPr>
                <w:rFonts w:ascii="Arial" w:cs="Arial" w:eastAsia="Arial" w:hAnsi="Arial"/>
                <w:sz w:val="18"/>
                <w:szCs w:val="18"/>
                <w:b w:val="1"/>
                <w:bCs w:val="1"/>
                <w:color w:val="336699"/>
              </w:rPr>
              <w:t>(#)(1)</w:t>
            </w:r>
          </w:p>
        </w:tc>
        <w:tc>
          <w:tcPr>
            <w:tcW w:w="700" w:type="dxa"/>
            <w:vAlign w:val="bottom"/>
            <w:tcBorders>
              <w:bottom w:val="single" w:sz="8" w:color="336699"/>
            </w:tcBorders>
          </w:tcPr>
          <w:p>
            <w:pPr>
              <w:jc w:val="right"/>
              <w:ind w:right="158"/>
              <w:spacing w:after="0"/>
              <w:rPr>
                <w:sz w:val="20"/>
                <w:szCs w:val="20"/>
                <w:color w:val="auto"/>
              </w:rPr>
            </w:pPr>
            <w:r>
              <w:rPr>
                <w:rFonts w:ascii="Arial" w:cs="Arial" w:eastAsia="Arial" w:hAnsi="Arial"/>
                <w:sz w:val="18"/>
                <w:szCs w:val="18"/>
                <w:b w:val="1"/>
                <w:bCs w:val="1"/>
                <w:color w:val="336699"/>
              </w:rPr>
              <w:t>(#)</w:t>
            </w:r>
          </w:p>
        </w:tc>
        <w:tc>
          <w:tcPr>
            <w:tcW w:w="420" w:type="dxa"/>
            <w:vAlign w:val="bottom"/>
            <w:tcBorders>
              <w:bottom w:val="single" w:sz="8" w:color="336699"/>
            </w:tcBorders>
          </w:tcPr>
          <w:p>
            <w:pPr>
              <w:spacing w:after="0"/>
              <w:rPr>
                <w:sz w:val="21"/>
                <w:szCs w:val="21"/>
                <w:color w:val="auto"/>
              </w:rPr>
            </w:pPr>
          </w:p>
        </w:tc>
        <w:tc>
          <w:tcPr>
            <w:tcW w:w="1800" w:type="dxa"/>
            <w:vAlign w:val="bottom"/>
            <w:tcBorders>
              <w:bottom w:val="single" w:sz="8" w:color="336699"/>
            </w:tcBorders>
          </w:tcPr>
          <w:p>
            <w:pPr>
              <w:jc w:val="center"/>
              <w:ind w:right="17"/>
              <w:spacing w:after="0"/>
              <w:rPr>
                <w:sz w:val="20"/>
                <w:szCs w:val="20"/>
                <w:color w:val="auto"/>
              </w:rPr>
            </w:pPr>
            <w:r>
              <w:rPr>
                <w:rFonts w:ascii="Arial" w:cs="Arial" w:eastAsia="Arial" w:hAnsi="Arial"/>
                <w:sz w:val="18"/>
                <w:szCs w:val="18"/>
                <w:b w:val="1"/>
                <w:bCs w:val="1"/>
                <w:color w:val="336699"/>
                <w:w w:val="99"/>
              </w:rPr>
              <w:t>(#)</w:t>
            </w:r>
          </w:p>
        </w:tc>
        <w:tc>
          <w:tcPr>
            <w:tcW w:w="1540" w:type="dxa"/>
            <w:vAlign w:val="bottom"/>
            <w:tcBorders>
              <w:bottom w:val="single" w:sz="8" w:color="336699"/>
            </w:tcBorders>
          </w:tcPr>
          <w:p>
            <w:pPr>
              <w:jc w:val="center"/>
              <w:spacing w:after="0"/>
              <w:rPr>
                <w:sz w:val="20"/>
                <w:szCs w:val="20"/>
                <w:color w:val="auto"/>
              </w:rPr>
            </w:pPr>
            <w:r>
              <w:rPr>
                <w:rFonts w:ascii="Arial" w:cs="Arial" w:eastAsia="Arial" w:hAnsi="Arial"/>
                <w:sz w:val="18"/>
                <w:szCs w:val="18"/>
                <w:b w:val="1"/>
                <w:bCs w:val="1"/>
                <w:color w:val="336699"/>
                <w:w w:val="99"/>
              </w:rPr>
              <w:t>(%)</w:t>
            </w:r>
          </w:p>
        </w:tc>
      </w:tr>
      <w:tr>
        <w:trPr>
          <w:trHeight w:val="263"/>
        </w:trPr>
        <w:tc>
          <w:tcPr>
            <w:tcW w:w="3760" w:type="dxa"/>
            <w:vAlign w:val="bottom"/>
          </w:tcPr>
          <w:p>
            <w:pPr>
              <w:ind w:left="40"/>
              <w:spacing w:after="0"/>
              <w:rPr>
                <w:sz w:val="20"/>
                <w:szCs w:val="20"/>
                <w:color w:val="auto"/>
              </w:rPr>
            </w:pPr>
            <w:r>
              <w:rPr>
                <w:rFonts w:ascii="Arial" w:cs="Arial" w:eastAsia="Arial" w:hAnsi="Arial"/>
                <w:sz w:val="18"/>
                <w:szCs w:val="18"/>
                <w:b w:val="1"/>
                <w:bCs w:val="1"/>
                <w:color w:val="336699"/>
              </w:rPr>
              <w:t>5% Stockholders</w:t>
            </w: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77"/>
        </w:trPr>
        <w:tc>
          <w:tcPr>
            <w:tcW w:w="3760" w:type="dxa"/>
            <w:vAlign w:val="bottom"/>
            <w:shd w:val="clear" w:color="auto" w:fill="CCFFFF"/>
          </w:tcPr>
          <w:p>
            <w:pPr>
              <w:ind w:left="200"/>
              <w:spacing w:after="0"/>
              <w:rPr>
                <w:sz w:val="20"/>
                <w:szCs w:val="20"/>
                <w:color w:val="auto"/>
              </w:rPr>
            </w:pPr>
            <w:r>
              <w:rPr>
                <w:rFonts w:ascii="Arial" w:cs="Arial" w:eastAsia="Arial" w:hAnsi="Arial"/>
                <w:sz w:val="16"/>
                <w:szCs w:val="16"/>
                <w:color w:val="auto"/>
              </w:rPr>
              <w:t>SPO Advisory Corp.</w:t>
            </w:r>
            <w:r>
              <w:rPr>
                <w:rFonts w:ascii="Arial" w:cs="Arial" w:eastAsia="Arial" w:hAnsi="Arial"/>
                <w:sz w:val="21"/>
                <w:szCs w:val="21"/>
                <w:color w:val="auto"/>
                <w:vertAlign w:val="superscript"/>
              </w:rPr>
              <w:t>(2)</w:t>
            </w:r>
          </w:p>
        </w:tc>
        <w:tc>
          <w:tcPr>
            <w:tcW w:w="1140" w:type="dxa"/>
            <w:vAlign w:val="bottom"/>
            <w:shd w:val="clear" w:color="auto" w:fill="CCFFFF"/>
          </w:tcPr>
          <w:p>
            <w:pPr>
              <w:spacing w:after="0"/>
              <w:rPr>
                <w:sz w:val="24"/>
                <w:szCs w:val="24"/>
                <w:color w:val="auto"/>
              </w:rPr>
            </w:pPr>
          </w:p>
        </w:tc>
        <w:tc>
          <w:tcPr>
            <w:tcW w:w="440" w:type="dxa"/>
            <w:vAlign w:val="bottom"/>
            <w:shd w:val="clear" w:color="auto" w:fill="CCFFFF"/>
          </w:tcPr>
          <w:p>
            <w:pPr>
              <w:spacing w:after="0"/>
              <w:rPr>
                <w:sz w:val="24"/>
                <w:szCs w:val="24"/>
                <w:color w:val="auto"/>
              </w:rPr>
            </w:pPr>
          </w:p>
        </w:tc>
        <w:tc>
          <w:tcPr>
            <w:tcW w:w="1620" w:type="dxa"/>
            <w:vAlign w:val="bottom"/>
            <w:shd w:val="clear" w:color="auto" w:fill="CCFFFF"/>
          </w:tcPr>
          <w:p>
            <w:pPr>
              <w:spacing w:after="0"/>
              <w:rPr>
                <w:sz w:val="24"/>
                <w:szCs w:val="24"/>
                <w:color w:val="auto"/>
              </w:rPr>
            </w:pPr>
          </w:p>
        </w:tc>
        <w:tc>
          <w:tcPr>
            <w:tcW w:w="700" w:type="dxa"/>
            <w:vAlign w:val="bottom"/>
            <w:shd w:val="clear" w:color="auto" w:fill="CCFFFF"/>
          </w:tcPr>
          <w:p>
            <w:pPr>
              <w:spacing w:after="0"/>
              <w:rPr>
                <w:sz w:val="24"/>
                <w:szCs w:val="24"/>
                <w:color w:val="auto"/>
              </w:rPr>
            </w:pPr>
          </w:p>
        </w:tc>
        <w:tc>
          <w:tcPr>
            <w:tcW w:w="420" w:type="dxa"/>
            <w:vAlign w:val="bottom"/>
            <w:shd w:val="clear" w:color="auto" w:fill="CCFFFF"/>
          </w:tcPr>
          <w:p>
            <w:pPr>
              <w:spacing w:after="0"/>
              <w:rPr>
                <w:sz w:val="24"/>
                <w:szCs w:val="24"/>
                <w:color w:val="auto"/>
              </w:rPr>
            </w:pPr>
          </w:p>
        </w:tc>
        <w:tc>
          <w:tcPr>
            <w:tcW w:w="1800" w:type="dxa"/>
            <w:vAlign w:val="bottom"/>
            <w:shd w:val="clear" w:color="auto" w:fill="CCFFFF"/>
          </w:tcPr>
          <w:p>
            <w:pPr>
              <w:jc w:val="right"/>
              <w:ind w:right="57"/>
              <w:spacing w:after="0"/>
              <w:rPr>
                <w:sz w:val="20"/>
                <w:szCs w:val="20"/>
                <w:color w:val="auto"/>
              </w:rPr>
            </w:pPr>
            <w:r>
              <w:rPr>
                <w:rFonts w:ascii="Arial" w:cs="Arial" w:eastAsia="Arial" w:hAnsi="Arial"/>
                <w:sz w:val="16"/>
                <w:szCs w:val="16"/>
                <w:color w:val="auto"/>
              </w:rPr>
              <w:t>8,724,026</w:t>
            </w:r>
          </w:p>
        </w:tc>
        <w:tc>
          <w:tcPr>
            <w:tcW w:w="154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8"/>
              </w:rPr>
              <w:t>9.6%</w:t>
            </w:r>
          </w:p>
        </w:tc>
      </w:tr>
      <w:tr>
        <w:trPr>
          <w:trHeight w:val="270"/>
        </w:trPr>
        <w:tc>
          <w:tcPr>
            <w:tcW w:w="3760" w:type="dxa"/>
            <w:vAlign w:val="bottom"/>
          </w:tcPr>
          <w:p>
            <w:pPr>
              <w:ind w:left="200"/>
              <w:spacing w:after="0"/>
              <w:rPr>
                <w:sz w:val="20"/>
                <w:szCs w:val="20"/>
                <w:color w:val="auto"/>
              </w:rPr>
            </w:pPr>
            <w:r>
              <w:rPr>
                <w:rFonts w:ascii="Arial" w:cs="Arial" w:eastAsia="Arial" w:hAnsi="Arial"/>
                <w:sz w:val="16"/>
                <w:szCs w:val="16"/>
                <w:color w:val="auto"/>
              </w:rPr>
              <w:t>FPR Partners, LLC</w:t>
            </w:r>
            <w:r>
              <w:rPr>
                <w:rFonts w:ascii="Arial" w:cs="Arial" w:eastAsia="Arial" w:hAnsi="Arial"/>
                <w:sz w:val="21"/>
                <w:szCs w:val="21"/>
                <w:color w:val="auto"/>
                <w:vertAlign w:val="superscript"/>
              </w:rPr>
              <w:t>(3)</w:t>
            </w: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0" w:type="dxa"/>
            <w:vAlign w:val="bottom"/>
          </w:tcPr>
          <w:p>
            <w:pPr>
              <w:jc w:val="right"/>
              <w:ind w:right="57"/>
              <w:spacing w:after="0"/>
              <w:rPr>
                <w:sz w:val="20"/>
                <w:szCs w:val="20"/>
                <w:color w:val="auto"/>
              </w:rPr>
            </w:pPr>
            <w:r>
              <w:rPr>
                <w:rFonts w:ascii="Arial" w:cs="Arial" w:eastAsia="Arial" w:hAnsi="Arial"/>
                <w:sz w:val="16"/>
                <w:szCs w:val="16"/>
                <w:color w:val="auto"/>
              </w:rPr>
              <w:t>7,971,736</w:t>
            </w:r>
          </w:p>
        </w:tc>
        <w:tc>
          <w:tcPr>
            <w:tcW w:w="1540" w:type="dxa"/>
            <w:vAlign w:val="bottom"/>
          </w:tcPr>
          <w:p>
            <w:pPr>
              <w:jc w:val="center"/>
              <w:spacing w:after="0"/>
              <w:rPr>
                <w:sz w:val="20"/>
                <w:szCs w:val="20"/>
                <w:color w:val="auto"/>
              </w:rPr>
            </w:pPr>
            <w:r>
              <w:rPr>
                <w:rFonts w:ascii="Arial" w:cs="Arial" w:eastAsia="Arial" w:hAnsi="Arial"/>
                <w:sz w:val="16"/>
                <w:szCs w:val="16"/>
                <w:color w:val="auto"/>
                <w:w w:val="98"/>
              </w:rPr>
              <w:t>8.8%</w:t>
            </w:r>
          </w:p>
        </w:tc>
      </w:tr>
      <w:tr>
        <w:trPr>
          <w:trHeight w:val="270"/>
        </w:trPr>
        <w:tc>
          <w:tcPr>
            <w:tcW w:w="3760" w:type="dxa"/>
            <w:vAlign w:val="bottom"/>
            <w:shd w:val="clear" w:color="auto" w:fill="CCFFFF"/>
          </w:tcPr>
          <w:p>
            <w:pPr>
              <w:ind w:left="200"/>
              <w:spacing w:after="0"/>
              <w:rPr>
                <w:sz w:val="20"/>
                <w:szCs w:val="20"/>
                <w:color w:val="auto"/>
              </w:rPr>
            </w:pPr>
            <w:r>
              <w:rPr>
                <w:rFonts w:ascii="Arial" w:cs="Arial" w:eastAsia="Arial" w:hAnsi="Arial"/>
                <w:sz w:val="16"/>
                <w:szCs w:val="16"/>
                <w:color w:val="auto"/>
              </w:rPr>
              <w:t>Janus Capital Management LLC</w:t>
            </w:r>
            <w:r>
              <w:rPr>
                <w:rFonts w:ascii="Arial" w:cs="Arial" w:eastAsia="Arial" w:hAnsi="Arial"/>
                <w:sz w:val="21"/>
                <w:szCs w:val="21"/>
                <w:color w:val="auto"/>
                <w:vertAlign w:val="superscript"/>
              </w:rPr>
              <w:t>(4)</w:t>
            </w:r>
          </w:p>
        </w:tc>
        <w:tc>
          <w:tcPr>
            <w:tcW w:w="1140" w:type="dxa"/>
            <w:vAlign w:val="bottom"/>
            <w:shd w:val="clear" w:color="auto" w:fill="CCFFFF"/>
          </w:tcPr>
          <w:p>
            <w:pPr>
              <w:spacing w:after="0"/>
              <w:rPr>
                <w:sz w:val="23"/>
                <w:szCs w:val="23"/>
                <w:color w:val="auto"/>
              </w:rPr>
            </w:pPr>
          </w:p>
        </w:tc>
        <w:tc>
          <w:tcPr>
            <w:tcW w:w="440" w:type="dxa"/>
            <w:vAlign w:val="bottom"/>
            <w:shd w:val="clear" w:color="auto" w:fill="CCFFFF"/>
          </w:tcPr>
          <w:p>
            <w:pPr>
              <w:spacing w:after="0"/>
              <w:rPr>
                <w:sz w:val="23"/>
                <w:szCs w:val="23"/>
                <w:color w:val="auto"/>
              </w:rPr>
            </w:pPr>
          </w:p>
        </w:tc>
        <w:tc>
          <w:tcPr>
            <w:tcW w:w="1620" w:type="dxa"/>
            <w:vAlign w:val="bottom"/>
            <w:shd w:val="clear" w:color="auto" w:fill="CCFFFF"/>
          </w:tcPr>
          <w:p>
            <w:pPr>
              <w:spacing w:after="0"/>
              <w:rPr>
                <w:sz w:val="23"/>
                <w:szCs w:val="23"/>
                <w:color w:val="auto"/>
              </w:rPr>
            </w:pPr>
          </w:p>
        </w:tc>
        <w:tc>
          <w:tcPr>
            <w:tcW w:w="700" w:type="dxa"/>
            <w:vAlign w:val="bottom"/>
            <w:shd w:val="clear" w:color="auto" w:fill="CCFFFF"/>
          </w:tcPr>
          <w:p>
            <w:pPr>
              <w:spacing w:after="0"/>
              <w:rPr>
                <w:sz w:val="23"/>
                <w:szCs w:val="23"/>
                <w:color w:val="auto"/>
              </w:rPr>
            </w:pPr>
          </w:p>
        </w:tc>
        <w:tc>
          <w:tcPr>
            <w:tcW w:w="420" w:type="dxa"/>
            <w:vAlign w:val="bottom"/>
            <w:shd w:val="clear" w:color="auto" w:fill="CCFFFF"/>
          </w:tcPr>
          <w:p>
            <w:pPr>
              <w:spacing w:after="0"/>
              <w:rPr>
                <w:sz w:val="23"/>
                <w:szCs w:val="23"/>
                <w:color w:val="auto"/>
              </w:rPr>
            </w:pPr>
          </w:p>
        </w:tc>
        <w:tc>
          <w:tcPr>
            <w:tcW w:w="1800" w:type="dxa"/>
            <w:vAlign w:val="bottom"/>
            <w:shd w:val="clear" w:color="auto" w:fill="CCFFFF"/>
          </w:tcPr>
          <w:p>
            <w:pPr>
              <w:jc w:val="right"/>
              <w:ind w:right="57"/>
              <w:spacing w:after="0"/>
              <w:rPr>
                <w:sz w:val="20"/>
                <w:szCs w:val="20"/>
                <w:color w:val="auto"/>
              </w:rPr>
            </w:pPr>
            <w:r>
              <w:rPr>
                <w:rFonts w:ascii="Arial" w:cs="Arial" w:eastAsia="Arial" w:hAnsi="Arial"/>
                <w:sz w:val="16"/>
                <w:szCs w:val="16"/>
                <w:color w:val="auto"/>
              </w:rPr>
              <w:t>7,957,800</w:t>
            </w:r>
          </w:p>
        </w:tc>
        <w:tc>
          <w:tcPr>
            <w:tcW w:w="154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8"/>
              </w:rPr>
              <w:t>8.8%</w:t>
            </w:r>
          </w:p>
        </w:tc>
      </w:tr>
      <w:tr>
        <w:trPr>
          <w:trHeight w:val="270"/>
        </w:trPr>
        <w:tc>
          <w:tcPr>
            <w:tcW w:w="3760" w:type="dxa"/>
            <w:vAlign w:val="bottom"/>
          </w:tcPr>
          <w:p>
            <w:pPr>
              <w:ind w:left="200"/>
              <w:spacing w:after="0"/>
              <w:rPr>
                <w:sz w:val="20"/>
                <w:szCs w:val="20"/>
                <w:color w:val="auto"/>
              </w:rPr>
            </w:pPr>
            <w:r>
              <w:rPr>
                <w:rFonts w:ascii="Arial" w:cs="Arial" w:eastAsia="Arial" w:hAnsi="Arial"/>
                <w:sz w:val="16"/>
                <w:szCs w:val="16"/>
                <w:color w:val="auto"/>
              </w:rPr>
              <w:t>The Vanguard Group, Inc.</w:t>
            </w:r>
            <w:r>
              <w:rPr>
                <w:rFonts w:ascii="Arial" w:cs="Arial" w:eastAsia="Arial" w:hAnsi="Arial"/>
                <w:sz w:val="21"/>
                <w:szCs w:val="21"/>
                <w:color w:val="auto"/>
                <w:vertAlign w:val="superscript"/>
              </w:rPr>
              <w:t>(5)</w:t>
            </w: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0" w:type="dxa"/>
            <w:vAlign w:val="bottom"/>
          </w:tcPr>
          <w:p>
            <w:pPr>
              <w:jc w:val="right"/>
              <w:ind w:right="57"/>
              <w:spacing w:after="0"/>
              <w:rPr>
                <w:sz w:val="20"/>
                <w:szCs w:val="20"/>
                <w:color w:val="auto"/>
              </w:rPr>
            </w:pPr>
            <w:r>
              <w:rPr>
                <w:rFonts w:ascii="Arial" w:cs="Arial" w:eastAsia="Arial" w:hAnsi="Arial"/>
                <w:sz w:val="16"/>
                <w:szCs w:val="16"/>
                <w:color w:val="auto"/>
              </w:rPr>
              <w:t>6,815,353</w:t>
            </w:r>
          </w:p>
        </w:tc>
        <w:tc>
          <w:tcPr>
            <w:tcW w:w="1540" w:type="dxa"/>
            <w:vAlign w:val="bottom"/>
          </w:tcPr>
          <w:p>
            <w:pPr>
              <w:jc w:val="center"/>
              <w:spacing w:after="0"/>
              <w:rPr>
                <w:sz w:val="20"/>
                <w:szCs w:val="20"/>
                <w:color w:val="auto"/>
              </w:rPr>
            </w:pPr>
            <w:r>
              <w:rPr>
                <w:rFonts w:ascii="Arial" w:cs="Arial" w:eastAsia="Arial" w:hAnsi="Arial"/>
                <w:sz w:val="16"/>
                <w:szCs w:val="16"/>
                <w:color w:val="auto"/>
                <w:w w:val="98"/>
              </w:rPr>
              <w:t>7.5%</w:t>
            </w:r>
          </w:p>
        </w:tc>
      </w:tr>
      <w:tr>
        <w:trPr>
          <w:trHeight w:val="213"/>
        </w:trPr>
        <w:tc>
          <w:tcPr>
            <w:tcW w:w="3760" w:type="dxa"/>
            <w:vAlign w:val="bottom"/>
            <w:shd w:val="clear" w:color="auto" w:fill="CCFFFF"/>
          </w:tcPr>
          <w:p>
            <w:pPr>
              <w:ind w:left="200"/>
              <w:spacing w:after="0"/>
              <w:rPr>
                <w:sz w:val="20"/>
                <w:szCs w:val="20"/>
                <w:color w:val="auto"/>
              </w:rPr>
            </w:pPr>
            <w:r>
              <w:rPr>
                <w:rFonts w:ascii="Arial" w:cs="Arial" w:eastAsia="Arial" w:hAnsi="Arial"/>
                <w:sz w:val="16"/>
                <w:szCs w:val="16"/>
                <w:color w:val="auto"/>
              </w:rPr>
              <w:t>Fairview Capital Investment Management,</w:t>
            </w:r>
          </w:p>
        </w:tc>
        <w:tc>
          <w:tcPr>
            <w:tcW w:w="1140" w:type="dxa"/>
            <w:vAlign w:val="bottom"/>
            <w:shd w:val="clear" w:color="auto" w:fill="CCFFFF"/>
          </w:tcPr>
          <w:p>
            <w:pPr>
              <w:spacing w:after="0"/>
              <w:rPr>
                <w:sz w:val="18"/>
                <w:szCs w:val="18"/>
                <w:color w:val="auto"/>
              </w:rPr>
            </w:pPr>
          </w:p>
        </w:tc>
        <w:tc>
          <w:tcPr>
            <w:tcW w:w="440" w:type="dxa"/>
            <w:vAlign w:val="bottom"/>
            <w:shd w:val="clear" w:color="auto" w:fill="CCFFFF"/>
          </w:tcPr>
          <w:p>
            <w:pPr>
              <w:spacing w:after="0"/>
              <w:rPr>
                <w:sz w:val="18"/>
                <w:szCs w:val="18"/>
                <w:color w:val="auto"/>
              </w:rPr>
            </w:pPr>
          </w:p>
        </w:tc>
        <w:tc>
          <w:tcPr>
            <w:tcW w:w="1620" w:type="dxa"/>
            <w:vAlign w:val="bottom"/>
            <w:shd w:val="clear" w:color="auto" w:fill="CCFFFF"/>
          </w:tcPr>
          <w:p>
            <w:pPr>
              <w:spacing w:after="0"/>
              <w:rPr>
                <w:sz w:val="18"/>
                <w:szCs w:val="18"/>
                <w:color w:val="auto"/>
              </w:rPr>
            </w:pPr>
          </w:p>
        </w:tc>
        <w:tc>
          <w:tcPr>
            <w:tcW w:w="700" w:type="dxa"/>
            <w:vAlign w:val="bottom"/>
            <w:shd w:val="clear" w:color="auto" w:fill="CCFFFF"/>
          </w:tcPr>
          <w:p>
            <w:pPr>
              <w:spacing w:after="0"/>
              <w:rPr>
                <w:sz w:val="18"/>
                <w:szCs w:val="18"/>
                <w:color w:val="auto"/>
              </w:rPr>
            </w:pPr>
          </w:p>
        </w:tc>
        <w:tc>
          <w:tcPr>
            <w:tcW w:w="420" w:type="dxa"/>
            <w:vAlign w:val="bottom"/>
            <w:shd w:val="clear" w:color="auto" w:fill="CCFFFF"/>
          </w:tcPr>
          <w:p>
            <w:pPr>
              <w:spacing w:after="0"/>
              <w:rPr>
                <w:sz w:val="18"/>
                <w:szCs w:val="18"/>
                <w:color w:val="auto"/>
              </w:rPr>
            </w:pPr>
          </w:p>
        </w:tc>
        <w:tc>
          <w:tcPr>
            <w:tcW w:w="1800" w:type="dxa"/>
            <w:vAlign w:val="bottom"/>
            <w:shd w:val="clear" w:color="auto" w:fill="CCFFFF"/>
          </w:tcPr>
          <w:p>
            <w:pPr>
              <w:spacing w:after="0"/>
              <w:rPr>
                <w:sz w:val="18"/>
                <w:szCs w:val="18"/>
                <w:color w:val="auto"/>
              </w:rPr>
            </w:pPr>
          </w:p>
        </w:tc>
        <w:tc>
          <w:tcPr>
            <w:tcW w:w="1540" w:type="dxa"/>
            <w:vAlign w:val="bottom"/>
            <w:shd w:val="clear" w:color="auto" w:fill="CCFFFF"/>
          </w:tcPr>
          <w:p>
            <w:pPr>
              <w:spacing w:after="0"/>
              <w:rPr>
                <w:sz w:val="18"/>
                <w:szCs w:val="18"/>
                <w:color w:val="auto"/>
              </w:rPr>
            </w:pPr>
          </w:p>
        </w:tc>
      </w:tr>
      <w:tr>
        <w:trPr>
          <w:trHeight w:val="219"/>
        </w:trPr>
        <w:tc>
          <w:tcPr>
            <w:tcW w:w="3760" w:type="dxa"/>
            <w:vAlign w:val="bottom"/>
            <w:shd w:val="clear" w:color="auto" w:fill="CCFFFF"/>
          </w:tcPr>
          <w:p>
            <w:pPr>
              <w:ind w:left="200"/>
              <w:spacing w:after="0" w:line="219" w:lineRule="exact"/>
              <w:rPr>
                <w:sz w:val="20"/>
                <w:szCs w:val="20"/>
                <w:color w:val="auto"/>
              </w:rPr>
            </w:pPr>
            <w:r>
              <w:rPr>
                <w:rFonts w:ascii="Arial" w:cs="Arial" w:eastAsia="Arial" w:hAnsi="Arial"/>
                <w:sz w:val="16"/>
                <w:szCs w:val="16"/>
                <w:color w:val="auto"/>
              </w:rPr>
              <w:t>LLC</w:t>
            </w:r>
            <w:r>
              <w:rPr>
                <w:rFonts w:ascii="Arial" w:cs="Arial" w:eastAsia="Arial" w:hAnsi="Arial"/>
                <w:sz w:val="21"/>
                <w:szCs w:val="21"/>
                <w:color w:val="auto"/>
                <w:vertAlign w:val="superscript"/>
              </w:rPr>
              <w:t>(6)</w:t>
            </w:r>
          </w:p>
        </w:tc>
        <w:tc>
          <w:tcPr>
            <w:tcW w:w="1140" w:type="dxa"/>
            <w:vAlign w:val="bottom"/>
            <w:shd w:val="clear" w:color="auto" w:fill="CCFFFF"/>
          </w:tcPr>
          <w:p>
            <w:pPr>
              <w:spacing w:after="0"/>
              <w:rPr>
                <w:sz w:val="19"/>
                <w:szCs w:val="19"/>
                <w:color w:val="auto"/>
              </w:rPr>
            </w:pPr>
          </w:p>
        </w:tc>
        <w:tc>
          <w:tcPr>
            <w:tcW w:w="440" w:type="dxa"/>
            <w:vAlign w:val="bottom"/>
            <w:shd w:val="clear" w:color="auto" w:fill="CCFFFF"/>
          </w:tcPr>
          <w:p>
            <w:pPr>
              <w:spacing w:after="0"/>
              <w:rPr>
                <w:sz w:val="19"/>
                <w:szCs w:val="19"/>
                <w:color w:val="auto"/>
              </w:rPr>
            </w:pPr>
          </w:p>
        </w:tc>
        <w:tc>
          <w:tcPr>
            <w:tcW w:w="1620" w:type="dxa"/>
            <w:vAlign w:val="bottom"/>
            <w:shd w:val="clear" w:color="auto" w:fill="CCFFFF"/>
          </w:tcPr>
          <w:p>
            <w:pPr>
              <w:spacing w:after="0"/>
              <w:rPr>
                <w:sz w:val="19"/>
                <w:szCs w:val="19"/>
                <w:color w:val="auto"/>
              </w:rPr>
            </w:pPr>
          </w:p>
        </w:tc>
        <w:tc>
          <w:tcPr>
            <w:tcW w:w="700" w:type="dxa"/>
            <w:vAlign w:val="bottom"/>
            <w:shd w:val="clear" w:color="auto" w:fill="CCFFFF"/>
          </w:tcPr>
          <w:p>
            <w:pPr>
              <w:spacing w:after="0"/>
              <w:rPr>
                <w:sz w:val="19"/>
                <w:szCs w:val="19"/>
                <w:color w:val="auto"/>
              </w:rPr>
            </w:pPr>
          </w:p>
        </w:tc>
        <w:tc>
          <w:tcPr>
            <w:tcW w:w="420" w:type="dxa"/>
            <w:vAlign w:val="bottom"/>
            <w:shd w:val="clear" w:color="auto" w:fill="CCFFFF"/>
          </w:tcPr>
          <w:p>
            <w:pPr>
              <w:spacing w:after="0"/>
              <w:rPr>
                <w:sz w:val="19"/>
                <w:szCs w:val="19"/>
                <w:color w:val="auto"/>
              </w:rPr>
            </w:pPr>
          </w:p>
        </w:tc>
        <w:tc>
          <w:tcPr>
            <w:tcW w:w="1800" w:type="dxa"/>
            <w:vAlign w:val="bottom"/>
            <w:shd w:val="clear" w:color="auto" w:fill="CCFFFF"/>
          </w:tcPr>
          <w:p>
            <w:pPr>
              <w:jc w:val="right"/>
              <w:ind w:right="57"/>
              <w:spacing w:after="0"/>
              <w:rPr>
                <w:sz w:val="20"/>
                <w:szCs w:val="20"/>
                <w:color w:val="auto"/>
              </w:rPr>
            </w:pPr>
            <w:r>
              <w:rPr>
                <w:rFonts w:ascii="Arial" w:cs="Arial" w:eastAsia="Arial" w:hAnsi="Arial"/>
                <w:sz w:val="16"/>
                <w:szCs w:val="16"/>
                <w:color w:val="auto"/>
              </w:rPr>
              <w:t>4,666,473</w:t>
            </w:r>
          </w:p>
        </w:tc>
        <w:tc>
          <w:tcPr>
            <w:tcW w:w="154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8"/>
              </w:rPr>
              <w:t>5.2%</w:t>
            </w:r>
          </w:p>
        </w:tc>
      </w:tr>
      <w:tr>
        <w:trPr>
          <w:trHeight w:val="288"/>
        </w:trPr>
        <w:tc>
          <w:tcPr>
            <w:tcW w:w="3760" w:type="dxa"/>
            <w:vAlign w:val="bottom"/>
          </w:tcPr>
          <w:p>
            <w:pPr>
              <w:ind w:left="200"/>
              <w:spacing w:after="0"/>
              <w:rPr>
                <w:sz w:val="20"/>
                <w:szCs w:val="20"/>
                <w:color w:val="auto"/>
              </w:rPr>
            </w:pPr>
            <w:r>
              <w:rPr>
                <w:rFonts w:ascii="Arial" w:cs="Arial" w:eastAsia="Arial" w:hAnsi="Arial"/>
                <w:sz w:val="16"/>
                <w:szCs w:val="16"/>
                <w:color w:val="auto"/>
              </w:rPr>
              <w:t>First Pacific Advisors, LLC</w:t>
            </w:r>
            <w:r>
              <w:rPr>
                <w:rFonts w:ascii="Arial" w:cs="Arial" w:eastAsia="Arial" w:hAnsi="Arial"/>
                <w:sz w:val="21"/>
                <w:szCs w:val="21"/>
                <w:color w:val="auto"/>
                <w:vertAlign w:val="superscript"/>
              </w:rPr>
              <w:t>(7)</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jc w:val="right"/>
              <w:ind w:right="57"/>
              <w:spacing w:after="0"/>
              <w:rPr>
                <w:sz w:val="20"/>
                <w:szCs w:val="20"/>
                <w:color w:val="auto"/>
              </w:rPr>
            </w:pPr>
            <w:r>
              <w:rPr>
                <w:rFonts w:ascii="Arial" w:cs="Arial" w:eastAsia="Arial" w:hAnsi="Arial"/>
                <w:sz w:val="16"/>
                <w:szCs w:val="16"/>
                <w:color w:val="auto"/>
              </w:rPr>
              <w:t>4,586,490</w:t>
            </w:r>
          </w:p>
        </w:tc>
        <w:tc>
          <w:tcPr>
            <w:tcW w:w="1540" w:type="dxa"/>
            <w:vAlign w:val="bottom"/>
          </w:tcPr>
          <w:p>
            <w:pPr>
              <w:jc w:val="center"/>
              <w:spacing w:after="0"/>
              <w:rPr>
                <w:sz w:val="20"/>
                <w:szCs w:val="20"/>
                <w:color w:val="auto"/>
              </w:rPr>
            </w:pPr>
            <w:r>
              <w:rPr>
                <w:rFonts w:ascii="Arial" w:cs="Arial" w:eastAsia="Arial" w:hAnsi="Arial"/>
                <w:sz w:val="16"/>
                <w:szCs w:val="16"/>
                <w:color w:val="auto"/>
                <w:w w:val="98"/>
              </w:rPr>
              <w:t>5.1%</w:t>
            </w:r>
          </w:p>
        </w:tc>
      </w:tr>
      <w:tr>
        <w:trPr>
          <w:trHeight w:val="246"/>
        </w:trPr>
        <w:tc>
          <w:tcPr>
            <w:tcW w:w="3760" w:type="dxa"/>
            <w:vAlign w:val="bottom"/>
          </w:tcPr>
          <w:p>
            <w:pPr>
              <w:ind w:left="40"/>
              <w:spacing w:after="0"/>
              <w:rPr>
                <w:sz w:val="20"/>
                <w:szCs w:val="20"/>
                <w:color w:val="auto"/>
              </w:rPr>
            </w:pPr>
            <w:r>
              <w:rPr>
                <w:rFonts w:ascii="Arial" w:cs="Arial" w:eastAsia="Arial" w:hAnsi="Arial"/>
                <w:sz w:val="18"/>
                <w:szCs w:val="18"/>
                <w:b w:val="1"/>
                <w:bCs w:val="1"/>
                <w:color w:val="336699"/>
              </w:rPr>
              <w:t>Officers, Directors, and Director Nominee</w:t>
            </w: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7"/>
        </w:trPr>
        <w:tc>
          <w:tcPr>
            <w:tcW w:w="3760" w:type="dxa"/>
            <w:vAlign w:val="bottom"/>
            <w:shd w:val="clear" w:color="auto" w:fill="CCFFFF"/>
          </w:tcPr>
          <w:p>
            <w:pPr>
              <w:ind w:left="200"/>
              <w:spacing w:after="0"/>
              <w:rPr>
                <w:sz w:val="20"/>
                <w:szCs w:val="20"/>
                <w:color w:val="auto"/>
              </w:rPr>
            </w:pPr>
            <w:r>
              <w:rPr>
                <w:rFonts w:ascii="Arial" w:cs="Arial" w:eastAsia="Arial" w:hAnsi="Arial"/>
                <w:sz w:val="16"/>
                <w:szCs w:val="16"/>
                <w:color w:val="auto"/>
              </w:rPr>
              <w:t>Mark S. Casady</w:t>
            </w:r>
          </w:p>
        </w:tc>
        <w:tc>
          <w:tcPr>
            <w:tcW w:w="11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130,957</w:t>
            </w:r>
          </w:p>
        </w:tc>
        <w:tc>
          <w:tcPr>
            <w:tcW w:w="440" w:type="dxa"/>
            <w:vAlign w:val="bottom"/>
            <w:shd w:val="clear" w:color="auto" w:fill="CCFFFF"/>
          </w:tcPr>
          <w:p>
            <w:pPr>
              <w:ind w:left="60"/>
              <w:spacing w:after="0"/>
              <w:rPr>
                <w:sz w:val="20"/>
                <w:szCs w:val="20"/>
                <w:color w:val="auto"/>
              </w:rPr>
            </w:pPr>
            <w:r>
              <w:rPr>
                <w:rFonts w:ascii="Arial" w:cs="Arial" w:eastAsia="Arial" w:hAnsi="Arial"/>
                <w:sz w:val="14"/>
                <w:szCs w:val="14"/>
                <w:color w:val="auto"/>
              </w:rPr>
              <w:t>(8)</w:t>
            </w:r>
          </w:p>
        </w:tc>
        <w:tc>
          <w:tcPr>
            <w:tcW w:w="1620" w:type="dxa"/>
            <w:vAlign w:val="bottom"/>
            <w:shd w:val="clear" w:color="auto" w:fill="CCFFFF"/>
          </w:tcPr>
          <w:p>
            <w:pPr>
              <w:jc w:val="right"/>
              <w:ind w:right="438"/>
              <w:spacing w:after="0"/>
              <w:rPr>
                <w:sz w:val="20"/>
                <w:szCs w:val="20"/>
                <w:color w:val="auto"/>
              </w:rPr>
            </w:pPr>
            <w:r>
              <w:rPr>
                <w:rFonts w:ascii="Arial" w:cs="Arial" w:eastAsia="Arial" w:hAnsi="Arial"/>
                <w:sz w:val="16"/>
                <w:szCs w:val="16"/>
                <w:color w:val="auto"/>
              </w:rPr>
              <w:t>949,704</w:t>
            </w:r>
          </w:p>
        </w:tc>
        <w:tc>
          <w:tcPr>
            <w:tcW w:w="7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3,250</w:t>
            </w:r>
          </w:p>
        </w:tc>
        <w:tc>
          <w:tcPr>
            <w:tcW w:w="420" w:type="dxa"/>
            <w:vAlign w:val="bottom"/>
            <w:shd w:val="clear" w:color="auto" w:fill="CCFFFF"/>
          </w:tcPr>
          <w:p>
            <w:pPr>
              <w:jc w:val="right"/>
              <w:ind w:right="128"/>
              <w:spacing w:after="0"/>
              <w:rPr>
                <w:sz w:val="20"/>
                <w:szCs w:val="20"/>
                <w:color w:val="auto"/>
              </w:rPr>
            </w:pPr>
            <w:r>
              <w:rPr>
                <w:rFonts w:ascii="Arial" w:cs="Arial" w:eastAsia="Arial" w:hAnsi="Arial"/>
                <w:sz w:val="14"/>
                <w:szCs w:val="14"/>
                <w:color w:val="auto"/>
              </w:rPr>
              <w:t>(9)</w:t>
            </w:r>
          </w:p>
        </w:tc>
        <w:tc>
          <w:tcPr>
            <w:tcW w:w="1800" w:type="dxa"/>
            <w:vAlign w:val="bottom"/>
            <w:shd w:val="clear" w:color="auto" w:fill="CCFFFF"/>
          </w:tcPr>
          <w:p>
            <w:pPr>
              <w:jc w:val="right"/>
              <w:ind w:right="57"/>
              <w:spacing w:after="0"/>
              <w:rPr>
                <w:sz w:val="20"/>
                <w:szCs w:val="20"/>
                <w:color w:val="auto"/>
              </w:rPr>
            </w:pPr>
            <w:r>
              <w:rPr>
                <w:rFonts w:ascii="Arial" w:cs="Arial" w:eastAsia="Arial" w:hAnsi="Arial"/>
                <w:sz w:val="16"/>
                <w:szCs w:val="16"/>
                <w:color w:val="auto"/>
              </w:rPr>
              <w:t>1,083,911</w:t>
            </w:r>
          </w:p>
        </w:tc>
        <w:tc>
          <w:tcPr>
            <w:tcW w:w="154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8"/>
              </w:rPr>
              <w:t>1.2%</w:t>
            </w:r>
          </w:p>
        </w:tc>
      </w:tr>
      <w:tr>
        <w:trPr>
          <w:trHeight w:val="263"/>
        </w:trPr>
        <w:tc>
          <w:tcPr>
            <w:tcW w:w="3760" w:type="dxa"/>
            <w:vAlign w:val="bottom"/>
          </w:tcPr>
          <w:p>
            <w:pPr>
              <w:ind w:left="200"/>
              <w:spacing w:after="0"/>
              <w:rPr>
                <w:sz w:val="20"/>
                <w:szCs w:val="20"/>
                <w:color w:val="auto"/>
              </w:rPr>
            </w:pPr>
            <w:r>
              <w:rPr>
                <w:rFonts w:ascii="Arial" w:cs="Arial" w:eastAsia="Arial" w:hAnsi="Arial"/>
                <w:sz w:val="16"/>
                <w:szCs w:val="16"/>
                <w:color w:val="auto"/>
              </w:rPr>
              <w:t>Matthew J. Audette</w:t>
            </w:r>
          </w:p>
        </w:tc>
        <w:tc>
          <w:tcPr>
            <w:tcW w:w="1140" w:type="dxa"/>
            <w:vAlign w:val="bottom"/>
          </w:tcPr>
          <w:p>
            <w:pPr>
              <w:jc w:val="right"/>
              <w:spacing w:after="0"/>
              <w:rPr>
                <w:sz w:val="20"/>
                <w:szCs w:val="20"/>
                <w:color w:val="auto"/>
              </w:rPr>
            </w:pPr>
            <w:r>
              <w:rPr>
                <w:rFonts w:ascii="Arial" w:cs="Arial" w:eastAsia="Arial" w:hAnsi="Arial"/>
                <w:sz w:val="16"/>
                <w:szCs w:val="16"/>
                <w:color w:val="auto"/>
              </w:rPr>
              <w:t>6,028</w:t>
            </w:r>
          </w:p>
        </w:tc>
        <w:tc>
          <w:tcPr>
            <w:tcW w:w="440" w:type="dxa"/>
            <w:vAlign w:val="bottom"/>
          </w:tcPr>
          <w:p>
            <w:pPr>
              <w:spacing w:after="0"/>
              <w:rPr>
                <w:sz w:val="22"/>
                <w:szCs w:val="22"/>
                <w:color w:val="auto"/>
              </w:rPr>
            </w:pPr>
          </w:p>
        </w:tc>
        <w:tc>
          <w:tcPr>
            <w:tcW w:w="1620" w:type="dxa"/>
            <w:vAlign w:val="bottom"/>
          </w:tcPr>
          <w:p>
            <w:pPr>
              <w:jc w:val="right"/>
              <w:ind w:right="438"/>
              <w:spacing w:after="0"/>
              <w:rPr>
                <w:sz w:val="20"/>
                <w:szCs w:val="20"/>
                <w:color w:val="auto"/>
              </w:rPr>
            </w:pPr>
            <w:r>
              <w:rPr>
                <w:rFonts w:ascii="Arial" w:cs="Arial" w:eastAsia="Arial" w:hAnsi="Arial"/>
                <w:sz w:val="16"/>
                <w:szCs w:val="16"/>
                <w:color w:val="auto"/>
              </w:rPr>
              <w:t>37,239</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800" w:type="dxa"/>
            <w:vAlign w:val="bottom"/>
          </w:tcPr>
          <w:p>
            <w:pPr>
              <w:jc w:val="right"/>
              <w:ind w:right="57"/>
              <w:spacing w:after="0"/>
              <w:rPr>
                <w:sz w:val="20"/>
                <w:szCs w:val="20"/>
                <w:color w:val="auto"/>
              </w:rPr>
            </w:pPr>
            <w:r>
              <w:rPr>
                <w:rFonts w:ascii="Arial" w:cs="Arial" w:eastAsia="Arial" w:hAnsi="Arial"/>
                <w:sz w:val="16"/>
                <w:szCs w:val="16"/>
                <w:color w:val="auto"/>
              </w:rPr>
              <w:t>43,267</w:t>
            </w:r>
          </w:p>
        </w:tc>
        <w:tc>
          <w:tcPr>
            <w:tcW w:w="15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7"/>
        </w:trPr>
        <w:tc>
          <w:tcPr>
            <w:tcW w:w="3760" w:type="dxa"/>
            <w:vAlign w:val="bottom"/>
            <w:shd w:val="clear" w:color="auto" w:fill="CCFFFF"/>
          </w:tcPr>
          <w:p>
            <w:pPr>
              <w:ind w:left="200"/>
              <w:spacing w:after="0"/>
              <w:rPr>
                <w:sz w:val="20"/>
                <w:szCs w:val="20"/>
                <w:color w:val="auto"/>
              </w:rPr>
            </w:pPr>
            <w:r>
              <w:rPr>
                <w:rFonts w:ascii="Arial" w:cs="Arial" w:eastAsia="Arial" w:hAnsi="Arial"/>
                <w:sz w:val="16"/>
                <w:szCs w:val="16"/>
                <w:color w:val="auto"/>
              </w:rPr>
              <w:t>Dan H. Arnold</w:t>
            </w:r>
          </w:p>
        </w:tc>
        <w:tc>
          <w:tcPr>
            <w:tcW w:w="11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165,854</w:t>
            </w:r>
          </w:p>
        </w:tc>
        <w:tc>
          <w:tcPr>
            <w:tcW w:w="440" w:type="dxa"/>
            <w:vAlign w:val="bottom"/>
            <w:shd w:val="clear" w:color="auto" w:fill="CCFFFF"/>
          </w:tcPr>
          <w:p>
            <w:pPr>
              <w:spacing w:after="0"/>
              <w:rPr>
                <w:sz w:val="24"/>
                <w:szCs w:val="24"/>
                <w:color w:val="auto"/>
              </w:rPr>
            </w:pPr>
          </w:p>
        </w:tc>
        <w:tc>
          <w:tcPr>
            <w:tcW w:w="1620" w:type="dxa"/>
            <w:vAlign w:val="bottom"/>
            <w:shd w:val="clear" w:color="auto" w:fill="CCFFFF"/>
          </w:tcPr>
          <w:p>
            <w:pPr>
              <w:jc w:val="right"/>
              <w:ind w:right="438"/>
              <w:spacing w:after="0"/>
              <w:rPr>
                <w:sz w:val="20"/>
                <w:szCs w:val="20"/>
                <w:color w:val="auto"/>
              </w:rPr>
            </w:pPr>
            <w:r>
              <w:rPr>
                <w:rFonts w:ascii="Arial" w:cs="Arial" w:eastAsia="Arial" w:hAnsi="Arial"/>
                <w:sz w:val="16"/>
                <w:szCs w:val="16"/>
                <w:color w:val="auto"/>
              </w:rPr>
              <w:t>242,298</w:t>
            </w:r>
          </w:p>
        </w:tc>
        <w:tc>
          <w:tcPr>
            <w:tcW w:w="7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FFFF"/>
          </w:tcPr>
          <w:p>
            <w:pPr>
              <w:spacing w:after="0"/>
              <w:rPr>
                <w:sz w:val="24"/>
                <w:szCs w:val="24"/>
                <w:color w:val="auto"/>
              </w:rPr>
            </w:pPr>
          </w:p>
        </w:tc>
        <w:tc>
          <w:tcPr>
            <w:tcW w:w="1800" w:type="dxa"/>
            <w:vAlign w:val="bottom"/>
            <w:shd w:val="clear" w:color="auto" w:fill="CCFFFF"/>
          </w:tcPr>
          <w:p>
            <w:pPr>
              <w:jc w:val="right"/>
              <w:ind w:right="57"/>
              <w:spacing w:after="0"/>
              <w:rPr>
                <w:sz w:val="20"/>
                <w:szCs w:val="20"/>
                <w:color w:val="auto"/>
              </w:rPr>
            </w:pPr>
            <w:r>
              <w:rPr>
                <w:rFonts w:ascii="Arial" w:cs="Arial" w:eastAsia="Arial" w:hAnsi="Arial"/>
                <w:sz w:val="16"/>
                <w:szCs w:val="16"/>
                <w:color w:val="auto"/>
              </w:rPr>
              <w:t>408,152</w:t>
            </w:r>
          </w:p>
        </w:tc>
        <w:tc>
          <w:tcPr>
            <w:tcW w:w="1540" w:type="dxa"/>
            <w:vAlign w:val="bottom"/>
            <w:shd w:val="clear" w:color="auto" w:fill="CCFFFF"/>
          </w:tcPr>
          <w:p>
            <w:pPr>
              <w:jc w:val="center"/>
              <w:spacing w:after="0"/>
              <w:rPr>
                <w:sz w:val="20"/>
                <w:szCs w:val="20"/>
                <w:color w:val="auto"/>
              </w:rPr>
            </w:pPr>
            <w:r>
              <w:rPr>
                <w:rFonts w:ascii="Arial" w:cs="Arial" w:eastAsia="Arial" w:hAnsi="Arial"/>
                <w:sz w:val="18"/>
                <w:szCs w:val="18"/>
                <w:color w:val="auto"/>
              </w:rPr>
              <w:t>*</w:t>
            </w:r>
          </w:p>
        </w:tc>
      </w:tr>
      <w:tr>
        <w:trPr>
          <w:trHeight w:val="263"/>
        </w:trPr>
        <w:tc>
          <w:tcPr>
            <w:tcW w:w="3760" w:type="dxa"/>
            <w:vAlign w:val="bottom"/>
          </w:tcPr>
          <w:p>
            <w:pPr>
              <w:ind w:left="200"/>
              <w:spacing w:after="0"/>
              <w:rPr>
                <w:sz w:val="20"/>
                <w:szCs w:val="20"/>
                <w:color w:val="auto"/>
              </w:rPr>
            </w:pPr>
            <w:r>
              <w:rPr>
                <w:rFonts w:ascii="Arial" w:cs="Arial" w:eastAsia="Arial" w:hAnsi="Arial"/>
                <w:sz w:val="16"/>
                <w:szCs w:val="16"/>
                <w:color w:val="auto"/>
              </w:rPr>
              <w:t>Tracy E. Calder</w:t>
            </w:r>
          </w:p>
        </w:tc>
        <w:tc>
          <w:tcPr>
            <w:tcW w:w="1140" w:type="dxa"/>
            <w:vAlign w:val="bottom"/>
          </w:tcPr>
          <w:p>
            <w:pPr>
              <w:jc w:val="right"/>
              <w:spacing w:after="0"/>
              <w:rPr>
                <w:sz w:val="20"/>
                <w:szCs w:val="20"/>
                <w:color w:val="auto"/>
              </w:rPr>
            </w:pPr>
            <w:r>
              <w:rPr>
                <w:rFonts w:ascii="Arial" w:cs="Arial" w:eastAsia="Arial" w:hAnsi="Arial"/>
                <w:sz w:val="16"/>
                <w:szCs w:val="16"/>
                <w:color w:val="auto"/>
              </w:rPr>
              <w:t>768</w:t>
            </w:r>
          </w:p>
        </w:tc>
        <w:tc>
          <w:tcPr>
            <w:tcW w:w="440" w:type="dxa"/>
            <w:vAlign w:val="bottom"/>
          </w:tcPr>
          <w:p>
            <w:pPr>
              <w:spacing w:after="0"/>
              <w:rPr>
                <w:sz w:val="22"/>
                <w:szCs w:val="22"/>
                <w:color w:val="auto"/>
              </w:rPr>
            </w:pPr>
          </w:p>
        </w:tc>
        <w:tc>
          <w:tcPr>
            <w:tcW w:w="1620" w:type="dxa"/>
            <w:vAlign w:val="bottom"/>
          </w:tcPr>
          <w:p>
            <w:pPr>
              <w:jc w:val="right"/>
              <w:ind w:right="438"/>
              <w:spacing w:after="0"/>
              <w:rPr>
                <w:sz w:val="20"/>
                <w:szCs w:val="20"/>
                <w:color w:val="auto"/>
              </w:rPr>
            </w:pPr>
            <w:r>
              <w:rPr>
                <w:rFonts w:ascii="Arial" w:cs="Arial" w:eastAsia="Arial" w:hAnsi="Arial"/>
                <w:sz w:val="16"/>
                <w:szCs w:val="16"/>
                <w:color w:val="auto"/>
              </w:rPr>
              <w:t>9,561</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0" w:type="dxa"/>
            <w:vAlign w:val="bottom"/>
          </w:tcPr>
          <w:p>
            <w:pPr>
              <w:jc w:val="right"/>
              <w:ind w:right="57"/>
              <w:spacing w:after="0"/>
              <w:rPr>
                <w:sz w:val="20"/>
                <w:szCs w:val="20"/>
                <w:color w:val="auto"/>
              </w:rPr>
            </w:pPr>
            <w:r>
              <w:rPr>
                <w:rFonts w:ascii="Arial" w:cs="Arial" w:eastAsia="Arial" w:hAnsi="Arial"/>
                <w:sz w:val="16"/>
                <w:szCs w:val="16"/>
                <w:color w:val="auto"/>
              </w:rPr>
              <w:t>10,329</w:t>
            </w:r>
          </w:p>
        </w:tc>
        <w:tc>
          <w:tcPr>
            <w:tcW w:w="15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7"/>
        </w:trPr>
        <w:tc>
          <w:tcPr>
            <w:tcW w:w="3760" w:type="dxa"/>
            <w:vAlign w:val="bottom"/>
            <w:shd w:val="clear" w:color="auto" w:fill="CCFFFF"/>
          </w:tcPr>
          <w:p>
            <w:pPr>
              <w:ind w:left="200"/>
              <w:spacing w:after="0"/>
              <w:rPr>
                <w:sz w:val="20"/>
                <w:szCs w:val="20"/>
                <w:color w:val="auto"/>
              </w:rPr>
            </w:pPr>
            <w:r>
              <w:rPr>
                <w:rFonts w:ascii="Arial" w:cs="Arial" w:eastAsia="Arial" w:hAnsi="Arial"/>
                <w:sz w:val="16"/>
                <w:szCs w:val="16"/>
                <w:color w:val="auto"/>
              </w:rPr>
              <w:t>Thomas Gooley</w:t>
            </w:r>
          </w:p>
        </w:tc>
        <w:tc>
          <w:tcPr>
            <w:tcW w:w="11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2,599</w:t>
            </w:r>
          </w:p>
        </w:tc>
        <w:tc>
          <w:tcPr>
            <w:tcW w:w="440" w:type="dxa"/>
            <w:vAlign w:val="bottom"/>
            <w:shd w:val="clear" w:color="auto" w:fill="CCFFFF"/>
          </w:tcPr>
          <w:p>
            <w:pPr>
              <w:spacing w:after="0"/>
              <w:rPr>
                <w:sz w:val="24"/>
                <w:szCs w:val="24"/>
                <w:color w:val="auto"/>
              </w:rPr>
            </w:pPr>
          </w:p>
        </w:tc>
        <w:tc>
          <w:tcPr>
            <w:tcW w:w="1620" w:type="dxa"/>
            <w:vAlign w:val="bottom"/>
            <w:shd w:val="clear" w:color="auto" w:fill="CCFFFF"/>
          </w:tcPr>
          <w:p>
            <w:pPr>
              <w:jc w:val="right"/>
              <w:ind w:right="438"/>
              <w:spacing w:after="0"/>
              <w:rPr>
                <w:sz w:val="20"/>
                <w:szCs w:val="20"/>
                <w:color w:val="auto"/>
              </w:rPr>
            </w:pPr>
            <w:r>
              <w:rPr>
                <w:rFonts w:ascii="Arial" w:cs="Arial" w:eastAsia="Arial" w:hAnsi="Arial"/>
                <w:sz w:val="16"/>
                <w:szCs w:val="16"/>
                <w:color w:val="auto"/>
              </w:rPr>
              <w:t>21,797</w:t>
            </w:r>
          </w:p>
        </w:tc>
        <w:tc>
          <w:tcPr>
            <w:tcW w:w="700" w:type="dxa"/>
            <w:vAlign w:val="bottom"/>
            <w:shd w:val="clear" w:color="auto" w:fill="CCFFFF"/>
          </w:tcPr>
          <w:p>
            <w:pPr>
              <w:spacing w:after="0"/>
              <w:rPr>
                <w:sz w:val="24"/>
                <w:szCs w:val="24"/>
                <w:color w:val="auto"/>
              </w:rPr>
            </w:pPr>
          </w:p>
        </w:tc>
        <w:tc>
          <w:tcPr>
            <w:tcW w:w="420" w:type="dxa"/>
            <w:vAlign w:val="bottom"/>
            <w:shd w:val="clear" w:color="auto" w:fill="CCFFFF"/>
          </w:tcPr>
          <w:p>
            <w:pPr>
              <w:spacing w:after="0"/>
              <w:rPr>
                <w:sz w:val="24"/>
                <w:szCs w:val="24"/>
                <w:color w:val="auto"/>
              </w:rPr>
            </w:pPr>
          </w:p>
        </w:tc>
        <w:tc>
          <w:tcPr>
            <w:tcW w:w="1800" w:type="dxa"/>
            <w:vAlign w:val="bottom"/>
            <w:shd w:val="clear" w:color="auto" w:fill="CCFFFF"/>
          </w:tcPr>
          <w:p>
            <w:pPr>
              <w:jc w:val="right"/>
              <w:ind w:right="57"/>
              <w:spacing w:after="0"/>
              <w:rPr>
                <w:sz w:val="20"/>
                <w:szCs w:val="20"/>
                <w:color w:val="auto"/>
              </w:rPr>
            </w:pPr>
            <w:r>
              <w:rPr>
                <w:rFonts w:ascii="Arial" w:cs="Arial" w:eastAsia="Arial" w:hAnsi="Arial"/>
                <w:sz w:val="16"/>
                <w:szCs w:val="16"/>
                <w:color w:val="auto"/>
              </w:rPr>
              <w:t>24,396</w:t>
            </w:r>
          </w:p>
        </w:tc>
        <w:tc>
          <w:tcPr>
            <w:tcW w:w="1540" w:type="dxa"/>
            <w:vAlign w:val="bottom"/>
            <w:shd w:val="clear" w:color="auto" w:fill="CCFFFF"/>
          </w:tcPr>
          <w:p>
            <w:pPr>
              <w:jc w:val="center"/>
              <w:spacing w:after="0"/>
              <w:rPr>
                <w:sz w:val="20"/>
                <w:szCs w:val="20"/>
                <w:color w:val="auto"/>
              </w:rPr>
            </w:pPr>
            <w:r>
              <w:rPr>
                <w:rFonts w:ascii="Arial" w:cs="Arial" w:eastAsia="Arial" w:hAnsi="Arial"/>
                <w:sz w:val="18"/>
                <w:szCs w:val="18"/>
                <w:color w:val="auto"/>
              </w:rPr>
              <w:t>*</w:t>
            </w:r>
          </w:p>
        </w:tc>
      </w:tr>
      <w:tr>
        <w:trPr>
          <w:trHeight w:val="263"/>
        </w:trPr>
        <w:tc>
          <w:tcPr>
            <w:tcW w:w="3760" w:type="dxa"/>
            <w:vAlign w:val="bottom"/>
          </w:tcPr>
          <w:p>
            <w:pPr>
              <w:ind w:left="200"/>
              <w:spacing w:after="0"/>
              <w:rPr>
                <w:sz w:val="20"/>
                <w:szCs w:val="20"/>
                <w:color w:val="auto"/>
              </w:rPr>
            </w:pPr>
            <w:r>
              <w:rPr>
                <w:rFonts w:ascii="Arial" w:cs="Arial" w:eastAsia="Arial" w:hAnsi="Arial"/>
                <w:sz w:val="16"/>
                <w:szCs w:val="16"/>
                <w:color w:val="auto"/>
              </w:rPr>
              <w:t>John J. Brennan</w:t>
            </w:r>
          </w:p>
        </w:tc>
        <w:tc>
          <w:tcPr>
            <w:tcW w:w="1140" w:type="dxa"/>
            <w:vAlign w:val="bottom"/>
          </w:tcPr>
          <w:p>
            <w:pPr>
              <w:jc w:val="right"/>
              <w:spacing w:after="0"/>
              <w:rPr>
                <w:sz w:val="20"/>
                <w:szCs w:val="20"/>
                <w:color w:val="auto"/>
              </w:rPr>
            </w:pPr>
            <w:r>
              <w:rPr>
                <w:rFonts w:ascii="Arial" w:cs="Arial" w:eastAsia="Arial" w:hAnsi="Arial"/>
                <w:sz w:val="16"/>
                <w:szCs w:val="16"/>
                <w:color w:val="auto"/>
              </w:rPr>
              <w:t>42,382</w:t>
            </w:r>
          </w:p>
        </w:tc>
        <w:tc>
          <w:tcPr>
            <w:tcW w:w="440" w:type="dxa"/>
            <w:vAlign w:val="bottom"/>
          </w:tcPr>
          <w:p>
            <w:pPr>
              <w:spacing w:after="0"/>
              <w:rPr>
                <w:sz w:val="22"/>
                <w:szCs w:val="22"/>
                <w:color w:val="auto"/>
              </w:rPr>
            </w:pPr>
          </w:p>
        </w:tc>
        <w:tc>
          <w:tcPr>
            <w:tcW w:w="1620" w:type="dxa"/>
            <w:vAlign w:val="bottom"/>
          </w:tcPr>
          <w:p>
            <w:pPr>
              <w:jc w:val="right"/>
              <w:ind w:right="438"/>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800" w:type="dxa"/>
            <w:vAlign w:val="bottom"/>
          </w:tcPr>
          <w:p>
            <w:pPr>
              <w:jc w:val="right"/>
              <w:ind w:right="57"/>
              <w:spacing w:after="0"/>
              <w:rPr>
                <w:sz w:val="20"/>
                <w:szCs w:val="20"/>
                <w:color w:val="auto"/>
              </w:rPr>
            </w:pPr>
            <w:r>
              <w:rPr>
                <w:rFonts w:ascii="Arial" w:cs="Arial" w:eastAsia="Arial" w:hAnsi="Arial"/>
                <w:sz w:val="16"/>
                <w:szCs w:val="16"/>
                <w:color w:val="auto"/>
              </w:rPr>
              <w:t>42,382</w:t>
            </w:r>
          </w:p>
        </w:tc>
        <w:tc>
          <w:tcPr>
            <w:tcW w:w="15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7"/>
        </w:trPr>
        <w:tc>
          <w:tcPr>
            <w:tcW w:w="3760" w:type="dxa"/>
            <w:vAlign w:val="bottom"/>
            <w:shd w:val="clear" w:color="auto" w:fill="CCFFFF"/>
          </w:tcPr>
          <w:p>
            <w:pPr>
              <w:ind w:left="200"/>
              <w:spacing w:after="0"/>
              <w:rPr>
                <w:sz w:val="20"/>
                <w:szCs w:val="20"/>
                <w:color w:val="auto"/>
              </w:rPr>
            </w:pPr>
            <w:r>
              <w:rPr>
                <w:rFonts w:ascii="Arial" w:cs="Arial" w:eastAsia="Arial" w:hAnsi="Arial"/>
                <w:sz w:val="16"/>
                <w:szCs w:val="16"/>
                <w:color w:val="auto"/>
              </w:rPr>
              <w:t>Viet D. Dinh</w:t>
            </w:r>
          </w:p>
        </w:tc>
        <w:tc>
          <w:tcPr>
            <w:tcW w:w="11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9,526</w:t>
            </w:r>
          </w:p>
        </w:tc>
        <w:tc>
          <w:tcPr>
            <w:tcW w:w="440" w:type="dxa"/>
            <w:vAlign w:val="bottom"/>
            <w:shd w:val="clear" w:color="auto" w:fill="CCFFFF"/>
          </w:tcPr>
          <w:p>
            <w:pPr>
              <w:ind w:left="60"/>
              <w:spacing w:after="0"/>
              <w:rPr>
                <w:sz w:val="20"/>
                <w:szCs w:val="20"/>
                <w:color w:val="auto"/>
              </w:rPr>
            </w:pPr>
            <w:r>
              <w:rPr>
                <w:rFonts w:ascii="Arial" w:cs="Arial" w:eastAsia="Arial" w:hAnsi="Arial"/>
                <w:sz w:val="14"/>
                <w:szCs w:val="14"/>
                <w:color w:val="auto"/>
              </w:rPr>
              <w:t>(10)</w:t>
            </w:r>
          </w:p>
        </w:tc>
        <w:tc>
          <w:tcPr>
            <w:tcW w:w="1620" w:type="dxa"/>
            <w:vAlign w:val="bottom"/>
            <w:shd w:val="clear" w:color="auto" w:fill="CCFFFF"/>
          </w:tcPr>
          <w:p>
            <w:pPr>
              <w:jc w:val="right"/>
              <w:ind w:right="438"/>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FFFF"/>
          </w:tcPr>
          <w:p>
            <w:pPr>
              <w:spacing w:after="0"/>
              <w:rPr>
                <w:sz w:val="24"/>
                <w:szCs w:val="24"/>
                <w:color w:val="auto"/>
              </w:rPr>
            </w:pPr>
          </w:p>
        </w:tc>
        <w:tc>
          <w:tcPr>
            <w:tcW w:w="1800" w:type="dxa"/>
            <w:vAlign w:val="bottom"/>
            <w:shd w:val="clear" w:color="auto" w:fill="CCFFFF"/>
          </w:tcPr>
          <w:p>
            <w:pPr>
              <w:jc w:val="right"/>
              <w:ind w:right="57"/>
              <w:spacing w:after="0"/>
              <w:rPr>
                <w:sz w:val="20"/>
                <w:szCs w:val="20"/>
                <w:color w:val="auto"/>
              </w:rPr>
            </w:pPr>
            <w:r>
              <w:rPr>
                <w:rFonts w:ascii="Arial" w:cs="Arial" w:eastAsia="Arial" w:hAnsi="Arial"/>
                <w:sz w:val="16"/>
                <w:szCs w:val="16"/>
                <w:color w:val="auto"/>
              </w:rPr>
              <w:t>9,526</w:t>
            </w:r>
          </w:p>
        </w:tc>
        <w:tc>
          <w:tcPr>
            <w:tcW w:w="1540" w:type="dxa"/>
            <w:vAlign w:val="bottom"/>
            <w:shd w:val="clear" w:color="auto" w:fill="CCFFFF"/>
          </w:tcPr>
          <w:p>
            <w:pPr>
              <w:jc w:val="center"/>
              <w:spacing w:after="0"/>
              <w:rPr>
                <w:sz w:val="20"/>
                <w:szCs w:val="20"/>
                <w:color w:val="auto"/>
              </w:rPr>
            </w:pPr>
            <w:r>
              <w:rPr>
                <w:rFonts w:ascii="Arial" w:cs="Arial" w:eastAsia="Arial" w:hAnsi="Arial"/>
                <w:sz w:val="18"/>
                <w:szCs w:val="18"/>
                <w:color w:val="auto"/>
              </w:rPr>
              <w:t>*</w:t>
            </w:r>
          </w:p>
        </w:tc>
      </w:tr>
      <w:tr>
        <w:trPr>
          <w:trHeight w:val="263"/>
        </w:trPr>
        <w:tc>
          <w:tcPr>
            <w:tcW w:w="3760" w:type="dxa"/>
            <w:vAlign w:val="bottom"/>
          </w:tcPr>
          <w:p>
            <w:pPr>
              <w:ind w:left="200"/>
              <w:spacing w:after="0"/>
              <w:rPr>
                <w:sz w:val="20"/>
                <w:szCs w:val="20"/>
                <w:color w:val="auto"/>
              </w:rPr>
            </w:pPr>
            <w:r>
              <w:rPr>
                <w:rFonts w:ascii="Arial" w:cs="Arial" w:eastAsia="Arial" w:hAnsi="Arial"/>
                <w:sz w:val="16"/>
                <w:szCs w:val="16"/>
                <w:color w:val="auto"/>
              </w:rPr>
              <w:t>H. Paulett Eberhart</w:t>
            </w:r>
          </w:p>
        </w:tc>
        <w:tc>
          <w:tcPr>
            <w:tcW w:w="1140" w:type="dxa"/>
            <w:vAlign w:val="bottom"/>
          </w:tcPr>
          <w:p>
            <w:pPr>
              <w:jc w:val="right"/>
              <w:spacing w:after="0"/>
              <w:rPr>
                <w:sz w:val="20"/>
                <w:szCs w:val="20"/>
                <w:color w:val="auto"/>
              </w:rPr>
            </w:pPr>
            <w:r>
              <w:rPr>
                <w:rFonts w:ascii="Arial" w:cs="Arial" w:eastAsia="Arial" w:hAnsi="Arial"/>
                <w:sz w:val="16"/>
                <w:szCs w:val="16"/>
                <w:color w:val="auto"/>
              </w:rPr>
              <w:t>4,595</w:t>
            </w:r>
          </w:p>
        </w:tc>
        <w:tc>
          <w:tcPr>
            <w:tcW w:w="440" w:type="dxa"/>
            <w:vAlign w:val="bottom"/>
          </w:tcPr>
          <w:p>
            <w:pPr>
              <w:spacing w:after="0"/>
              <w:rPr>
                <w:sz w:val="22"/>
                <w:szCs w:val="22"/>
                <w:color w:val="auto"/>
              </w:rPr>
            </w:pPr>
          </w:p>
        </w:tc>
        <w:tc>
          <w:tcPr>
            <w:tcW w:w="1620" w:type="dxa"/>
            <w:vAlign w:val="bottom"/>
          </w:tcPr>
          <w:p>
            <w:pPr>
              <w:jc w:val="right"/>
              <w:ind w:right="438"/>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800" w:type="dxa"/>
            <w:vAlign w:val="bottom"/>
          </w:tcPr>
          <w:p>
            <w:pPr>
              <w:jc w:val="right"/>
              <w:ind w:right="57"/>
              <w:spacing w:after="0"/>
              <w:rPr>
                <w:sz w:val="20"/>
                <w:szCs w:val="20"/>
                <w:color w:val="auto"/>
              </w:rPr>
            </w:pPr>
            <w:r>
              <w:rPr>
                <w:rFonts w:ascii="Arial" w:cs="Arial" w:eastAsia="Arial" w:hAnsi="Arial"/>
                <w:sz w:val="16"/>
                <w:szCs w:val="16"/>
                <w:color w:val="auto"/>
              </w:rPr>
              <w:t>4,595</w:t>
            </w:r>
          </w:p>
        </w:tc>
        <w:tc>
          <w:tcPr>
            <w:tcW w:w="15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7"/>
        </w:trPr>
        <w:tc>
          <w:tcPr>
            <w:tcW w:w="3760" w:type="dxa"/>
            <w:vAlign w:val="bottom"/>
            <w:shd w:val="clear" w:color="auto" w:fill="CCFFFF"/>
          </w:tcPr>
          <w:p>
            <w:pPr>
              <w:ind w:left="200"/>
              <w:spacing w:after="0"/>
              <w:rPr>
                <w:sz w:val="20"/>
                <w:szCs w:val="20"/>
                <w:color w:val="auto"/>
              </w:rPr>
            </w:pPr>
            <w:r>
              <w:rPr>
                <w:rFonts w:ascii="Arial" w:cs="Arial" w:eastAsia="Arial" w:hAnsi="Arial"/>
                <w:sz w:val="16"/>
                <w:szCs w:val="16"/>
                <w:color w:val="auto"/>
              </w:rPr>
              <w:t>Marco (Mick) W. Hellman</w:t>
            </w:r>
            <w:r>
              <w:rPr>
                <w:rFonts w:ascii="Arial" w:cs="Arial" w:eastAsia="Arial" w:hAnsi="Arial"/>
                <w:sz w:val="21"/>
                <w:szCs w:val="21"/>
                <w:color w:val="auto"/>
                <w:vertAlign w:val="superscript"/>
              </w:rPr>
              <w:t>(11)</w:t>
            </w:r>
          </w:p>
        </w:tc>
        <w:tc>
          <w:tcPr>
            <w:tcW w:w="11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1,881,675</w:t>
            </w:r>
          </w:p>
        </w:tc>
        <w:tc>
          <w:tcPr>
            <w:tcW w:w="440" w:type="dxa"/>
            <w:vAlign w:val="bottom"/>
            <w:shd w:val="clear" w:color="auto" w:fill="CCFFFF"/>
          </w:tcPr>
          <w:p>
            <w:pPr>
              <w:spacing w:after="0"/>
              <w:rPr>
                <w:sz w:val="24"/>
                <w:szCs w:val="24"/>
                <w:color w:val="auto"/>
              </w:rPr>
            </w:pPr>
          </w:p>
        </w:tc>
        <w:tc>
          <w:tcPr>
            <w:tcW w:w="1620" w:type="dxa"/>
            <w:vAlign w:val="bottom"/>
            <w:shd w:val="clear" w:color="auto" w:fill="CCFFFF"/>
          </w:tcPr>
          <w:p>
            <w:pPr>
              <w:jc w:val="right"/>
              <w:ind w:right="438"/>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FFFF"/>
          </w:tcPr>
          <w:p>
            <w:pPr>
              <w:spacing w:after="0"/>
              <w:rPr>
                <w:sz w:val="24"/>
                <w:szCs w:val="24"/>
                <w:color w:val="auto"/>
              </w:rPr>
            </w:pPr>
          </w:p>
        </w:tc>
        <w:tc>
          <w:tcPr>
            <w:tcW w:w="1800" w:type="dxa"/>
            <w:vAlign w:val="bottom"/>
            <w:shd w:val="clear" w:color="auto" w:fill="CCFFFF"/>
          </w:tcPr>
          <w:p>
            <w:pPr>
              <w:jc w:val="right"/>
              <w:ind w:right="57"/>
              <w:spacing w:after="0"/>
              <w:rPr>
                <w:sz w:val="20"/>
                <w:szCs w:val="20"/>
                <w:color w:val="auto"/>
              </w:rPr>
            </w:pPr>
            <w:r>
              <w:rPr>
                <w:rFonts w:ascii="Arial" w:cs="Arial" w:eastAsia="Arial" w:hAnsi="Arial"/>
                <w:sz w:val="16"/>
                <w:szCs w:val="16"/>
                <w:color w:val="auto"/>
              </w:rPr>
              <w:t>1,881,675</w:t>
            </w:r>
          </w:p>
        </w:tc>
        <w:tc>
          <w:tcPr>
            <w:tcW w:w="154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8"/>
              </w:rPr>
              <w:t>2.1%</w:t>
            </w:r>
          </w:p>
        </w:tc>
      </w:tr>
      <w:tr>
        <w:trPr>
          <w:trHeight w:val="263"/>
        </w:trPr>
        <w:tc>
          <w:tcPr>
            <w:tcW w:w="3760" w:type="dxa"/>
            <w:vAlign w:val="bottom"/>
          </w:tcPr>
          <w:p>
            <w:pPr>
              <w:ind w:left="200"/>
              <w:spacing w:after="0"/>
              <w:rPr>
                <w:sz w:val="20"/>
                <w:szCs w:val="20"/>
                <w:color w:val="auto"/>
              </w:rPr>
            </w:pPr>
            <w:r>
              <w:rPr>
                <w:rFonts w:ascii="Arial" w:cs="Arial" w:eastAsia="Arial" w:hAnsi="Arial"/>
                <w:sz w:val="16"/>
                <w:szCs w:val="16"/>
                <w:color w:val="auto"/>
              </w:rPr>
              <w:t>Anne M. Mulcahy</w:t>
            </w:r>
          </w:p>
        </w:tc>
        <w:tc>
          <w:tcPr>
            <w:tcW w:w="1140" w:type="dxa"/>
            <w:vAlign w:val="bottom"/>
          </w:tcPr>
          <w:p>
            <w:pPr>
              <w:jc w:val="right"/>
              <w:spacing w:after="0"/>
              <w:rPr>
                <w:sz w:val="20"/>
                <w:szCs w:val="20"/>
                <w:color w:val="auto"/>
              </w:rPr>
            </w:pPr>
            <w:r>
              <w:rPr>
                <w:rFonts w:ascii="Arial" w:cs="Arial" w:eastAsia="Arial" w:hAnsi="Arial"/>
                <w:sz w:val="16"/>
                <w:szCs w:val="16"/>
                <w:color w:val="auto"/>
              </w:rPr>
              <w:t>11,705</w:t>
            </w:r>
          </w:p>
        </w:tc>
        <w:tc>
          <w:tcPr>
            <w:tcW w:w="440" w:type="dxa"/>
            <w:vAlign w:val="bottom"/>
          </w:tcPr>
          <w:p>
            <w:pPr>
              <w:spacing w:after="0"/>
              <w:rPr>
                <w:sz w:val="22"/>
                <w:szCs w:val="22"/>
                <w:color w:val="auto"/>
              </w:rPr>
            </w:pPr>
          </w:p>
        </w:tc>
        <w:tc>
          <w:tcPr>
            <w:tcW w:w="1620" w:type="dxa"/>
            <w:vAlign w:val="bottom"/>
          </w:tcPr>
          <w:p>
            <w:pPr>
              <w:jc w:val="right"/>
              <w:ind w:right="438"/>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800" w:type="dxa"/>
            <w:vAlign w:val="bottom"/>
          </w:tcPr>
          <w:p>
            <w:pPr>
              <w:jc w:val="right"/>
              <w:ind w:right="57"/>
              <w:spacing w:after="0"/>
              <w:rPr>
                <w:sz w:val="20"/>
                <w:szCs w:val="20"/>
                <w:color w:val="auto"/>
              </w:rPr>
            </w:pPr>
            <w:r>
              <w:rPr>
                <w:rFonts w:ascii="Arial" w:cs="Arial" w:eastAsia="Arial" w:hAnsi="Arial"/>
                <w:sz w:val="16"/>
                <w:szCs w:val="16"/>
                <w:color w:val="auto"/>
              </w:rPr>
              <w:t>11,705</w:t>
            </w:r>
          </w:p>
        </w:tc>
        <w:tc>
          <w:tcPr>
            <w:tcW w:w="15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7"/>
        </w:trPr>
        <w:tc>
          <w:tcPr>
            <w:tcW w:w="3760" w:type="dxa"/>
            <w:vAlign w:val="bottom"/>
            <w:shd w:val="clear" w:color="auto" w:fill="CCFFFF"/>
          </w:tcPr>
          <w:p>
            <w:pPr>
              <w:ind w:left="200"/>
              <w:spacing w:after="0"/>
              <w:rPr>
                <w:sz w:val="20"/>
                <w:szCs w:val="20"/>
                <w:color w:val="auto"/>
              </w:rPr>
            </w:pPr>
            <w:r>
              <w:rPr>
                <w:rFonts w:ascii="Arial" w:cs="Arial" w:eastAsia="Arial" w:hAnsi="Arial"/>
                <w:sz w:val="16"/>
                <w:szCs w:val="16"/>
                <w:color w:val="auto"/>
              </w:rPr>
              <w:t>James S. Putnam</w:t>
            </w:r>
            <w:r>
              <w:rPr>
                <w:rFonts w:ascii="Arial" w:cs="Arial" w:eastAsia="Arial" w:hAnsi="Arial"/>
                <w:sz w:val="21"/>
                <w:szCs w:val="21"/>
                <w:color w:val="auto"/>
                <w:vertAlign w:val="superscript"/>
              </w:rPr>
              <w:t>(12)</w:t>
            </w:r>
          </w:p>
        </w:tc>
        <w:tc>
          <w:tcPr>
            <w:tcW w:w="11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113,432</w:t>
            </w:r>
          </w:p>
        </w:tc>
        <w:tc>
          <w:tcPr>
            <w:tcW w:w="440" w:type="dxa"/>
            <w:vAlign w:val="bottom"/>
            <w:shd w:val="clear" w:color="auto" w:fill="CCFFFF"/>
          </w:tcPr>
          <w:p>
            <w:pPr>
              <w:spacing w:after="0"/>
              <w:rPr>
                <w:sz w:val="24"/>
                <w:szCs w:val="24"/>
                <w:color w:val="auto"/>
              </w:rPr>
            </w:pPr>
          </w:p>
        </w:tc>
        <w:tc>
          <w:tcPr>
            <w:tcW w:w="1620" w:type="dxa"/>
            <w:vAlign w:val="bottom"/>
            <w:shd w:val="clear" w:color="auto" w:fill="CCFFFF"/>
          </w:tcPr>
          <w:p>
            <w:pPr>
              <w:jc w:val="right"/>
              <w:ind w:right="438"/>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FFFF"/>
          </w:tcPr>
          <w:p>
            <w:pPr>
              <w:spacing w:after="0"/>
              <w:rPr>
                <w:sz w:val="24"/>
                <w:szCs w:val="24"/>
                <w:color w:val="auto"/>
              </w:rPr>
            </w:pPr>
          </w:p>
        </w:tc>
        <w:tc>
          <w:tcPr>
            <w:tcW w:w="1800" w:type="dxa"/>
            <w:vAlign w:val="bottom"/>
            <w:shd w:val="clear" w:color="auto" w:fill="CCFFFF"/>
          </w:tcPr>
          <w:p>
            <w:pPr>
              <w:jc w:val="right"/>
              <w:ind w:right="57"/>
              <w:spacing w:after="0"/>
              <w:rPr>
                <w:sz w:val="20"/>
                <w:szCs w:val="20"/>
                <w:color w:val="auto"/>
              </w:rPr>
            </w:pPr>
            <w:r>
              <w:rPr>
                <w:rFonts w:ascii="Arial" w:cs="Arial" w:eastAsia="Arial" w:hAnsi="Arial"/>
                <w:sz w:val="16"/>
                <w:szCs w:val="16"/>
                <w:color w:val="auto"/>
              </w:rPr>
              <w:t>113,432</w:t>
            </w:r>
          </w:p>
        </w:tc>
        <w:tc>
          <w:tcPr>
            <w:tcW w:w="1540" w:type="dxa"/>
            <w:vAlign w:val="bottom"/>
            <w:shd w:val="clear" w:color="auto" w:fill="CCFFFF"/>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3760" w:type="dxa"/>
            <w:vAlign w:val="bottom"/>
          </w:tcPr>
          <w:p>
            <w:pPr>
              <w:ind w:left="200"/>
              <w:spacing w:after="0"/>
              <w:rPr>
                <w:sz w:val="20"/>
                <w:szCs w:val="20"/>
                <w:color w:val="auto"/>
              </w:rPr>
            </w:pPr>
            <w:r>
              <w:rPr>
                <w:rFonts w:ascii="Arial" w:cs="Arial" w:eastAsia="Arial" w:hAnsi="Arial"/>
                <w:sz w:val="16"/>
                <w:szCs w:val="16"/>
                <w:color w:val="auto"/>
              </w:rPr>
              <w:t>James Riepe</w:t>
            </w:r>
            <w:r>
              <w:rPr>
                <w:rFonts w:ascii="Arial" w:cs="Arial" w:eastAsia="Arial" w:hAnsi="Arial"/>
                <w:sz w:val="21"/>
                <w:szCs w:val="21"/>
                <w:color w:val="auto"/>
                <w:vertAlign w:val="superscript"/>
              </w:rPr>
              <w:t>(13)</w:t>
            </w:r>
          </w:p>
        </w:tc>
        <w:tc>
          <w:tcPr>
            <w:tcW w:w="1140" w:type="dxa"/>
            <w:vAlign w:val="bottom"/>
          </w:tcPr>
          <w:p>
            <w:pPr>
              <w:jc w:val="right"/>
              <w:spacing w:after="0"/>
              <w:rPr>
                <w:sz w:val="20"/>
                <w:szCs w:val="20"/>
                <w:color w:val="auto"/>
              </w:rPr>
            </w:pPr>
            <w:r>
              <w:rPr>
                <w:rFonts w:ascii="Arial" w:cs="Arial" w:eastAsia="Arial" w:hAnsi="Arial"/>
                <w:sz w:val="16"/>
                <w:szCs w:val="16"/>
                <w:color w:val="auto"/>
              </w:rPr>
              <w:t>93,938</w:t>
            </w:r>
          </w:p>
        </w:tc>
        <w:tc>
          <w:tcPr>
            <w:tcW w:w="440" w:type="dxa"/>
            <w:vAlign w:val="bottom"/>
          </w:tcPr>
          <w:p>
            <w:pPr>
              <w:spacing w:after="0"/>
              <w:rPr>
                <w:sz w:val="23"/>
                <w:szCs w:val="23"/>
                <w:color w:val="auto"/>
              </w:rPr>
            </w:pPr>
          </w:p>
        </w:tc>
        <w:tc>
          <w:tcPr>
            <w:tcW w:w="1620" w:type="dxa"/>
            <w:vAlign w:val="bottom"/>
          </w:tcPr>
          <w:p>
            <w:pPr>
              <w:jc w:val="right"/>
              <w:ind w:right="438"/>
              <w:spacing w:after="0"/>
              <w:rPr>
                <w:sz w:val="20"/>
                <w:szCs w:val="20"/>
                <w:color w:val="auto"/>
              </w:rPr>
            </w:pPr>
            <w:r>
              <w:rPr>
                <w:rFonts w:ascii="Arial" w:cs="Arial" w:eastAsia="Arial" w:hAnsi="Arial"/>
                <w:sz w:val="16"/>
                <w:szCs w:val="16"/>
                <w:color w:val="auto"/>
              </w:rPr>
              <w:t>31,500</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800" w:type="dxa"/>
            <w:vAlign w:val="bottom"/>
          </w:tcPr>
          <w:p>
            <w:pPr>
              <w:jc w:val="right"/>
              <w:ind w:right="57"/>
              <w:spacing w:after="0"/>
              <w:rPr>
                <w:sz w:val="20"/>
                <w:szCs w:val="20"/>
                <w:color w:val="auto"/>
              </w:rPr>
            </w:pPr>
            <w:r>
              <w:rPr>
                <w:rFonts w:ascii="Arial" w:cs="Arial" w:eastAsia="Arial" w:hAnsi="Arial"/>
                <w:sz w:val="16"/>
                <w:szCs w:val="16"/>
                <w:color w:val="auto"/>
              </w:rPr>
              <w:t>125,438</w:t>
            </w:r>
          </w:p>
        </w:tc>
        <w:tc>
          <w:tcPr>
            <w:tcW w:w="15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3760" w:type="dxa"/>
            <w:vAlign w:val="bottom"/>
            <w:shd w:val="clear" w:color="auto" w:fill="CCFFFF"/>
          </w:tcPr>
          <w:p>
            <w:pPr>
              <w:ind w:left="200"/>
              <w:spacing w:after="0"/>
              <w:rPr>
                <w:sz w:val="20"/>
                <w:szCs w:val="20"/>
                <w:color w:val="auto"/>
              </w:rPr>
            </w:pPr>
            <w:r>
              <w:rPr>
                <w:rFonts w:ascii="Arial" w:cs="Arial" w:eastAsia="Arial" w:hAnsi="Arial"/>
                <w:sz w:val="16"/>
                <w:szCs w:val="16"/>
                <w:color w:val="auto"/>
              </w:rPr>
              <w:t>Richard P. Schifter</w:t>
            </w:r>
          </w:p>
        </w:tc>
        <w:tc>
          <w:tcPr>
            <w:tcW w:w="11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28,448</w:t>
            </w:r>
          </w:p>
        </w:tc>
        <w:tc>
          <w:tcPr>
            <w:tcW w:w="440" w:type="dxa"/>
            <w:vAlign w:val="bottom"/>
            <w:shd w:val="clear" w:color="auto" w:fill="CCFFFF"/>
          </w:tcPr>
          <w:p>
            <w:pPr>
              <w:spacing w:after="0"/>
              <w:rPr>
                <w:sz w:val="23"/>
                <w:szCs w:val="23"/>
                <w:color w:val="auto"/>
              </w:rPr>
            </w:pPr>
          </w:p>
        </w:tc>
        <w:tc>
          <w:tcPr>
            <w:tcW w:w="1620" w:type="dxa"/>
            <w:vAlign w:val="bottom"/>
            <w:shd w:val="clear" w:color="auto" w:fill="CCFFFF"/>
          </w:tcPr>
          <w:p>
            <w:pPr>
              <w:jc w:val="right"/>
              <w:ind w:right="438"/>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FFFF"/>
          </w:tcPr>
          <w:p>
            <w:pPr>
              <w:spacing w:after="0"/>
              <w:rPr>
                <w:sz w:val="23"/>
                <w:szCs w:val="23"/>
                <w:color w:val="auto"/>
              </w:rPr>
            </w:pPr>
          </w:p>
        </w:tc>
        <w:tc>
          <w:tcPr>
            <w:tcW w:w="1800" w:type="dxa"/>
            <w:vAlign w:val="bottom"/>
            <w:shd w:val="clear" w:color="auto" w:fill="CCFFFF"/>
          </w:tcPr>
          <w:p>
            <w:pPr>
              <w:jc w:val="right"/>
              <w:ind w:right="57"/>
              <w:spacing w:after="0"/>
              <w:rPr>
                <w:sz w:val="20"/>
                <w:szCs w:val="20"/>
                <w:color w:val="auto"/>
              </w:rPr>
            </w:pPr>
            <w:r>
              <w:rPr>
                <w:rFonts w:ascii="Arial" w:cs="Arial" w:eastAsia="Arial" w:hAnsi="Arial"/>
                <w:sz w:val="16"/>
                <w:szCs w:val="16"/>
                <w:color w:val="auto"/>
              </w:rPr>
              <w:t>28,448</w:t>
            </w:r>
          </w:p>
        </w:tc>
        <w:tc>
          <w:tcPr>
            <w:tcW w:w="1540" w:type="dxa"/>
            <w:vAlign w:val="bottom"/>
            <w:shd w:val="clear" w:color="auto" w:fill="CCFFFF"/>
          </w:tcPr>
          <w:p>
            <w:pPr>
              <w:jc w:val="center"/>
              <w:spacing w:after="0"/>
              <w:rPr>
                <w:sz w:val="20"/>
                <w:szCs w:val="20"/>
                <w:color w:val="auto"/>
              </w:rPr>
            </w:pPr>
            <w:r>
              <w:rPr>
                <w:rFonts w:ascii="Arial" w:cs="Arial" w:eastAsia="Arial" w:hAnsi="Arial"/>
                <w:sz w:val="18"/>
                <w:szCs w:val="18"/>
                <w:color w:val="auto"/>
              </w:rPr>
              <w:t>*</w:t>
            </w:r>
          </w:p>
        </w:tc>
      </w:tr>
      <w:tr>
        <w:trPr>
          <w:trHeight w:val="263"/>
        </w:trPr>
        <w:tc>
          <w:tcPr>
            <w:tcW w:w="3760" w:type="dxa"/>
            <w:vAlign w:val="bottom"/>
          </w:tcPr>
          <w:p>
            <w:pPr>
              <w:ind w:left="200"/>
              <w:spacing w:after="0"/>
              <w:rPr>
                <w:sz w:val="20"/>
                <w:szCs w:val="20"/>
                <w:color w:val="auto"/>
              </w:rPr>
            </w:pPr>
            <w:r>
              <w:rPr>
                <w:rFonts w:ascii="Arial" w:cs="Arial" w:eastAsia="Arial" w:hAnsi="Arial"/>
                <w:sz w:val="16"/>
                <w:szCs w:val="16"/>
                <w:color w:val="auto"/>
              </w:rPr>
              <w:t>William (Bill) F. Glavin, Jr.</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1620" w:type="dxa"/>
            <w:vAlign w:val="bottom"/>
          </w:tcPr>
          <w:p>
            <w:pPr>
              <w:jc w:val="right"/>
              <w:ind w:right="438"/>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800" w:type="dxa"/>
            <w:vAlign w:val="bottom"/>
          </w:tcPr>
          <w:p>
            <w:pPr>
              <w:jc w:val="right"/>
              <w:ind w:right="57"/>
              <w:spacing w:after="0"/>
              <w:rPr>
                <w:sz w:val="20"/>
                <w:szCs w:val="20"/>
                <w:color w:val="auto"/>
              </w:rPr>
            </w:pPr>
            <w:r>
              <w:rPr>
                <w:rFonts w:ascii="Arial" w:cs="Arial" w:eastAsia="Arial" w:hAnsi="Arial"/>
                <w:sz w:val="16"/>
                <w:szCs w:val="16"/>
                <w:color w:val="auto"/>
              </w:rPr>
              <w:t>—</w:t>
            </w:r>
          </w:p>
        </w:tc>
        <w:tc>
          <w:tcPr>
            <w:tcW w:w="15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25"/>
        </w:trPr>
        <w:tc>
          <w:tcPr>
            <w:tcW w:w="3760" w:type="dxa"/>
            <w:vAlign w:val="bottom"/>
            <w:shd w:val="clear" w:color="auto" w:fill="CCFFFF"/>
          </w:tcPr>
          <w:p>
            <w:pPr>
              <w:ind w:left="200"/>
              <w:spacing w:after="0"/>
              <w:rPr>
                <w:sz w:val="20"/>
                <w:szCs w:val="20"/>
                <w:color w:val="auto"/>
              </w:rPr>
            </w:pPr>
            <w:r>
              <w:rPr>
                <w:rFonts w:ascii="Arial" w:cs="Arial" w:eastAsia="Arial" w:hAnsi="Arial"/>
                <w:sz w:val="16"/>
                <w:szCs w:val="16"/>
                <w:color w:val="auto"/>
              </w:rPr>
              <w:t>All current directors and executive officers as a</w:t>
            </w:r>
          </w:p>
        </w:tc>
        <w:tc>
          <w:tcPr>
            <w:tcW w:w="1140" w:type="dxa"/>
            <w:vAlign w:val="bottom"/>
            <w:shd w:val="clear" w:color="auto" w:fill="CCFFFF"/>
          </w:tcPr>
          <w:p>
            <w:pPr>
              <w:spacing w:after="0"/>
              <w:rPr>
                <w:sz w:val="19"/>
                <w:szCs w:val="19"/>
                <w:color w:val="auto"/>
              </w:rPr>
            </w:pPr>
          </w:p>
        </w:tc>
        <w:tc>
          <w:tcPr>
            <w:tcW w:w="440" w:type="dxa"/>
            <w:vAlign w:val="bottom"/>
            <w:shd w:val="clear" w:color="auto" w:fill="CCFFFF"/>
          </w:tcPr>
          <w:p>
            <w:pPr>
              <w:spacing w:after="0"/>
              <w:rPr>
                <w:sz w:val="19"/>
                <w:szCs w:val="19"/>
                <w:color w:val="auto"/>
              </w:rPr>
            </w:pPr>
          </w:p>
        </w:tc>
        <w:tc>
          <w:tcPr>
            <w:tcW w:w="1620" w:type="dxa"/>
            <w:vAlign w:val="bottom"/>
            <w:shd w:val="clear" w:color="auto" w:fill="CCFFFF"/>
          </w:tcPr>
          <w:p>
            <w:pPr>
              <w:spacing w:after="0"/>
              <w:rPr>
                <w:sz w:val="19"/>
                <w:szCs w:val="19"/>
                <w:color w:val="auto"/>
              </w:rPr>
            </w:pPr>
          </w:p>
        </w:tc>
        <w:tc>
          <w:tcPr>
            <w:tcW w:w="700" w:type="dxa"/>
            <w:vAlign w:val="bottom"/>
            <w:shd w:val="clear" w:color="auto" w:fill="CCFFFF"/>
          </w:tcPr>
          <w:p>
            <w:pPr>
              <w:spacing w:after="0"/>
              <w:rPr>
                <w:sz w:val="19"/>
                <w:szCs w:val="19"/>
                <w:color w:val="auto"/>
              </w:rPr>
            </w:pPr>
          </w:p>
        </w:tc>
        <w:tc>
          <w:tcPr>
            <w:tcW w:w="420" w:type="dxa"/>
            <w:vAlign w:val="bottom"/>
            <w:shd w:val="clear" w:color="auto" w:fill="CCFFFF"/>
          </w:tcPr>
          <w:p>
            <w:pPr>
              <w:spacing w:after="0"/>
              <w:rPr>
                <w:sz w:val="19"/>
                <w:szCs w:val="19"/>
                <w:color w:val="auto"/>
              </w:rPr>
            </w:pPr>
          </w:p>
        </w:tc>
        <w:tc>
          <w:tcPr>
            <w:tcW w:w="1800" w:type="dxa"/>
            <w:vAlign w:val="bottom"/>
            <w:shd w:val="clear" w:color="auto" w:fill="CCFFFF"/>
          </w:tcPr>
          <w:p>
            <w:pPr>
              <w:spacing w:after="0"/>
              <w:rPr>
                <w:sz w:val="19"/>
                <w:szCs w:val="19"/>
                <w:color w:val="auto"/>
              </w:rPr>
            </w:pPr>
          </w:p>
        </w:tc>
        <w:tc>
          <w:tcPr>
            <w:tcW w:w="1540" w:type="dxa"/>
            <w:vAlign w:val="bottom"/>
            <w:shd w:val="clear" w:color="auto" w:fill="CCFFFF"/>
          </w:tcPr>
          <w:p>
            <w:pPr>
              <w:spacing w:after="0"/>
              <w:rPr>
                <w:sz w:val="19"/>
                <w:szCs w:val="19"/>
                <w:color w:val="auto"/>
              </w:rPr>
            </w:pPr>
          </w:p>
        </w:tc>
      </w:tr>
      <w:tr>
        <w:trPr>
          <w:trHeight w:val="208"/>
        </w:trPr>
        <w:tc>
          <w:tcPr>
            <w:tcW w:w="3760" w:type="dxa"/>
            <w:vAlign w:val="bottom"/>
            <w:tcBorders>
              <w:bottom w:val="single" w:sz="8" w:color="336699"/>
            </w:tcBorders>
            <w:shd w:val="clear" w:color="auto" w:fill="CCFFFF"/>
          </w:tcPr>
          <w:p>
            <w:pPr>
              <w:ind w:left="200"/>
              <w:spacing w:after="0"/>
              <w:rPr>
                <w:sz w:val="20"/>
                <w:szCs w:val="20"/>
                <w:color w:val="auto"/>
              </w:rPr>
            </w:pPr>
            <w:r>
              <w:rPr>
                <w:rFonts w:ascii="Arial" w:cs="Arial" w:eastAsia="Arial" w:hAnsi="Arial"/>
                <w:sz w:val="16"/>
                <w:szCs w:val="16"/>
                <w:color w:val="auto"/>
              </w:rPr>
              <w:t>group</w:t>
            </w:r>
          </w:p>
        </w:tc>
        <w:tc>
          <w:tcPr>
            <w:tcW w:w="114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6"/>
                <w:szCs w:val="16"/>
                <w:color w:val="auto"/>
              </w:rPr>
              <w:t>2,438,411</w:t>
            </w:r>
          </w:p>
        </w:tc>
        <w:tc>
          <w:tcPr>
            <w:tcW w:w="440" w:type="dxa"/>
            <w:vAlign w:val="bottom"/>
            <w:tcBorders>
              <w:bottom w:val="single" w:sz="8" w:color="336699"/>
            </w:tcBorders>
            <w:shd w:val="clear" w:color="auto" w:fill="CCFFFF"/>
          </w:tcPr>
          <w:p>
            <w:pPr>
              <w:spacing w:after="0"/>
              <w:rPr>
                <w:sz w:val="18"/>
                <w:szCs w:val="18"/>
                <w:color w:val="auto"/>
              </w:rPr>
            </w:pPr>
          </w:p>
        </w:tc>
        <w:tc>
          <w:tcPr>
            <w:tcW w:w="1620" w:type="dxa"/>
            <w:vAlign w:val="bottom"/>
            <w:tcBorders>
              <w:bottom w:val="single" w:sz="8" w:color="336699"/>
            </w:tcBorders>
            <w:shd w:val="clear" w:color="auto" w:fill="CCFFFF"/>
          </w:tcPr>
          <w:p>
            <w:pPr>
              <w:jc w:val="right"/>
              <w:ind w:right="438"/>
              <w:spacing w:after="0"/>
              <w:rPr>
                <w:sz w:val="20"/>
                <w:szCs w:val="20"/>
                <w:color w:val="auto"/>
              </w:rPr>
            </w:pPr>
            <w:r>
              <w:rPr>
                <w:rFonts w:ascii="Arial" w:cs="Arial" w:eastAsia="Arial" w:hAnsi="Arial"/>
                <w:sz w:val="16"/>
                <w:szCs w:val="16"/>
                <w:color w:val="auto"/>
              </w:rPr>
              <w:t>1,198,299</w:t>
            </w:r>
          </w:p>
        </w:tc>
        <w:tc>
          <w:tcPr>
            <w:tcW w:w="70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336699"/>
            </w:tcBorders>
            <w:shd w:val="clear" w:color="auto" w:fill="CCFFFF"/>
          </w:tcPr>
          <w:p>
            <w:pPr>
              <w:spacing w:after="0"/>
              <w:rPr>
                <w:sz w:val="18"/>
                <w:szCs w:val="18"/>
                <w:color w:val="auto"/>
              </w:rPr>
            </w:pPr>
          </w:p>
        </w:tc>
        <w:tc>
          <w:tcPr>
            <w:tcW w:w="1800" w:type="dxa"/>
            <w:vAlign w:val="bottom"/>
            <w:tcBorders>
              <w:bottom w:val="single" w:sz="8" w:color="336699"/>
            </w:tcBorders>
            <w:shd w:val="clear" w:color="auto" w:fill="CCFFFF"/>
          </w:tcPr>
          <w:p>
            <w:pPr>
              <w:jc w:val="right"/>
              <w:ind w:right="57"/>
              <w:spacing w:after="0"/>
              <w:rPr>
                <w:sz w:val="20"/>
                <w:szCs w:val="20"/>
                <w:color w:val="auto"/>
              </w:rPr>
            </w:pPr>
            <w:r>
              <w:rPr>
                <w:rFonts w:ascii="Arial" w:cs="Arial" w:eastAsia="Arial" w:hAnsi="Arial"/>
                <w:sz w:val="16"/>
                <w:szCs w:val="16"/>
                <w:color w:val="auto"/>
              </w:rPr>
              <w:t>3,636,710</w:t>
            </w:r>
          </w:p>
        </w:tc>
        <w:tc>
          <w:tcPr>
            <w:tcW w:w="1540" w:type="dxa"/>
            <w:vAlign w:val="bottom"/>
            <w:tcBorders>
              <w:bottom w:val="single" w:sz="8" w:color="336699"/>
            </w:tcBorders>
            <w:shd w:val="clear" w:color="auto" w:fill="CCFFFF"/>
          </w:tcPr>
          <w:p>
            <w:pPr>
              <w:jc w:val="center"/>
              <w:spacing w:after="0"/>
              <w:rPr>
                <w:sz w:val="20"/>
                <w:szCs w:val="20"/>
                <w:color w:val="auto"/>
              </w:rPr>
            </w:pPr>
            <w:r>
              <w:rPr>
                <w:rFonts w:ascii="Arial" w:cs="Arial" w:eastAsia="Arial" w:hAnsi="Arial"/>
                <w:sz w:val="16"/>
                <w:szCs w:val="16"/>
                <w:color w:val="auto"/>
                <w:w w:val="98"/>
              </w:rPr>
              <w:t>4.0%</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Less than 1%</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53</w:t>
      </w:r>
    </w:p>
    <w:p>
      <w:pPr>
        <w:sectPr>
          <w:pgSz w:w="11900" w:h="16838" w:orient="portrait"/>
          <w:cols w:equalWidth="0" w:num="1">
            <w:col w:w="11420"/>
          </w:cols>
          <w:pgMar w:left="240" w:top="288" w:right="239" w:bottom="1440" w:gutter="0" w:footer="0" w:header="0"/>
          <w:type w:val="continuous"/>
        </w:sectPr>
      </w:pPr>
    </w:p>
    <w:bookmarkStart w:id="59" w:name="page60"/>
    <w:bookmarkEnd w:id="59"/>
    <w:p>
      <w:pPr>
        <w:jc w:val="right"/>
        <w:ind w:right="6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3257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20585" cy="325755"/>
                    </a:xfrm>
                    <a:prstGeom prst="rect">
                      <a:avLst/>
                    </a:prstGeom>
                    <a:noFill/>
                  </pic:spPr>
                </pic:pic>
              </a:graphicData>
            </a:graphic>
          </wp:anchor>
        </w:drawing>
        <w:t>Security Ownership of Certain Beneficial</w:t>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003B71"/>
        </w:rPr>
        <w:t>Owners and Management</w:t>
      </w:r>
    </w:p>
    <w:p>
      <w:pPr>
        <w:spacing w:after="0" w:line="200" w:lineRule="exact"/>
        <w:rPr>
          <w:sz w:val="20"/>
          <w:szCs w:val="20"/>
          <w:color w:val="auto"/>
        </w:rPr>
      </w:pPr>
    </w:p>
    <w:p>
      <w:pPr>
        <w:spacing w:after="0" w:line="345" w:lineRule="exact"/>
        <w:rPr>
          <w:sz w:val="20"/>
          <w:szCs w:val="20"/>
          <w:color w:val="auto"/>
        </w:rPr>
      </w:pPr>
    </w:p>
    <w:p>
      <w:pPr>
        <w:ind w:left="340" w:right="40" w:hanging="332"/>
        <w:spacing w:after="0" w:line="260"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Consists of Common Stock which the named individual or group has the right to acquire through (i) the exercise of vested stock options and (ii) the vesting of RSUs and/or the vesting and exercise of stock options within 60 days of March 10, 2017.</w:t>
      </w:r>
    </w:p>
    <w:p>
      <w:pPr>
        <w:spacing w:after="0" w:line="33" w:lineRule="exact"/>
        <w:rPr>
          <w:rFonts w:ascii="Arial" w:cs="Arial" w:eastAsia="Arial" w:hAnsi="Arial"/>
          <w:sz w:val="16"/>
          <w:szCs w:val="16"/>
          <w:color w:val="auto"/>
        </w:rPr>
      </w:pPr>
    </w:p>
    <w:p>
      <w:pPr>
        <w:ind w:left="340" w:right="40" w:hanging="332"/>
        <w:spacing w:after="0" w:line="250"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Consists of (i) 8,633,626 shares of Common Stock held by SPO Advisory Corp., a Delaware corporation (“SPO Advisory Corp.”) in its capacities as the sole general partner of SPO Advisory Partners, L.P. with respect to 7,987,526 shares and SF Advisory Partners, L.P. with respect to 646,100 shares; and (ii) 90,400 shares beneficially owned by John H. Scully. Messrs. Scully and Eli J. Weinberg are controlling persons of SPO Advisory Corp. This information is based on a Schedule 13G/A filed on February 14, 2017 with the SEC. The address for each of SPO Advisory Corp., Messrs. Scully, and Weinberg is 591 Redwood Highway, Suite 3215, Mill Valley, California 94941.</w:t>
      </w:r>
    </w:p>
    <w:p>
      <w:pPr>
        <w:spacing w:after="0" w:line="41" w:lineRule="exact"/>
        <w:rPr>
          <w:rFonts w:ascii="Arial" w:cs="Arial" w:eastAsia="Arial" w:hAnsi="Arial"/>
          <w:sz w:val="16"/>
          <w:szCs w:val="16"/>
          <w:color w:val="auto"/>
        </w:rPr>
      </w:pPr>
    </w:p>
    <w:p>
      <w:pPr>
        <w:ind w:left="340" w:right="360" w:hanging="332"/>
        <w:spacing w:after="0" w:line="253"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Consists of shares of Common Stock held by certain limited partnerships (collectively the “Funds”) for which FPR Partners, LLC (“FPR”) acts as investment manager. Bob Peck and Andrew Raab are the Senior Managing Members of FPR. This information is based on a Schedule 13G/A filed on February 14, 2017 with the SEC. The address of FPR is 199 Fremont Street, Suite 2500, San Francisco, CA 94105.</w:t>
      </w:r>
    </w:p>
    <w:p>
      <w:pPr>
        <w:spacing w:after="0" w:line="93" w:lineRule="exact"/>
        <w:rPr>
          <w:rFonts w:ascii="Arial" w:cs="Arial" w:eastAsia="Arial" w:hAnsi="Arial"/>
          <w:sz w:val="16"/>
          <w:szCs w:val="16"/>
          <w:color w:val="auto"/>
        </w:rPr>
      </w:pPr>
    </w:p>
    <w:p>
      <w:pPr>
        <w:ind w:left="340" w:hanging="332"/>
        <w:spacing w:after="0" w:line="248"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Consists of shares of Common Stock held by Janus Capital Management LLC (“Janus Capital”). Janus Capital has a direct 97.11% ownership stake in INTECH Investment Management (“INTECH”) and a direct 100% ownership stake in Perkins Investment Management LLC (“Perkins”). Due to the above ownership structure, holdings for Janus Capital, Perkins, and INTECH are aggregated. Janus Capital, Perkins, and INTECH are registered investment advisers, each furnishing investment advice to various investment companies registered under Section 8 of the Investment Company Act of 1940 and to individual and institutional clients (collectively, “Managed Portfolios”). As a result of its role as investment adviser or sub-adviser to the Managed Portfolios, Janus Capital may be deemed to be the beneficial owner of 7,915,200 shares held by such Managed Portfolios. However, Janus Capital does not have the right to receive any dividends from, or the proceeds from the sale of, the securities held in the Managed Portfolios and disclaims any ownership associated with such rights. As a result of its role as investment adviser or sub-adviser to the Managed Portfolios, INTECH may be deemed to be the beneficial owner of 42,600 shares held by such Managed Portfolios. However, INTECH does not have the right to receive any dividends from, or the proceeds from the sale of, the securities held in the Managed Portfolios and disclaims any ownership associated with such rights. This information is based on a Schedule 13G/A filed on February 13, 2017 with the SEC. The address of Janus Capital is 151 Detroit Street, Denver, CO 80206.</w:t>
      </w:r>
    </w:p>
    <w:p>
      <w:pPr>
        <w:spacing w:after="0" w:line="42" w:lineRule="exact"/>
        <w:rPr>
          <w:rFonts w:ascii="Arial" w:cs="Arial" w:eastAsia="Arial" w:hAnsi="Arial"/>
          <w:sz w:val="16"/>
          <w:szCs w:val="16"/>
          <w:color w:val="auto"/>
        </w:rPr>
      </w:pPr>
    </w:p>
    <w:p>
      <w:pPr>
        <w:ind w:left="340" w:right="160" w:hanging="332"/>
        <w:spacing w:after="0" w:line="251"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Consists of shares of Common Stock held by The Vanguard Group, Inc. Vanguard Fiduciary Trust Company (“VFTC”), a wholly-owned subsidiary of The Vanguard Group, Inc., is the beneficial owner of 44,894 shares, and Vanguard Investments Australia, LTD. (“VIA”), a wholly-owned subsidiary of The Vanguard Group, Inc., is the beneficial owner of 12,558 shares. This information is based on a Schedule 13G/A filed on February 10, 2017 with the SEC. The address of The Vanguard Group, Inc. is 100 Vanguard Blvd., Malvern, PA 19355.</w:t>
      </w:r>
    </w:p>
    <w:p>
      <w:pPr>
        <w:spacing w:after="0" w:line="40" w:lineRule="exact"/>
        <w:rPr>
          <w:rFonts w:ascii="Arial" w:cs="Arial" w:eastAsia="Arial" w:hAnsi="Arial"/>
          <w:sz w:val="16"/>
          <w:szCs w:val="16"/>
          <w:color w:val="auto"/>
        </w:rPr>
      </w:pPr>
    </w:p>
    <w:p>
      <w:pPr>
        <w:ind w:left="340" w:hanging="332"/>
        <w:spacing w:after="0" w:line="248"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Consists of shares of (i) 4,660,273 Common Stock held by Fairview Capital Investment Management, LLC (“FCIM LLC”); and (ii) 6,200 shares beneficially owned by Andrew F. Mathieson. FCIM LLC is the general partner and investment adviser of private investment funds and the investment advisor to other accounts. Fairview Capital is the manager of FCIM, LLC. Mr. Mathieson is the controlling shareholder and President of Fairview Capital. Scott W. Clark is a Managing Partner and control person of Fairview Capital. The filers filed a Schedule 13G jointly but not as members of a group, and each disclaims membership in a group. Each of FCIM LLC, Fairview Capital, Mr. Mathieson, and Mr. Clark disclaims beneficial ownership of the Common Stock, except to the extent of that person’s pecuniary interest therein. This information is based on a Schedule 13G/A filed on February 13, 2017 with the SEC. The address of Fairview Capital Investment Management, LLC is 300 Drakes Landing Road, Suite 250, Greenbrae, CA 94904.</w:t>
      </w:r>
    </w:p>
    <w:p>
      <w:pPr>
        <w:spacing w:after="0" w:line="46" w:lineRule="exact"/>
        <w:rPr>
          <w:rFonts w:ascii="Arial" w:cs="Arial" w:eastAsia="Arial" w:hAnsi="Arial"/>
          <w:sz w:val="16"/>
          <w:szCs w:val="16"/>
          <w:color w:val="auto"/>
        </w:rPr>
      </w:pPr>
    </w:p>
    <w:p>
      <w:pPr>
        <w:ind w:left="340" w:right="20" w:hanging="332"/>
        <w:spacing w:after="0" w:line="253"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Consists of Common Stock held by First Pacific Advisors, LLC (“FPA”). J. Richard Atwood and Steven T. Romick are controlling persons of FPA. This information is based on a Form 13G filed on February 13, 2017 with the SEC. The address of First Pacific Advisors, LLC is 11601 Wilshire Blvd. Ste. 1200, Los Angeles, CA 90025.</w:t>
      </w:r>
    </w:p>
    <w:p>
      <w:pPr>
        <w:spacing w:after="0" w:line="39" w:lineRule="exact"/>
        <w:rPr>
          <w:rFonts w:ascii="Arial" w:cs="Arial" w:eastAsia="Arial" w:hAnsi="Arial"/>
          <w:sz w:val="16"/>
          <w:szCs w:val="16"/>
          <w:color w:val="auto"/>
        </w:rPr>
      </w:pPr>
    </w:p>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Consists of (i) 63,871 shares of Common Stock held directly and (ii) 67,086 shares of Common Stock held indirectly.</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Consists of shares held through the One Step Forward Foundation, over which Mr. Casady disclaims beneficial ownership.</w:t>
      </w:r>
    </w:p>
    <w:p>
      <w:pPr>
        <w:spacing w:after="0" w:line="59" w:lineRule="exact"/>
        <w:rPr>
          <w:rFonts w:ascii="Arial" w:cs="Arial" w:eastAsia="Arial" w:hAnsi="Arial"/>
          <w:sz w:val="16"/>
          <w:szCs w:val="16"/>
          <w:color w:val="auto"/>
        </w:rPr>
      </w:pPr>
    </w:p>
    <w:p>
      <w:pPr>
        <w:ind w:left="340" w:right="420" w:hanging="332"/>
        <w:spacing w:after="0" w:line="260"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Consists of (i) 4,682 shares of Common Stock held directly and (ii) 4,844 shares of Common Stock held through a Grantor Retained Annuity Trust, of which Mr. Dinh disclaims beneficial ownership.</w:t>
      </w:r>
    </w:p>
    <w:p>
      <w:pPr>
        <w:spacing w:after="0" w:line="33" w:lineRule="exact"/>
        <w:rPr>
          <w:rFonts w:ascii="Arial" w:cs="Arial" w:eastAsia="Arial" w:hAnsi="Arial"/>
          <w:sz w:val="16"/>
          <w:szCs w:val="16"/>
          <w:color w:val="auto"/>
        </w:rPr>
      </w:pPr>
    </w:p>
    <w:p>
      <w:pPr>
        <w:ind w:left="340" w:right="120" w:hanging="332"/>
        <w:spacing w:after="0" w:line="253"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Mr. Hellman shares beneficial ownership of the 1,881,675 shares of Common Stock with HMI Capital, LLC. Mr. Hellman is the managing member of HMI Capital, LLC, which is the general partner and investment adviser of HMI Capital Partners, L.P. and Merckx Capital Partners, L.P., the owners of record of the shares.</w:t>
      </w:r>
    </w:p>
    <w:p>
      <w:pPr>
        <w:spacing w:after="0" w:line="39" w:lineRule="exact"/>
        <w:rPr>
          <w:rFonts w:ascii="Arial" w:cs="Arial" w:eastAsia="Arial" w:hAnsi="Arial"/>
          <w:sz w:val="16"/>
          <w:szCs w:val="16"/>
          <w:color w:val="auto"/>
        </w:rPr>
      </w:pPr>
    </w:p>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Mr. Putnam holds 105,871.5 shares of Common Stock through James S. Putnam TTEE for Putnam Family Trust Dated 1699 Separate Property Trust.</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Consists of (i) 57,967 shares of Common Stock held directly and (ii) 35,971 shares of Common Stock held through Stone Barn, LLC.</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54 | </w:t>
      </w:r>
      <w:r>
        <w:rPr>
          <w:rFonts w:ascii="Arial" w:cs="Arial" w:eastAsia="Arial" w:hAnsi="Arial"/>
          <w:sz w:val="18"/>
          <w:szCs w:val="18"/>
          <w:b w:val="1"/>
          <w:bCs w:val="1"/>
          <w:color w:val="003B71"/>
        </w:rPr>
        <w:t>2017 Proxy Statement</w:t>
      </w:r>
    </w:p>
    <w:p>
      <w:pPr>
        <w:sectPr>
          <w:pgSz w:w="11900" w:h="16838" w:orient="portrait"/>
          <w:cols w:equalWidth="0" w:num="1">
            <w:col w:w="11420"/>
          </w:cols>
          <w:pgMar w:left="240" w:top="287" w:right="239" w:bottom="1440" w:gutter="0" w:footer="0" w:header="0"/>
        </w:sectPr>
      </w:pPr>
    </w:p>
    <w:bookmarkStart w:id="60" w:name="page61"/>
    <w:bookmarkEnd w:id="60"/>
    <w:p>
      <w:pPr>
        <w:jc w:val="right"/>
        <w:ind w:right="6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3257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20585" cy="325755"/>
                    </a:xfrm>
                    <a:prstGeom prst="rect">
                      <a:avLst/>
                    </a:prstGeom>
                    <a:noFill/>
                  </pic:spPr>
                </pic:pic>
              </a:graphicData>
            </a:graphic>
          </wp:anchor>
        </w:drawing>
        <w:t>Section 16(a) Beneficial Ownership</w:t>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003B71"/>
        </w:rPr>
        <w:t>Reporting Compliance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336699"/>
        </w:rPr>
        <w:t>Section 16(a) Beneficial Ownership Reporting Compliance</w:t>
      </w:r>
    </w:p>
    <w:p>
      <w:pPr>
        <w:spacing w:after="0" w:line="29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initial reports of ownership and reports of changes in ownership with the SEC. Such persons are required by regulation of the SEC to furnish us with copies of all Section 16(a) forms they file. Based solely on our review of the copies of such forms or written representations from certain reporting persons received by us with respect to 2016, we believe that our executive officers and directors and persons who own more than 10% of a registered class of our equity securities have complied with all applicable filing requirements, other than Jeffrey Buchheister, our former chief accounting officer, who filed a Statement of Change in Beneficial Ownership on Form 4 on March 8, 2016 reporting one late transaction.</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55</w:t>
      </w:r>
    </w:p>
    <w:p>
      <w:pPr>
        <w:sectPr>
          <w:pgSz w:w="11900" w:h="16838" w:orient="portrait"/>
          <w:cols w:equalWidth="0" w:num="1">
            <w:col w:w="11420"/>
          </w:cols>
          <w:pgMar w:left="240" w:top="287" w:right="239" w:bottom="1440" w:gutter="0" w:footer="0" w:header="0"/>
        </w:sectPr>
      </w:pPr>
    </w:p>
    <w:bookmarkStart w:id="61" w:name="page62"/>
    <w:bookmarkEnd w:id="61"/>
    <w:p>
      <w:pPr>
        <w:jc w:val="right"/>
        <w:ind w:right="4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Certain Relationships and Related Party Transactions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336699"/>
        </w:rPr>
        <w:t>Certain Relationships and Related Party Transactions</w:t>
      </w:r>
    </w:p>
    <w:p>
      <w:pPr>
        <w:sectPr>
          <w:pgSz w:w="11900" w:h="16838" w:orient="portrait"/>
          <w:cols w:equalWidth="0" w:num="1">
            <w:col w:w="11400"/>
          </w:cols>
          <w:pgMar w:left="240" w:top="436" w:right="259" w:bottom="1440" w:gutter="0" w:footer="0" w:header="0"/>
        </w:sectPr>
      </w:pPr>
    </w:p>
    <w:p>
      <w:pPr>
        <w:spacing w:after="0" w:line="277" w:lineRule="exact"/>
        <w:rPr>
          <w:sz w:val="20"/>
          <w:szCs w:val="20"/>
          <w:color w:val="auto"/>
        </w:rPr>
      </w:pPr>
    </w:p>
    <w:p>
      <w:pPr>
        <w:ind w:right="420"/>
        <w:spacing w:after="0" w:line="272" w:lineRule="auto"/>
        <w:rPr>
          <w:sz w:val="20"/>
          <w:szCs w:val="20"/>
          <w:color w:val="auto"/>
        </w:rPr>
      </w:pPr>
      <w:r>
        <w:rPr>
          <w:rFonts w:ascii="Arial" w:cs="Arial" w:eastAsia="Arial" w:hAnsi="Arial"/>
          <w:sz w:val="20"/>
          <w:szCs w:val="20"/>
          <w:b w:val="1"/>
          <w:bCs w:val="1"/>
          <w:color w:val="336699"/>
        </w:rPr>
        <w:t>Review, Approval, or Ratification of Transactions with Related Persons</w:t>
      </w:r>
    </w:p>
    <w:p>
      <w:pPr>
        <w:spacing w:after="0" w:line="18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accordance with the charter of our Audit Committee and our written policy with respect to related party transactions, our Audit Committee is responsible for reviewing and approving related party transactions. If it is not feasible to approve related party transactions in advance, the Audit Committee is permitted to ratify such transactions after the Company has entered into them, subject to the procedures and considerations described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policy with respect to related party transactions applies to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transaction, arrangement or relationship, or series of similar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transactions, arrangements, or relationships (including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indebtedness or guarantee of indebtedness) in which (1)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amount involved exceeds or is expected to exceed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$120,000, (2) the Company or any of its subsidiaries is a participant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(3) a related person has or will have a direct or indirect interest.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related person is: (a) any person who is, or at any time since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beginning of our last fiscal year was, a director or executive officer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 or a nominee for election as a director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(b) any beneficial owner of more than five percent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or (c) any immediate family member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foregoing persons.</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Audit Committee is provided with the material facts of all transactions that require the Audit Committee’s approval under the policy. In determining whether to approve or ratify a particular transaction, the Audit Committee will take into account, among other factors it deems appropriate, whether the transaction is on terms no less favorable than terms generally available to an unaffiliated third party under the same or similar circumstances and the extent of the related person’s interest in the transaction.</w:t>
      </w:r>
    </w:p>
    <w:p>
      <w:pPr>
        <w:spacing w:after="0" w:line="206"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Under the policy, a director is not permitted to participate in any discussion or approval of a transaction for which he or she (or an immediate family member) is the related person, and such director must provide the Audit Committee with all material information concerning the transaction. If an approved transaction is ongoing, the Audit Committee may establish guidelines for management to follow in its dealings with such person and will annually review and assess compliance with such guidelines, and whether the transaction remains appropriate for the Company.</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Stockholders’ Agreement</w:t>
      </w:r>
    </w:p>
    <w:p>
      <w:pPr>
        <w:spacing w:after="0" w:line="24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connection with our initial public offering, we entered into a stockholders’ agreement with TPG, which beneficially owned more than five percent of our Common Stock until December 2016. Prior to an amendment in September 2014, the stockholders’ agreement provided TPG with the right to designate up to two directors to our Board of Directors. One of our current directors, Richard P. Schifter, was initially elected to the Board pursuant to the stockholders’ agreement.</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Pursuant to the stockholders’ agreement, we agree to indemnify TPG and its affiliates from any losses arising, directly or indirectly, out of TPG’s or its affiliates’ actual, alleged, or deemed control or ability to influence us or the actual or alleged act or omission of any director who was designated by TPG pursuant to TPG’s prior right to designate directors under the stockholders’ agreement.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Other Arrangements</w:t>
      </w:r>
    </w:p>
    <w:p>
      <w:pPr>
        <w:spacing w:after="0" w:line="24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Funds affiliated with TPG hold a minority interest in XOJET, Inc. (“XOJET”). XOJET provides chartered aircraft services to LPL Financial for business-related travel. LPL Financial paid $155,000 to XOJET during the year ended December 31, 2016.</w:t>
      </w:r>
    </w:p>
    <w:p>
      <w:pPr>
        <w:spacing w:after="0" w:line="20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Each of T. Rowe Price &amp; Associates (“T. Rowe”), Janus Capital Management LLC (“Janus”), and First Pacific Advisors, LLC (“FPA”) considered itself the direct or indirect beneficial owner of more than five percent of our Common Stock during 2016. The Company has entered into certain agreements in the ordinary course of business with each of T. Rowe, Janus, and FPA, and during the year ended December 31, 2016, received revenue of approximately $5.0 million, $2.5 million, and $252,000 under its agreements with T. Rowe, Janus, and FPA, respectively.</w:t>
      </w:r>
    </w:p>
    <w:p>
      <w:pPr>
        <w:spacing w:after="0" w:line="2144" w:lineRule="exact"/>
        <w:rPr>
          <w:sz w:val="20"/>
          <w:szCs w:val="20"/>
          <w:color w:val="auto"/>
        </w:rPr>
      </w:pPr>
    </w:p>
    <w:p>
      <w:pPr>
        <w:sectPr>
          <w:pgSz w:w="11900" w:h="16838" w:orient="portrait"/>
          <w:cols w:equalWidth="0" w:num="2">
            <w:col w:w="5480" w:space="460"/>
            <w:col w:w="5460"/>
          </w:cols>
          <w:pgMar w:left="240" w:top="436" w:right="25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56 | </w:t>
      </w:r>
      <w:r>
        <w:rPr>
          <w:rFonts w:ascii="Arial" w:cs="Arial" w:eastAsia="Arial" w:hAnsi="Arial"/>
          <w:sz w:val="18"/>
          <w:szCs w:val="18"/>
          <w:b w:val="1"/>
          <w:bCs w:val="1"/>
          <w:color w:val="003B71"/>
        </w:rPr>
        <w:t>2017 Proxy Statement</w:t>
      </w:r>
    </w:p>
    <w:p>
      <w:pPr>
        <w:sectPr>
          <w:pgSz w:w="11900" w:h="16838" w:orient="portrait"/>
          <w:cols w:equalWidth="0" w:num="1">
            <w:col w:w="11400"/>
          </w:cols>
          <w:pgMar w:left="240" w:top="436" w:right="259" w:bottom="1440" w:gutter="0" w:footer="0" w:header="0"/>
          <w:type w:val="continuous"/>
        </w:sectPr>
      </w:pPr>
    </w:p>
    <w:bookmarkStart w:id="62" w:name="page63"/>
    <w:bookmarkEnd w:id="62"/>
    <w:p>
      <w:pPr>
        <w:jc w:val="right"/>
        <w:ind w:left="4900" w:right="60"/>
        <w:spacing w:after="0" w:line="241" w:lineRule="auto"/>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4629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20585" cy="462915"/>
                    </a:xfrm>
                    <a:prstGeom prst="rect">
                      <a:avLst/>
                    </a:prstGeom>
                    <a:noFill/>
                  </pic:spPr>
                </pic:pic>
              </a:graphicData>
            </a:graphic>
          </wp:anchor>
        </w:drawing>
        <w:t>Proposal 2: Ratification of the Appointment of Deloitte &amp; Touche LLP by the Audit Committee of the Board of Directors as Our Independent Registered Public Accounting Firm</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36699"/>
        </w:rPr>
        <w:t>Proposal 2: Ratification of the Appointment of Deloitte &amp; Touche LLP</w:t>
      </w:r>
    </w:p>
    <w:p>
      <w:pPr>
        <w:spacing w:after="0" w:line="41"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336699"/>
        </w:rPr>
        <w:t>by the Audit Committee of the Board of Directors as</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336699"/>
        </w:rPr>
        <w:t>Our Independent Registered Public Accounting Firm</w:t>
      </w:r>
    </w:p>
    <w:p>
      <w:pPr>
        <w:sectPr>
          <w:pgSz w:w="11900" w:h="16838" w:orient="portrait"/>
          <w:cols w:equalWidth="0" w:num="1">
            <w:col w:w="11420"/>
          </w:cols>
          <w:pgMar w:left="240" w:top="287" w:right="239" w:bottom="1440" w:gutter="0" w:footer="0" w:header="0"/>
        </w:sectPr>
      </w:pPr>
    </w:p>
    <w:p>
      <w:pPr>
        <w:spacing w:after="0" w:line="15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Audit Committee has appointed Deloitte &amp; Touche LLP (“Deloitte”) as our independent registered public accounting firm for the fiscal year ending December 31, 2017, and the Board has directed that management submit the appointment of the independent registered public accounting firm for ratification by stockholders at the Annual Meeting. Deloitte has served as our independent registered public accounting firm since 2001.</w:t>
      </w:r>
    </w:p>
    <w:p>
      <w:pPr>
        <w:spacing w:after="0" w:line="20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Although stockholder ratification of the selection of Deloitte is not required by our bylaws or otherwise, upon the recommendation of the Audit Committee, the Board is submitting the appointment of Deloitte to</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stockholders for ratification as a matter of good corporate practice. If the stockholders fail to ratify the appointment, the Audit Committee will reconsider the matter. Even if the appointment is ratified, the Audit Committee, in its discretion, may direct the appointment of a different independent registered public accounting firm at any time if it determines that such a change would be in the best interests of the Company and its stockholders.</w:t>
      </w:r>
    </w:p>
    <w:p>
      <w:pPr>
        <w:spacing w:after="0" w:line="207"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Representatives of Deloitte are expected to be present at the Annual Meeting by teleconference and will have the opportunity to make a statement and respond to appropriate questions from stockholders.</w:t>
      </w:r>
    </w:p>
    <w:p>
      <w:pPr>
        <w:spacing w:after="0" w:line="288" w:lineRule="exact"/>
        <w:rPr>
          <w:sz w:val="20"/>
          <w:szCs w:val="20"/>
          <w:color w:val="auto"/>
        </w:rPr>
      </w:pPr>
    </w:p>
    <w:p>
      <w:pPr>
        <w:sectPr>
          <w:pgSz w:w="11900" w:h="16838" w:orient="portrait"/>
          <w:cols w:equalWidth="0" w:num="2">
            <w:col w:w="5360" w:space="580"/>
            <w:col w:w="5480"/>
          </w:cols>
          <w:pgMar w:left="240" w:top="287" w:right="239" w:bottom="1440" w:gutter="0" w:footer="0" w:header="0"/>
          <w:type w:val="continuous"/>
        </w:sectPr>
      </w:pPr>
    </w:p>
    <w:p>
      <w:pPr>
        <w:spacing w:after="0" w:line="90"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336699"/>
        </w:rPr>
        <w:t>THE BOARD OF DIRECTORS RECOMMENDS A VOTE “FOR” THIS PROPOSAL.</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57</w:t>
      </w:r>
    </w:p>
    <w:p>
      <w:pPr>
        <w:sectPr>
          <w:pgSz w:w="11900" w:h="16838" w:orient="portrait"/>
          <w:cols w:equalWidth="0" w:num="1">
            <w:col w:w="11420"/>
          </w:cols>
          <w:pgMar w:left="240" w:top="287" w:right="239" w:bottom="1440" w:gutter="0" w:footer="0" w:header="0"/>
          <w:type w:val="continuous"/>
        </w:sectPr>
      </w:pPr>
    </w:p>
    <w:bookmarkStart w:id="63" w:name="page64"/>
    <w:bookmarkEnd w:id="63"/>
    <w:p>
      <w:pPr>
        <w:jc w:val="right"/>
        <w:ind w:left="4900" w:right="60"/>
        <w:spacing w:after="0" w:line="241" w:lineRule="auto"/>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4629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20585" cy="462915"/>
                    </a:xfrm>
                    <a:prstGeom prst="rect">
                      <a:avLst/>
                    </a:prstGeom>
                    <a:noFill/>
                  </pic:spPr>
                </pic:pic>
              </a:graphicData>
            </a:graphic>
          </wp:anchor>
        </w:drawing>
        <w:t>Proposal 2: Ratification of the Appointment of Deloitte &amp; Touche LLP by the Audit Committee of the Board of Directors as Our Independent Registered Public Accounting Firm</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Fees Paid to Independent Registered Public Accounting Firm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Aggregate fees for professional services rendered by Deloitte as of and for the years ended December 31, 2016 and 2015 were as follows: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8580" w:type="dxa"/>
            <w:vAlign w:val="bottom"/>
            <w:tcBorders>
              <w:bottom w:val="single" w:sz="8" w:color="336699"/>
            </w:tcBorders>
            <w:gridSpan w:val="5"/>
          </w:tcPr>
          <w:p>
            <w:pPr>
              <w:ind w:left="40"/>
              <w:spacing w:after="0"/>
              <w:rPr>
                <w:sz w:val="20"/>
                <w:szCs w:val="20"/>
                <w:color w:val="auto"/>
              </w:rPr>
            </w:pPr>
            <w:r>
              <w:rPr>
                <w:rFonts w:ascii="Arial" w:cs="Arial" w:eastAsia="Arial" w:hAnsi="Arial"/>
                <w:sz w:val="16"/>
                <w:szCs w:val="16"/>
                <w:b w:val="1"/>
                <w:bCs w:val="1"/>
                <w:color w:val="336699"/>
              </w:rPr>
              <w:t>Type of Services</w:t>
            </w:r>
          </w:p>
        </w:tc>
        <w:tc>
          <w:tcPr>
            <w:tcW w:w="320" w:type="dxa"/>
            <w:vAlign w:val="bottom"/>
            <w:tcBorders>
              <w:bottom w:val="single" w:sz="8" w:color="336699"/>
            </w:tcBorders>
          </w:tcPr>
          <w:p>
            <w:pPr>
              <w:spacing w:after="0"/>
              <w:rPr>
                <w:sz w:val="24"/>
                <w:szCs w:val="24"/>
                <w:color w:val="auto"/>
              </w:rPr>
            </w:pPr>
          </w:p>
        </w:tc>
        <w:tc>
          <w:tcPr>
            <w:tcW w:w="1040" w:type="dxa"/>
            <w:vAlign w:val="bottom"/>
            <w:tcBorders>
              <w:bottom w:val="single" w:sz="8" w:color="336699"/>
            </w:tcBorders>
          </w:tcPr>
          <w:p>
            <w:pPr>
              <w:jc w:val="right"/>
              <w:ind w:right="419"/>
              <w:spacing w:after="0"/>
              <w:rPr>
                <w:sz w:val="20"/>
                <w:szCs w:val="20"/>
                <w:color w:val="auto"/>
              </w:rPr>
            </w:pPr>
            <w:r>
              <w:rPr>
                <w:rFonts w:ascii="Arial" w:cs="Arial" w:eastAsia="Arial" w:hAnsi="Arial"/>
                <w:sz w:val="16"/>
                <w:szCs w:val="16"/>
                <w:b w:val="1"/>
                <w:bCs w:val="1"/>
                <w:color w:val="336699"/>
              </w:rPr>
              <w:t>2016</w:t>
            </w:r>
          </w:p>
        </w:tc>
        <w:tc>
          <w:tcPr>
            <w:tcW w:w="120" w:type="dxa"/>
            <w:vAlign w:val="bottom"/>
            <w:tcBorders>
              <w:bottom w:val="single" w:sz="8" w:color="336699"/>
            </w:tcBorders>
          </w:tcPr>
          <w:p>
            <w:pPr>
              <w:spacing w:after="0"/>
              <w:rPr>
                <w:sz w:val="24"/>
                <w:szCs w:val="24"/>
                <w:color w:val="auto"/>
              </w:rPr>
            </w:pPr>
          </w:p>
        </w:tc>
        <w:tc>
          <w:tcPr>
            <w:tcW w:w="300" w:type="dxa"/>
            <w:vAlign w:val="bottom"/>
            <w:tcBorders>
              <w:bottom w:val="single" w:sz="8" w:color="336699"/>
            </w:tcBorders>
          </w:tcPr>
          <w:p>
            <w:pPr>
              <w:spacing w:after="0"/>
              <w:rPr>
                <w:sz w:val="24"/>
                <w:szCs w:val="24"/>
                <w:color w:val="auto"/>
              </w:rPr>
            </w:pPr>
          </w:p>
        </w:tc>
        <w:tc>
          <w:tcPr>
            <w:tcW w:w="1060" w:type="dxa"/>
            <w:vAlign w:val="bottom"/>
            <w:tcBorders>
              <w:bottom w:val="single" w:sz="8" w:color="336699"/>
            </w:tcBorders>
          </w:tcPr>
          <w:p>
            <w:pPr>
              <w:jc w:val="right"/>
              <w:ind w:right="419"/>
              <w:spacing w:after="0"/>
              <w:rPr>
                <w:sz w:val="20"/>
                <w:szCs w:val="20"/>
                <w:color w:val="auto"/>
              </w:rPr>
            </w:pPr>
            <w:r>
              <w:rPr>
                <w:rFonts w:ascii="Arial" w:cs="Arial" w:eastAsia="Arial" w:hAnsi="Arial"/>
                <w:sz w:val="16"/>
                <w:szCs w:val="16"/>
                <w:b w:val="1"/>
                <w:bCs w:val="1"/>
                <w:color w:val="336699"/>
              </w:rPr>
              <w:t>2015</w:t>
            </w:r>
          </w:p>
        </w:tc>
      </w:tr>
      <w:tr>
        <w:trPr>
          <w:trHeight w:val="201"/>
        </w:trPr>
        <w:tc>
          <w:tcPr>
            <w:tcW w:w="800" w:type="dxa"/>
            <w:vAlign w:val="bottom"/>
            <w:tcBorders>
              <w:top w:val="single" w:sz="8" w:color="CCEEFF"/>
              <w:left w:val="single" w:sz="8" w:color="CCEEFF"/>
              <w:bottom w:val="single" w:sz="8" w:color="CCEAF7"/>
            </w:tcBorders>
            <w:gridSpan w:val="2"/>
            <w:shd w:val="clear" w:color="auto" w:fill="CCEAF7"/>
          </w:tcPr>
          <w:p>
            <w:pPr>
              <w:ind w:left="40"/>
              <w:spacing w:after="0"/>
              <w:rPr>
                <w:sz w:val="20"/>
                <w:szCs w:val="20"/>
                <w:color w:val="auto"/>
              </w:rPr>
            </w:pPr>
            <w:r>
              <w:rPr>
                <w:rFonts w:ascii="Arial" w:cs="Arial" w:eastAsia="Arial" w:hAnsi="Arial"/>
                <w:sz w:val="16"/>
                <w:szCs w:val="16"/>
                <w:color w:val="auto"/>
                <w:w w:val="96"/>
                <w:shd w:val="clear" w:color="auto" w:fill="CCEAF7"/>
              </w:rPr>
              <w:t>Audit Fees</w:t>
            </w:r>
          </w:p>
        </w:tc>
        <w:tc>
          <w:tcPr>
            <w:tcW w:w="140" w:type="dxa"/>
            <w:vAlign w:val="bottom"/>
            <w:tcBorders>
              <w:top w:val="single" w:sz="8" w:color="CCEEFF"/>
              <w:bottom w:val="single" w:sz="8" w:color="CCEAF7"/>
            </w:tcBorders>
            <w:gridSpan w:val="2"/>
            <w:shd w:val="clear" w:color="auto" w:fill="CCEAF7"/>
          </w:tcPr>
          <w:p>
            <w:pPr>
              <w:jc w:val="right"/>
              <w:spacing w:after="0"/>
              <w:rPr>
                <w:sz w:val="20"/>
                <w:szCs w:val="20"/>
                <w:color w:val="auto"/>
              </w:rPr>
            </w:pPr>
            <w:r>
              <w:rPr>
                <w:rFonts w:ascii="Arial" w:cs="Arial" w:eastAsia="Arial" w:hAnsi="Arial"/>
                <w:sz w:val="11"/>
                <w:szCs w:val="11"/>
                <w:color w:val="auto"/>
                <w:w w:val="88"/>
                <w:shd w:val="clear" w:color="auto" w:fill="CCEAF7"/>
              </w:rPr>
              <w:t>(1)</w:t>
            </w:r>
          </w:p>
        </w:tc>
        <w:tc>
          <w:tcPr>
            <w:tcW w:w="76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3,675,897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3,936,203</w:t>
            </w:r>
          </w:p>
        </w:tc>
      </w:tr>
      <w:tr>
        <w:trPr>
          <w:trHeight w:val="304"/>
        </w:trPr>
        <w:tc>
          <w:tcPr>
            <w:tcW w:w="8580" w:type="dxa"/>
            <w:vAlign w:val="bottom"/>
            <w:tcBorders>
              <w:top w:val="single" w:sz="8" w:color="CCEEFF"/>
              <w:bottom w:val="single" w:sz="8" w:color="CCEEFF"/>
            </w:tcBorders>
            <w:gridSpan w:val="5"/>
          </w:tcPr>
          <w:p>
            <w:pPr>
              <w:ind w:left="40"/>
              <w:spacing w:after="0"/>
              <w:rPr>
                <w:sz w:val="20"/>
                <w:szCs w:val="20"/>
                <w:color w:val="auto"/>
              </w:rPr>
            </w:pPr>
            <w:r>
              <w:rPr>
                <w:rFonts w:ascii="Arial" w:cs="Arial" w:eastAsia="Arial" w:hAnsi="Arial"/>
                <w:sz w:val="16"/>
                <w:szCs w:val="16"/>
                <w:color w:val="auto"/>
              </w:rPr>
              <w:t>Audit Related Fees</w:t>
            </w:r>
            <w:r>
              <w:rPr>
                <w:rFonts w:ascii="Arial" w:cs="Arial" w:eastAsia="Arial" w:hAnsi="Arial"/>
                <w:sz w:val="21"/>
                <w:szCs w:val="21"/>
                <w:color w:val="auto"/>
                <w:vertAlign w:val="superscript"/>
              </w:rPr>
              <w:t>(2)</w:t>
            </w:r>
          </w:p>
        </w:tc>
        <w:tc>
          <w:tcPr>
            <w:tcW w:w="320" w:type="dxa"/>
            <w:vAlign w:val="bottom"/>
            <w:tcBorders>
              <w:top w:val="single" w:sz="8" w:color="CCEEFF"/>
              <w:bottom w:val="single" w:sz="8" w:color="CCEEFF"/>
            </w:tcBorders>
          </w:tcPr>
          <w:p>
            <w:pPr>
              <w:spacing w:after="0"/>
              <w:rPr>
                <w:sz w:val="24"/>
                <w:szCs w:val="24"/>
                <w:color w:val="auto"/>
              </w:rPr>
            </w:pPr>
          </w:p>
        </w:tc>
        <w:tc>
          <w:tcPr>
            <w:tcW w:w="1040" w:type="dxa"/>
            <w:vAlign w:val="bottom"/>
            <w:tcBorders>
              <w:top w:val="single" w:sz="8" w:color="CCEEFF"/>
              <w:bottom w:val="single" w:sz="8" w:color="CCEEFF"/>
            </w:tcBorders>
          </w:tcPr>
          <w:p>
            <w:pPr>
              <w:jc w:val="right"/>
              <w:ind w:right="19"/>
              <w:spacing w:after="0"/>
              <w:rPr>
                <w:sz w:val="20"/>
                <w:szCs w:val="20"/>
                <w:color w:val="auto"/>
              </w:rPr>
            </w:pPr>
            <w:r>
              <w:rPr>
                <w:rFonts w:ascii="Arial" w:cs="Arial" w:eastAsia="Arial" w:hAnsi="Arial"/>
                <w:sz w:val="16"/>
                <w:szCs w:val="16"/>
                <w:color w:val="auto"/>
              </w:rPr>
              <w:t>185,644</w:t>
            </w:r>
          </w:p>
        </w:tc>
        <w:tc>
          <w:tcPr>
            <w:tcW w:w="120" w:type="dxa"/>
            <w:vAlign w:val="bottom"/>
            <w:tcBorders>
              <w:top w:val="single" w:sz="8" w:color="CCEEFF"/>
              <w:bottom w:val="single" w:sz="8" w:color="CCEEFF"/>
            </w:tcBorders>
          </w:tcPr>
          <w:p>
            <w:pPr>
              <w:spacing w:after="0"/>
              <w:rPr>
                <w:sz w:val="24"/>
                <w:szCs w:val="24"/>
                <w:color w:val="auto"/>
              </w:rPr>
            </w:pPr>
          </w:p>
        </w:tc>
        <w:tc>
          <w:tcPr>
            <w:tcW w:w="300" w:type="dxa"/>
            <w:vAlign w:val="bottom"/>
            <w:tcBorders>
              <w:top w:val="single" w:sz="8" w:color="CCEEFF"/>
              <w:bottom w:val="single" w:sz="8" w:color="CCEEFF"/>
            </w:tcBorders>
          </w:tcPr>
          <w:p>
            <w:pPr>
              <w:spacing w:after="0"/>
              <w:rPr>
                <w:sz w:val="24"/>
                <w:szCs w:val="24"/>
                <w:color w:val="auto"/>
              </w:rPr>
            </w:pPr>
          </w:p>
        </w:tc>
        <w:tc>
          <w:tcPr>
            <w:tcW w:w="1060" w:type="dxa"/>
            <w:vAlign w:val="bottom"/>
            <w:tcBorders>
              <w:top w:val="single" w:sz="8" w:color="CCEEFF"/>
              <w:bottom w:val="single" w:sz="8" w:color="CCEEFF"/>
            </w:tcBorders>
          </w:tcPr>
          <w:p>
            <w:pPr>
              <w:jc w:val="right"/>
              <w:ind w:right="19"/>
              <w:spacing w:after="0"/>
              <w:rPr>
                <w:sz w:val="20"/>
                <w:szCs w:val="20"/>
                <w:color w:val="auto"/>
              </w:rPr>
            </w:pPr>
            <w:r>
              <w:rPr>
                <w:rFonts w:ascii="Arial" w:cs="Arial" w:eastAsia="Arial" w:hAnsi="Arial"/>
                <w:sz w:val="16"/>
                <w:szCs w:val="16"/>
                <w:color w:val="auto"/>
              </w:rPr>
              <w:t>365,122</w:t>
            </w:r>
          </w:p>
        </w:tc>
      </w:tr>
      <w:tr>
        <w:trPr>
          <w:trHeight w:val="201"/>
        </w:trPr>
        <w:tc>
          <w:tcPr>
            <w:tcW w:w="700" w:type="dxa"/>
            <w:vAlign w:val="bottom"/>
            <w:tcBorders>
              <w:left w:val="single" w:sz="8" w:color="CCEEFF"/>
              <w:bottom w:val="single" w:sz="8" w:color="CCEAF7"/>
            </w:tcBorders>
            <w:shd w:val="clear" w:color="auto" w:fill="CCEAF7"/>
          </w:tcPr>
          <w:p>
            <w:pPr>
              <w:ind w:left="40"/>
              <w:spacing w:after="0"/>
              <w:rPr>
                <w:sz w:val="20"/>
                <w:szCs w:val="20"/>
                <w:color w:val="auto"/>
              </w:rPr>
            </w:pPr>
            <w:r>
              <w:rPr>
                <w:rFonts w:ascii="Arial" w:cs="Arial" w:eastAsia="Arial" w:hAnsi="Arial"/>
                <w:sz w:val="16"/>
                <w:szCs w:val="16"/>
                <w:color w:val="auto"/>
                <w:w w:val="95"/>
                <w:shd w:val="clear" w:color="auto" w:fill="CCEAF7"/>
              </w:rPr>
              <w:t>Tax Fees</w:t>
            </w:r>
          </w:p>
        </w:tc>
        <w:tc>
          <w:tcPr>
            <w:tcW w:w="120" w:type="dxa"/>
            <w:vAlign w:val="bottom"/>
            <w:tcBorders>
              <w:bottom w:val="single" w:sz="8" w:color="CCEAF7"/>
            </w:tcBorders>
            <w:gridSpan w:val="2"/>
            <w:shd w:val="clear" w:color="auto" w:fill="CCEAF7"/>
          </w:tcPr>
          <w:p>
            <w:pPr>
              <w:jc w:val="right"/>
              <w:spacing w:after="0"/>
              <w:rPr>
                <w:sz w:val="20"/>
                <w:szCs w:val="20"/>
                <w:color w:val="auto"/>
              </w:rPr>
            </w:pPr>
            <w:r>
              <w:rPr>
                <w:rFonts w:ascii="Arial" w:cs="Arial" w:eastAsia="Arial" w:hAnsi="Arial"/>
                <w:sz w:val="11"/>
                <w:szCs w:val="11"/>
                <w:color w:val="auto"/>
                <w:w w:val="74"/>
                <w:shd w:val="clear" w:color="auto" w:fill="CCEAF7"/>
              </w:rPr>
              <w:t>(3)</w:t>
            </w:r>
          </w:p>
        </w:tc>
        <w:tc>
          <w:tcPr>
            <w:tcW w:w="7760" w:type="dxa"/>
            <w:vAlign w:val="bottom"/>
            <w:tcBorders>
              <w:bottom w:val="single" w:sz="8" w:color="CCEEFF"/>
            </w:tcBorders>
            <w:gridSpan w:val="2"/>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781,200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296,989</w:t>
            </w:r>
          </w:p>
        </w:tc>
      </w:tr>
      <w:tr>
        <w:trPr>
          <w:trHeight w:val="270"/>
        </w:trPr>
        <w:tc>
          <w:tcPr>
            <w:tcW w:w="8580" w:type="dxa"/>
            <w:vAlign w:val="bottom"/>
            <w:tcBorders>
              <w:top w:val="single" w:sz="8" w:color="CCEEFF"/>
            </w:tcBorders>
            <w:gridSpan w:val="5"/>
          </w:tcPr>
          <w:p>
            <w:pPr>
              <w:ind w:left="40"/>
              <w:spacing w:after="0"/>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(4)</w:t>
            </w:r>
          </w:p>
        </w:tc>
        <w:tc>
          <w:tcPr>
            <w:tcW w:w="32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382,521</w:t>
            </w:r>
          </w:p>
        </w:tc>
      </w:tr>
      <w:tr>
        <w:trPr>
          <w:trHeight w:val="234"/>
        </w:trPr>
        <w:tc>
          <w:tcPr>
            <w:tcW w:w="8580" w:type="dxa"/>
            <w:vAlign w:val="bottom"/>
            <w:tcBorders>
              <w:top w:val="single" w:sz="8" w:color="CCEEFF"/>
              <w:left w:val="single" w:sz="8" w:color="CCEEFF"/>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828282"/>
              <w:bottom w:val="single" w:sz="8" w:color="828282"/>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828282"/>
              <w:bottom w:val="single" w:sz="8" w:color="828282"/>
            </w:tcBorders>
            <w:shd w:val="clear" w:color="auto" w:fill="CCEEFF"/>
          </w:tcPr>
          <w:p>
            <w:pPr>
              <w:jc w:val="right"/>
              <w:ind w:right="19"/>
              <w:spacing w:after="0"/>
              <w:rPr>
                <w:sz w:val="20"/>
                <w:szCs w:val="20"/>
                <w:color w:val="auto"/>
              </w:rPr>
            </w:pPr>
            <w:r>
              <w:rPr>
                <w:rFonts w:ascii="Arial" w:cs="Arial" w:eastAsia="Arial" w:hAnsi="Arial"/>
                <w:sz w:val="16"/>
                <w:szCs w:val="16"/>
                <w:color w:val="auto"/>
              </w:rPr>
              <w:t>4,642,741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828282"/>
              <w:bottom w:val="single" w:sz="8" w:color="828282"/>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828282"/>
              <w:bottom w:val="single" w:sz="8" w:color="828282"/>
            </w:tcBorders>
            <w:shd w:val="clear" w:color="auto" w:fill="CCEEFF"/>
          </w:tcPr>
          <w:p>
            <w:pPr>
              <w:jc w:val="right"/>
              <w:ind w:right="19"/>
              <w:spacing w:after="0"/>
              <w:rPr>
                <w:sz w:val="20"/>
                <w:szCs w:val="20"/>
                <w:color w:val="auto"/>
              </w:rPr>
            </w:pPr>
            <w:r>
              <w:rPr>
                <w:rFonts w:ascii="Arial" w:cs="Arial" w:eastAsia="Arial" w:hAnsi="Arial"/>
                <w:sz w:val="16"/>
                <w:szCs w:val="16"/>
                <w:color w:val="auto"/>
              </w:rPr>
              <w:t>4,980,835</w:t>
            </w: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20" w:type="dxa"/>
            <w:vAlign w:val="bottom"/>
            <w:tcBorders>
              <w:bottom w:val="single" w:sz="8" w:color="828282"/>
            </w:tcBorders>
          </w:tcPr>
          <w:p>
            <w:pPr>
              <w:spacing w:after="0" w:line="20" w:lineRule="exact"/>
              <w:rPr>
                <w:sz w:val="1"/>
                <w:szCs w:val="1"/>
                <w:color w:val="auto"/>
              </w:rPr>
            </w:pPr>
          </w:p>
        </w:tc>
        <w:tc>
          <w:tcPr>
            <w:tcW w:w="1040" w:type="dxa"/>
            <w:vAlign w:val="bottom"/>
            <w:tcBorders>
              <w:bottom w:val="single" w:sz="8" w:color="82828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828282"/>
            </w:tcBorders>
          </w:tcPr>
          <w:p>
            <w:pPr>
              <w:spacing w:after="0" w:line="20" w:lineRule="exact"/>
              <w:rPr>
                <w:sz w:val="1"/>
                <w:szCs w:val="1"/>
                <w:color w:val="auto"/>
              </w:rPr>
            </w:pPr>
          </w:p>
        </w:tc>
        <w:tc>
          <w:tcPr>
            <w:tcW w:w="1060" w:type="dxa"/>
            <w:vAlign w:val="bottom"/>
            <w:tcBorders>
              <w:bottom w:val="single" w:sz="8" w:color="828282"/>
            </w:tcBorders>
          </w:tcPr>
          <w:p>
            <w:pPr>
              <w:spacing w:after="0" w:line="20" w:lineRule="exact"/>
              <w:rPr>
                <w:sz w:val="1"/>
                <w:szCs w:val="1"/>
                <w:color w:val="auto"/>
              </w:rPr>
            </w:pPr>
          </w:p>
        </w:tc>
      </w:tr>
      <w:tr>
        <w:trPr>
          <w:trHeight w:val="105"/>
        </w:trPr>
        <w:tc>
          <w:tcPr>
            <w:tcW w:w="700" w:type="dxa"/>
            <w:vAlign w:val="bottom"/>
            <w:tcBorders>
              <w:bottom w:val="single" w:sz="8" w:color="336699"/>
            </w:tcBorders>
          </w:tcPr>
          <w:p>
            <w:pPr>
              <w:spacing w:after="0"/>
              <w:rPr>
                <w:sz w:val="9"/>
                <w:szCs w:val="9"/>
                <w:color w:val="auto"/>
              </w:rPr>
            </w:pPr>
          </w:p>
        </w:tc>
        <w:tc>
          <w:tcPr>
            <w:tcW w:w="10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20" w:type="dxa"/>
            <w:vAlign w:val="bottom"/>
            <w:tcBorders>
              <w:bottom w:val="single" w:sz="8" w:color="336699"/>
            </w:tcBorders>
          </w:tcPr>
          <w:p>
            <w:pPr>
              <w:spacing w:after="0"/>
              <w:rPr>
                <w:sz w:val="9"/>
                <w:szCs w:val="9"/>
                <w:color w:val="auto"/>
              </w:rPr>
            </w:pPr>
          </w:p>
        </w:tc>
        <w:tc>
          <w:tcPr>
            <w:tcW w:w="7640" w:type="dxa"/>
            <w:vAlign w:val="bottom"/>
            <w:tcBorders>
              <w:bottom w:val="single" w:sz="8" w:color="336699"/>
            </w:tcBorders>
          </w:tcPr>
          <w:p>
            <w:pPr>
              <w:spacing w:after="0"/>
              <w:rPr>
                <w:sz w:val="9"/>
                <w:szCs w:val="9"/>
                <w:color w:val="auto"/>
              </w:rPr>
            </w:pPr>
          </w:p>
        </w:tc>
        <w:tc>
          <w:tcPr>
            <w:tcW w:w="320" w:type="dxa"/>
            <w:vAlign w:val="bottom"/>
            <w:tcBorders>
              <w:bottom w:val="single" w:sz="8" w:color="336699"/>
            </w:tcBorders>
          </w:tcPr>
          <w:p>
            <w:pPr>
              <w:spacing w:after="0"/>
              <w:rPr>
                <w:sz w:val="9"/>
                <w:szCs w:val="9"/>
                <w:color w:val="auto"/>
              </w:rPr>
            </w:pPr>
          </w:p>
        </w:tc>
        <w:tc>
          <w:tcPr>
            <w:tcW w:w="1040" w:type="dxa"/>
            <w:vAlign w:val="bottom"/>
            <w:tcBorders>
              <w:bottom w:val="single" w:sz="8" w:color="336699"/>
            </w:tcBorders>
          </w:tcPr>
          <w:p>
            <w:pPr>
              <w:spacing w:after="0"/>
              <w:rPr>
                <w:sz w:val="9"/>
                <w:szCs w:val="9"/>
                <w:color w:val="auto"/>
              </w:rPr>
            </w:pPr>
          </w:p>
        </w:tc>
        <w:tc>
          <w:tcPr>
            <w:tcW w:w="120" w:type="dxa"/>
            <w:vAlign w:val="bottom"/>
            <w:tcBorders>
              <w:bottom w:val="single" w:sz="8" w:color="336699"/>
            </w:tcBorders>
          </w:tcPr>
          <w:p>
            <w:pPr>
              <w:spacing w:after="0"/>
              <w:rPr>
                <w:sz w:val="9"/>
                <w:szCs w:val="9"/>
                <w:color w:val="auto"/>
              </w:rPr>
            </w:pPr>
          </w:p>
        </w:tc>
        <w:tc>
          <w:tcPr>
            <w:tcW w:w="300" w:type="dxa"/>
            <w:vAlign w:val="bottom"/>
            <w:tcBorders>
              <w:bottom w:val="single" w:sz="8" w:color="336699"/>
            </w:tcBorders>
          </w:tcPr>
          <w:p>
            <w:pPr>
              <w:spacing w:after="0"/>
              <w:rPr>
                <w:sz w:val="9"/>
                <w:szCs w:val="9"/>
                <w:color w:val="auto"/>
              </w:rPr>
            </w:pPr>
          </w:p>
        </w:tc>
        <w:tc>
          <w:tcPr>
            <w:tcW w:w="1060" w:type="dxa"/>
            <w:vAlign w:val="bottom"/>
            <w:tcBorders>
              <w:bottom w:val="single" w:sz="8" w:color="336699"/>
            </w:tcBorders>
          </w:tcPr>
          <w:p>
            <w:pPr>
              <w:spacing w:after="0"/>
              <w:rPr>
                <w:sz w:val="9"/>
                <w:szCs w:val="9"/>
                <w:color w:val="auto"/>
              </w:rPr>
            </w:pPr>
          </w:p>
        </w:tc>
      </w:tr>
    </w:tbl>
    <w:p>
      <w:pPr>
        <w:spacing w:after="0" w:line="56" w:lineRule="exact"/>
        <w:rPr>
          <w:sz w:val="20"/>
          <w:szCs w:val="20"/>
          <w:color w:val="auto"/>
        </w:rPr>
      </w:pPr>
    </w:p>
    <w:p>
      <w:pPr>
        <w:ind w:left="340" w:right="40" w:hanging="332"/>
        <w:spacing w:after="0" w:line="251"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These fees include services performed in connection with the audit of our annual consolidated financial statements included in our annual reports on Form 10-K; the review of our interim condensed consolidated financial statements as included in our quarterly reports on Form 10-Q; and services that are normally provided by Deloitte in connection with statutory and regulatory filings or engagements. The 2016 and 2015 column includes amounts billed in 2017 and 2016, respectively, related to 2016 and 2015 audit fees, respectively.</w:t>
      </w:r>
    </w:p>
    <w:p>
      <w:pPr>
        <w:spacing w:after="0" w:line="40" w:lineRule="exact"/>
        <w:rPr>
          <w:rFonts w:ascii="Arial" w:cs="Arial" w:eastAsia="Arial" w:hAnsi="Arial"/>
          <w:sz w:val="16"/>
          <w:szCs w:val="16"/>
          <w:color w:val="auto"/>
        </w:rPr>
      </w:pPr>
    </w:p>
    <w:p>
      <w:pPr>
        <w:ind w:left="340" w:right="220" w:hanging="332"/>
        <w:spacing w:after="0" w:line="253"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These fees are for services provided such as accounting consultations and any other audit and attestation services. The fees in 2016 include amounts incurred by the Company and paid to Deloitte for services in connection with (i) performance examinations and (ii) our financial intermediary compliance and controls assessment and attest report.</w:t>
      </w:r>
    </w:p>
    <w:p>
      <w:pPr>
        <w:spacing w:after="0" w:line="39" w:lineRule="exact"/>
        <w:rPr>
          <w:rFonts w:ascii="Arial" w:cs="Arial" w:eastAsia="Arial" w:hAnsi="Arial"/>
          <w:sz w:val="16"/>
          <w:szCs w:val="16"/>
          <w:color w:val="auto"/>
        </w:rPr>
      </w:pPr>
    </w:p>
    <w:p>
      <w:pPr>
        <w:ind w:left="340" w:right="200" w:hanging="332"/>
        <w:spacing w:after="0" w:line="253"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These fees include all services performed for non-audit related tax advice, planning, and compliance services. The fees include amounts incurred by the Company and paid to Deloitte for services in 2016 related to Internal Revenue Code Section 199 and tax advisory services related to research and development.</w:t>
      </w:r>
    </w:p>
    <w:p>
      <w:pPr>
        <w:spacing w:after="0" w:line="39"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These fees include fees for certain miscellaneous projects. The fees in 2015 related to non-audit services regarding the assessments of our cyber security program and infrastructure.</w:t>
      </w:r>
    </w:p>
    <w:p>
      <w:pPr>
        <w:sectPr>
          <w:pgSz w:w="11900" w:h="16838" w:orient="portrait"/>
          <w:cols w:equalWidth="0" w:num="1">
            <w:col w:w="11420"/>
          </w:cols>
          <w:pgMar w:left="240" w:top="288"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Pre-Approval Policies and Procedures</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Audit Committee pre-approves all audit, audit-related, and permissible non-audit services provided by our independent registered public accounting firm. The Audit Committee has also adopted policies and procedures that permit it to delegate its approval of certain engagements to its chair and to pre-approve certain permissible audit, audit-related and non-audit related services (which include tax and consulting services) (“Permitted Services”) for a particular year. Under its policy, the Audit Committee may not delegate its pre-approval authority to management, and its full approval is required (and cannot be delegated) for the annual audit engagement, as well as any proposed engagement (1) to assess the Company’s internal controls (regardless of expected cost) and (2) for Permitted Services expected to exceed $200,000.</w:t>
      </w:r>
    </w:p>
    <w:p>
      <w:pPr>
        <w:spacing w:after="0" w:line="19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Engagements for Permitted Services that are within the applicable pre-approved dollar limit for a particular year may be undertaken without further authorization by the Audit Committee. On an annual basis, the Audit Committee reviews and pre-approves the scope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and dollar limits (up to $200,000) associated with the various Permitted Services, as well as an overall pre-approved dollar limit for all engagements with the auditors, for the fiscal year. Engagements for services outside the scope of Permitted Services up to $200,000 may be approved by the chair of the Audit Committee, to whom authority has been expressly delegated.</w:t>
      </w:r>
    </w:p>
    <w:p>
      <w:pPr>
        <w:spacing w:after="0" w:line="20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policy also requires that prior to the provision of any tax services or engagements for internal controls, written documentation must be provided by the independent registered public accounting firm describing the scope and nature of the proposed engagement. The potential effects of the engagement on the auditors’ independence must be discussed with the Audit Committee. With respect to tax services engagements, the auditors must also provide descriptions of the fee structure and any other written agreement or amendment to an existing engagement letter relating to the provision of the tax service, and descriptions of the involvement of any third party.</w:t>
      </w:r>
    </w:p>
    <w:p>
      <w:pPr>
        <w:spacing w:after="0" w:line="316" w:lineRule="exact"/>
        <w:rPr>
          <w:sz w:val="20"/>
          <w:szCs w:val="20"/>
          <w:color w:val="auto"/>
        </w:rPr>
      </w:pPr>
    </w:p>
    <w:p>
      <w:pPr>
        <w:sectPr>
          <w:pgSz w:w="11900" w:h="16838" w:orient="portrait"/>
          <w:cols w:equalWidth="0" w:num="2">
            <w:col w:w="5460" w:space="480"/>
            <w:col w:w="5480"/>
          </w:cols>
          <w:pgMar w:left="240" w:top="288" w:right="2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58 | </w:t>
      </w:r>
      <w:r>
        <w:rPr>
          <w:rFonts w:ascii="Arial" w:cs="Arial" w:eastAsia="Arial" w:hAnsi="Arial"/>
          <w:sz w:val="18"/>
          <w:szCs w:val="18"/>
          <w:b w:val="1"/>
          <w:bCs w:val="1"/>
          <w:color w:val="003B71"/>
        </w:rPr>
        <w:t>2017 Proxy Statement</w:t>
      </w:r>
    </w:p>
    <w:p>
      <w:pPr>
        <w:sectPr>
          <w:pgSz w:w="11900" w:h="16838" w:orient="portrait"/>
          <w:cols w:equalWidth="0" w:num="1">
            <w:col w:w="11420"/>
          </w:cols>
          <w:pgMar w:left="240" w:top="288" w:right="239" w:bottom="1440" w:gutter="0" w:footer="0" w:header="0"/>
          <w:type w:val="continuous"/>
        </w:sectPr>
      </w:pPr>
    </w:p>
    <w:bookmarkStart w:id="64" w:name="page65"/>
    <w:bookmarkEnd w:id="64"/>
    <w:p>
      <w:pPr>
        <w:ind w:left="61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Report of the Audit Committee of the Board of Directors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336699"/>
        </w:rPr>
        <w:t>Report of the Audit Committee of the Board of Directors</w:t>
      </w:r>
    </w:p>
    <w:p>
      <w:pPr>
        <w:spacing w:after="0" w:line="292"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The Audit Committee of the Board of Directors (the “Audit Committee”) is comprised of the four directors named below. Each member of the Audit Committee is an independent director (as independence is defined in the listing standards of NASDAQ Global Select Market and Rule 10A-3 with respect to membership on audit committees).</w:t>
      </w:r>
    </w:p>
    <w:p>
      <w:pPr>
        <w:spacing w:after="0" w:line="20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The Audit Committee has adopted a written charter, which has been approved by the Board of Directors. The Audit Committee has reviewed and discussed the Company’s audited consolidated financial statements with management, which has primary responsibility for the consolidated financial statements, and with the Company’s independent registered public accounting firm. The Company’s independent registered public accounting firm is responsible for expressing opinions on the conformity of the Company’s audited consolidated financial statements with generally accepted accounting principles and on the Company’s internal controls over financial reporting. The Audit Committee has discussed with the Company’s independent registered public accounting firm, which was Deloitte &amp; Touche LLP and the member firms of Deloitte Touche Tohmatsu (collectively referred to as “Deloitte”) for 2016 and 2015, the matters that are required to be discussed by applicable standards of the Public Company Accounting Oversight Board (“PCAOB”), including Auditing Standard 1301, “</w:t>
      </w:r>
      <w:r>
        <w:rPr>
          <w:rFonts w:ascii="Arial" w:cs="Arial" w:eastAsia="Arial" w:hAnsi="Arial"/>
          <w:sz w:val="17"/>
          <w:szCs w:val="17"/>
          <w:i w:val="1"/>
          <w:iCs w:val="1"/>
          <w:color w:val="auto"/>
        </w:rPr>
        <w:t>Communications with Audit</w:t>
      </w:r>
      <w:r>
        <w:rPr>
          <w:rFonts w:ascii="Arial" w:cs="Arial" w:eastAsia="Arial" w:hAnsi="Arial"/>
          <w:sz w:val="17"/>
          <w:szCs w:val="17"/>
          <w:color w:val="auto"/>
        </w:rPr>
        <w:t xml:space="preserve"> </w:t>
      </w:r>
      <w:r>
        <w:rPr>
          <w:rFonts w:ascii="Arial" w:cs="Arial" w:eastAsia="Arial" w:hAnsi="Arial"/>
          <w:sz w:val="17"/>
          <w:szCs w:val="17"/>
          <w:i w:val="1"/>
          <w:iCs w:val="1"/>
          <w:color w:val="auto"/>
        </w:rPr>
        <w:t>Committees”</w:t>
      </w:r>
      <w:r>
        <w:rPr>
          <w:rFonts w:ascii="Arial" w:cs="Arial" w:eastAsia="Arial" w:hAnsi="Arial"/>
          <w:sz w:val="17"/>
          <w:szCs w:val="17"/>
          <w:color w:val="auto"/>
        </w:rPr>
        <w:t>, as adopted by the PCAOB, as well as Rule 2-07 of Regulation S-X of the SEC—“</w:t>
      </w:r>
      <w:r>
        <w:rPr>
          <w:rFonts w:ascii="Arial" w:cs="Arial" w:eastAsia="Arial" w:hAnsi="Arial"/>
          <w:sz w:val="17"/>
          <w:szCs w:val="17"/>
          <w:i w:val="1"/>
          <w:iCs w:val="1"/>
          <w:color w:val="auto"/>
        </w:rPr>
        <w:t>Communication with Audit Committees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Deloitte has also provided to the Audit Committee their communication required by PCAOB Ethics and Independence Rule 3526, “</w:t>
      </w:r>
      <w:r>
        <w:rPr>
          <w:rFonts w:ascii="Arial" w:cs="Arial" w:eastAsia="Arial" w:hAnsi="Arial"/>
          <w:sz w:val="17"/>
          <w:szCs w:val="17"/>
          <w:i w:val="1"/>
          <w:iCs w:val="1"/>
          <w:color w:val="auto"/>
        </w:rPr>
        <w:t>Communications with Audit Committees Concerning Independence</w:t>
      </w:r>
      <w:r>
        <w:rPr>
          <w:rFonts w:ascii="Arial" w:cs="Arial" w:eastAsia="Arial" w:hAnsi="Arial"/>
          <w:sz w:val="17"/>
          <w:szCs w:val="17"/>
          <w:color w:val="auto"/>
        </w:rPr>
        <w:t>,” and the Audit Committee discussed with Deloitte the firm’s independence. The Audit Committee also considered and determined the provision by Deloitte of non-audit related services, which for 2016 consisted of non-audit related tax compliance services related to Internal Revenue Code Section 199 and tax advisory services related to research and development, and for 2015 consisted of non-audit related tax advice regarding the Foreign Tax Compliance Act and assessments of our cyber security program and infrastructure, is compatible with independence standard. The Audit Committee recommended to the Board of Directors that the consolidated financial statements audited by Deloitte for 2016 and 2015 be included in the Company’s Annual Report on Form 10-K for 2016, and the Committee has appointed Deloitte as the Company’s independent registered public accounting firm for 2017.</w:t>
      </w:r>
    </w:p>
    <w:p>
      <w:pPr>
        <w:spacing w:after="0" w:line="200" w:lineRule="exact"/>
        <w:rPr>
          <w:sz w:val="20"/>
          <w:szCs w:val="20"/>
          <w:color w:val="auto"/>
        </w:rPr>
      </w:pPr>
    </w:p>
    <w:p>
      <w:pPr>
        <w:spacing w:after="0" w:line="260"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John J. Brennan, Chair</w:t>
      </w:r>
    </w:p>
    <w:p>
      <w:pPr>
        <w:jc w:val="center"/>
        <w:ind w:left="5320"/>
        <w:spacing w:after="0" w:line="234" w:lineRule="auto"/>
        <w:rPr>
          <w:sz w:val="20"/>
          <w:szCs w:val="20"/>
          <w:color w:val="auto"/>
        </w:rPr>
      </w:pPr>
      <w:r>
        <w:rPr>
          <w:rFonts w:ascii="Arial" w:cs="Arial" w:eastAsia="Arial" w:hAnsi="Arial"/>
          <w:sz w:val="18"/>
          <w:szCs w:val="18"/>
          <w:color w:val="auto"/>
        </w:rPr>
        <w:t>H. Paulett Eberhart</w:t>
      </w:r>
    </w:p>
    <w:p>
      <w:pPr>
        <w:jc w:val="center"/>
        <w:ind w:left="5320"/>
        <w:spacing w:after="0" w:line="235" w:lineRule="auto"/>
        <w:rPr>
          <w:sz w:val="20"/>
          <w:szCs w:val="20"/>
          <w:color w:val="auto"/>
        </w:rPr>
      </w:pPr>
      <w:r>
        <w:rPr>
          <w:rFonts w:ascii="Arial" w:cs="Arial" w:eastAsia="Arial" w:hAnsi="Arial"/>
          <w:sz w:val="18"/>
          <w:szCs w:val="18"/>
          <w:color w:val="auto"/>
        </w:rPr>
        <w:t>James S. Putnam</w:t>
      </w:r>
    </w:p>
    <w:p>
      <w:pPr>
        <w:spacing w:after="0" w:line="1"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James S. Riepe</w:t>
      </w:r>
    </w:p>
    <w:p>
      <w:pPr>
        <w:spacing w:after="0" w:line="104"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April 11, 2017</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59</w:t>
      </w:r>
    </w:p>
    <w:p>
      <w:pPr>
        <w:sectPr>
          <w:pgSz w:w="11900" w:h="16838" w:orient="portrait"/>
          <w:cols w:equalWidth="0" w:num="1">
            <w:col w:w="11420"/>
          </w:cols>
          <w:pgMar w:left="240" w:top="436"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66"/>
        </w:trPr>
        <w:tc>
          <w:tcPr>
            <w:tcW w:w="40" w:type="dxa"/>
            <w:vAlign w:val="bottom"/>
          </w:tcPr>
          <w:p>
            <w:pPr>
              <w:spacing w:after="0"/>
              <w:rPr>
                <w:sz w:val="23"/>
                <w:szCs w:val="23"/>
                <w:color w:val="auto"/>
              </w:rPr>
            </w:pPr>
          </w:p>
        </w:tc>
        <w:tc>
          <w:tcPr>
            <w:tcW w:w="5640" w:type="dxa"/>
            <w:vAlign w:val="bottom"/>
            <w:tcBorders>
              <w:bottom w:val="single" w:sz="8" w:color="003B71"/>
            </w:tcBorders>
          </w:tcPr>
          <w:p>
            <w:pPr>
              <w:spacing w:after="0"/>
              <w:rPr>
                <w:sz w:val="23"/>
                <w:szCs w:val="23"/>
                <w:color w:val="auto"/>
              </w:rPr>
            </w:pPr>
          </w:p>
        </w:tc>
        <w:tc>
          <w:tcPr>
            <w:tcW w:w="5720" w:type="dxa"/>
            <w:vAlign w:val="bottom"/>
            <w:tcBorders>
              <w:bottom w:val="single" w:sz="8" w:color="003B71"/>
            </w:tcBorders>
          </w:tcPr>
          <w:p>
            <w:pPr>
              <w:ind w:left="540"/>
              <w:spacing w:after="0"/>
              <w:rPr>
                <w:sz w:val="20"/>
                <w:szCs w:val="20"/>
                <w:color w:val="auto"/>
              </w:rPr>
            </w:pPr>
            <w:r>
              <w:rPr>
                <w:rFonts w:ascii="Arial" w:cs="Arial" w:eastAsia="Arial" w:hAnsi="Arial"/>
                <w:sz w:val="20"/>
                <w:szCs w:val="20"/>
                <w:b w:val="1"/>
                <w:bCs w:val="1"/>
                <w:color w:val="003B71"/>
                <w:w w:val="98"/>
              </w:rPr>
              <w:t>Proposal 3: Advisory Vote on Executive Compensation</w:t>
            </w:r>
          </w:p>
        </w:tc>
      </w:tr>
      <w:tr>
        <w:trPr>
          <w:trHeight w:val="724"/>
        </w:trPr>
        <w:tc>
          <w:tcPr>
            <w:tcW w:w="40" w:type="dxa"/>
            <w:vAlign w:val="bottom"/>
          </w:tcPr>
          <w:p>
            <w:pPr>
              <w:spacing w:after="0"/>
              <w:rPr>
                <w:sz w:val="24"/>
                <w:szCs w:val="24"/>
                <w:color w:val="auto"/>
              </w:rPr>
            </w:pPr>
          </w:p>
        </w:tc>
        <w:tc>
          <w:tcPr>
            <w:tcW w:w="11360" w:type="dxa"/>
            <w:vAlign w:val="bottom"/>
            <w:gridSpan w:val="2"/>
          </w:tcPr>
          <w:p>
            <w:pPr>
              <w:ind w:left="2860"/>
              <w:spacing w:after="0"/>
              <w:rPr>
                <w:sz w:val="20"/>
                <w:szCs w:val="20"/>
                <w:color w:val="auto"/>
              </w:rPr>
            </w:pPr>
            <w:r>
              <w:rPr>
                <w:rFonts w:ascii="Arial" w:cs="Arial" w:eastAsia="Arial" w:hAnsi="Arial"/>
                <w:sz w:val="22"/>
                <w:szCs w:val="22"/>
                <w:b w:val="1"/>
                <w:bCs w:val="1"/>
                <w:color w:val="336699"/>
              </w:rPr>
              <w:t>Proposal 3: Advisory Vote on Executive Compensation</w:t>
            </w:r>
          </w:p>
        </w:tc>
      </w:tr>
      <w:tr>
        <w:trPr>
          <w:trHeight w:val="475"/>
        </w:trPr>
        <w:tc>
          <w:tcPr>
            <w:tcW w:w="5680" w:type="dxa"/>
            <w:vAlign w:val="bottom"/>
            <w:gridSpan w:val="2"/>
          </w:tcPr>
          <w:p>
            <w:pPr>
              <w:spacing w:after="0"/>
              <w:rPr>
                <w:sz w:val="20"/>
                <w:szCs w:val="20"/>
                <w:color w:val="auto"/>
              </w:rPr>
            </w:pPr>
            <w:r>
              <w:rPr>
                <w:rFonts w:ascii="Arial" w:cs="Arial" w:eastAsia="Arial" w:hAnsi="Arial"/>
                <w:sz w:val="18"/>
                <w:szCs w:val="18"/>
                <w:color w:val="auto"/>
              </w:rPr>
              <w:t>The Compensation Discussion and Analysis beginning on page 23</w:t>
            </w:r>
          </w:p>
        </w:tc>
        <w:tc>
          <w:tcPr>
            <w:tcW w:w="5720" w:type="dxa"/>
            <w:vAlign w:val="bottom"/>
          </w:tcPr>
          <w:p>
            <w:pPr>
              <w:ind w:left="260"/>
              <w:spacing w:after="0"/>
              <w:rPr>
                <w:sz w:val="20"/>
                <w:szCs w:val="20"/>
                <w:color w:val="auto"/>
              </w:rPr>
            </w:pPr>
            <w:r>
              <w:rPr>
                <w:rFonts w:ascii="Arial" w:cs="Arial" w:eastAsia="Arial" w:hAnsi="Arial"/>
                <w:sz w:val="18"/>
                <w:szCs w:val="18"/>
                <w:color w:val="auto"/>
              </w:rPr>
              <w:t>As we describe in the Compensation Discussion and Analysis, our</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of this proxy statement describes our executive compensation</w:t>
            </w:r>
          </w:p>
        </w:tc>
        <w:tc>
          <w:tcPr>
            <w:tcW w:w="5720" w:type="dxa"/>
            <w:vAlign w:val="bottom"/>
          </w:tcPr>
          <w:p>
            <w:pPr>
              <w:ind w:left="260"/>
              <w:spacing w:after="0"/>
              <w:rPr>
                <w:sz w:val="20"/>
                <w:szCs w:val="20"/>
                <w:color w:val="auto"/>
              </w:rPr>
            </w:pPr>
            <w:r>
              <w:rPr>
                <w:rFonts w:ascii="Arial" w:cs="Arial" w:eastAsia="Arial" w:hAnsi="Arial"/>
                <w:sz w:val="18"/>
                <w:szCs w:val="18"/>
                <w:color w:val="auto"/>
              </w:rPr>
              <w:t>executive compensation is designed to closely align the interests of</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program and the compensation decisions that the Compensation</w:t>
            </w:r>
          </w:p>
        </w:tc>
        <w:tc>
          <w:tcPr>
            <w:tcW w:w="5720" w:type="dxa"/>
            <w:vAlign w:val="bottom"/>
          </w:tcPr>
          <w:p>
            <w:pPr>
              <w:ind w:left="260"/>
              <w:spacing w:after="0"/>
              <w:rPr>
                <w:sz w:val="20"/>
                <w:szCs w:val="20"/>
                <w:color w:val="auto"/>
              </w:rPr>
            </w:pPr>
            <w:r>
              <w:rPr>
                <w:rFonts w:ascii="Arial" w:cs="Arial" w:eastAsia="Arial" w:hAnsi="Arial"/>
                <w:sz w:val="18"/>
                <w:szCs w:val="18"/>
                <w:color w:val="auto"/>
              </w:rPr>
              <w:t>our named executive officers with those of our stockholders on both</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Committee and Board of Directors made in 2016 with respect to the</w:t>
            </w:r>
          </w:p>
        </w:tc>
        <w:tc>
          <w:tcPr>
            <w:tcW w:w="5720" w:type="dxa"/>
            <w:vAlign w:val="bottom"/>
          </w:tcPr>
          <w:p>
            <w:pPr>
              <w:ind w:left="260"/>
              <w:spacing w:after="0"/>
              <w:rPr>
                <w:sz w:val="20"/>
                <w:szCs w:val="20"/>
                <w:color w:val="auto"/>
              </w:rPr>
            </w:pPr>
            <w:r>
              <w:rPr>
                <w:rFonts w:ascii="Arial" w:cs="Arial" w:eastAsia="Arial" w:hAnsi="Arial"/>
                <w:sz w:val="18"/>
                <w:szCs w:val="18"/>
                <w:color w:val="auto"/>
              </w:rPr>
              <w:t>a short-term and long-term basis, and to attract and retain key</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compensation of our named executive officers. The Board of</w:t>
            </w:r>
          </w:p>
        </w:tc>
        <w:tc>
          <w:tcPr>
            <w:tcW w:w="5720" w:type="dxa"/>
            <w:vAlign w:val="bottom"/>
          </w:tcPr>
          <w:p>
            <w:pPr>
              <w:ind w:left="260"/>
              <w:spacing w:after="0"/>
              <w:rPr>
                <w:sz w:val="20"/>
                <w:szCs w:val="20"/>
                <w:color w:val="auto"/>
              </w:rPr>
            </w:pPr>
            <w:r>
              <w:rPr>
                <w:rFonts w:ascii="Arial" w:cs="Arial" w:eastAsia="Arial" w:hAnsi="Arial"/>
                <w:sz w:val="18"/>
                <w:szCs w:val="18"/>
                <w:color w:val="auto"/>
              </w:rPr>
              <w:t>executives critical to our success.</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Directors is asking stockholders to cast a non-binding, advisory vote</w:t>
            </w:r>
          </w:p>
        </w:tc>
        <w:tc>
          <w:tcPr>
            <w:tcW w:w="5720" w:type="dxa"/>
            <w:vAlign w:val="bottom"/>
          </w:tcPr>
          <w:p>
            <w:pPr>
              <w:spacing w:after="0"/>
              <w:rPr>
                <w:sz w:val="18"/>
                <w:szCs w:val="18"/>
                <w:color w:val="auto"/>
              </w:rPr>
            </w:pPr>
          </w:p>
        </w:tc>
      </w:tr>
    </w:tbl>
    <w:p>
      <w:pPr>
        <w:spacing w:after="0"/>
        <w:rPr>
          <w:sz w:val="20"/>
          <w:szCs w:val="20"/>
          <w:color w:val="auto"/>
        </w:rPr>
        <w:sectPr>
          <w:pgSz w:w="11900" w:h="16838" w:orient="portrait"/>
          <w:cols w:equalWidth="0" w:num="1">
            <w:col w:w="11400"/>
          </w:cols>
          <w:pgMar w:left="240" w:top="436" w:right="259" w:bottom="1440" w:gutter="0" w:footer="0" w:header="0"/>
        </w:sect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20585" cy="2832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003B71"/>
        </w:rPr>
        <w:t xml:space="preserve">FOR </w:t>
      </w:r>
      <w:r>
        <w:rPr>
          <w:rFonts w:ascii="Arial" w:cs="Arial" w:eastAsia="Arial" w:hAnsi="Arial"/>
          <w:sz w:val="18"/>
          <w:szCs w:val="18"/>
          <w:color w:val="000000"/>
        </w:rPr>
        <w:t>the following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3336290" cy="9861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36290" cy="986155"/>
                    </a:xfrm>
                    <a:prstGeom prst="rect">
                      <a:avLst/>
                    </a:prstGeom>
                    <a:noFill/>
                  </pic:spPr>
                </pic:pic>
              </a:graphicData>
            </a:graphic>
          </wp:anchor>
        </w:drawing>
      </w:r>
    </w:p>
    <w:p>
      <w:pPr>
        <w:spacing w:after="0" w:line="372" w:lineRule="exact"/>
        <w:rPr>
          <w:sz w:val="20"/>
          <w:szCs w:val="20"/>
          <w:color w:val="auto"/>
        </w:rPr>
      </w:pPr>
    </w:p>
    <w:p>
      <w:pPr>
        <w:ind w:left="140" w:right="100"/>
        <w:spacing w:after="0" w:line="244" w:lineRule="auto"/>
        <w:rPr>
          <w:sz w:val="20"/>
          <w:szCs w:val="20"/>
          <w:color w:val="auto"/>
        </w:rPr>
      </w:pPr>
      <w:r>
        <w:rPr>
          <w:rFonts w:ascii="Arial" w:cs="Arial" w:eastAsia="Arial" w:hAnsi="Arial"/>
          <w:sz w:val="18"/>
          <w:szCs w:val="18"/>
          <w:b w:val="1"/>
          <w:bCs w:val="1"/>
          <w:color w:val="FFFFFF"/>
        </w:rPr>
        <w:t>RESOLVED</w:t>
      </w:r>
      <w:r>
        <w:rPr>
          <w:rFonts w:ascii="Arial" w:cs="Arial" w:eastAsia="Arial" w:hAnsi="Arial"/>
          <w:sz w:val="18"/>
          <w:szCs w:val="18"/>
          <w:color w:val="FFFFFF"/>
        </w:rPr>
        <w:t>, that the compensation paid to the Company’s</w:t>
      </w:r>
      <w:r>
        <w:rPr>
          <w:rFonts w:ascii="Arial" w:cs="Arial" w:eastAsia="Arial" w:hAnsi="Arial"/>
          <w:sz w:val="18"/>
          <w:szCs w:val="18"/>
          <w:b w:val="1"/>
          <w:bCs w:val="1"/>
          <w:color w:val="FFFFFF"/>
        </w:rPr>
        <w:t xml:space="preserve"> </w:t>
      </w:r>
      <w:r>
        <w:rPr>
          <w:rFonts w:ascii="Arial" w:cs="Arial" w:eastAsia="Arial" w:hAnsi="Arial"/>
          <w:sz w:val="18"/>
          <w:szCs w:val="18"/>
          <w:color w:val="FFFFFF"/>
        </w:rPr>
        <w:t xml:space="preserve">named executive officers, as disclosed pursuant to Item 402 of Regulation S-K, including the Compensation Discussion and Analysis, compensation tables and narrative discussion, is hereby </w:t>
      </w:r>
      <w:r>
        <w:rPr>
          <w:rFonts w:ascii="Arial" w:cs="Arial" w:eastAsia="Arial" w:hAnsi="Arial"/>
          <w:sz w:val="18"/>
          <w:szCs w:val="18"/>
          <w:b w:val="1"/>
          <w:bCs w:val="1"/>
          <w:color w:val="FFFFFF"/>
        </w:rPr>
        <w:t>APPROVED</w:t>
      </w:r>
      <w:r>
        <w:rPr>
          <w:rFonts w:ascii="Arial" w:cs="Arial" w:eastAsia="Arial" w:hAnsi="Arial"/>
          <w:sz w:val="18"/>
          <w:szCs w:val="18"/>
          <w:color w:val="FFFFFF"/>
        </w:rPr>
        <w:t>.</w:t>
      </w:r>
    </w:p>
    <w:p>
      <w:pPr>
        <w:spacing w:after="0" w:line="20" w:lineRule="exact"/>
        <w:rPr>
          <w:sz w:val="20"/>
          <w:szCs w:val="20"/>
          <w:color w:val="auto"/>
        </w:rPr>
      </w:pPr>
      <w:r>
        <w:rPr>
          <w:sz w:val="20"/>
          <w:szCs w:val="20"/>
          <w:color w:val="auto"/>
        </w:rPr>
        <w:br w:type="column"/>
      </w:r>
    </w:p>
    <w:p>
      <w:pPr>
        <w:ind w:right="20"/>
        <w:spacing w:after="0" w:line="252" w:lineRule="auto"/>
        <w:rPr>
          <w:sz w:val="20"/>
          <w:szCs w:val="20"/>
          <w:color w:val="auto"/>
        </w:rPr>
      </w:pPr>
      <w:r>
        <w:rPr>
          <w:rFonts w:ascii="Arial" w:cs="Arial" w:eastAsia="Arial" w:hAnsi="Arial"/>
          <w:sz w:val="18"/>
          <w:szCs w:val="18"/>
          <w:color w:val="auto"/>
        </w:rPr>
        <w:t>We urge stockholders to read the Compensation Discussion and Analysis beginning on page 23 of this proxy statement and to review the 2016 Summary Compensation Table and related compensation tables and discussion, appearing on pages 42 through 52, which provide detailed information on the Company’s compensation policies and practices. We believe stockholders should focus on the following areas when reviewing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466725</wp:posOffset>
            </wp:positionV>
            <wp:extent cx="7246620" cy="25387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2538730"/>
                    </a:xfrm>
                    <a:prstGeom prst="rect">
                      <a:avLst/>
                    </a:prstGeom>
                    <a:noFill/>
                  </pic:spPr>
                </pic:pic>
              </a:graphicData>
            </a:graphic>
          </wp:anchor>
        </w:drawing>
      </w:r>
    </w:p>
    <w:p>
      <w:pPr>
        <w:spacing w:after="0" w:line="330" w:lineRule="exact"/>
        <w:rPr>
          <w:sz w:val="20"/>
          <w:szCs w:val="20"/>
          <w:color w:val="auto"/>
        </w:rPr>
      </w:pPr>
    </w:p>
    <w:p>
      <w:pPr>
        <w:sectPr>
          <w:pgSz w:w="11900" w:h="16838" w:orient="portrait"/>
          <w:cols w:equalWidth="0" w:num="2">
            <w:col w:w="5220" w:space="720"/>
            <w:col w:w="5460"/>
          </w:cols>
          <w:pgMar w:left="240" w:top="43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60"/>
        <w:spacing w:after="0"/>
        <w:rPr>
          <w:sz w:val="20"/>
          <w:szCs w:val="20"/>
          <w:color w:val="auto"/>
        </w:rPr>
      </w:pPr>
      <w:r>
        <w:rPr>
          <w:rFonts w:ascii="Arial" w:cs="Arial" w:eastAsia="Arial" w:hAnsi="Arial"/>
          <w:sz w:val="19"/>
          <w:szCs w:val="19"/>
          <w:b w:val="1"/>
          <w:bCs w:val="1"/>
          <w:i w:val="1"/>
          <w:iCs w:val="1"/>
          <w:color w:val="336699"/>
        </w:rPr>
        <w:t>Pay for Performance</w:t>
      </w:r>
    </w:p>
    <w:p>
      <w:pPr>
        <w:spacing w:after="0" w:line="158" w:lineRule="exact"/>
        <w:rPr>
          <w:sz w:val="20"/>
          <w:szCs w:val="20"/>
          <w:color w:val="auto"/>
        </w:rPr>
      </w:pPr>
    </w:p>
    <w:p>
      <w:pPr>
        <w:ind w:left="260" w:right="240"/>
        <w:spacing w:after="0" w:line="238" w:lineRule="auto"/>
        <w:rPr>
          <w:sz w:val="20"/>
          <w:szCs w:val="20"/>
          <w:color w:val="auto"/>
        </w:rPr>
      </w:pPr>
      <w:r>
        <w:rPr>
          <w:rFonts w:ascii="Arial" w:cs="Arial" w:eastAsia="Arial" w:hAnsi="Arial"/>
          <w:sz w:val="18"/>
          <w:szCs w:val="18"/>
          <w:i w:val="1"/>
          <w:iCs w:val="1"/>
          <w:color w:val="336699"/>
        </w:rPr>
        <w:t xml:space="preserve">Annual Cash Bonus Opportunities. </w:t>
      </w:r>
      <w:r>
        <w:rPr>
          <w:rFonts w:ascii="Arial" w:cs="Arial" w:eastAsia="Arial" w:hAnsi="Arial"/>
          <w:sz w:val="18"/>
          <w:szCs w:val="18"/>
          <w:color w:val="000000"/>
        </w:rPr>
        <w:t>We provide annual cash bonus awards in order to tie a significant portion of the overall cash</w:t>
      </w:r>
      <w:r>
        <w:rPr>
          <w:rFonts w:ascii="Arial" w:cs="Arial" w:eastAsia="Arial" w:hAnsi="Arial"/>
          <w:sz w:val="18"/>
          <w:szCs w:val="18"/>
          <w:i w:val="1"/>
          <w:iCs w:val="1"/>
          <w:color w:val="336699"/>
        </w:rPr>
        <w:t xml:space="preserve"> </w:t>
      </w:r>
      <w:r>
        <w:rPr>
          <w:rFonts w:ascii="Arial" w:cs="Arial" w:eastAsia="Arial" w:hAnsi="Arial"/>
          <w:sz w:val="18"/>
          <w:szCs w:val="18"/>
          <w:color w:val="000000"/>
        </w:rPr>
        <w:t>compensation paid to each NEO to annually-established, key short-term corporate objectives and stated financial goals of the Company and to incentivize the achievement of those goals as well as individual performance goals. At the beginning of each year, the Compensation Committee establishes an objective corporate performance goal (the achievement of which is a condition to the funding of the bonus pool, and the payment of any cash bonus awards, under the Bonus Plan), each NEO’s target and maximum award amounts and additional corporate and individual performance goals on which actual payment of annual cash bonus awards, if any, will be based. Each NEO’s individual target award amount is set by the Compensation Committee by reference to market compensation for comparable positions within our peer group as well as the nature of the NEO’s role and responsibilities. By emphasizing executives’ contributions to the Company’s overall performance rather than focusing only on their individual business or function, we believe that these cash bonuses provide a significant incentive to our NEOs to work towards achieving our overall Company objectives.</w:t>
      </w:r>
    </w:p>
    <w:p>
      <w:pPr>
        <w:spacing w:after="0" w:line="135" w:lineRule="exact"/>
        <w:rPr>
          <w:sz w:val="20"/>
          <w:szCs w:val="20"/>
          <w:color w:val="auto"/>
        </w:rPr>
      </w:pPr>
    </w:p>
    <w:p>
      <w:pPr>
        <w:ind w:left="260" w:right="220"/>
        <w:spacing w:after="0" w:line="245" w:lineRule="auto"/>
        <w:rPr>
          <w:sz w:val="20"/>
          <w:szCs w:val="20"/>
          <w:color w:val="auto"/>
        </w:rPr>
      </w:pPr>
      <w:r>
        <w:rPr>
          <w:rFonts w:ascii="Arial" w:cs="Arial" w:eastAsia="Arial" w:hAnsi="Arial"/>
          <w:sz w:val="18"/>
          <w:szCs w:val="18"/>
          <w:i w:val="1"/>
          <w:iCs w:val="1"/>
          <w:color w:val="336699"/>
        </w:rPr>
        <w:t xml:space="preserve">Long-Term Incentives. </w:t>
      </w:r>
      <w:r>
        <w:rPr>
          <w:rFonts w:ascii="Arial" w:cs="Arial" w:eastAsia="Arial" w:hAnsi="Arial"/>
          <w:sz w:val="18"/>
          <w:szCs w:val="18"/>
          <w:color w:val="000000"/>
        </w:rPr>
        <w:t>The purpose of our long-term equity incentive program is to promote achievement of goals that drive long-term</w:t>
      </w:r>
      <w:r>
        <w:rPr>
          <w:rFonts w:ascii="Arial" w:cs="Arial" w:eastAsia="Arial" w:hAnsi="Arial"/>
          <w:sz w:val="18"/>
          <w:szCs w:val="18"/>
          <w:i w:val="1"/>
          <w:iCs w:val="1"/>
          <w:color w:val="336699"/>
        </w:rPr>
        <w:t xml:space="preserve"> </w:t>
      </w:r>
      <w:r>
        <w:rPr>
          <w:rFonts w:ascii="Arial" w:cs="Arial" w:eastAsia="Arial" w:hAnsi="Arial"/>
          <w:sz w:val="18"/>
          <w:szCs w:val="18"/>
          <w:color w:val="000000"/>
        </w:rPr>
        <w:t>stockholder value and retain key executives. We provide stock-based, long-term compensation to our NEOs through equity awards under our stockholder-approved equity plans. We believe this long-term incentive compensation motivates our NEOs to sustain longer-term financial operational performance and rewards them when such efforts lead to increases in stockholder value.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60 | </w:t>
      </w:r>
      <w:r>
        <w:rPr>
          <w:rFonts w:ascii="Arial" w:cs="Arial" w:eastAsia="Arial" w:hAnsi="Arial"/>
          <w:sz w:val="18"/>
          <w:szCs w:val="18"/>
          <w:b w:val="1"/>
          <w:bCs w:val="1"/>
          <w:color w:val="003B71"/>
        </w:rPr>
        <w:t>2017 Proxy Statement</w:t>
      </w:r>
    </w:p>
    <w:p>
      <w:pPr>
        <w:sectPr>
          <w:pgSz w:w="11900" w:h="16838" w:orient="portrait"/>
          <w:cols w:equalWidth="0" w:num="1">
            <w:col w:w="11400"/>
          </w:cols>
          <w:pgMar w:left="240" w:top="436" w:right="259" w:bottom="1440" w:gutter="0" w:footer="0" w:header="0"/>
          <w:type w:val="continuous"/>
        </w:sectPr>
      </w:pPr>
    </w:p>
    <w:bookmarkStart w:id="66" w:name="page67"/>
    <w:bookmarkEnd w:id="66"/>
    <w:p>
      <w:pPr>
        <w:ind w:left="60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Proposal 3: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487680</wp:posOffset>
            </wp:positionV>
            <wp:extent cx="7246620" cy="32588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336699"/>
        </w:rPr>
        <w:t>Alignment with Long-Term Stockholder Interests</w:t>
      </w:r>
    </w:p>
    <w:p>
      <w:pPr>
        <w:spacing w:after="0" w:line="176"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Our executive compensation is heavily weighted towards variable, at-risk pay in the form of annual and long-term incentives, with a large portion of executive compensation tied to long-term performance. In addition, we have adopted:</w:t>
      </w:r>
    </w:p>
    <w:p>
      <w:pPr>
        <w:spacing w:after="0" w:line="125" w:lineRule="exact"/>
        <w:rPr>
          <w:sz w:val="20"/>
          <w:szCs w:val="20"/>
          <w:color w:val="auto"/>
        </w:rPr>
      </w:pPr>
    </w:p>
    <w:p>
      <w:pPr>
        <w:ind w:right="840"/>
        <w:spacing w:after="0" w:line="267" w:lineRule="auto"/>
        <w:rPr>
          <w:sz w:val="20"/>
          <w:szCs w:val="20"/>
          <w:color w:val="auto"/>
        </w:rPr>
      </w:pPr>
      <w:r>
        <w:rPr>
          <w:rFonts w:ascii="Arial" w:cs="Arial" w:eastAsia="Arial" w:hAnsi="Arial"/>
          <w:sz w:val="18"/>
          <w:szCs w:val="18"/>
          <w:i w:val="1"/>
          <w:iCs w:val="1"/>
          <w:color w:val="336699"/>
        </w:rPr>
        <w:t xml:space="preserve">Stock Ownership Guidelines. </w:t>
      </w:r>
      <w:r>
        <w:rPr>
          <w:rFonts w:ascii="Arial" w:cs="Arial" w:eastAsia="Arial" w:hAnsi="Arial"/>
          <w:sz w:val="18"/>
          <w:szCs w:val="18"/>
          <w:color w:val="000000"/>
        </w:rPr>
        <w:t>We focus our executives on long-term stockholder value by requiring that all executive officers own a</w:t>
      </w:r>
      <w:r>
        <w:rPr>
          <w:rFonts w:ascii="Arial" w:cs="Arial" w:eastAsia="Arial" w:hAnsi="Arial"/>
          <w:sz w:val="18"/>
          <w:szCs w:val="18"/>
          <w:i w:val="1"/>
          <w:iCs w:val="1"/>
          <w:color w:val="336699"/>
        </w:rPr>
        <w:t xml:space="preserve"> </w:t>
      </w:r>
      <w:r>
        <w:rPr>
          <w:rFonts w:ascii="Arial" w:cs="Arial" w:eastAsia="Arial" w:hAnsi="Arial"/>
          <w:sz w:val="18"/>
          <w:szCs w:val="18"/>
          <w:color w:val="000000"/>
        </w:rPr>
        <w:t>significant amount of our stock.</w:t>
      </w:r>
    </w:p>
    <w:p>
      <w:pPr>
        <w:spacing w:after="0" w:line="107" w:lineRule="exact"/>
        <w:rPr>
          <w:sz w:val="20"/>
          <w:szCs w:val="20"/>
          <w:color w:val="auto"/>
        </w:rPr>
      </w:pPr>
    </w:p>
    <w:p>
      <w:pPr>
        <w:ind w:right="240"/>
        <w:spacing w:after="0"/>
        <w:rPr>
          <w:sz w:val="20"/>
          <w:szCs w:val="20"/>
          <w:color w:val="auto"/>
        </w:rPr>
      </w:pPr>
      <w:r>
        <w:rPr>
          <w:rFonts w:ascii="Arial" w:cs="Arial" w:eastAsia="Arial" w:hAnsi="Arial"/>
          <w:sz w:val="18"/>
          <w:szCs w:val="18"/>
          <w:i w:val="1"/>
          <w:iCs w:val="1"/>
          <w:color w:val="336699"/>
        </w:rPr>
        <w:t xml:space="preserve">Recoupment Policy. </w:t>
      </w:r>
      <w:r>
        <w:rPr>
          <w:rFonts w:ascii="Arial" w:cs="Arial" w:eastAsia="Arial" w:hAnsi="Arial"/>
          <w:sz w:val="18"/>
          <w:szCs w:val="18"/>
          <w:color w:val="000000"/>
        </w:rPr>
        <w:t>We have adopted a recoupment policy that permits our Compensation Committee, in the event of a restatement of the</w:t>
      </w:r>
      <w:r>
        <w:rPr>
          <w:rFonts w:ascii="Arial" w:cs="Arial" w:eastAsia="Arial" w:hAnsi="Arial"/>
          <w:sz w:val="18"/>
          <w:szCs w:val="18"/>
          <w:i w:val="1"/>
          <w:iCs w:val="1"/>
          <w:color w:val="336699"/>
        </w:rPr>
        <w:t xml:space="preserve"> </w:t>
      </w:r>
      <w:r>
        <w:rPr>
          <w:rFonts w:ascii="Arial" w:cs="Arial" w:eastAsia="Arial" w:hAnsi="Arial"/>
          <w:sz w:val="18"/>
          <w:szCs w:val="18"/>
          <w:color w:val="000000"/>
        </w:rPr>
        <w:t>Company’s financial statements due to material noncompliance with financial reporting requirements under the securities laws, to review the annual cash bonuses, performance-based compensation and time-based equity and equity-based awards awarded or paid to executive officers during the three-year period preceding the announcement by the Company of its obligation to restate its financial statements. If the amount of the annual cash bonuses or performance-based compensation received would have been lower had the level of achievement of applicable financial performance goals been calculated based on such restated financial results, the Compensation Committee may seek reimbursement from any of the covered executives in the amount of the excess compensation awarded or paid.</w:t>
      </w:r>
    </w:p>
    <w:p>
      <w:pPr>
        <w:spacing w:after="0" w:line="131" w:lineRule="exact"/>
        <w:rPr>
          <w:sz w:val="20"/>
          <w:szCs w:val="20"/>
          <w:color w:val="auto"/>
        </w:rPr>
      </w:pPr>
    </w:p>
    <w:p>
      <w:pPr>
        <w:ind w:right="260"/>
        <w:spacing w:after="0"/>
        <w:rPr>
          <w:sz w:val="20"/>
          <w:szCs w:val="20"/>
          <w:color w:val="auto"/>
        </w:rPr>
      </w:pPr>
      <w:r>
        <w:rPr>
          <w:rFonts w:ascii="Arial" w:cs="Arial" w:eastAsia="Arial" w:hAnsi="Arial"/>
          <w:sz w:val="18"/>
          <w:szCs w:val="18"/>
          <w:i w:val="1"/>
          <w:iCs w:val="1"/>
          <w:color w:val="336699"/>
        </w:rPr>
        <w:t xml:space="preserve">Anti-Hedging and Anti-Pledging Policy. </w:t>
      </w:r>
      <w:r>
        <w:rPr>
          <w:rFonts w:ascii="Arial" w:cs="Arial" w:eastAsia="Arial" w:hAnsi="Arial"/>
          <w:sz w:val="18"/>
          <w:szCs w:val="18"/>
          <w:color w:val="000000"/>
        </w:rPr>
        <w:t>We believe that hedging transactions may permit executives to own Company securities obtained</w:t>
      </w:r>
      <w:r>
        <w:rPr>
          <w:rFonts w:ascii="Arial" w:cs="Arial" w:eastAsia="Arial" w:hAnsi="Arial"/>
          <w:sz w:val="18"/>
          <w:szCs w:val="18"/>
          <w:i w:val="1"/>
          <w:iCs w:val="1"/>
          <w:color w:val="336699"/>
        </w:rPr>
        <w:t xml:space="preserve"> </w:t>
      </w:r>
      <w:r>
        <w:rPr>
          <w:rFonts w:ascii="Arial" w:cs="Arial" w:eastAsia="Arial" w:hAnsi="Arial"/>
          <w:sz w:val="18"/>
          <w:szCs w:val="18"/>
          <w:color w:val="000000"/>
        </w:rPr>
        <w:t>through our executive compensation program or otherwise without the full risks and rewards of ownership. When that occurs, an executive may no longer have the same objectives as the Company’s other stockholders. As a result, we have adopted a policy, included within our Insider Trading Policy, which prohibits executives from hedging or monetization transactions, including through the use of puts and call options, collars, exchange funds, prepaid variable forwards, and equity swaps. We also prohibit executives from holding Company securities in a margin account, because a margin or foreclosure sale may occur when an executive is aware of material nonpublic information or otherwise not permitted to trade.</w:t>
      </w:r>
    </w:p>
    <w:p>
      <w:pPr>
        <w:spacing w:after="0" w:line="200" w:lineRule="exact"/>
        <w:rPr>
          <w:sz w:val="20"/>
          <w:szCs w:val="20"/>
          <w:color w:val="auto"/>
        </w:rPr>
      </w:pPr>
    </w:p>
    <w:p>
      <w:pPr>
        <w:spacing w:after="0" w:line="400"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336699"/>
        </w:rPr>
        <w:t>THE BOARD OF DIRECTORS RECOMMENDS A VOTE “FOR” THIS PROPOSAL.</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61</w:t>
      </w:r>
    </w:p>
    <w:p>
      <w:pPr>
        <w:sectPr>
          <w:pgSz w:w="11900" w:h="16838" w:orient="portrait"/>
          <w:cols w:equalWidth="0" w:num="1">
            <w:col w:w="11260"/>
          </w:cols>
          <w:pgMar w:left="400" w:top="436" w:right="239" w:bottom="1440" w:gutter="0" w:footer="0" w:header="0"/>
        </w:sectPr>
      </w:pPr>
    </w:p>
    <w:bookmarkStart w:id="67" w:name="page68"/>
    <w:bookmarkEnd w:id="67"/>
    <w:p>
      <w:pPr>
        <w:jc w:val="right"/>
        <w:ind w:right="2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157480</wp:posOffset>
            </wp:positionH>
            <wp:positionV relativeFrom="page">
              <wp:posOffset>174625</wp:posOffset>
            </wp:positionV>
            <wp:extent cx="7254875" cy="3257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325755"/>
                    </a:xfrm>
                    <a:prstGeom prst="rect">
                      <a:avLst/>
                    </a:prstGeom>
                    <a:noFill/>
                  </pic:spPr>
                </pic:pic>
              </a:graphicData>
            </a:graphic>
          </wp:anchor>
        </w:drawing>
        <w:t>Proposal 4: Advisory Vote on Frequency of</w:t>
      </w:r>
    </w:p>
    <w:p>
      <w:pPr>
        <w:spacing w:after="0" w:line="10" w:lineRule="exact"/>
        <w:rPr>
          <w:sz w:val="20"/>
          <w:szCs w:val="20"/>
          <w:color w:val="auto"/>
        </w:rPr>
      </w:pPr>
    </w:p>
    <w:p>
      <w:pPr>
        <w:jc w:val="right"/>
        <w:ind w:right="20"/>
        <w:spacing w:after="0"/>
        <w:rPr>
          <w:sz w:val="20"/>
          <w:szCs w:val="20"/>
          <w:color w:val="auto"/>
        </w:rPr>
      </w:pPr>
      <w:r>
        <w:rPr>
          <w:rFonts w:ascii="Arial" w:cs="Arial" w:eastAsia="Arial" w:hAnsi="Arial"/>
          <w:sz w:val="20"/>
          <w:szCs w:val="20"/>
          <w:b w:val="1"/>
          <w:bCs w:val="1"/>
          <w:color w:val="003B71"/>
        </w:rPr>
        <w:t>Executive Compensation Advisory Vote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36699"/>
        </w:rPr>
        <w:t>Proposal 4: Advisory Vote on Frequency of Executive Compensation Advisory Vote</w:t>
      </w:r>
    </w:p>
    <w:p>
      <w:pPr>
        <w:sectPr>
          <w:pgSz w:w="11900" w:h="16838" w:orient="portrait"/>
          <w:cols w:equalWidth="0" w:num="1">
            <w:col w:w="11420"/>
          </w:cols>
          <w:pgMar w:left="240" w:top="287" w:right="239" w:bottom="1440" w:gutter="0" w:footer="0" w:header="0"/>
        </w:sectPr>
      </w:pPr>
    </w:p>
    <w:p>
      <w:pPr>
        <w:spacing w:after="0" w:line="30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Proposal 3, we are asking stockholders to cast an advisory vote for the compensation disclosed in this proxy statement that we paid in 2016 to our named executive officers. This advisory vote is referred to as a “say-on-pay” vote. In this Proposal 4, the Board of Directors is asking stockholders to cast a non-binding, advisory vote on how frequently we should have say-on-pay votes in the future. Stockholders will be able to mark the enclosed proxy card or voting instruction form on whether to hold say-on-pay votes every one, two or three years. Alternatively, you may indicate that you are abstaining from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3336290" cy="7886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36290" cy="788670"/>
                    </a:xfrm>
                    <a:prstGeom prst="rect">
                      <a:avLst/>
                    </a:prstGeom>
                    <a:noFill/>
                  </pic:spPr>
                </pic:pic>
              </a:graphicData>
            </a:graphic>
          </wp:anchor>
        </w:drawing>
      </w:r>
    </w:p>
    <w:p>
      <w:pPr>
        <w:spacing w:after="0" w:line="359" w:lineRule="exact"/>
        <w:rPr>
          <w:sz w:val="20"/>
          <w:szCs w:val="20"/>
          <w:color w:val="auto"/>
        </w:rPr>
      </w:pPr>
    </w:p>
    <w:p>
      <w:pPr>
        <w:ind w:left="140" w:right="380"/>
        <w:spacing w:after="0" w:line="247" w:lineRule="auto"/>
        <w:rPr>
          <w:sz w:val="20"/>
          <w:szCs w:val="20"/>
          <w:color w:val="auto"/>
        </w:rPr>
      </w:pPr>
      <w:r>
        <w:rPr>
          <w:rFonts w:ascii="Arial" w:cs="Arial" w:eastAsia="Arial" w:hAnsi="Arial"/>
          <w:sz w:val="18"/>
          <w:szCs w:val="18"/>
          <w:b w:val="1"/>
          <w:bCs w:val="1"/>
          <w:color w:val="FFFFFF"/>
        </w:rPr>
        <w:t>RESOLVED</w:t>
      </w:r>
      <w:r>
        <w:rPr>
          <w:rFonts w:ascii="Arial" w:cs="Arial" w:eastAsia="Arial" w:hAnsi="Arial"/>
          <w:sz w:val="18"/>
          <w:szCs w:val="18"/>
          <w:color w:val="FFFFFF"/>
        </w:rPr>
        <w:t>, that the stockholders of the Company</w:t>
      </w:r>
      <w:r>
        <w:rPr>
          <w:rFonts w:ascii="Arial" w:cs="Arial" w:eastAsia="Arial" w:hAnsi="Arial"/>
          <w:sz w:val="18"/>
          <w:szCs w:val="18"/>
          <w:b w:val="1"/>
          <w:bCs w:val="1"/>
          <w:color w:val="FFFFFF"/>
        </w:rPr>
        <w:t xml:space="preserve"> </w:t>
      </w:r>
      <w:r>
        <w:rPr>
          <w:rFonts w:ascii="Arial" w:cs="Arial" w:eastAsia="Arial" w:hAnsi="Arial"/>
          <w:sz w:val="18"/>
          <w:szCs w:val="18"/>
          <w:color w:val="FFFFFF"/>
        </w:rPr>
        <w:t>recommend, in a non-binding vote, hold the vote to approve the compensation of the Company’s named executive officers occur every year.</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The Board believes that having an advisory vote on Named Executive Officer compensation EVERY (1) YEAR will be a meaningful and effective way to use this method of gathering feedback on the Company’s executive compensation philosophy, policies, and procedures.</w:t>
      </w:r>
    </w:p>
    <w:p>
      <w:pPr>
        <w:spacing w:after="0" w:line="20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Board believes that continuing to hold the advisory vote on named executive officer compensation annually allows for frequent and timely feedback from shareholders.</w:t>
      </w:r>
    </w:p>
    <w:p>
      <w:pPr>
        <w:spacing w:after="0" w:line="20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vote, like the say-on-pay vote itself, is not binding on the Board. However, if a plurality of votes are cast in favor of an interval other than every year, the Board intends to evaluate the frequency with which an advisory vote on executive compensation will be submitted to stockholders in the future.</w:t>
      </w:r>
    </w:p>
    <w:p>
      <w:pPr>
        <w:spacing w:after="0" w:line="344" w:lineRule="exact"/>
        <w:rPr>
          <w:sz w:val="20"/>
          <w:szCs w:val="20"/>
          <w:color w:val="auto"/>
        </w:rPr>
      </w:pPr>
    </w:p>
    <w:p>
      <w:pPr>
        <w:sectPr>
          <w:pgSz w:w="11900" w:h="16838" w:orient="portrait"/>
          <w:cols w:equalWidth="0" w:num="2">
            <w:col w:w="5420" w:space="520"/>
            <w:col w:w="5480"/>
          </w:cols>
          <w:pgMar w:left="240" w:top="287" w:right="239" w:bottom="1440" w:gutter="0" w:footer="0" w:header="0"/>
          <w:type w:val="continuous"/>
        </w:sectPr>
      </w:pPr>
    </w:p>
    <w:p>
      <w:pPr>
        <w:spacing w:after="0" w:line="244" w:lineRule="exact"/>
        <w:rPr>
          <w:sz w:val="20"/>
          <w:szCs w:val="20"/>
          <w:color w:val="auto"/>
        </w:rPr>
      </w:pPr>
    </w:p>
    <w:p>
      <w:pPr>
        <w:jc w:val="center"/>
        <w:ind w:left="60" w:right="40"/>
        <w:spacing w:after="0" w:line="287" w:lineRule="auto"/>
        <w:rPr>
          <w:sz w:val="20"/>
          <w:szCs w:val="20"/>
          <w:color w:val="auto"/>
        </w:rPr>
      </w:pPr>
      <w:r>
        <w:rPr>
          <w:rFonts w:ascii="Arial" w:cs="Arial" w:eastAsia="Arial" w:hAnsi="Arial"/>
          <w:sz w:val="18"/>
          <w:szCs w:val="18"/>
          <w:b w:val="1"/>
          <w:bCs w:val="1"/>
          <w:color w:val="336699"/>
        </w:rPr>
        <w:t>THE BOARD OF DIRECTORS RECOMMENDS THAT STOCKHOLDERS VOTE FOR THE “EVERY YEAR” OPTION AS THE FREQUENCY FOR THE ADVISORY VOTE ON EXECUTIVE COMPENSATION.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62</w:t>
      </w:r>
    </w:p>
    <w:p>
      <w:pPr>
        <w:sectPr>
          <w:pgSz w:w="11900" w:h="16838" w:orient="portrait"/>
          <w:cols w:equalWidth="0" w:num="1">
            <w:col w:w="11420"/>
          </w:cols>
          <w:pgMar w:left="240" w:top="287" w:right="239" w:bottom="1440" w:gutter="0" w:footer="0" w:header="0"/>
          <w:type w:val="continuous"/>
        </w:sectPr>
      </w:pPr>
    </w:p>
    <w:bookmarkStart w:id="68" w:name="page69"/>
    <w:bookmarkEnd w:id="68"/>
    <w:p>
      <w:pPr>
        <w:jc w:val="right"/>
        <w:ind w:right="6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Stockholder Proposals and Other Matters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36699"/>
        </w:rPr>
        <w:t>Stockholder Proposals and Other Matters</w:t>
      </w:r>
    </w:p>
    <w:p>
      <w:pPr>
        <w:sectPr>
          <w:pgSz w:w="11900" w:h="16838" w:orient="portrait"/>
          <w:cols w:equalWidth="0" w:num="1">
            <w:col w:w="11420"/>
          </w:cols>
          <w:pgMar w:left="240" w:top="436" w:right="239" w:bottom="1440" w:gutter="0" w:footer="0" w:header="0"/>
        </w:sect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Stockholder Proposals for Inclusion in 2018 Proxy Statement.</w:t>
      </w:r>
    </w:p>
    <w:p>
      <w:pPr>
        <w:spacing w:after="0" w:line="24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be eligible for inclusion in the proxy statement for our 2018 annual meeting, stockholder proposals must be received by the Company’s Secretary no later than the close of business on December 12, 2017. Proposals should be sent to the Secretary, LPL Financial Holdings Inc., 75 State Street, Boston, MA 02109, and follow the procedures required by SEC Rule 14a-8.</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i w:val="1"/>
          <w:iCs w:val="1"/>
          <w:color w:val="336699"/>
        </w:rPr>
        <w:t>Stockholder Director Nominations and Other Stockholder Proposals for Presentation at the 2018 Annual Meeting.</w:t>
      </w:r>
    </w:p>
    <w:p>
      <w:pPr>
        <w:spacing w:after="0" w:line="18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accordance with our bylaws, written notice of stockholder nominations to the Board of Directors and any other business proposed by a stockholder that is not to be included in the proxy statement must be delivered to the Company’s Secretary not less than 90 nor more than 120 days prior to the first anniversary of the preceding year’s annual meeting. Accordingly, any stockholder who wishes to have a nomination or other business considered at the 2018 annual meeting must deliver a written notice (containing the information specified in our bylaws regarding the stockholder and the proposed action) to the Company’s Secretary between January 17, 2018 and February 16, 2018. SEC rules permit management to vote proxies in its discretion with respect to such matters if we advise stockholders how management intends to vote. Management knows of no matter to be brought before the meeting that is not referred to in the Notice of Meeting. If any other matters properly come before the meeting, it is intended that the shares represented by proxy will be voted with respect thereto in accordance with the judgment of the persons voting them.</w:t>
      </w:r>
    </w:p>
    <w:p>
      <w:pPr>
        <w:spacing w:after="0" w:line="200" w:lineRule="exact"/>
        <w:rPr>
          <w:sz w:val="20"/>
          <w:szCs w:val="20"/>
          <w:color w:val="auto"/>
        </w:rPr>
      </w:pPr>
    </w:p>
    <w:p>
      <w:pPr>
        <w:sectPr>
          <w:pgSz w:w="11900" w:h="16838" w:orient="portrait"/>
          <w:cols w:equalWidth="0" w:num="2">
            <w:col w:w="5440" w:space="500"/>
            <w:col w:w="5480"/>
          </w:cols>
          <w:pgMar w:left="240" w:top="436" w:right="239" w:bottom="1440" w:gutter="0" w:footer="0" w:header="0"/>
          <w:type w:val="continuous"/>
        </w:sectPr>
      </w:pPr>
    </w:p>
    <w:p>
      <w:pPr>
        <w:spacing w:after="0" w:line="122"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003B71"/>
        </w:rPr>
        <w:t xml:space="preserve">2017 Proxy Statement </w:t>
      </w:r>
      <w:r>
        <w:rPr>
          <w:rFonts w:ascii="Arial" w:cs="Arial" w:eastAsia="Arial" w:hAnsi="Arial"/>
          <w:sz w:val="18"/>
          <w:szCs w:val="18"/>
          <w:color w:val="003B71"/>
        </w:rPr>
        <w:t>| 63</w:t>
      </w:r>
    </w:p>
    <w:p>
      <w:pPr>
        <w:sectPr>
          <w:pgSz w:w="11900" w:h="16838" w:orient="portrait"/>
          <w:cols w:equalWidth="0" w:num="1">
            <w:col w:w="11420"/>
          </w:cols>
          <w:pgMar w:left="240" w:top="436" w:right="239" w:bottom="1440" w:gutter="0" w:footer="0" w:header="0"/>
          <w:type w:val="continuous"/>
        </w:sectPr>
      </w:pPr>
    </w:p>
    <w:bookmarkStart w:id="69" w:name="page70"/>
    <w:bookmarkEnd w:id="69"/>
    <w:p>
      <w:pPr>
        <w:ind w:left="860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869315</wp:posOffset>
            </wp:positionH>
            <wp:positionV relativeFrom="page">
              <wp:posOffset>174625</wp:posOffset>
            </wp:positionV>
            <wp:extent cx="5840095" cy="2832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40095" cy="283210"/>
                    </a:xfrm>
                    <a:prstGeom prst="rect">
                      <a:avLst/>
                    </a:prstGeom>
                    <a:noFill/>
                  </pic:spPr>
                </pic:pic>
              </a:graphicData>
            </a:graphic>
          </wp:anchor>
        </w:drawing>
        <w:t>Other Information</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336699"/>
        </w:rPr>
        <w:t>Other Information</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Copies of our annual reports on Form 10-K, quarterly reports on Form 10-Q, and current reports on Form 8-K, including the financial statements and financial statement schedules, and amendments to those reports filed or furnished pursuant to Section 13(a) or 15(d) of the Exchange Act, are available on our website at www.lpl.com or on the website maintained by the SEC at www.sec.gov</w:t>
      </w:r>
      <w:r>
        <w:rPr>
          <w:rFonts w:ascii="Arial" w:cs="Arial" w:eastAsia="Arial" w:hAnsi="Arial"/>
          <w:sz w:val="18"/>
          <w:szCs w:val="18"/>
          <w:i w:val="1"/>
          <w:iCs w:val="1"/>
          <w:color w:val="auto"/>
        </w:rPr>
        <w:t>.</w:t>
      </w:r>
      <w:r>
        <w:rPr>
          <w:rFonts w:ascii="Arial" w:cs="Arial" w:eastAsia="Arial" w:hAnsi="Arial"/>
          <w:sz w:val="18"/>
          <w:szCs w:val="18"/>
          <w:color w:val="auto"/>
        </w:rPr>
        <w:t xml:space="preserve"> Printed copies of these materials are available free of charge (except for the costs of duplication and mailing in the case of exhibits to such documents) to stockholders who request them in writing from: Secretary, LPL Financial Holdings Inc., 75 State Street, Massachusetts 02109, telephone (617) 423-3644, extension 0. Information on our website or connected to it is not incorporated by reference into this proxy statement.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64 | </w:t>
      </w:r>
      <w:r>
        <w:rPr>
          <w:rFonts w:ascii="Arial" w:cs="Arial" w:eastAsia="Arial" w:hAnsi="Arial"/>
          <w:sz w:val="18"/>
          <w:szCs w:val="18"/>
          <w:b w:val="1"/>
          <w:bCs w:val="1"/>
          <w:color w:val="003B71"/>
        </w:rPr>
        <w:t>2017 Proxy Statement</w:t>
      </w:r>
    </w:p>
    <w:p>
      <w:pPr>
        <w:sectPr>
          <w:pgSz w:w="11900" w:h="16838" w:orient="portrait"/>
          <w:cols w:equalWidth="0" w:num="1">
            <w:col w:w="11380"/>
          </w:cols>
          <w:pgMar w:left="240" w:top="436" w:right="279" w:bottom="1440"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311785</wp:posOffset>
            </wp:positionV>
            <wp:extent cx="5866130" cy="75895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9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311785</wp:posOffset>
            </wp:positionV>
            <wp:extent cx="5866130" cy="75895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95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o"/>
      <w:numFmt w:val="bullet"/>
      <w:start w:val="1"/>
    </w:lvl>
  </w:abstractNum>
  <w:abstractNum w:abstractNumId="1">
    <w:nsid w:val="836C40E"/>
    <w:multiLevelType w:val="hybridMultilevel"/>
    <w:lvl w:ilvl="0">
      <w:lvlJc w:val="left"/>
      <w:lvlText w:val="x"/>
      <w:numFmt w:val="bullet"/>
      <w:start w:val="1"/>
    </w:lvl>
  </w:abstractNum>
  <w:abstractNum w:abstractNumId="2">
    <w:nsid w:val="2901D82"/>
    <w:multiLevelType w:val="hybridMultilevel"/>
    <w:lvl w:ilvl="0">
      <w:lvlJc w:val="left"/>
      <w:lvlText w:val="o"/>
      <w:numFmt w:val="bullet"/>
      <w:start w:val="1"/>
    </w:lvl>
    <w:lvl w:ilvl="1">
      <w:lvlJc w:val="left"/>
      <w:lvlText w:val="%2"/>
      <w:numFmt w:val="decimal"/>
      <w:start w:val="1"/>
    </w:lvl>
    <w:lvl w:ilvl="2">
      <w:lvlJc w:val="left"/>
      <w:lvlText w:val="(%3)"/>
      <w:numFmt w:val="decimal"/>
      <w:start w:val="1"/>
    </w:lvl>
  </w:abstractNum>
  <w:abstractNum w:abstractNumId="3">
    <w:nsid w:val="3A95F874"/>
    <w:multiLevelType w:val="hybridMultilevel"/>
    <w:lvl w:ilvl="0">
      <w:lvlJc w:val="left"/>
      <w:lvlText w:val="o"/>
      <w:numFmt w:val="bullet"/>
      <w:start w:val="1"/>
    </w:lvl>
    <w:lvl w:ilvl="1">
      <w:lvlJc w:val="left"/>
      <w:lvlText w:val="(%2)"/>
      <w:numFmt w:val="decimal"/>
      <w:start w:val="1"/>
    </w:lvl>
    <w:lvl w:ilvl="2">
      <w:lvlJc w:val="left"/>
      <w:lvlText w:val="%3"/>
      <w:numFmt w:val="decimal"/>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1)"/>
      <w:numFmt w:val="lowerRoman"/>
      <w:start w:val="2"/>
    </w:lvl>
  </w:abstractNum>
  <w:abstractNum w:abstractNumId="7">
    <w:nsid w:val="737B8DDC"/>
    <w:multiLevelType w:val="hybridMultilevel"/>
    <w:lvl w:ilvl="0">
      <w:lvlJc w:val="left"/>
      <w:lvlText w:val="n"/>
      <w:numFmt w:val="bullet"/>
      <w:start w:val="1"/>
    </w:lvl>
  </w:abstractNum>
  <w:abstractNum w:abstractNumId="8">
    <w:nsid w:val="6CEAF087"/>
    <w:multiLevelType w:val="hybridMultilevel"/>
    <w:lvl w:ilvl="0">
      <w:lvlJc w:val="left"/>
      <w:lvlText w:val="n"/>
      <w:numFmt w:val="bullet"/>
      <w:start w:val="1"/>
    </w:lvl>
  </w:abstractNum>
  <w:abstractNum w:abstractNumId="9">
    <w:nsid w:val="22221A70"/>
    <w:multiLevelType w:val="hybridMultilevel"/>
    <w:lvl w:ilvl="0">
      <w:lvlJc w:val="left"/>
      <w:lvlText w:val="n"/>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decimal"/>
      <w:start w:val="3"/>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n"/>
      <w:numFmt w:val="bullet"/>
      <w:start w:val="1"/>
    </w:lvl>
  </w:abstractNum>
  <w:abstractNum w:abstractNumId="16">
    <w:nsid w:val="5072367"/>
    <w:multiLevelType w:val="hybridMultilevel"/>
    <w:lvl w:ilvl="0">
      <w:lvlJc w:val="left"/>
      <w:lvlText w:val="n"/>
      <w:numFmt w:val="bullet"/>
      <w:start w:val="1"/>
    </w:lvl>
  </w:abstractNum>
  <w:abstractNum w:abstractNumId="17">
    <w:nsid w:val="3804823E"/>
    <w:multiLevelType w:val="hybridMultilevel"/>
    <w:lvl w:ilvl="0">
      <w:lvlJc w:val="left"/>
      <w:lvlText w:val="ü"/>
      <w:numFmt w:val="bullet"/>
      <w:start w:val="1"/>
    </w:lvl>
  </w:abstractNum>
  <w:abstractNum w:abstractNumId="18">
    <w:nsid w:val="77465F01"/>
    <w:multiLevelType w:val="hybridMultilevel"/>
    <w:lvl w:ilvl="0">
      <w:lvlJc w:val="left"/>
      <w:lvlText w:val="û"/>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1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4"/>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5"/>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decimal"/>
      <w:start w:val="3"/>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2019-12-07T06:12:26Z</dcterms:created>
  <dcterms:modified xsi:type="dcterms:W3CDTF">2019-12-07T06:12:26Z</dcterms:modified>
</cp:coreProperties>
</file>