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144780</wp:posOffset>
            </wp:positionH>
            <wp:positionV relativeFrom="page">
              <wp:posOffset>144780</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t>UNITED STATES SECURITIES AND EXCHANGE COMMISSION</w:t>
      </w:r>
    </w:p>
    <w:p>
      <w:pPr>
        <w:spacing w:after="0" w:line="47"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68"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Form 10-Q</w:t>
      </w:r>
    </w:p>
    <w:p>
      <w:pPr>
        <w:spacing w:after="0" w:line="48" w:lineRule="exact"/>
        <w:rPr>
          <w:sz w:val="24"/>
          <w:szCs w:val="24"/>
          <w:color w:val="auto"/>
        </w:rPr>
      </w:pPr>
    </w:p>
    <w:p>
      <w:pPr>
        <w:spacing w:after="0"/>
        <w:rPr>
          <w:sz w:val="20"/>
          <w:szCs w:val="20"/>
          <w:color w:val="auto"/>
        </w:rPr>
      </w:pPr>
      <w:r>
        <w:rPr>
          <w:rFonts w:ascii="Arial" w:cs="Arial" w:eastAsia="Arial" w:hAnsi="Arial"/>
          <w:sz w:val="16"/>
          <w:szCs w:val="16"/>
          <w:color w:val="auto"/>
        </w:rPr>
        <w:t>(Mark One)</w:t>
      </w:r>
    </w:p>
    <w:p>
      <w:pPr>
        <w:spacing w:after="0" w:line="189" w:lineRule="exact"/>
        <w:rPr>
          <w:sz w:val="24"/>
          <w:szCs w:val="24"/>
          <w:color w:val="auto"/>
        </w:rPr>
      </w:pPr>
    </w:p>
    <w:p>
      <w:pPr>
        <w:ind w:left="1080" w:hanging="597"/>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4"/>
          <w:szCs w:val="14"/>
          <w:b w:val="1"/>
          <w:bCs w:val="1"/>
          <w:color w:val="auto"/>
        </w:rPr>
        <w:t>QUARTERLY REPORT PURSUANT TO SECTION 13 OR 15(d) OF THE SECURITIES EXCHANGE ACT OF 1934</w:t>
      </w:r>
    </w:p>
    <w:p>
      <w:pPr>
        <w:spacing w:after="0" w:line="43"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For the quarterly period ended September 30, 2016</w:t>
      </w:r>
    </w:p>
    <w:p>
      <w:pPr>
        <w:spacing w:after="0" w:line="63"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or</w:t>
      </w:r>
    </w:p>
    <w:p>
      <w:pPr>
        <w:spacing w:after="0" w:line="218" w:lineRule="exact"/>
        <w:rPr>
          <w:sz w:val="24"/>
          <w:szCs w:val="24"/>
          <w:color w:val="auto"/>
        </w:rPr>
      </w:pPr>
    </w:p>
    <w:p>
      <w:pPr>
        <w:ind w:left="1080" w:hanging="597"/>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4"/>
          <w:szCs w:val="14"/>
          <w:b w:val="1"/>
          <w:bCs w:val="1"/>
          <w:color w:val="auto"/>
        </w:rPr>
        <w:t>TRANSITION REPORT PURSUANT TO SECTION 13 OR 15(d) OF THE SECURITIES EXCHANGE ACT OF 1934</w:t>
      </w:r>
    </w:p>
    <w:p>
      <w:pPr>
        <w:spacing w:after="0" w:line="43" w:lineRule="exact"/>
        <w:rPr>
          <w:sz w:val="24"/>
          <w:szCs w:val="24"/>
          <w:color w:val="auto"/>
        </w:rPr>
      </w:pPr>
    </w:p>
    <w:p>
      <w:pPr>
        <w:ind w:left="4060"/>
        <w:spacing w:after="0"/>
        <w:tabs>
          <w:tab w:leader="none" w:pos="71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63"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Commission File Number: 001-34963</w:t>
      </w:r>
    </w:p>
    <w:p>
      <w:pPr>
        <w:spacing w:after="0" w:line="127" w:lineRule="exact"/>
        <w:rPr>
          <w:sz w:val="24"/>
          <w:szCs w:val="24"/>
          <w:color w:val="auto"/>
        </w:rPr>
      </w:pPr>
    </w:p>
    <w:p>
      <w:pPr>
        <w:jc w:val="center"/>
        <w:ind w:right="-79"/>
        <w:spacing w:after="0"/>
        <w:rPr>
          <w:sz w:val="20"/>
          <w:szCs w:val="20"/>
          <w:color w:val="auto"/>
        </w:rPr>
      </w:pPr>
      <w:r>
        <w:rPr>
          <w:rFonts w:ascii="Arial" w:cs="Arial" w:eastAsia="Arial" w:hAnsi="Arial"/>
          <w:sz w:val="43"/>
          <w:szCs w:val="43"/>
          <w:b w:val="1"/>
          <w:bCs w:val="1"/>
          <w:color w:val="auto"/>
        </w:rPr>
        <w:t>LPL Financial Holdings Inc.</w:t>
      </w:r>
    </w:p>
    <w:p>
      <w:pPr>
        <w:spacing w:after="0" w:line="99" w:lineRule="exact"/>
        <w:rPr>
          <w:sz w:val="24"/>
          <w:szCs w:val="24"/>
          <w:color w:val="auto"/>
        </w:rPr>
      </w:pPr>
    </w:p>
    <w:p>
      <w:pPr>
        <w:jc w:val="center"/>
        <w:ind w:right="-79"/>
        <w:spacing w:after="0"/>
        <w:rPr>
          <w:sz w:val="20"/>
          <w:szCs w:val="20"/>
          <w:color w:val="auto"/>
        </w:rPr>
      </w:pPr>
      <w:r>
        <w:rPr>
          <w:rFonts w:ascii="Arial" w:cs="Arial" w:eastAsia="Arial" w:hAnsi="Arial"/>
          <w:sz w:val="16"/>
          <w:szCs w:val="16"/>
          <w:i w:val="1"/>
          <w:iCs w:val="1"/>
          <w:color w:val="auto"/>
        </w:rPr>
        <w:t>(Exact name of registrant as specified in its charter)</w:t>
      </w:r>
    </w:p>
    <w:p>
      <w:pPr>
        <w:spacing w:after="0" w:line="158" w:lineRule="exact"/>
        <w:rPr>
          <w:sz w:val="24"/>
          <w:szCs w:val="24"/>
          <w:color w:val="auto"/>
        </w:rPr>
      </w:pPr>
    </w:p>
    <w:tbl>
      <w:tblPr>
        <w:tblLayout w:type="fixed"/>
        <w:tblInd w:w="1700" w:type="dxa"/>
        <w:tblCellMar>
          <w:top w:w="0" w:type="dxa"/>
          <w:left w:w="0" w:type="dxa"/>
          <w:bottom w:w="0" w:type="dxa"/>
          <w:right w:w="0" w:type="dxa"/>
        </w:tblCellMar>
      </w:tblPr>
      <w:tr>
        <w:trPr>
          <w:trHeight w:val="239"/>
        </w:trPr>
        <w:tc>
          <w:tcPr>
            <w:tcW w:w="4260" w:type="dxa"/>
            <w:vAlign w:val="bottom"/>
          </w:tcPr>
          <w:p>
            <w:pPr>
              <w:jc w:val="center"/>
              <w:ind w:right="1850"/>
              <w:spacing w:after="0"/>
              <w:rPr>
                <w:sz w:val="20"/>
                <w:szCs w:val="20"/>
                <w:color w:val="auto"/>
              </w:rPr>
            </w:pPr>
            <w:r>
              <w:rPr>
                <w:rFonts w:ascii="Arial" w:cs="Arial" w:eastAsia="Arial" w:hAnsi="Arial"/>
                <w:sz w:val="18"/>
                <w:szCs w:val="18"/>
                <w:b w:val="1"/>
                <w:bCs w:val="1"/>
                <w:color w:val="auto"/>
              </w:rPr>
              <w:t>Delaware</w:t>
            </w:r>
          </w:p>
        </w:tc>
        <w:tc>
          <w:tcPr>
            <w:tcW w:w="3320" w:type="dxa"/>
            <w:vAlign w:val="bottom"/>
          </w:tcPr>
          <w:p>
            <w:pPr>
              <w:jc w:val="center"/>
              <w:ind w:left="1810"/>
              <w:spacing w:after="0"/>
              <w:rPr>
                <w:sz w:val="20"/>
                <w:szCs w:val="20"/>
                <w:color w:val="auto"/>
              </w:rPr>
            </w:pPr>
            <w:r>
              <w:rPr>
                <w:rFonts w:ascii="Arial" w:cs="Arial" w:eastAsia="Arial" w:hAnsi="Arial"/>
                <w:sz w:val="18"/>
                <w:szCs w:val="18"/>
                <w:b w:val="1"/>
                <w:bCs w:val="1"/>
                <w:color w:val="auto"/>
              </w:rPr>
              <w:t>20-3717839</w:t>
            </w:r>
          </w:p>
        </w:tc>
      </w:tr>
      <w:tr>
        <w:trPr>
          <w:trHeight w:val="257"/>
        </w:trPr>
        <w:tc>
          <w:tcPr>
            <w:tcW w:w="4260" w:type="dxa"/>
            <w:vAlign w:val="bottom"/>
          </w:tcPr>
          <w:p>
            <w:pPr>
              <w:jc w:val="center"/>
              <w:ind w:right="1830"/>
              <w:spacing w:after="0"/>
              <w:rPr>
                <w:sz w:val="20"/>
                <w:szCs w:val="20"/>
                <w:color w:val="auto"/>
              </w:rPr>
            </w:pPr>
            <w:r>
              <w:rPr>
                <w:rFonts w:ascii="Arial" w:cs="Arial" w:eastAsia="Arial" w:hAnsi="Arial"/>
                <w:sz w:val="18"/>
                <w:szCs w:val="18"/>
                <w:i w:val="1"/>
                <w:iCs w:val="1"/>
                <w:color w:val="auto"/>
              </w:rPr>
              <w:t>(State or other jurisdiction of</w:t>
            </w:r>
          </w:p>
        </w:tc>
        <w:tc>
          <w:tcPr>
            <w:tcW w:w="3320" w:type="dxa"/>
            <w:vAlign w:val="bottom"/>
          </w:tcPr>
          <w:p>
            <w:pPr>
              <w:jc w:val="center"/>
              <w:ind w:left="1830"/>
              <w:spacing w:after="0"/>
              <w:rPr>
                <w:sz w:val="20"/>
                <w:szCs w:val="20"/>
                <w:color w:val="auto"/>
              </w:rPr>
            </w:pPr>
            <w:r>
              <w:rPr>
                <w:rFonts w:ascii="Arial" w:cs="Arial" w:eastAsia="Arial" w:hAnsi="Arial"/>
                <w:sz w:val="18"/>
                <w:szCs w:val="18"/>
                <w:i w:val="1"/>
                <w:iCs w:val="1"/>
                <w:color w:val="auto"/>
                <w:w w:val="99"/>
              </w:rPr>
              <w:t>(I.R.S. Employer</w:t>
            </w:r>
          </w:p>
        </w:tc>
      </w:tr>
      <w:tr>
        <w:trPr>
          <w:trHeight w:val="257"/>
        </w:trPr>
        <w:tc>
          <w:tcPr>
            <w:tcW w:w="4260" w:type="dxa"/>
            <w:vAlign w:val="bottom"/>
          </w:tcPr>
          <w:p>
            <w:pPr>
              <w:jc w:val="center"/>
              <w:ind w:right="1830"/>
              <w:spacing w:after="0"/>
              <w:rPr>
                <w:sz w:val="20"/>
                <w:szCs w:val="20"/>
                <w:color w:val="auto"/>
              </w:rPr>
            </w:pPr>
            <w:r>
              <w:rPr>
                <w:rFonts w:ascii="Arial" w:cs="Arial" w:eastAsia="Arial" w:hAnsi="Arial"/>
                <w:sz w:val="18"/>
                <w:szCs w:val="18"/>
                <w:i w:val="1"/>
                <w:iCs w:val="1"/>
                <w:color w:val="auto"/>
                <w:w w:val="99"/>
              </w:rPr>
              <w:t>incorporation or organization)</w:t>
            </w:r>
          </w:p>
        </w:tc>
        <w:tc>
          <w:tcPr>
            <w:tcW w:w="3320" w:type="dxa"/>
            <w:vAlign w:val="bottom"/>
          </w:tcPr>
          <w:p>
            <w:pPr>
              <w:jc w:val="center"/>
              <w:ind w:left="1830"/>
              <w:spacing w:after="0"/>
              <w:rPr>
                <w:sz w:val="20"/>
                <w:szCs w:val="20"/>
                <w:color w:val="auto"/>
              </w:rPr>
            </w:pPr>
            <w:r>
              <w:rPr>
                <w:rFonts w:ascii="Arial" w:cs="Arial" w:eastAsia="Arial" w:hAnsi="Arial"/>
                <w:sz w:val="18"/>
                <w:szCs w:val="18"/>
                <w:i w:val="1"/>
                <w:iCs w:val="1"/>
                <w:color w:val="auto"/>
                <w:w w:val="99"/>
              </w:rPr>
              <w:t>Identification No.)</w:t>
            </w:r>
          </w:p>
        </w:tc>
      </w:tr>
    </w:tbl>
    <w:p>
      <w:pPr>
        <w:spacing w:after="0" w:line="139"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75 State Street, Boston, MA 02109</w:t>
      </w:r>
    </w:p>
    <w:p>
      <w:pPr>
        <w:spacing w:after="0" w:line="31" w:lineRule="exact"/>
        <w:rPr>
          <w:sz w:val="24"/>
          <w:szCs w:val="24"/>
          <w:color w:val="auto"/>
        </w:rPr>
      </w:pPr>
    </w:p>
    <w:p>
      <w:pPr>
        <w:jc w:val="center"/>
        <w:ind w:right="-79"/>
        <w:spacing w:after="0"/>
        <w:rPr>
          <w:sz w:val="20"/>
          <w:szCs w:val="20"/>
          <w:color w:val="auto"/>
        </w:rPr>
      </w:pPr>
      <w:r>
        <w:rPr>
          <w:rFonts w:ascii="Arial" w:cs="Arial" w:eastAsia="Arial" w:hAnsi="Arial"/>
          <w:sz w:val="18"/>
          <w:szCs w:val="18"/>
          <w:i w:val="1"/>
          <w:iCs w:val="1"/>
          <w:color w:val="auto"/>
        </w:rPr>
        <w:t>(Address of Principal Executive Offices) (Zip Code)</w:t>
      </w:r>
    </w:p>
    <w:p>
      <w:pPr>
        <w:spacing w:after="0" w:line="203"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(617) 423-3644</w:t>
      </w:r>
    </w:p>
    <w:p>
      <w:pPr>
        <w:spacing w:after="0" w:line="31" w:lineRule="exact"/>
        <w:rPr>
          <w:sz w:val="24"/>
          <w:szCs w:val="24"/>
          <w:color w:val="auto"/>
        </w:rPr>
      </w:pPr>
    </w:p>
    <w:p>
      <w:pPr>
        <w:jc w:val="center"/>
        <w:ind w:right="-79"/>
        <w:spacing w:after="0"/>
        <w:rPr>
          <w:sz w:val="20"/>
          <w:szCs w:val="20"/>
          <w:color w:val="auto"/>
        </w:rPr>
      </w:pPr>
      <w:r>
        <w:rPr>
          <w:rFonts w:ascii="Arial" w:cs="Arial" w:eastAsia="Arial" w:hAnsi="Arial"/>
          <w:sz w:val="18"/>
          <w:szCs w:val="18"/>
          <w:i w:val="1"/>
          <w:iCs w:val="1"/>
          <w:color w:val="auto"/>
        </w:rPr>
        <w:t>(Registrant’s telephone number, including area code)</w:t>
      </w:r>
    </w:p>
    <w:p>
      <w:pPr>
        <w:spacing w:after="0" w:line="171" w:lineRule="exact"/>
        <w:rPr>
          <w:sz w:val="24"/>
          <w:szCs w:val="24"/>
          <w:color w:val="auto"/>
        </w:rPr>
      </w:pPr>
    </w:p>
    <w:p>
      <w:pPr>
        <w:ind w:right="60" w:firstLine="270"/>
        <w:spacing w:after="0" w:line="256"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x Yes o No</w:t>
      </w:r>
    </w:p>
    <w:p>
      <w:pPr>
        <w:spacing w:after="0" w:line="40" w:lineRule="exact"/>
        <w:rPr>
          <w:sz w:val="24"/>
          <w:szCs w:val="24"/>
          <w:color w:val="auto"/>
        </w:rPr>
      </w:pPr>
    </w:p>
    <w:p>
      <w:pPr>
        <w:ind w:right="280" w:firstLine="270"/>
        <w:spacing w:after="0" w:line="256"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x Yes o No</w:t>
      </w:r>
    </w:p>
    <w:p>
      <w:pPr>
        <w:spacing w:after="0" w:line="40" w:lineRule="exact"/>
        <w:rPr>
          <w:sz w:val="24"/>
          <w:szCs w:val="24"/>
          <w:color w:val="auto"/>
        </w:rPr>
      </w:pPr>
    </w:p>
    <w:p>
      <w:pPr>
        <w:jc w:val="both"/>
        <w:ind w:firstLine="270"/>
        <w:spacing w:after="0" w:line="256"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189" w:lineRule="exact"/>
        <w:rPr>
          <w:sz w:val="24"/>
          <w:szCs w:val="24"/>
          <w:color w:val="auto"/>
        </w:rPr>
      </w:pPr>
    </w:p>
    <w:p>
      <w:pPr>
        <w:ind w:left="480"/>
        <w:spacing w:after="0"/>
        <w:tabs>
          <w:tab w:leader="none" w:pos="3280" w:val="left"/>
          <w:tab w:leader="none" w:pos="5780" w:val="left"/>
          <w:tab w:leader="none" w:pos="8660" w:val="left"/>
        </w:tabs>
        <w:rPr>
          <w:sz w:val="20"/>
          <w:szCs w:val="20"/>
          <w:color w:val="auto"/>
        </w:rPr>
      </w:pPr>
      <w:r>
        <w:rPr>
          <w:rFonts w:ascii="Arial" w:cs="Arial" w:eastAsia="Arial" w:hAnsi="Arial"/>
          <w:sz w:val="18"/>
          <w:szCs w:val="18"/>
          <w:color w:val="auto"/>
        </w:rPr>
        <w:t>Large accelerated filer x</w:t>
      </w:r>
      <w:r>
        <w:rPr>
          <w:sz w:val="20"/>
          <w:szCs w:val="20"/>
          <w:color w:val="auto"/>
        </w:rPr>
        <w:tab/>
      </w:r>
      <w:r>
        <w:rPr>
          <w:rFonts w:ascii="Arial" w:cs="Arial" w:eastAsia="Arial" w:hAnsi="Arial"/>
          <w:sz w:val="18"/>
          <w:szCs w:val="18"/>
          <w:color w:val="auto"/>
        </w:rPr>
        <w:t>Accelerated filer o</w:t>
      </w:r>
      <w:r>
        <w:rPr>
          <w:sz w:val="20"/>
          <w:szCs w:val="20"/>
          <w:color w:val="auto"/>
        </w:rPr>
        <w:tab/>
      </w:r>
      <w:r>
        <w:rPr>
          <w:rFonts w:ascii="Arial" w:cs="Arial" w:eastAsia="Arial" w:hAnsi="Arial"/>
          <w:sz w:val="18"/>
          <w:szCs w:val="18"/>
          <w:color w:val="auto"/>
        </w:rPr>
        <w:t>Non-accelerated filer o</w:t>
      </w:r>
      <w:r>
        <w:rPr>
          <w:sz w:val="20"/>
          <w:szCs w:val="20"/>
          <w:color w:val="auto"/>
        </w:rPr>
        <w:tab/>
      </w:r>
      <w:r>
        <w:rPr>
          <w:rFonts w:ascii="Arial" w:cs="Arial" w:eastAsia="Arial" w:hAnsi="Arial"/>
          <w:sz w:val="17"/>
          <w:szCs w:val="17"/>
          <w:color w:val="auto"/>
        </w:rPr>
        <w:t>Smaller reporting company o</w:t>
      </w:r>
    </w:p>
    <w:p>
      <w:pPr>
        <w:spacing w:after="0" w:line="82" w:lineRule="exact"/>
        <w:rPr>
          <w:sz w:val="24"/>
          <w:szCs w:val="24"/>
          <w:color w:val="auto"/>
        </w:rPr>
      </w:pPr>
    </w:p>
    <w:p>
      <w:pPr>
        <w:ind w:left="5240"/>
        <w:spacing w:after="0"/>
        <w:rPr>
          <w:sz w:val="20"/>
          <w:szCs w:val="20"/>
          <w:color w:val="auto"/>
        </w:rPr>
      </w:pPr>
      <w:r>
        <w:rPr>
          <w:rFonts w:ascii="Arial" w:cs="Arial" w:eastAsia="Arial" w:hAnsi="Arial"/>
          <w:sz w:val="14"/>
          <w:szCs w:val="14"/>
          <w:color w:val="auto"/>
        </w:rPr>
        <w:t>(Do not check if a smaller reporting company)</w:t>
      </w:r>
    </w:p>
    <w:p>
      <w:pPr>
        <w:spacing w:after="0" w:line="117" w:lineRule="exact"/>
        <w:rPr>
          <w:sz w:val="24"/>
          <w:szCs w:val="24"/>
          <w:color w:val="auto"/>
        </w:rPr>
      </w:pPr>
    </w:p>
    <w:p>
      <w:pPr>
        <w:ind w:right="980" w:firstLine="270"/>
        <w:spacing w:after="0" w:line="434" w:lineRule="auto"/>
        <w:rPr>
          <w:sz w:val="20"/>
          <w:szCs w:val="20"/>
          <w:color w:val="auto"/>
        </w:rPr>
      </w:pPr>
      <w:r>
        <w:rPr>
          <w:rFonts w:ascii="Arial" w:cs="Arial" w:eastAsia="Arial" w:hAnsi="Arial"/>
          <w:sz w:val="18"/>
          <w:szCs w:val="18"/>
          <w:color w:val="auto"/>
        </w:rPr>
        <w:t>Indicate by check mark whether the registrant is a shell company (as defined in Rule 12b-2 of the Exchange Act). o Yes x No The number of shares of Common Stock, par value $0.001 per share, outstanding as of October 31, 2016 was 89,155,100.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35560</wp:posOffset>
            </wp:positionV>
            <wp:extent cx="72720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40" w:top="474" w:right="29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9"/>
        </w:trPr>
        <w:tc>
          <w:tcPr>
            <w:tcW w:w="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60" w:type="dxa"/>
            <w:vAlign w:val="bottom"/>
            <w:gridSpan w:val="10"/>
          </w:tcPr>
          <w:p>
            <w:pPr>
              <w:ind w:left="1600"/>
              <w:spacing w:after="0"/>
              <w:rPr>
                <w:sz w:val="20"/>
                <w:szCs w:val="20"/>
                <w:color w:val="auto"/>
              </w:rPr>
            </w:pPr>
            <w:r>
              <w:rPr>
                <w:rFonts w:ascii="Arial" w:cs="Arial" w:eastAsia="Arial" w:hAnsi="Arial"/>
                <w:sz w:val="18"/>
                <w:szCs w:val="18"/>
                <w:b w:val="1"/>
                <w:bCs w:val="1"/>
                <w:color w:val="auto"/>
              </w:rPr>
              <w:t>TABLE OF CONTENTS</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8"/>
        </w:trPr>
        <w:tc>
          <w:tcPr>
            <w:tcW w:w="1160" w:type="dxa"/>
            <w:vAlign w:val="bottom"/>
            <w:tcBorders>
              <w:bottom w:val="single" w:sz="8" w:color="auto"/>
            </w:tcBorders>
            <w:gridSpan w:val="4"/>
          </w:tcPr>
          <w:p>
            <w:pPr>
              <w:spacing w:after="0"/>
              <w:rPr>
                <w:sz w:val="20"/>
                <w:szCs w:val="20"/>
                <w:color w:val="auto"/>
              </w:rPr>
            </w:pPr>
            <w:r>
              <w:rPr>
                <w:rFonts w:ascii="Arial" w:cs="Arial" w:eastAsia="Arial" w:hAnsi="Arial"/>
                <w:sz w:val="18"/>
                <w:szCs w:val="18"/>
                <w:b w:val="1"/>
                <w:bCs w:val="1"/>
                <w:color w:val="auto"/>
              </w:rPr>
              <w:t>Item Number</w:t>
            </w:r>
          </w:p>
        </w:tc>
        <w:tc>
          <w:tcPr>
            <w:tcW w:w="9420" w:type="dxa"/>
            <w:vAlign w:val="bottom"/>
            <w:gridSpan w:val="19"/>
          </w:tcPr>
          <w:p>
            <w:pPr>
              <w:spacing w:after="0"/>
              <w:rPr>
                <w:sz w:val="24"/>
                <w:szCs w:val="24"/>
                <w:color w:val="auto"/>
              </w:rPr>
            </w:pPr>
          </w:p>
        </w:tc>
        <w:tc>
          <w:tcPr>
            <w:tcW w:w="800" w:type="dxa"/>
            <w:vAlign w:val="bottom"/>
            <w:gridSpan w:val="4"/>
          </w:tcPr>
          <w:p>
            <w:pPr>
              <w:ind w:left="18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34"/>
        </w:trPr>
        <w:tc>
          <w:tcPr>
            <w:tcW w:w="10580" w:type="dxa"/>
            <w:vAlign w:val="bottom"/>
            <w:gridSpan w:val="23"/>
            <w:vMerge w:val="restart"/>
          </w:tcPr>
          <w:p>
            <w:pPr>
              <w:spacing w:after="0"/>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PART I — FINANCIAL INFORMATION</w:t>
              </w:r>
            </w:hyperlink>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85"/>
        </w:trPr>
        <w:tc>
          <w:tcPr>
            <w:tcW w:w="10580" w:type="dxa"/>
            <w:vAlign w:val="bottom"/>
            <w:gridSpan w:val="23"/>
            <w:vMerge w:val="continue"/>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180" w:type="dxa"/>
            <w:vAlign w:val="bottom"/>
            <w:tcBorders>
              <w:top w:val="single" w:sz="8" w:color="0000EE"/>
            </w:tcBorders>
          </w:tcPr>
          <w:p>
            <w:pPr>
              <w:spacing w:after="0"/>
              <w:rPr>
                <w:rFonts w:ascii="Arial" w:cs="Arial" w:eastAsia="Arial" w:hAnsi="Arial"/>
                <w:sz w:val="18"/>
                <w:szCs w:val="18"/>
                <w:b w:val="1"/>
                <w:bCs w:val="1"/>
                <w:color w:val="0000EE"/>
              </w:rPr>
            </w:pPr>
            <w:hyperlink w:anchor="page26">
              <w:r>
                <w:rPr>
                  <w:rFonts w:ascii="Arial" w:cs="Arial" w:eastAsia="Arial" w:hAnsi="Arial"/>
                  <w:sz w:val="18"/>
                  <w:szCs w:val="18"/>
                  <w:b w:val="1"/>
                  <w:bCs w:val="1"/>
                  <w:color w:val="0000EE"/>
                </w:rPr>
                <w:t>1.</w:t>
              </w:r>
            </w:hyperlink>
          </w:p>
        </w:tc>
        <w:tc>
          <w:tcPr>
            <w:tcW w:w="2940" w:type="dxa"/>
            <w:vAlign w:val="bottom"/>
            <w:tcBorders>
              <w:top w:val="single" w:sz="8" w:color="0000EE"/>
            </w:tcBorders>
            <w:gridSpan w:val="12"/>
          </w:tcPr>
          <w:p>
            <w:pPr>
              <w:ind w:left="20"/>
              <w:spacing w:after="0"/>
              <w:rPr>
                <w:rFonts w:ascii="Arial" w:cs="Arial" w:eastAsia="Arial" w:hAnsi="Arial"/>
                <w:sz w:val="18"/>
                <w:szCs w:val="18"/>
                <w:b w:val="1"/>
                <w:bCs w:val="1"/>
                <w:color w:val="0000EE"/>
              </w:rPr>
            </w:pPr>
            <w:hyperlink w:anchor="page26">
              <w:r>
                <w:rPr>
                  <w:rFonts w:ascii="Arial" w:cs="Arial" w:eastAsia="Arial" w:hAnsi="Arial"/>
                  <w:sz w:val="18"/>
                  <w:szCs w:val="18"/>
                  <w:b w:val="1"/>
                  <w:bCs w:val="1"/>
                  <w:color w:val="0000EE"/>
                </w:rPr>
                <w:t>Financial Statements (unaudited)</w:t>
              </w:r>
            </w:hyperlink>
          </w:p>
        </w:tc>
        <w:tc>
          <w:tcPr>
            <w:tcW w:w="7460" w:type="dxa"/>
            <w:vAlign w:val="bottom"/>
            <w:gridSpan w:val="10"/>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780" w:type="dxa"/>
            <w:vAlign w:val="bottom"/>
            <w:gridSpan w:val="14"/>
          </w:tcPr>
          <w:p>
            <w:pPr>
              <w:spacing w:after="0"/>
              <w:rPr>
                <w:rFonts w:ascii="Arial" w:cs="Arial" w:eastAsia="Arial" w:hAnsi="Arial"/>
                <w:sz w:val="18"/>
                <w:szCs w:val="18"/>
                <w:color w:val="0000EE"/>
                <w:w w:val="99"/>
              </w:rPr>
            </w:pPr>
            <w:hyperlink w:anchor="page26">
              <w:r>
                <w:rPr>
                  <w:rFonts w:ascii="Arial" w:cs="Arial" w:eastAsia="Arial" w:hAnsi="Arial"/>
                  <w:sz w:val="18"/>
                  <w:szCs w:val="18"/>
                  <w:color w:val="0000EE"/>
                  <w:w w:val="99"/>
                </w:rPr>
                <w:t>Condensed Consolidated Statements of Income (unaudited)</w:t>
              </w:r>
            </w:hyperlink>
          </w:p>
        </w:tc>
        <w:tc>
          <w:tcPr>
            <w:tcW w:w="5120" w:type="dxa"/>
            <w:vAlign w:val="bottom"/>
            <w:gridSpan w:val="7"/>
          </w:tcPr>
          <w:p>
            <w:pPr>
              <w:spacing w:after="0"/>
              <w:rPr>
                <w:sz w:val="24"/>
                <w:szCs w:val="24"/>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26">
              <w:r>
                <w:rPr>
                  <w:rFonts w:ascii="Arial" w:cs="Arial" w:eastAsia="Arial" w:hAnsi="Arial"/>
                  <w:sz w:val="18"/>
                  <w:szCs w:val="18"/>
                  <w:color w:val="0000EE"/>
                </w:rPr>
                <w:t>22</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34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900" w:type="dxa"/>
            <w:vAlign w:val="bottom"/>
            <w:gridSpan w:val="21"/>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Condensed Consolidated Statements of Comprehensive Income (unaudited)</w:t>
              </w:r>
            </w:hyperlink>
          </w:p>
        </w:tc>
        <w:tc>
          <w:tcPr>
            <w:tcW w:w="800" w:type="dxa"/>
            <w:vAlign w:val="bottom"/>
            <w:gridSpan w:val="4"/>
          </w:tcPr>
          <w:p>
            <w:pPr>
              <w:jc w:val="right"/>
              <w:ind w:right="20"/>
              <w:spacing w:after="0"/>
              <w:rPr>
                <w:rFonts w:ascii="Arial" w:cs="Arial" w:eastAsia="Arial" w:hAnsi="Arial"/>
                <w:sz w:val="18"/>
                <w:szCs w:val="18"/>
                <w:color w:val="0000EE"/>
              </w:rPr>
            </w:pPr>
            <w:hyperlink w:anchor="page27">
              <w:r>
                <w:rPr>
                  <w:rFonts w:ascii="Arial" w:cs="Arial" w:eastAsia="Arial" w:hAnsi="Arial"/>
                  <w:sz w:val="18"/>
                  <w:szCs w:val="18"/>
                  <w:color w:val="0000EE"/>
                </w:rPr>
                <w:t>23</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34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720" w:type="dxa"/>
            <w:vAlign w:val="bottom"/>
            <w:gridSpan w:val="17"/>
          </w:tcPr>
          <w:p>
            <w:pPr>
              <w:spacing w:after="0"/>
              <w:rPr>
                <w:rFonts w:ascii="Arial" w:cs="Arial" w:eastAsia="Arial" w:hAnsi="Arial"/>
                <w:sz w:val="18"/>
                <w:szCs w:val="18"/>
                <w:color w:val="0000EE"/>
                <w:w w:val="99"/>
              </w:rPr>
            </w:pPr>
            <w:hyperlink w:anchor="page28">
              <w:r>
                <w:rPr>
                  <w:rFonts w:ascii="Arial" w:cs="Arial" w:eastAsia="Arial" w:hAnsi="Arial"/>
                  <w:sz w:val="18"/>
                  <w:szCs w:val="18"/>
                  <w:color w:val="0000EE"/>
                  <w:w w:val="99"/>
                </w:rPr>
                <w:t>Condensed Consolidated Statements of Financial Condition (unaudited)</w:t>
              </w:r>
            </w:hyperlink>
          </w:p>
        </w:tc>
        <w:tc>
          <w:tcPr>
            <w:tcW w:w="360" w:type="dxa"/>
            <w:vAlign w:val="bottom"/>
            <w:gridSpan w:val="2"/>
          </w:tcPr>
          <w:p>
            <w:pPr>
              <w:spacing w:after="0"/>
              <w:rPr>
                <w:sz w:val="24"/>
                <w:szCs w:val="24"/>
                <w:color w:val="auto"/>
              </w:rPr>
            </w:pPr>
          </w:p>
        </w:tc>
        <w:tc>
          <w:tcPr>
            <w:tcW w:w="3820" w:type="dxa"/>
            <w:vAlign w:val="bottom"/>
            <w:gridSpan w:val="2"/>
          </w:tcPr>
          <w:p>
            <w:pPr>
              <w:spacing w:after="0"/>
              <w:rPr>
                <w:sz w:val="24"/>
                <w:szCs w:val="24"/>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28">
              <w:r>
                <w:rPr>
                  <w:rFonts w:ascii="Arial" w:cs="Arial" w:eastAsia="Arial" w:hAnsi="Arial"/>
                  <w:sz w:val="18"/>
                  <w:szCs w:val="18"/>
                  <w:color w:val="0000EE"/>
                </w:rPr>
                <w:t>24</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34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20" w:type="dxa"/>
            <w:vAlign w:val="bottom"/>
            <w:gridSpan w:val="18"/>
          </w:tcPr>
          <w:p>
            <w:pPr>
              <w:spacing w:after="0"/>
              <w:rPr>
                <w:rFonts w:ascii="Arial" w:cs="Arial" w:eastAsia="Arial" w:hAnsi="Arial"/>
                <w:sz w:val="18"/>
                <w:szCs w:val="18"/>
                <w:color w:val="0000EE"/>
                <w:w w:val="99"/>
              </w:rPr>
            </w:pPr>
            <w:hyperlink w:anchor="page29">
              <w:r>
                <w:rPr>
                  <w:rFonts w:ascii="Arial" w:cs="Arial" w:eastAsia="Arial" w:hAnsi="Arial"/>
                  <w:sz w:val="18"/>
                  <w:szCs w:val="18"/>
                  <w:color w:val="0000EE"/>
                  <w:w w:val="99"/>
                </w:rPr>
                <w:t>Condensed Consolidated Statements of Stockholders’ Equity (unaudited)</w:t>
              </w:r>
            </w:hyperlink>
          </w:p>
        </w:tc>
        <w:tc>
          <w:tcPr>
            <w:tcW w:w="4080" w:type="dxa"/>
            <w:vAlign w:val="bottom"/>
            <w:gridSpan w:val="3"/>
          </w:tcPr>
          <w:p>
            <w:pPr>
              <w:spacing w:after="0"/>
              <w:rPr>
                <w:sz w:val="24"/>
                <w:szCs w:val="24"/>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29">
              <w:r>
                <w:rPr>
                  <w:rFonts w:ascii="Arial" w:cs="Arial" w:eastAsia="Arial" w:hAnsi="Arial"/>
                  <w:sz w:val="18"/>
                  <w:szCs w:val="18"/>
                  <w:color w:val="0000EE"/>
                </w:rPr>
                <w:t>25</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34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20" w:type="dxa"/>
            <w:vAlign w:val="bottom"/>
            <w:gridSpan w:val="18"/>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Condensed Consolidated Statements of Cash Flows (unaudited)</w:t>
              </w:r>
            </w:hyperlink>
          </w:p>
        </w:tc>
        <w:tc>
          <w:tcPr>
            <w:tcW w:w="4080" w:type="dxa"/>
            <w:vAlign w:val="bottom"/>
            <w:gridSpan w:val="3"/>
          </w:tcPr>
          <w:p>
            <w:pPr>
              <w:spacing w:after="0"/>
              <w:rPr>
                <w:sz w:val="24"/>
                <w:szCs w:val="24"/>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30">
              <w:r>
                <w:rPr>
                  <w:rFonts w:ascii="Arial" w:cs="Arial" w:eastAsia="Arial" w:hAnsi="Arial"/>
                  <w:sz w:val="18"/>
                  <w:szCs w:val="18"/>
                  <w:color w:val="0000EE"/>
                </w:rPr>
                <w:t>26</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34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40" w:type="dxa"/>
            <w:vAlign w:val="bottom"/>
            <w:gridSpan w:val="4"/>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900" w:type="dxa"/>
            <w:vAlign w:val="bottom"/>
            <w:gridSpan w:val="21"/>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Notes to Condensed Consolidated Financial Statements (unaudited)</w:t>
              </w:r>
            </w:hyperlink>
          </w:p>
        </w:tc>
        <w:tc>
          <w:tcPr>
            <w:tcW w:w="800" w:type="dxa"/>
            <w:vAlign w:val="bottom"/>
            <w:gridSpan w:val="4"/>
          </w:tcPr>
          <w:p>
            <w:pPr>
              <w:jc w:val="right"/>
              <w:ind w:right="20"/>
              <w:spacing w:after="0"/>
              <w:rPr>
                <w:rFonts w:ascii="Arial" w:cs="Arial" w:eastAsia="Arial" w:hAnsi="Arial"/>
                <w:sz w:val="18"/>
                <w:szCs w:val="18"/>
                <w:color w:val="0000EE"/>
              </w:rPr>
            </w:pPr>
            <w:hyperlink w:anchor="page32">
              <w:r>
                <w:rPr>
                  <w:rFonts w:ascii="Arial" w:cs="Arial" w:eastAsia="Arial" w:hAnsi="Arial"/>
                  <w:sz w:val="18"/>
                  <w:szCs w:val="18"/>
                  <w:color w:val="0000EE"/>
                </w:rPr>
                <w:t>28</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34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1740" w:type="dxa"/>
            <w:vAlign w:val="bottom"/>
            <w:gridSpan w:val="4"/>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80" w:type="dxa"/>
            <w:vAlign w:val="bottom"/>
          </w:tcPr>
          <w:p>
            <w:pPr>
              <w:spacing w:after="0"/>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2.</w:t>
              </w:r>
            </w:hyperlink>
          </w:p>
        </w:tc>
        <w:tc>
          <w:tcPr>
            <w:tcW w:w="7660" w:type="dxa"/>
            <w:vAlign w:val="bottom"/>
            <w:gridSpan w:val="21"/>
          </w:tcPr>
          <w:p>
            <w:pPr>
              <w:ind w:left="20"/>
              <w:spacing w:after="0"/>
              <w:rPr>
                <w:rFonts w:ascii="Arial" w:cs="Arial" w:eastAsia="Arial" w:hAnsi="Arial"/>
                <w:sz w:val="18"/>
                <w:szCs w:val="18"/>
                <w:b w:val="1"/>
                <w:bCs w:val="1"/>
                <w:color w:val="0000EE"/>
                <w:w w:val="99"/>
              </w:rPr>
            </w:pPr>
            <w:hyperlink w:anchor="page5">
              <w:r>
                <w:rPr>
                  <w:rFonts w:ascii="Arial" w:cs="Arial" w:eastAsia="Arial" w:hAnsi="Arial"/>
                  <w:sz w:val="18"/>
                  <w:szCs w:val="18"/>
                  <w:b w:val="1"/>
                  <w:bCs w:val="1"/>
                  <w:color w:val="0000EE"/>
                  <w:w w:val="99"/>
                </w:rPr>
                <w:t>Management’s Discussion and Analysis of Financial Condition and Results of Operations</w:t>
              </w:r>
            </w:hyperlink>
          </w:p>
        </w:tc>
        <w:tc>
          <w:tcPr>
            <w:tcW w:w="2740" w:type="dxa"/>
            <w:vAlign w:val="bottom"/>
          </w:tcPr>
          <w:p>
            <w:pPr>
              <w:spacing w:after="0"/>
              <w:rPr>
                <w:sz w:val="24"/>
                <w:szCs w:val="24"/>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5">
              <w:r>
                <w:rPr>
                  <w:rFonts w:ascii="Arial" w:cs="Arial" w:eastAsia="Arial" w:hAnsi="Arial"/>
                  <w:sz w:val="18"/>
                  <w:szCs w:val="18"/>
                  <w:color w:val="0000EE"/>
                </w:rPr>
                <w:t>1</w:t>
              </w:r>
            </w:hyperlink>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34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60" w:type="dxa"/>
            <w:vAlign w:val="bottom"/>
            <w:gridSpan w:val="7"/>
            <w:shd w:val="clear" w:color="auto" w:fill="0000EE"/>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80" w:type="dxa"/>
            <w:vAlign w:val="bottom"/>
          </w:tcPr>
          <w:p>
            <w:pPr>
              <w:spacing w:after="0"/>
              <w:rPr>
                <w:rFonts w:ascii="Arial" w:cs="Arial" w:eastAsia="Arial" w:hAnsi="Arial"/>
                <w:sz w:val="18"/>
                <w:szCs w:val="18"/>
                <w:b w:val="1"/>
                <w:bCs w:val="1"/>
                <w:color w:val="0000EE"/>
              </w:rPr>
            </w:pPr>
            <w:hyperlink w:anchor="page46">
              <w:r>
                <w:rPr>
                  <w:rFonts w:ascii="Arial" w:cs="Arial" w:eastAsia="Arial" w:hAnsi="Arial"/>
                  <w:sz w:val="18"/>
                  <w:szCs w:val="18"/>
                  <w:b w:val="1"/>
                  <w:bCs w:val="1"/>
                  <w:color w:val="0000EE"/>
                </w:rPr>
                <w:t>3.</w:t>
              </w:r>
            </w:hyperlink>
          </w:p>
        </w:tc>
        <w:tc>
          <w:tcPr>
            <w:tcW w:w="5100" w:type="dxa"/>
            <w:vAlign w:val="bottom"/>
            <w:gridSpan w:val="13"/>
          </w:tcPr>
          <w:p>
            <w:pPr>
              <w:ind w:left="20"/>
              <w:spacing w:after="0"/>
              <w:rPr>
                <w:rFonts w:ascii="Arial" w:cs="Arial" w:eastAsia="Arial" w:hAnsi="Arial"/>
                <w:sz w:val="18"/>
                <w:szCs w:val="18"/>
                <w:b w:val="1"/>
                <w:bCs w:val="1"/>
                <w:color w:val="0000EE"/>
                <w:w w:val="99"/>
              </w:rPr>
            </w:pPr>
            <w:hyperlink w:anchor="page46">
              <w:r>
                <w:rPr>
                  <w:rFonts w:ascii="Arial" w:cs="Arial" w:eastAsia="Arial" w:hAnsi="Arial"/>
                  <w:sz w:val="18"/>
                  <w:szCs w:val="18"/>
                  <w:b w:val="1"/>
                  <w:bCs w:val="1"/>
                  <w:color w:val="0000EE"/>
                  <w:w w:val="99"/>
                </w:rPr>
                <w:t>Quantitative and Qualitative Disclosures About Market Risk</w:t>
              </w:r>
            </w:hyperlink>
          </w:p>
        </w:tc>
        <w:tc>
          <w:tcPr>
            <w:tcW w:w="2560" w:type="dxa"/>
            <w:vAlign w:val="bottom"/>
            <w:gridSpan w:val="8"/>
          </w:tcPr>
          <w:p>
            <w:pPr>
              <w:spacing w:after="0"/>
              <w:rPr>
                <w:sz w:val="24"/>
                <w:szCs w:val="24"/>
                <w:color w:val="auto"/>
              </w:rPr>
            </w:pPr>
          </w:p>
        </w:tc>
        <w:tc>
          <w:tcPr>
            <w:tcW w:w="2740" w:type="dxa"/>
            <w:vAlign w:val="bottom"/>
          </w:tcPr>
          <w:p>
            <w:pPr>
              <w:spacing w:after="0"/>
              <w:rPr>
                <w:sz w:val="24"/>
                <w:szCs w:val="24"/>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46">
              <w:r>
                <w:rPr>
                  <w:rFonts w:ascii="Arial" w:cs="Arial" w:eastAsia="Arial" w:hAnsi="Arial"/>
                  <w:sz w:val="18"/>
                  <w:szCs w:val="18"/>
                  <w:color w:val="0000EE"/>
                </w:rPr>
                <w:t>42</w:t>
              </w:r>
            </w:hyperlink>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340" w:type="dxa"/>
            <w:vAlign w:val="bottom"/>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0" w:type="dxa"/>
            <w:vAlign w:val="bottom"/>
            <w:gridSpan w:val="8"/>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80" w:type="dxa"/>
            <w:vAlign w:val="bottom"/>
          </w:tcPr>
          <w:p>
            <w:pPr>
              <w:spacing w:after="0"/>
              <w:rPr>
                <w:rFonts w:ascii="Arial" w:cs="Arial" w:eastAsia="Arial" w:hAnsi="Arial"/>
                <w:sz w:val="18"/>
                <w:szCs w:val="18"/>
                <w:b w:val="1"/>
                <w:bCs w:val="1"/>
                <w:color w:val="0000EE"/>
              </w:rPr>
            </w:pPr>
            <w:hyperlink w:anchor="page51">
              <w:r>
                <w:rPr>
                  <w:rFonts w:ascii="Arial" w:cs="Arial" w:eastAsia="Arial" w:hAnsi="Arial"/>
                  <w:sz w:val="18"/>
                  <w:szCs w:val="18"/>
                  <w:b w:val="1"/>
                  <w:bCs w:val="1"/>
                  <w:color w:val="0000EE"/>
                </w:rPr>
                <w:t>4.</w:t>
              </w:r>
            </w:hyperlink>
          </w:p>
        </w:tc>
        <w:tc>
          <w:tcPr>
            <w:tcW w:w="5100" w:type="dxa"/>
            <w:vAlign w:val="bottom"/>
            <w:gridSpan w:val="13"/>
          </w:tcPr>
          <w:p>
            <w:pPr>
              <w:ind w:left="20"/>
              <w:spacing w:after="0"/>
              <w:rPr>
                <w:rFonts w:ascii="Arial" w:cs="Arial" w:eastAsia="Arial" w:hAnsi="Arial"/>
                <w:sz w:val="18"/>
                <w:szCs w:val="18"/>
                <w:b w:val="1"/>
                <w:bCs w:val="1"/>
                <w:color w:val="0000EE"/>
              </w:rPr>
            </w:pPr>
            <w:hyperlink w:anchor="page51">
              <w:r>
                <w:rPr>
                  <w:rFonts w:ascii="Arial" w:cs="Arial" w:eastAsia="Arial" w:hAnsi="Arial"/>
                  <w:sz w:val="18"/>
                  <w:szCs w:val="18"/>
                  <w:b w:val="1"/>
                  <w:bCs w:val="1"/>
                  <w:color w:val="0000EE"/>
                </w:rPr>
                <w:t>Controls and Procedures</w:t>
              </w:r>
            </w:hyperlink>
          </w:p>
        </w:tc>
        <w:tc>
          <w:tcPr>
            <w:tcW w:w="5300" w:type="dxa"/>
            <w:vAlign w:val="bottom"/>
            <w:gridSpan w:val="9"/>
          </w:tcPr>
          <w:p>
            <w:pPr>
              <w:spacing w:after="0"/>
              <w:rPr>
                <w:sz w:val="24"/>
                <w:szCs w:val="24"/>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51">
              <w:r>
                <w:rPr>
                  <w:rFonts w:ascii="Arial" w:cs="Arial" w:eastAsia="Arial" w:hAnsi="Arial"/>
                  <w:sz w:val="18"/>
                  <w:szCs w:val="18"/>
                  <w:color w:val="0000EE"/>
                </w:rPr>
                <w:t>47</w:t>
              </w:r>
            </w:hyperlink>
          </w:p>
        </w:tc>
        <w:tc>
          <w:tcPr>
            <w:tcW w:w="0" w:type="dxa"/>
            <w:vAlign w:val="bottom"/>
          </w:tcPr>
          <w:p>
            <w:pPr>
              <w:spacing w:after="0"/>
              <w:rPr>
                <w:sz w:val="1"/>
                <w:szCs w:val="1"/>
                <w:color w:val="auto"/>
              </w:rPr>
            </w:pPr>
          </w:p>
        </w:tc>
      </w:tr>
      <w:tr>
        <w:trPr>
          <w:trHeight w:val="20"/>
        </w:trPr>
        <w:tc>
          <w:tcPr>
            <w:tcW w:w="900" w:type="dxa"/>
            <w:vAlign w:val="bottom"/>
            <w:gridSpan w:val="3"/>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40" w:type="dxa"/>
            <w:vAlign w:val="bottom"/>
            <w:gridSpan w:val="4"/>
          </w:tcPr>
          <w:p>
            <w:pPr>
              <w:spacing w:after="0" w:line="20" w:lineRule="exact"/>
              <w:rPr>
                <w:sz w:val="1"/>
                <w:szCs w:val="1"/>
                <w:color w:val="auto"/>
              </w:rPr>
            </w:pPr>
          </w:p>
        </w:tc>
        <w:tc>
          <w:tcPr>
            <w:tcW w:w="5200" w:type="dxa"/>
            <w:vAlign w:val="bottom"/>
            <w:gridSpan w:val="8"/>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840" w:type="dxa"/>
            <w:vAlign w:val="bottom"/>
            <w:gridSpan w:val="10"/>
          </w:tcPr>
          <w:p>
            <w:pPr>
              <w:spacing w:after="0"/>
              <w:rPr>
                <w:rFonts w:ascii="Arial" w:cs="Arial" w:eastAsia="Arial" w:hAnsi="Arial"/>
                <w:sz w:val="18"/>
                <w:szCs w:val="18"/>
                <w:b w:val="1"/>
                <w:bCs w:val="1"/>
                <w:color w:val="0000EE"/>
                <w:w w:val="98"/>
              </w:rPr>
            </w:pPr>
            <w:hyperlink w:anchor="page52">
              <w:r>
                <w:rPr>
                  <w:rFonts w:ascii="Arial" w:cs="Arial" w:eastAsia="Arial" w:hAnsi="Arial"/>
                  <w:sz w:val="18"/>
                  <w:szCs w:val="18"/>
                  <w:b w:val="1"/>
                  <w:bCs w:val="1"/>
                  <w:color w:val="0000EE"/>
                  <w:w w:val="98"/>
                </w:rPr>
                <w:t>PART II — OTHER INFORMATION</w:t>
              </w:r>
            </w:hyperlink>
          </w:p>
        </w:tc>
        <w:tc>
          <w:tcPr>
            <w:tcW w:w="7740" w:type="dxa"/>
            <w:vAlign w:val="bottom"/>
            <w:gridSpan w:val="13"/>
          </w:tcPr>
          <w:p>
            <w:pPr>
              <w:spacing w:after="0"/>
              <w:rPr>
                <w:sz w:val="24"/>
                <w:szCs w:val="24"/>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52">
              <w:r>
                <w:rPr>
                  <w:rFonts w:ascii="Arial" w:cs="Arial" w:eastAsia="Arial" w:hAnsi="Arial"/>
                  <w:sz w:val="18"/>
                  <w:szCs w:val="18"/>
                  <w:color w:val="0000EE"/>
                </w:rPr>
                <w:t>48</w:t>
              </w:r>
            </w:hyperlink>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40" w:type="dxa"/>
            <w:vAlign w:val="bottom"/>
            <w:gridSpan w:val="4"/>
          </w:tcPr>
          <w:p>
            <w:pPr>
              <w:spacing w:after="0" w:line="20" w:lineRule="exact"/>
              <w:rPr>
                <w:sz w:val="1"/>
                <w:szCs w:val="1"/>
                <w:color w:val="auto"/>
              </w:rPr>
            </w:pPr>
          </w:p>
        </w:tc>
        <w:tc>
          <w:tcPr>
            <w:tcW w:w="5200" w:type="dxa"/>
            <w:vAlign w:val="bottom"/>
            <w:gridSpan w:val="8"/>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80" w:type="dxa"/>
            <w:vAlign w:val="bottom"/>
          </w:tcPr>
          <w:p>
            <w:pPr>
              <w:spacing w:after="0"/>
              <w:rPr>
                <w:rFonts w:ascii="Arial" w:cs="Arial" w:eastAsia="Arial" w:hAnsi="Arial"/>
                <w:sz w:val="18"/>
                <w:szCs w:val="18"/>
                <w:b w:val="1"/>
                <w:bCs w:val="1"/>
                <w:color w:val="0000EE"/>
              </w:rPr>
            </w:pPr>
            <w:hyperlink w:anchor="page52">
              <w:r>
                <w:rPr>
                  <w:rFonts w:ascii="Arial" w:cs="Arial" w:eastAsia="Arial" w:hAnsi="Arial"/>
                  <w:sz w:val="18"/>
                  <w:szCs w:val="18"/>
                  <w:b w:val="1"/>
                  <w:bCs w:val="1"/>
                  <w:color w:val="0000EE"/>
                </w:rPr>
                <w:t>1.</w:t>
              </w:r>
            </w:hyperlink>
          </w:p>
        </w:tc>
        <w:tc>
          <w:tcPr>
            <w:tcW w:w="1620" w:type="dxa"/>
            <w:vAlign w:val="bottom"/>
            <w:gridSpan w:val="6"/>
          </w:tcPr>
          <w:p>
            <w:pPr>
              <w:ind w:left="20"/>
              <w:spacing w:after="0"/>
              <w:rPr>
                <w:rFonts w:ascii="Arial" w:cs="Arial" w:eastAsia="Arial" w:hAnsi="Arial"/>
                <w:sz w:val="18"/>
                <w:szCs w:val="18"/>
                <w:b w:val="1"/>
                <w:bCs w:val="1"/>
                <w:color w:val="0000EE"/>
                <w:w w:val="98"/>
              </w:rPr>
            </w:pPr>
            <w:hyperlink w:anchor="page52">
              <w:r>
                <w:rPr>
                  <w:rFonts w:ascii="Arial" w:cs="Arial" w:eastAsia="Arial" w:hAnsi="Arial"/>
                  <w:sz w:val="18"/>
                  <w:szCs w:val="18"/>
                  <w:b w:val="1"/>
                  <w:bCs w:val="1"/>
                  <w:color w:val="0000EE"/>
                  <w:w w:val="98"/>
                </w:rPr>
                <w:t>Legal Proceedings</w:t>
              </w:r>
            </w:hyperlink>
          </w:p>
        </w:tc>
        <w:tc>
          <w:tcPr>
            <w:tcW w:w="1040" w:type="dxa"/>
            <w:vAlign w:val="bottom"/>
            <w:gridSpan w:val="3"/>
          </w:tcPr>
          <w:p>
            <w:pPr>
              <w:spacing w:after="0"/>
              <w:rPr>
                <w:sz w:val="24"/>
                <w:szCs w:val="24"/>
                <w:color w:val="auto"/>
              </w:rPr>
            </w:pPr>
          </w:p>
        </w:tc>
        <w:tc>
          <w:tcPr>
            <w:tcW w:w="7740" w:type="dxa"/>
            <w:vAlign w:val="bottom"/>
            <w:gridSpan w:val="13"/>
          </w:tcPr>
          <w:p>
            <w:pPr>
              <w:spacing w:after="0"/>
              <w:rPr>
                <w:sz w:val="24"/>
                <w:szCs w:val="24"/>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52">
              <w:r>
                <w:rPr>
                  <w:rFonts w:ascii="Arial" w:cs="Arial" w:eastAsia="Arial" w:hAnsi="Arial"/>
                  <w:sz w:val="18"/>
                  <w:szCs w:val="18"/>
                  <w:color w:val="0000EE"/>
                </w:rPr>
                <w:t>48</w:t>
              </w:r>
            </w:hyperlink>
          </w:p>
        </w:tc>
        <w:tc>
          <w:tcPr>
            <w:tcW w:w="0" w:type="dxa"/>
            <w:vAlign w:val="bottom"/>
          </w:tcPr>
          <w:p>
            <w:pPr>
              <w:spacing w:after="0"/>
              <w:rPr>
                <w:sz w:val="1"/>
                <w:szCs w:val="1"/>
                <w:color w:val="auto"/>
              </w:rPr>
            </w:pPr>
          </w:p>
        </w:tc>
      </w:tr>
      <w:tr>
        <w:trPr>
          <w:trHeight w:val="20"/>
        </w:trPr>
        <w:tc>
          <w:tcPr>
            <w:tcW w:w="900" w:type="dxa"/>
            <w:vAlign w:val="bottom"/>
            <w:gridSpan w:val="3"/>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2440" w:type="dxa"/>
            <w:vAlign w:val="bottom"/>
            <w:gridSpan w:val="4"/>
          </w:tcPr>
          <w:p>
            <w:pPr>
              <w:spacing w:after="0" w:line="20" w:lineRule="exact"/>
              <w:rPr>
                <w:sz w:val="1"/>
                <w:szCs w:val="1"/>
                <w:color w:val="auto"/>
              </w:rPr>
            </w:pPr>
          </w:p>
        </w:tc>
        <w:tc>
          <w:tcPr>
            <w:tcW w:w="5200" w:type="dxa"/>
            <w:vAlign w:val="bottom"/>
            <w:gridSpan w:val="8"/>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800" w:type="dxa"/>
            <w:vAlign w:val="bottom"/>
            <w:gridSpan w:val="7"/>
          </w:tcPr>
          <w:p>
            <w:pPr>
              <w:spacing w:after="0"/>
              <w:rPr>
                <w:rFonts w:ascii="Arial" w:cs="Arial" w:eastAsia="Arial" w:hAnsi="Arial"/>
                <w:sz w:val="18"/>
                <w:szCs w:val="18"/>
                <w:b w:val="1"/>
                <w:bCs w:val="1"/>
                <w:color w:val="0000EE"/>
              </w:rPr>
            </w:pPr>
            <w:hyperlink w:anchor="page52">
              <w:r>
                <w:rPr>
                  <w:rFonts w:ascii="Arial" w:cs="Arial" w:eastAsia="Arial" w:hAnsi="Arial"/>
                  <w:sz w:val="18"/>
                  <w:szCs w:val="18"/>
                  <w:b w:val="1"/>
                  <w:bCs w:val="1"/>
                  <w:color w:val="0000EE"/>
                </w:rPr>
                <w:t>1A. Risk Factors</w:t>
              </w:r>
            </w:hyperlink>
          </w:p>
        </w:tc>
        <w:tc>
          <w:tcPr>
            <w:tcW w:w="8780" w:type="dxa"/>
            <w:vAlign w:val="bottom"/>
            <w:gridSpan w:val="16"/>
          </w:tcPr>
          <w:p>
            <w:pPr>
              <w:spacing w:after="0"/>
              <w:rPr>
                <w:sz w:val="24"/>
                <w:szCs w:val="24"/>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52">
              <w:r>
                <w:rPr>
                  <w:rFonts w:ascii="Arial" w:cs="Arial" w:eastAsia="Arial" w:hAnsi="Arial"/>
                  <w:sz w:val="18"/>
                  <w:szCs w:val="18"/>
                  <w:color w:val="0000EE"/>
                </w:rPr>
                <w:t>48</w:t>
              </w:r>
            </w:hyperlink>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2440" w:type="dxa"/>
            <w:vAlign w:val="bottom"/>
            <w:gridSpan w:val="4"/>
          </w:tcPr>
          <w:p>
            <w:pPr>
              <w:spacing w:after="0" w:line="20" w:lineRule="exact"/>
              <w:rPr>
                <w:sz w:val="1"/>
                <w:szCs w:val="1"/>
                <w:color w:val="auto"/>
              </w:rPr>
            </w:pPr>
          </w:p>
        </w:tc>
        <w:tc>
          <w:tcPr>
            <w:tcW w:w="5200" w:type="dxa"/>
            <w:vAlign w:val="bottom"/>
            <w:gridSpan w:val="8"/>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80" w:type="dxa"/>
            <w:vAlign w:val="bottom"/>
          </w:tcPr>
          <w:p>
            <w:pPr>
              <w:spacing w:after="0"/>
              <w:rPr>
                <w:rFonts w:ascii="Arial" w:cs="Arial" w:eastAsia="Arial" w:hAnsi="Arial"/>
                <w:sz w:val="18"/>
                <w:szCs w:val="18"/>
                <w:b w:val="1"/>
                <w:bCs w:val="1"/>
                <w:color w:val="0000EE"/>
              </w:rPr>
            </w:pPr>
            <w:hyperlink w:anchor="page52">
              <w:r>
                <w:rPr>
                  <w:rFonts w:ascii="Arial" w:cs="Arial" w:eastAsia="Arial" w:hAnsi="Arial"/>
                  <w:sz w:val="18"/>
                  <w:szCs w:val="18"/>
                  <w:b w:val="1"/>
                  <w:bCs w:val="1"/>
                  <w:color w:val="0000EE"/>
                </w:rPr>
                <w:t>2.</w:t>
              </w:r>
            </w:hyperlink>
          </w:p>
        </w:tc>
        <w:tc>
          <w:tcPr>
            <w:tcW w:w="10400" w:type="dxa"/>
            <w:vAlign w:val="bottom"/>
            <w:gridSpan w:val="22"/>
          </w:tcPr>
          <w:p>
            <w:pPr>
              <w:ind w:left="20"/>
              <w:spacing w:after="0"/>
              <w:rPr>
                <w:rFonts w:ascii="Arial" w:cs="Arial" w:eastAsia="Arial" w:hAnsi="Arial"/>
                <w:sz w:val="18"/>
                <w:szCs w:val="18"/>
                <w:b w:val="1"/>
                <w:bCs w:val="1"/>
                <w:color w:val="0000EE"/>
              </w:rPr>
            </w:pPr>
            <w:hyperlink w:anchor="page52">
              <w:r>
                <w:rPr>
                  <w:rFonts w:ascii="Arial" w:cs="Arial" w:eastAsia="Arial" w:hAnsi="Arial"/>
                  <w:sz w:val="18"/>
                  <w:szCs w:val="18"/>
                  <w:b w:val="1"/>
                  <w:bCs w:val="1"/>
                  <w:color w:val="0000EE"/>
                </w:rPr>
                <w:t>Unregistered Sales of Equity Securities and Use of Proceeds</w:t>
              </w:r>
            </w:hyperlink>
          </w:p>
        </w:tc>
        <w:tc>
          <w:tcPr>
            <w:tcW w:w="800" w:type="dxa"/>
            <w:vAlign w:val="bottom"/>
            <w:gridSpan w:val="4"/>
          </w:tcPr>
          <w:p>
            <w:pPr>
              <w:jc w:val="right"/>
              <w:ind w:right="20"/>
              <w:spacing w:after="0"/>
              <w:rPr>
                <w:rFonts w:ascii="Arial" w:cs="Arial" w:eastAsia="Arial" w:hAnsi="Arial"/>
                <w:sz w:val="18"/>
                <w:szCs w:val="18"/>
                <w:color w:val="0000EE"/>
              </w:rPr>
            </w:pPr>
            <w:hyperlink w:anchor="page52">
              <w:r>
                <w:rPr>
                  <w:rFonts w:ascii="Arial" w:cs="Arial" w:eastAsia="Arial" w:hAnsi="Arial"/>
                  <w:sz w:val="18"/>
                  <w:szCs w:val="18"/>
                  <w:color w:val="0000EE"/>
                </w:rPr>
                <w:t>48</w:t>
              </w:r>
            </w:hyperlink>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2440" w:type="dxa"/>
            <w:vAlign w:val="bottom"/>
            <w:gridSpan w:val="4"/>
            <w:shd w:val="clear" w:color="auto" w:fill="0000EE"/>
          </w:tcPr>
          <w:p>
            <w:pPr>
              <w:spacing w:after="0" w:line="20" w:lineRule="exact"/>
              <w:rPr>
                <w:sz w:val="1"/>
                <w:szCs w:val="1"/>
                <w:color w:val="auto"/>
              </w:rPr>
            </w:pPr>
          </w:p>
        </w:tc>
        <w:tc>
          <w:tcPr>
            <w:tcW w:w="5200" w:type="dxa"/>
            <w:vAlign w:val="bottom"/>
            <w:gridSpan w:val="8"/>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80" w:type="dxa"/>
            <w:vAlign w:val="bottom"/>
          </w:tcPr>
          <w:p>
            <w:pPr>
              <w:spacing w:after="0"/>
              <w:rPr>
                <w:rFonts w:ascii="Arial" w:cs="Arial" w:eastAsia="Arial" w:hAnsi="Arial"/>
                <w:sz w:val="18"/>
                <w:szCs w:val="18"/>
                <w:b w:val="1"/>
                <w:bCs w:val="1"/>
                <w:color w:val="0000EE"/>
              </w:rPr>
            </w:pPr>
            <w:hyperlink w:anchor="page52">
              <w:r>
                <w:rPr>
                  <w:rFonts w:ascii="Arial" w:cs="Arial" w:eastAsia="Arial" w:hAnsi="Arial"/>
                  <w:sz w:val="18"/>
                  <w:szCs w:val="18"/>
                  <w:b w:val="1"/>
                  <w:bCs w:val="1"/>
                  <w:color w:val="0000EE"/>
                </w:rPr>
                <w:t>3.</w:t>
              </w:r>
            </w:hyperlink>
          </w:p>
        </w:tc>
        <w:tc>
          <w:tcPr>
            <w:tcW w:w="2760" w:type="dxa"/>
            <w:vAlign w:val="bottom"/>
            <w:gridSpan w:val="10"/>
          </w:tcPr>
          <w:p>
            <w:pPr>
              <w:ind w:left="20"/>
              <w:spacing w:after="0"/>
              <w:rPr>
                <w:rFonts w:ascii="Arial" w:cs="Arial" w:eastAsia="Arial" w:hAnsi="Arial"/>
                <w:sz w:val="18"/>
                <w:szCs w:val="18"/>
                <w:b w:val="1"/>
                <w:bCs w:val="1"/>
                <w:color w:val="0000EE"/>
                <w:w w:val="99"/>
              </w:rPr>
            </w:pPr>
            <w:hyperlink w:anchor="page52">
              <w:r>
                <w:rPr>
                  <w:rFonts w:ascii="Arial" w:cs="Arial" w:eastAsia="Arial" w:hAnsi="Arial"/>
                  <w:sz w:val="18"/>
                  <w:szCs w:val="18"/>
                  <w:b w:val="1"/>
                  <w:bCs w:val="1"/>
                  <w:color w:val="0000EE"/>
                  <w:w w:val="99"/>
                </w:rPr>
                <w:t>Defaults Upon Senior Securities</w:t>
              </w:r>
            </w:hyperlink>
          </w:p>
        </w:tc>
        <w:tc>
          <w:tcPr>
            <w:tcW w:w="2440" w:type="dxa"/>
            <w:vAlign w:val="bottom"/>
            <w:gridSpan w:val="4"/>
          </w:tcPr>
          <w:p>
            <w:pPr>
              <w:spacing w:after="0"/>
              <w:rPr>
                <w:sz w:val="24"/>
                <w:szCs w:val="24"/>
                <w:color w:val="auto"/>
              </w:rPr>
            </w:pPr>
          </w:p>
        </w:tc>
        <w:tc>
          <w:tcPr>
            <w:tcW w:w="5200" w:type="dxa"/>
            <w:vAlign w:val="bottom"/>
            <w:gridSpan w:val="8"/>
          </w:tcPr>
          <w:p>
            <w:pPr>
              <w:spacing w:after="0"/>
              <w:rPr>
                <w:sz w:val="24"/>
                <w:szCs w:val="24"/>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52">
              <w:r>
                <w:rPr>
                  <w:rFonts w:ascii="Arial" w:cs="Arial" w:eastAsia="Arial" w:hAnsi="Arial"/>
                  <w:sz w:val="18"/>
                  <w:szCs w:val="18"/>
                  <w:color w:val="0000EE"/>
                </w:rPr>
                <w:t>48</w:t>
              </w:r>
            </w:hyperlink>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7640" w:type="dxa"/>
            <w:vAlign w:val="bottom"/>
            <w:gridSpan w:val="1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80" w:type="dxa"/>
            <w:vAlign w:val="bottom"/>
          </w:tcPr>
          <w:p>
            <w:pPr>
              <w:spacing w:after="0"/>
              <w:rPr>
                <w:rFonts w:ascii="Arial" w:cs="Arial" w:eastAsia="Arial" w:hAnsi="Arial"/>
                <w:sz w:val="18"/>
                <w:szCs w:val="18"/>
                <w:b w:val="1"/>
                <w:bCs w:val="1"/>
                <w:color w:val="0000EE"/>
              </w:rPr>
            </w:pPr>
            <w:hyperlink w:anchor="page52">
              <w:r>
                <w:rPr>
                  <w:rFonts w:ascii="Arial" w:cs="Arial" w:eastAsia="Arial" w:hAnsi="Arial"/>
                  <w:sz w:val="18"/>
                  <w:szCs w:val="18"/>
                  <w:b w:val="1"/>
                  <w:bCs w:val="1"/>
                  <w:color w:val="0000EE"/>
                </w:rPr>
                <w:t>4.</w:t>
              </w:r>
            </w:hyperlink>
          </w:p>
        </w:tc>
        <w:tc>
          <w:tcPr>
            <w:tcW w:w="2760" w:type="dxa"/>
            <w:vAlign w:val="bottom"/>
            <w:gridSpan w:val="10"/>
          </w:tcPr>
          <w:p>
            <w:pPr>
              <w:ind w:left="20"/>
              <w:spacing w:after="0"/>
              <w:rPr>
                <w:rFonts w:ascii="Arial" w:cs="Arial" w:eastAsia="Arial" w:hAnsi="Arial"/>
                <w:sz w:val="18"/>
                <w:szCs w:val="18"/>
                <w:b w:val="1"/>
                <w:bCs w:val="1"/>
                <w:color w:val="0000EE"/>
              </w:rPr>
            </w:pPr>
            <w:hyperlink w:anchor="page52">
              <w:r>
                <w:rPr>
                  <w:rFonts w:ascii="Arial" w:cs="Arial" w:eastAsia="Arial" w:hAnsi="Arial"/>
                  <w:sz w:val="18"/>
                  <w:szCs w:val="18"/>
                  <w:b w:val="1"/>
                  <w:bCs w:val="1"/>
                  <w:color w:val="0000EE"/>
                </w:rPr>
                <w:t>Mine Safety Disclosures</w:t>
              </w:r>
            </w:hyperlink>
          </w:p>
        </w:tc>
        <w:tc>
          <w:tcPr>
            <w:tcW w:w="7640" w:type="dxa"/>
            <w:vAlign w:val="bottom"/>
            <w:gridSpan w:val="12"/>
          </w:tcPr>
          <w:p>
            <w:pPr>
              <w:spacing w:after="0"/>
              <w:rPr>
                <w:sz w:val="24"/>
                <w:szCs w:val="24"/>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52">
              <w:r>
                <w:rPr>
                  <w:rFonts w:ascii="Arial" w:cs="Arial" w:eastAsia="Arial" w:hAnsi="Arial"/>
                  <w:sz w:val="18"/>
                  <w:szCs w:val="18"/>
                  <w:color w:val="0000EE"/>
                </w:rPr>
                <w:t>48</w:t>
              </w:r>
            </w:hyperlink>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8320" w:type="dxa"/>
            <w:vAlign w:val="bottom"/>
            <w:gridSpan w:val="15"/>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80" w:type="dxa"/>
            <w:vAlign w:val="bottom"/>
          </w:tcPr>
          <w:p>
            <w:pPr>
              <w:spacing w:after="0"/>
              <w:rPr>
                <w:rFonts w:ascii="Arial" w:cs="Arial" w:eastAsia="Arial" w:hAnsi="Arial"/>
                <w:sz w:val="18"/>
                <w:szCs w:val="18"/>
                <w:b w:val="1"/>
                <w:bCs w:val="1"/>
                <w:color w:val="0000EE"/>
              </w:rPr>
            </w:pPr>
            <w:hyperlink w:anchor="page52">
              <w:r>
                <w:rPr>
                  <w:rFonts w:ascii="Arial" w:cs="Arial" w:eastAsia="Arial" w:hAnsi="Arial"/>
                  <w:sz w:val="18"/>
                  <w:szCs w:val="18"/>
                  <w:b w:val="1"/>
                  <w:bCs w:val="1"/>
                  <w:color w:val="0000EE"/>
                </w:rPr>
                <w:t>5.</w:t>
              </w:r>
            </w:hyperlink>
          </w:p>
        </w:tc>
        <w:tc>
          <w:tcPr>
            <w:tcW w:w="1540" w:type="dxa"/>
            <w:vAlign w:val="bottom"/>
            <w:gridSpan w:val="5"/>
          </w:tcPr>
          <w:p>
            <w:pPr>
              <w:ind w:left="20"/>
              <w:spacing w:after="0"/>
              <w:rPr>
                <w:rFonts w:ascii="Arial" w:cs="Arial" w:eastAsia="Arial" w:hAnsi="Arial"/>
                <w:sz w:val="18"/>
                <w:szCs w:val="18"/>
                <w:b w:val="1"/>
                <w:bCs w:val="1"/>
                <w:color w:val="0000EE"/>
                <w:w w:val="98"/>
              </w:rPr>
            </w:pPr>
            <w:hyperlink w:anchor="page52">
              <w:r>
                <w:rPr>
                  <w:rFonts w:ascii="Arial" w:cs="Arial" w:eastAsia="Arial" w:hAnsi="Arial"/>
                  <w:sz w:val="18"/>
                  <w:szCs w:val="18"/>
                  <w:b w:val="1"/>
                  <w:bCs w:val="1"/>
                  <w:color w:val="0000EE"/>
                  <w:w w:val="98"/>
                </w:rPr>
                <w:t>Other Information</w:t>
              </w:r>
            </w:hyperlink>
          </w:p>
        </w:tc>
        <w:tc>
          <w:tcPr>
            <w:tcW w:w="540" w:type="dxa"/>
            <w:vAlign w:val="bottom"/>
            <w:gridSpan w:val="2"/>
          </w:tcPr>
          <w:p>
            <w:pPr>
              <w:spacing w:after="0"/>
              <w:rPr>
                <w:sz w:val="24"/>
                <w:szCs w:val="24"/>
                <w:color w:val="auto"/>
              </w:rPr>
            </w:pPr>
          </w:p>
        </w:tc>
        <w:tc>
          <w:tcPr>
            <w:tcW w:w="8320" w:type="dxa"/>
            <w:vAlign w:val="bottom"/>
            <w:gridSpan w:val="15"/>
          </w:tcPr>
          <w:p>
            <w:pPr>
              <w:spacing w:after="0"/>
              <w:rPr>
                <w:sz w:val="24"/>
                <w:szCs w:val="24"/>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52">
              <w:r>
                <w:rPr>
                  <w:rFonts w:ascii="Arial" w:cs="Arial" w:eastAsia="Arial" w:hAnsi="Arial"/>
                  <w:sz w:val="18"/>
                  <w:szCs w:val="18"/>
                  <w:color w:val="0000EE"/>
                </w:rPr>
                <w:t>48</w:t>
              </w:r>
            </w:hyperlink>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8860" w:type="dxa"/>
            <w:vAlign w:val="bottom"/>
            <w:gridSpan w:val="17"/>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80" w:type="dxa"/>
            <w:vAlign w:val="bottom"/>
          </w:tcPr>
          <w:p>
            <w:pPr>
              <w:spacing w:after="0"/>
              <w:rPr>
                <w:rFonts w:ascii="Arial" w:cs="Arial" w:eastAsia="Arial" w:hAnsi="Arial"/>
                <w:sz w:val="18"/>
                <w:szCs w:val="18"/>
                <w:b w:val="1"/>
                <w:bCs w:val="1"/>
                <w:color w:val="0000EE"/>
              </w:rPr>
            </w:pPr>
            <w:hyperlink w:anchor="page53">
              <w:r>
                <w:rPr>
                  <w:rFonts w:ascii="Arial" w:cs="Arial" w:eastAsia="Arial" w:hAnsi="Arial"/>
                  <w:sz w:val="18"/>
                  <w:szCs w:val="18"/>
                  <w:b w:val="1"/>
                  <w:bCs w:val="1"/>
                  <w:color w:val="0000EE"/>
                </w:rPr>
                <w:t>6.</w:t>
              </w:r>
            </w:hyperlink>
          </w:p>
        </w:tc>
        <w:tc>
          <w:tcPr>
            <w:tcW w:w="720" w:type="dxa"/>
            <w:vAlign w:val="bottom"/>
            <w:gridSpan w:val="2"/>
          </w:tcPr>
          <w:p>
            <w:pPr>
              <w:ind w:left="20"/>
              <w:spacing w:after="0"/>
              <w:rPr>
                <w:rFonts w:ascii="Arial" w:cs="Arial" w:eastAsia="Arial" w:hAnsi="Arial"/>
                <w:sz w:val="18"/>
                <w:szCs w:val="18"/>
                <w:b w:val="1"/>
                <w:bCs w:val="1"/>
                <w:color w:val="0000EE"/>
                <w:w w:val="97"/>
              </w:rPr>
            </w:pPr>
            <w:hyperlink w:anchor="page53">
              <w:r>
                <w:rPr>
                  <w:rFonts w:ascii="Arial" w:cs="Arial" w:eastAsia="Arial" w:hAnsi="Arial"/>
                  <w:sz w:val="18"/>
                  <w:szCs w:val="18"/>
                  <w:b w:val="1"/>
                  <w:bCs w:val="1"/>
                  <w:color w:val="0000EE"/>
                  <w:w w:val="97"/>
                </w:rPr>
                <w:t>Exhibits</w:t>
              </w:r>
            </w:hyperlink>
          </w:p>
        </w:tc>
        <w:tc>
          <w:tcPr>
            <w:tcW w:w="820" w:type="dxa"/>
            <w:vAlign w:val="bottom"/>
            <w:gridSpan w:val="3"/>
          </w:tcPr>
          <w:p>
            <w:pPr>
              <w:spacing w:after="0"/>
              <w:rPr>
                <w:sz w:val="24"/>
                <w:szCs w:val="24"/>
                <w:color w:val="auto"/>
              </w:rPr>
            </w:pPr>
          </w:p>
        </w:tc>
        <w:tc>
          <w:tcPr>
            <w:tcW w:w="8860" w:type="dxa"/>
            <w:vAlign w:val="bottom"/>
            <w:gridSpan w:val="17"/>
          </w:tcPr>
          <w:p>
            <w:pPr>
              <w:spacing w:after="0"/>
              <w:rPr>
                <w:sz w:val="24"/>
                <w:szCs w:val="24"/>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53">
              <w:r>
                <w:rPr>
                  <w:rFonts w:ascii="Arial" w:cs="Arial" w:eastAsia="Arial" w:hAnsi="Arial"/>
                  <w:sz w:val="18"/>
                  <w:szCs w:val="18"/>
                  <w:color w:val="0000EE"/>
                </w:rPr>
                <w:t>49</w:t>
              </w:r>
            </w:hyperlink>
          </w:p>
        </w:tc>
        <w:tc>
          <w:tcPr>
            <w:tcW w:w="0" w:type="dxa"/>
            <w:vAlign w:val="bottom"/>
          </w:tcPr>
          <w:p>
            <w:pPr>
              <w:spacing w:after="0"/>
              <w:rPr>
                <w:sz w:val="1"/>
                <w:szCs w:val="1"/>
                <w:color w:val="auto"/>
              </w:rPr>
            </w:pPr>
          </w:p>
        </w:tc>
      </w:tr>
      <w:tr>
        <w:trPr>
          <w:trHeight w:val="20"/>
        </w:trPr>
        <w:tc>
          <w:tcPr>
            <w:tcW w:w="900" w:type="dxa"/>
            <w:vAlign w:val="bottom"/>
            <w:gridSpan w:val="3"/>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20" w:type="dxa"/>
            <w:vAlign w:val="bottom"/>
            <w:gridSpan w:val="19"/>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0580" w:type="dxa"/>
            <w:vAlign w:val="bottom"/>
            <w:gridSpan w:val="23"/>
          </w:tcPr>
          <w:p>
            <w:pPr>
              <w:spacing w:after="0"/>
              <w:rPr>
                <w:rFonts w:ascii="Arial" w:cs="Arial" w:eastAsia="Arial" w:hAnsi="Arial"/>
                <w:sz w:val="18"/>
                <w:szCs w:val="18"/>
                <w:b w:val="1"/>
                <w:bCs w:val="1"/>
                <w:color w:val="0000EE"/>
              </w:rPr>
            </w:pPr>
            <w:hyperlink w:anchor="page54">
              <w:r>
                <w:rPr>
                  <w:rFonts w:ascii="Arial" w:cs="Arial" w:eastAsia="Arial" w:hAnsi="Arial"/>
                  <w:sz w:val="18"/>
                  <w:szCs w:val="18"/>
                  <w:b w:val="1"/>
                  <w:bCs w:val="1"/>
                  <w:color w:val="0000EE"/>
                </w:rPr>
                <w:t>SIGNATURES</w:t>
              </w:r>
            </w:hyperlink>
          </w:p>
        </w:tc>
        <w:tc>
          <w:tcPr>
            <w:tcW w:w="800" w:type="dxa"/>
            <w:vAlign w:val="bottom"/>
            <w:gridSpan w:val="4"/>
          </w:tcPr>
          <w:p>
            <w:pPr>
              <w:jc w:val="right"/>
              <w:ind w:right="20"/>
              <w:spacing w:after="0"/>
              <w:rPr>
                <w:rFonts w:ascii="Arial" w:cs="Arial" w:eastAsia="Arial" w:hAnsi="Arial"/>
                <w:sz w:val="18"/>
                <w:szCs w:val="18"/>
                <w:color w:val="0000EE"/>
              </w:rPr>
            </w:pPr>
            <w:hyperlink w:anchor="page54">
              <w:r>
                <w:rPr>
                  <w:rFonts w:ascii="Arial" w:cs="Arial" w:eastAsia="Arial" w:hAnsi="Arial"/>
                  <w:sz w:val="18"/>
                  <w:szCs w:val="18"/>
                  <w:color w:val="0000EE"/>
                </w:rPr>
                <w:t>50</w:t>
              </w:r>
            </w:hyperlink>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80"/>
          </w:cols>
          <w:pgMar w:left="280" w:top="684" w:right="2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WHERE YOU CAN FIND MORE INFORMATION</w:t>
      </w:r>
    </w:p>
    <w:p>
      <w:pPr>
        <w:spacing w:after="0" w:line="355" w:lineRule="exact"/>
        <w:rPr>
          <w:sz w:val="20"/>
          <w:szCs w:val="20"/>
          <w:color w:val="auto"/>
        </w:rPr>
      </w:pPr>
    </w:p>
    <w:p>
      <w:pPr>
        <w:ind w:right="140" w:firstLine="486"/>
        <w:spacing w:after="0" w:line="253" w:lineRule="auto"/>
        <w:rPr>
          <w:sz w:val="20"/>
          <w:szCs w:val="20"/>
          <w:color w:val="auto"/>
        </w:rPr>
      </w:pPr>
      <w:r>
        <w:rPr>
          <w:rFonts w:ascii="Arial" w:cs="Arial" w:eastAsia="Arial" w:hAnsi="Arial"/>
          <w:sz w:val="18"/>
          <w:szCs w:val="18"/>
          <w:color w:val="auto"/>
        </w:rPr>
        <w:t xml:space="preserve">We file annual, quarterly, and current reports, proxy statements, and other information required by the Securities Exchange Act of 1934, as amended (“Exchange Act”), with the Securities and Exchange Commission (“SEC”). You may read and copy any document we file with the SEC at the SEC’s public reference room located at 100 F Street, N.E., Washington, D.C. 20549, U.S.A. Please call the SEC at 1-800-SEC-0330 for further information on the public reference room. Our SEC filings are also available to the public from the SEC’s internet site at </w:t>
      </w:r>
      <w:r>
        <w:rPr>
          <w:rFonts w:ascii="Arial" w:cs="Arial" w:eastAsia="Arial" w:hAnsi="Arial"/>
          <w:sz w:val="18"/>
          <w:szCs w:val="18"/>
          <w:i w:val="1"/>
          <w:iCs w:val="1"/>
          <w:u w:val="single" w:color="auto"/>
          <w:color w:val="auto"/>
        </w:rPr>
        <w:t>http://www.sec.gov</w:t>
      </w:r>
      <w:r>
        <w:rPr>
          <w:rFonts w:ascii="Arial" w:cs="Arial" w:eastAsia="Arial" w:hAnsi="Arial"/>
          <w:sz w:val="18"/>
          <w:szCs w:val="18"/>
          <w:i w:val="1"/>
          <w:iCs w:val="1"/>
          <w:color w:val="auto"/>
        </w:rPr>
        <w:t>.</w:t>
      </w:r>
    </w:p>
    <w:p>
      <w:pPr>
        <w:spacing w:after="0" w:line="206" w:lineRule="exact"/>
        <w:rPr>
          <w:sz w:val="20"/>
          <w:szCs w:val="20"/>
          <w:color w:val="auto"/>
        </w:rPr>
      </w:pPr>
    </w:p>
    <w:p>
      <w:pPr>
        <w:ind w:right="60" w:firstLine="486"/>
        <w:spacing w:after="0" w:line="252" w:lineRule="auto"/>
        <w:rPr>
          <w:sz w:val="20"/>
          <w:szCs w:val="20"/>
          <w:color w:val="auto"/>
        </w:rPr>
      </w:pPr>
      <w:r>
        <w:rPr>
          <w:rFonts w:ascii="Arial" w:cs="Arial" w:eastAsia="Arial" w:hAnsi="Arial"/>
          <w:sz w:val="18"/>
          <w:szCs w:val="18"/>
          <w:color w:val="auto"/>
        </w:rPr>
        <w:t xml:space="preserve">On our internet site, </w:t>
      </w:r>
      <w:r>
        <w:rPr>
          <w:rFonts w:ascii="Arial" w:cs="Arial" w:eastAsia="Arial" w:hAnsi="Arial"/>
          <w:sz w:val="18"/>
          <w:szCs w:val="18"/>
          <w:u w:val="single" w:color="auto"/>
          <w:color w:val="auto"/>
        </w:rPr>
        <w:t>http://www.lpl.com</w:t>
      </w:r>
      <w:r>
        <w:rPr>
          <w:rFonts w:ascii="Arial" w:cs="Arial" w:eastAsia="Arial" w:hAnsi="Arial"/>
          <w:sz w:val="18"/>
          <w:szCs w:val="18"/>
          <w:color w:val="auto"/>
        </w:rPr>
        <w:t>, we post the following filings as soon as reasonably practicable after they are electronically filed with or furnished to the SEC: our annual reports on Form 10-K, our proxy statements, our quarterly reports on Form 10-Q, our current reports on Form 8-K, and any amendments to those reports filed or furnished pursuant to Section 13(a) or 15(d) of the Exchange Act. Hard copies of all such filings are available free of charge by request via email (</w:t>
      </w:r>
      <w:r>
        <w:rPr>
          <w:rFonts w:ascii="Arial" w:cs="Arial" w:eastAsia="Arial" w:hAnsi="Arial"/>
          <w:sz w:val="18"/>
          <w:szCs w:val="18"/>
          <w:u w:val="single" w:color="auto"/>
          <w:color w:val="auto"/>
        </w:rPr>
        <w:t>investor.relations@lpl.com</w:t>
      </w:r>
      <w:r>
        <w:rPr>
          <w:rFonts w:ascii="Arial" w:cs="Arial" w:eastAsia="Arial" w:hAnsi="Arial"/>
          <w:sz w:val="18"/>
          <w:szCs w:val="18"/>
          <w:color w:val="auto"/>
        </w:rPr>
        <w:t>), telephone (617) 897-4574, or mail (LPL Financial Investor Relations at 75 State Street, 22nd Floor, Boston, MA 02109). The information contained or incorporated on our website is not a part of this Quarterly Report on Form 10-Q.</w:t>
      </w:r>
    </w:p>
    <w:p>
      <w:pPr>
        <w:spacing w:after="0" w:line="191" w:lineRule="exact"/>
        <w:rPr>
          <w:sz w:val="20"/>
          <w:szCs w:val="20"/>
          <w:color w:val="auto"/>
        </w:rPr>
      </w:pPr>
    </w:p>
    <w:p>
      <w:pPr>
        <w:ind w:right="240" w:firstLine="486"/>
        <w:spacing w:after="0" w:line="282" w:lineRule="auto"/>
        <w:rPr>
          <w:sz w:val="20"/>
          <w:szCs w:val="20"/>
          <w:color w:val="auto"/>
        </w:rPr>
      </w:pPr>
      <w:r>
        <w:rPr>
          <w:rFonts w:ascii="Arial" w:cs="Arial" w:eastAsia="Arial" w:hAnsi="Arial"/>
          <w:sz w:val="18"/>
          <w:szCs w:val="18"/>
          <w:i w:val="1"/>
          <w:iCs w:val="1"/>
          <w:color w:val="auto"/>
        </w:rPr>
        <w:t>When we use the terms “LPLFH”, “we”, “us”, “our”, and the “Company”, we mean LPL Financial Holdings Inc., a Delaware corporation, and its consolidated subsidiaries, taken as a whole, unless the context otherwise indicates.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39"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Statements in Item 2 - “Management's Discussion and Analysis of Financial Condition and Results of Operations” and other sections of this Quarterly Report on Form 10-Q regarding the Company's future financial and operating results, outlook, growth, plans, business strategies, liquidity, future indebtedness, future share repurchases, and future dividends, including statements regarding future resolution of regulatory matters, legal proceedings, and related costs, future revenues and expenses, and projected savings and anticipated improvements to the Company's operating model, services, and technology as a result of its initiatives and programs, as well as any other statements that are not related to present facts or current conditions or that are not purely historical, constitute forward-looking statements. These forward-looking statements are based on the Company's historical performance and its plans, estimates, and expectations as of November 3, 2016. The words “anticipates”, “believes”, “expects”, “may”, “plans”, “predicts,” “will”, and similar expressions are intended to identify forward-looking statements, although not all forward-looking statements contain these identifying words. Forward-looking statements are not guarantees that the future results, plans, intentions, or expectations expressed or implied by the Company will be achieved. Matters subject to forward-looking statements involve known and unknown risks and uncertainties, including economic, legislative, regulatory, competitive, and other factors, which may cause actual financial or operating results, levels of activity, or the timing of events, to be materially different than those expressed or implied by forward-looking statements. Important factors that could cause or contribute to such differences include: changes in general economic and financial market conditions, including retail investor sentiment; fluctuations in the value of brokerage and advisory assets; fluctuations in levels of net new advisory assets and the related impact on fee revenue; fluctuations in the number of retail investors served by the Company; effects of competition in the financial services industry and the success of the Company in attracting and retaining financial advisors and institutions; changes in the number of the Company's financial advisors and institutions, and their ability to market effectively financial products and services; changes in interest rates and fees payable by banks participating in the Company's cash sweep program, including the Company's success in negotiating agreements with current or additional counterparties; the Company's strategy in managing cash sweep program fees; changes in the growth and profitability of the Company’s fee-based business; the effect of current, pending, and future legislation, regulation, and regulatory actions, including the U.S. Department of Labor's final rule ("DOL Rule") and disciplinary actions imposed by federal and state securities regulators and self-regulatory organizations; the costs of settling and remediating issues related to pending or future regulatory matters or legal proceedings; changes made to the Company’s offerings and services in response to current, pending, and future legislation, regulation, and regulatory actions, including the DOL Rule, and the effect that such changes may have on the Company’s gross profit streams and costs; execution of the Company’s capital management plans, including its compliance with the terms of its existing credit agreement; the price, the availability of shares, and the trading volumes of the Company’s common stock, which will affect the timing and size of future share repurchases by the Company; execution of the Company's plans and its success in realizing the expense savings and service improvements and efficiencies expected to result from its initiatives and programs, particularly its expense plans and technological initiatives; the Company's success in negotiating and developing commercial arrangements with third-party services providers; the performance of third-party service providers to which business processes are transitioned from the Company; the Company's ability to control operating risks, information technology systems risks, cybersecurity risks, and sourcing</w:t>
      </w:r>
    </w:p>
    <w:p>
      <w:pPr>
        <w:spacing w:after="0" w:line="2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400"/>
          </w:cols>
          <w:pgMar w:left="240" w:top="360" w:right="259" w:bottom="1440" w:gutter="0" w:footer="0" w:header="0"/>
        </w:sectPr>
      </w:pPr>
    </w:p>
    <w:bookmarkStart w:id="3" w:name="page4"/>
    <w:bookmarkEnd w:id="3"/>
    <w:p>
      <w:pPr>
        <w:spacing w:after="0" w:line="253" w:lineRule="auto"/>
        <w:rPr>
          <w:sz w:val="20"/>
          <w:szCs w:val="20"/>
          <w:color w:val="auto"/>
        </w:rPr>
      </w:pPr>
      <w:r>
        <w:rPr>
          <w:rFonts w:ascii="Arial" w:cs="Arial" w:eastAsia="Arial" w:hAnsi="Arial"/>
          <w:sz w:val="18"/>
          <w:szCs w:val="18"/>
          <w:color w:val="auto"/>
        </w:rPr>
        <w:t>risks; and the other factors set forth in Part I, “Item 1A. Risk Factors” in the Company's 2015 Annual Report on Form 10-K, as may be amended or updated in the Company's Quarterly Reports on Form 10-Q. Except as required by law, the Company specifically disclaims any obligation to update any forward-looking statements as a result of developments occurring after the date of this quarterly report, even if its estimates change, and you should not rely on statements contained herein as representing the Company's views as of any date subsequent to the date of this quarterly report.</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420"/>
          </w:cols>
          <w:pgMar w:left="240" w:top="382"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247" w:lineRule="exact"/>
        <w:rPr>
          <w:sz w:val="20"/>
          <w:szCs w:val="20"/>
          <w:color w:val="auto"/>
        </w:rPr>
      </w:pPr>
    </w:p>
    <w:p>
      <w:pPr>
        <w:ind w:right="100" w:firstLine="486"/>
        <w:spacing w:after="0" w:line="252" w:lineRule="auto"/>
        <w:rPr>
          <w:sz w:val="20"/>
          <w:szCs w:val="20"/>
          <w:color w:val="auto"/>
        </w:rPr>
      </w:pPr>
      <w:r>
        <w:rPr>
          <w:rFonts w:ascii="Arial" w:cs="Arial" w:eastAsia="Arial" w:hAnsi="Arial"/>
          <w:sz w:val="18"/>
          <w:szCs w:val="18"/>
          <w:color w:val="auto"/>
        </w:rPr>
        <w:t>We are a leader in the retail financial advice market, the nation's largest independent broker-dealer (based on total revenues, Financial Planning magazine June 1996-2016), a top custodian for registered investment advisors (“RIAs”), and a leading independent consultant to retirement plans. We provide an integrated platform of brokerage and investment advisory services to more than 14,000 independent financial advisors, including financial advisors at more than 700 financial institutions (our “advisors”) across the country, enabling them to provide their retail investors (“clients”) with objective financial advice through a lower conflict model. We also support approximately 4,200 financial advisors who are affiliated and licensed with insurance companies that use our customized clearing, advisory platforms, and technology solutions.</w:t>
      </w:r>
    </w:p>
    <w:p>
      <w:pPr>
        <w:spacing w:after="0" w:line="209" w:lineRule="exact"/>
        <w:rPr>
          <w:sz w:val="20"/>
          <w:szCs w:val="20"/>
          <w:color w:val="auto"/>
        </w:rPr>
      </w:pPr>
    </w:p>
    <w:p>
      <w:pPr>
        <w:ind w:right="300" w:firstLine="486"/>
        <w:spacing w:after="0" w:line="262" w:lineRule="auto"/>
        <w:rPr>
          <w:sz w:val="20"/>
          <w:szCs w:val="20"/>
          <w:color w:val="auto"/>
        </w:rPr>
      </w:pPr>
      <w:r>
        <w:rPr>
          <w:rFonts w:ascii="Arial" w:cs="Arial" w:eastAsia="Arial" w:hAnsi="Arial"/>
          <w:sz w:val="18"/>
          <w:szCs w:val="18"/>
          <w:color w:val="auto"/>
        </w:rPr>
        <w:t>Through our advisors, we are one of the largest distributors of financial products and services in the United States, and we believe we are one of the top five firms in terms of overall advisor base in the United States.</w:t>
      </w:r>
    </w:p>
    <w:p>
      <w:pPr>
        <w:spacing w:after="0" w:line="196"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auto"/>
        </w:rPr>
        <w:t>We believe that objective financial guidance is a fundamental need for everyone. We enable our advisors to focus on what they do best— create the personal, long-term relationships that are the foundation for turning life’s aspirations into financial realities. We do that through a singular focus on providing our advisors with the front-, middle-, and back-office support they need to serve the large and growing market for independent investment advice. We believe that LPL Financial is the only company that offers advisors the unique combination of an integrated technology platform, comprehensive self-clearing services, and open architecture access to a wide range of non-proprietary products, all delivered in an environment unencumbered by conflicts from product manufacturing, underwriting, and market-making.</w:t>
      </w:r>
    </w:p>
    <w:p>
      <w:pPr>
        <w:spacing w:after="0" w:line="101" w:lineRule="exact"/>
        <w:rPr>
          <w:sz w:val="20"/>
          <w:szCs w:val="20"/>
          <w:color w:val="auto"/>
        </w:rPr>
      </w:pPr>
    </w:p>
    <w:p>
      <w:pPr>
        <w:ind w:right="260" w:firstLine="486"/>
        <w:spacing w:after="0" w:line="256" w:lineRule="auto"/>
        <w:rPr>
          <w:sz w:val="20"/>
          <w:szCs w:val="20"/>
          <w:color w:val="auto"/>
        </w:rPr>
      </w:pPr>
      <w:r>
        <w:rPr>
          <w:rFonts w:ascii="Arial" w:cs="Arial" w:eastAsia="Arial" w:hAnsi="Arial"/>
          <w:sz w:val="18"/>
          <w:szCs w:val="18"/>
          <w:color w:val="auto"/>
        </w:rPr>
        <w:t>We believe investors achieve better outcomes when working with a financial advisor. LPL makes it easy for advisors to do what is best for their clients, protecting advisors and investors while promoting independence and choice through access to a wide range of diligently evaluated non-proprietary products.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Highlights</w:t>
      </w:r>
    </w:p>
    <w:p>
      <w:pPr>
        <w:spacing w:after="0" w:line="243" w:lineRule="exact"/>
        <w:rPr>
          <w:sz w:val="20"/>
          <w:szCs w:val="20"/>
          <w:color w:val="auto"/>
        </w:rPr>
      </w:pPr>
    </w:p>
    <w:p>
      <w:pPr>
        <w:ind w:right="60" w:firstLine="486"/>
        <w:spacing w:after="0" w:line="254" w:lineRule="auto"/>
        <w:rPr>
          <w:sz w:val="20"/>
          <w:szCs w:val="20"/>
          <w:color w:val="auto"/>
        </w:rPr>
      </w:pPr>
      <w:r>
        <w:rPr>
          <w:rFonts w:ascii="Arial" w:cs="Arial" w:eastAsia="Arial" w:hAnsi="Arial"/>
          <w:sz w:val="18"/>
          <w:szCs w:val="18"/>
          <w:color w:val="auto"/>
        </w:rPr>
        <w:t>Results for the third quarter of 2016 included net income of $52.0 million or $0.58 per share, which compares to $41.1 million, or $0.43 per share, in the third quarter of 2015. Management tax planning initiatives resulted in a $0.12 earnings per share benefit related to prior periods and account termination fees related to an institutional client that was acquired by a bank with its own broker-dealer resulted in a $0.04 earnings per share benefit, contributing to the earnings per share growth.</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 Growth Trends</w:t>
      </w:r>
    </w:p>
    <w:p>
      <w:pPr>
        <w:spacing w:after="0" w:line="243" w:lineRule="exact"/>
        <w:rPr>
          <w:sz w:val="20"/>
          <w:szCs w:val="20"/>
          <w:color w:val="auto"/>
        </w:rPr>
      </w:pPr>
    </w:p>
    <w:p>
      <w:pPr>
        <w:ind w:right="200" w:firstLine="486"/>
        <w:spacing w:after="0" w:line="256" w:lineRule="auto"/>
        <w:rPr>
          <w:sz w:val="20"/>
          <w:szCs w:val="20"/>
          <w:color w:val="auto"/>
        </w:rPr>
      </w:pPr>
      <w:r>
        <w:rPr>
          <w:rFonts w:ascii="Arial" w:cs="Arial" w:eastAsia="Arial" w:hAnsi="Arial"/>
          <w:sz w:val="18"/>
          <w:szCs w:val="18"/>
          <w:color w:val="auto"/>
        </w:rPr>
        <w:t>Net new advisory assets were $4.1 billion for the three months ended September 30, 2016, compared to $ 4.2 billion in the same period in 2015, leaving total brokerage and advisory assets served at $502.4 billion as of September 30, 2016, up from the September 30, 2015, balance of $461.8 billion.</w:t>
      </w:r>
    </w:p>
    <w:p>
      <w:pPr>
        <w:spacing w:after="0" w:line="202" w:lineRule="exact"/>
        <w:rPr>
          <w:sz w:val="20"/>
          <w:szCs w:val="20"/>
          <w:color w:val="auto"/>
        </w:rPr>
      </w:pPr>
    </w:p>
    <w:p>
      <w:pPr>
        <w:ind w:right="60" w:firstLine="486"/>
        <w:spacing w:after="0" w:line="252" w:lineRule="auto"/>
        <w:rPr>
          <w:sz w:val="20"/>
          <w:szCs w:val="20"/>
          <w:color w:val="auto"/>
        </w:rPr>
      </w:pPr>
      <w:r>
        <w:rPr>
          <w:rFonts w:ascii="Arial" w:cs="Arial" w:eastAsia="Arial" w:hAnsi="Arial"/>
          <w:sz w:val="18"/>
          <w:szCs w:val="18"/>
          <w:color w:val="auto"/>
        </w:rPr>
        <w:t>As of September 30, 2016, our advisory assets had grown to $205.5 billion from $179.7 billion as of September 30, 2015 and represented 40.9% of total brokerage and advisory assets served. Our advisory assets include assets on our platform that are served by independent RIAs which conduct their advisory business through separate entities (“Hybrid RIAs”) operating pursuant to the Investment Advisers Act of 1940 or through their respective states' investment advisory licensing rules, rather than through LPL Financial. These advisory assets had grown to $142.5 billion as of September 30, 2016, compared to $110.0 billion as of September 30, 2015, and represented 28.4% of total brokerage and advisory assets served.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 Trends</w:t>
      </w:r>
    </w:p>
    <w:p>
      <w:pPr>
        <w:spacing w:after="0" w:line="243" w:lineRule="exact"/>
        <w:rPr>
          <w:sz w:val="20"/>
          <w:szCs w:val="20"/>
          <w:color w:val="auto"/>
        </w:rPr>
      </w:pPr>
    </w:p>
    <w:p>
      <w:pPr>
        <w:ind w:right="40" w:firstLine="486"/>
        <w:spacing w:after="0" w:line="252" w:lineRule="auto"/>
        <w:rPr>
          <w:sz w:val="20"/>
          <w:szCs w:val="20"/>
          <w:color w:val="auto"/>
        </w:rPr>
      </w:pPr>
      <w:r>
        <w:rPr>
          <w:rFonts w:ascii="Arial" w:cs="Arial" w:eastAsia="Arial" w:hAnsi="Arial"/>
          <w:sz w:val="18"/>
          <w:szCs w:val="18"/>
          <w:color w:val="auto"/>
        </w:rPr>
        <w:t>Third quarter gross profit, a non-GAAP measure, was $ 346.9 million, which was up from $339.8 million in the comparable period in 2015. Management presents gross profit, which is calculated as net revenues less commission and advisory expenses and brokerage, clearing, and exchange fees. We believe that measure may be useful to investors in evaluating the Company’s core operating performance before indirect costs that are general and administrative in nature. See footnote 6 to the Financial Metrics table within the "How We Evaluate Our Business" section for additional information on gross profit. Third quarter gross profit included an increase in cash sweep revenue from the impact of the increase in the target range for the federal funds effective rate announced in</w:t>
      </w: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360" w:right="239" w:bottom="1440" w:gutter="0" w:footer="0" w:header="0"/>
        </w:sectPr>
      </w:pPr>
    </w:p>
    <w:bookmarkStart w:id="5" w:name="page6"/>
    <w:bookmarkEnd w:id="5"/>
    <w:p>
      <w:pPr>
        <w:ind w:right="20"/>
        <w:spacing w:after="0" w:line="256" w:lineRule="auto"/>
        <w:rPr>
          <w:sz w:val="20"/>
          <w:szCs w:val="20"/>
          <w:color w:val="auto"/>
        </w:rPr>
      </w:pPr>
      <w:r>
        <w:rPr>
          <w:rFonts w:ascii="Arial" w:cs="Arial" w:eastAsia="Arial" w:hAnsi="Arial"/>
          <w:sz w:val="18"/>
          <w:szCs w:val="18"/>
          <w:color w:val="auto"/>
        </w:rPr>
        <w:t>December 2015 and higher average cash balances and account termination fees which resulted from the departure of an institutional client due to an acquisition by a bank with its own broker-dealer. These increases were partially offset by decreases in commissions and advisory revenues, net of the correlated reduction in commission and advisory expenses and brokerage, clearing, and exchange fees.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 Management Activity</w:t>
      </w:r>
    </w:p>
    <w:p>
      <w:pPr>
        <w:spacing w:after="0" w:line="24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paid $22.3 million of dividends to shareholders and did not conduct any share repurchases in the three months ended September 30,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2016.</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Sources of Revenue</w:t>
      </w:r>
    </w:p>
    <w:p>
      <w:pPr>
        <w:spacing w:after="0" w:line="247" w:lineRule="exact"/>
        <w:rPr>
          <w:sz w:val="20"/>
          <w:szCs w:val="20"/>
          <w:color w:val="auto"/>
        </w:rPr>
      </w:pPr>
    </w:p>
    <w:p>
      <w:pPr>
        <w:ind w:right="280" w:firstLine="486"/>
        <w:spacing w:after="0" w:line="254" w:lineRule="auto"/>
        <w:rPr>
          <w:sz w:val="20"/>
          <w:szCs w:val="20"/>
          <w:color w:val="auto"/>
        </w:rPr>
      </w:pPr>
      <w:r>
        <w:rPr>
          <w:rFonts w:ascii="Arial" w:cs="Arial" w:eastAsia="Arial" w:hAnsi="Arial"/>
          <w:sz w:val="18"/>
          <w:szCs w:val="18"/>
          <w:color w:val="auto"/>
        </w:rPr>
        <w:t>Our revenues are derived primarily from fees and commissions from products and advisory services offered by our advisors to their clients, a substantial portion of which we pay out to our advisors, as well as fees we receive from our advisors for the use of our technology, custody, clearing, trust, and reporting platforms. We also generate asset-based revenues through our platform that provides our cash sweep programs and access to over 750 product providers that offer the following product lines:</w:t>
      </w:r>
    </w:p>
    <w:p>
      <w:pPr>
        <w:sectPr>
          <w:pgSz w:w="11900" w:h="16838" w:orient="portrait"/>
          <w:cols w:equalWidth="0" w:num="1">
            <w:col w:w="11420"/>
          </w:cols>
          <w:pgMar w:left="240" w:top="490" w:right="239" w:bottom="1440" w:gutter="0" w:footer="0" w:header="0"/>
        </w:sectPr>
      </w:pPr>
    </w:p>
    <w:p>
      <w:pPr>
        <w:spacing w:after="0" w:line="164"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 Alternative Investments</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color w:val="auto"/>
        </w:rPr>
        <w:t>• Retirement Plan Products</w:t>
      </w:r>
    </w:p>
    <w:p>
      <w:pPr>
        <w:spacing w:after="0" w:line="74" w:lineRule="exact"/>
        <w:rPr>
          <w:sz w:val="20"/>
          <w:szCs w:val="20"/>
          <w:color w:val="auto"/>
        </w:rPr>
      </w:pPr>
    </w:p>
    <w:p>
      <w:pPr>
        <w:sectPr>
          <w:pgSz w:w="11900" w:h="16838" w:orient="portrait"/>
          <w:cols w:equalWidth="0" w:num="2">
            <w:col w:w="4620" w:space="720"/>
            <w:col w:w="6080"/>
          </w:cols>
          <w:pgMar w:left="240" w:top="490" w:right="239" w:bottom="1440" w:gutter="0" w:footer="0" w:header="0"/>
          <w:type w:val="continuous"/>
        </w:sectPr>
      </w:pPr>
    </w:p>
    <w:p>
      <w:pPr>
        <w:ind w:left="1000"/>
        <w:spacing w:after="0"/>
        <w:rPr>
          <w:sz w:val="20"/>
          <w:szCs w:val="20"/>
          <w:color w:val="auto"/>
        </w:rPr>
      </w:pPr>
      <w:r>
        <w:rPr>
          <w:rFonts w:ascii="Arial" w:cs="Arial" w:eastAsia="Arial" w:hAnsi="Arial"/>
          <w:sz w:val="18"/>
          <w:szCs w:val="18"/>
          <w:color w:val="auto"/>
        </w:rPr>
        <w:t>• Annuities</w:t>
      </w:r>
    </w:p>
    <w:p>
      <w:pPr>
        <w:spacing w:after="0" w:line="20" w:lineRule="exact"/>
        <w:rPr>
          <w:sz w:val="20"/>
          <w:szCs w:val="20"/>
          <w:color w:val="auto"/>
        </w:rPr>
      </w:pPr>
      <w:r>
        <w:rPr>
          <w:sz w:val="20"/>
          <w:szCs w:val="20"/>
          <w:color w:val="auto"/>
        </w:rPr>
        <w:br w:type="column"/>
      </w:r>
    </w:p>
    <w:p>
      <w:pPr>
        <w:jc w:val="center"/>
        <w:ind w:right="3520"/>
        <w:spacing w:after="0"/>
        <w:rPr>
          <w:sz w:val="20"/>
          <w:szCs w:val="20"/>
          <w:color w:val="auto"/>
        </w:rPr>
      </w:pPr>
      <w:r>
        <w:rPr>
          <w:rFonts w:ascii="Arial" w:cs="Arial" w:eastAsia="Arial" w:hAnsi="Arial"/>
          <w:sz w:val="17"/>
          <w:szCs w:val="17"/>
          <w:color w:val="auto"/>
        </w:rPr>
        <w:t>• Separately Managed Accounts</w:t>
      </w:r>
    </w:p>
    <w:p>
      <w:pPr>
        <w:spacing w:after="0" w:line="74" w:lineRule="exact"/>
        <w:rPr>
          <w:sz w:val="20"/>
          <w:szCs w:val="20"/>
          <w:color w:val="auto"/>
        </w:rPr>
      </w:pPr>
    </w:p>
    <w:p>
      <w:pPr>
        <w:sectPr>
          <w:pgSz w:w="11900" w:h="16838" w:orient="portrait"/>
          <w:cols w:equalWidth="0" w:num="2">
            <w:col w:w="4620" w:space="720"/>
            <w:col w:w="6080"/>
          </w:cols>
          <w:pgMar w:left="240" w:top="490" w:right="239" w:bottom="1440" w:gutter="0" w:footer="0" w:header="0"/>
          <w:type w:val="continuous"/>
        </w:sectPr>
      </w:pPr>
    </w:p>
    <w:p>
      <w:pPr>
        <w:ind w:left="1000"/>
        <w:spacing w:after="0"/>
        <w:rPr>
          <w:sz w:val="20"/>
          <w:szCs w:val="20"/>
          <w:color w:val="auto"/>
        </w:rPr>
      </w:pPr>
      <w:r>
        <w:rPr>
          <w:rFonts w:ascii="Arial" w:cs="Arial" w:eastAsia="Arial" w:hAnsi="Arial"/>
          <w:sz w:val="18"/>
          <w:szCs w:val="18"/>
          <w:color w:val="auto"/>
        </w:rPr>
        <w:t>• Exchange Traded Products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 Structured Products</w:t>
      </w:r>
    </w:p>
    <w:p>
      <w:pPr>
        <w:spacing w:after="0" w:line="74" w:lineRule="exact"/>
        <w:rPr>
          <w:sz w:val="20"/>
          <w:szCs w:val="20"/>
          <w:color w:val="auto"/>
        </w:rPr>
      </w:pPr>
    </w:p>
    <w:p>
      <w:pPr>
        <w:sectPr>
          <w:pgSz w:w="11900" w:h="16838" w:orient="portrait"/>
          <w:cols w:equalWidth="0" w:num="2">
            <w:col w:w="4620" w:space="720"/>
            <w:col w:w="6080"/>
          </w:cols>
          <w:pgMar w:left="240" w:top="490" w:right="239" w:bottom="1440" w:gutter="0" w:footer="0" w:header="0"/>
          <w:type w:val="continuous"/>
        </w:sectPr>
      </w:pPr>
    </w:p>
    <w:p>
      <w:pPr>
        <w:ind w:left="1000"/>
        <w:spacing w:after="0"/>
        <w:rPr>
          <w:sz w:val="20"/>
          <w:szCs w:val="20"/>
          <w:color w:val="auto"/>
        </w:rPr>
      </w:pPr>
      <w:r>
        <w:rPr>
          <w:rFonts w:ascii="Arial" w:cs="Arial" w:eastAsia="Arial" w:hAnsi="Arial"/>
          <w:sz w:val="18"/>
          <w:szCs w:val="18"/>
          <w:color w:val="auto"/>
        </w:rPr>
        <w:t>• Insurance Based Products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 Unit Investment Trusts</w:t>
      </w:r>
    </w:p>
    <w:p>
      <w:pPr>
        <w:spacing w:after="0" w:line="74" w:lineRule="exact"/>
        <w:rPr>
          <w:sz w:val="20"/>
          <w:szCs w:val="20"/>
          <w:color w:val="auto"/>
        </w:rPr>
      </w:pPr>
    </w:p>
    <w:p>
      <w:pPr>
        <w:sectPr>
          <w:pgSz w:w="11900" w:h="16838" w:orient="portrait"/>
          <w:cols w:equalWidth="0" w:num="2">
            <w:col w:w="4620" w:space="720"/>
            <w:col w:w="6080"/>
          </w:cols>
          <w:pgMar w:left="240" w:top="490" w:right="239" w:bottom="1440" w:gutter="0" w:footer="0" w:header="0"/>
          <w:type w:val="continuous"/>
        </w:sectPr>
      </w:pPr>
    </w:p>
    <w:p>
      <w:pPr>
        <w:ind w:left="1000"/>
        <w:spacing w:after="0"/>
        <w:rPr>
          <w:sz w:val="20"/>
          <w:szCs w:val="20"/>
          <w:color w:val="auto"/>
        </w:rPr>
      </w:pPr>
      <w:r>
        <w:rPr>
          <w:rFonts w:ascii="Arial" w:cs="Arial" w:eastAsia="Arial" w:hAnsi="Arial"/>
          <w:sz w:val="18"/>
          <w:szCs w:val="18"/>
          <w:color w:val="auto"/>
        </w:rPr>
        <w:t>• Mutual Funds</w:t>
      </w:r>
    </w:p>
    <w:p>
      <w:pPr>
        <w:sectPr>
          <w:pgSz w:w="11900" w:h="16838" w:orient="portrait"/>
          <w:cols w:equalWidth="0" w:num="1">
            <w:col w:w="11420"/>
          </w:cols>
          <w:pgMar w:left="240" w:top="490" w:right="239" w:bottom="1440" w:gutter="0" w:footer="0" w:header="0"/>
          <w:type w:val="continuous"/>
        </w:sectPr>
      </w:pPr>
    </w:p>
    <w:p>
      <w:pPr>
        <w:spacing w:after="0" w:line="131" w:lineRule="exact"/>
        <w:rPr>
          <w:sz w:val="20"/>
          <w:szCs w:val="20"/>
          <w:color w:val="auto"/>
        </w:rPr>
      </w:pPr>
    </w:p>
    <w:p>
      <w:pPr>
        <w:ind w:right="320" w:firstLine="486"/>
        <w:spacing w:after="0" w:line="254" w:lineRule="auto"/>
        <w:rPr>
          <w:sz w:val="20"/>
          <w:szCs w:val="20"/>
          <w:color w:val="auto"/>
        </w:rPr>
      </w:pPr>
      <w:r>
        <w:rPr>
          <w:rFonts w:ascii="Arial" w:cs="Arial" w:eastAsia="Arial" w:hAnsi="Arial"/>
          <w:sz w:val="18"/>
          <w:szCs w:val="18"/>
          <w:color w:val="auto"/>
        </w:rPr>
        <w:t>Under our self-clearing platform, we custody the majority of client assets invested in these financial products, for which we provide statements, transaction processing, and ongoing account management. In return for these services, mutual funds, insurance companies, banks, and other financial product manufacturers pay us fees based on asset levels or number of accounts managed. We also earn interest from margin loans made to our advisors’ clients.</w:t>
      </w:r>
    </w:p>
    <w:p>
      <w:pPr>
        <w:spacing w:after="0" w:line="204"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auto"/>
        </w:rPr>
        <w:t>We track recurring revenue, a characterization of net revenue and a statistical measure, which we define to include our revenues from asset-based fees, advisory fees, trailing commissions, cash sweep programs, and certain other fees that are based upon accounts and advisors. Because certain recurring revenues are associated with asset balances, they will fluctuate depending on the market values and current interest rates. Accordingly, our recurring revenue can be negatively impacted by adverse external market conditions. However, recurring revenue is meaningful to us despite these fluctuations because it is not dependent upon transaction volumes or other activity-based revenues, which are more difficult to predict, particularly in declining or volatile markets.</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90" w:right="239" w:bottom="1440" w:gutter="0" w:footer="0" w:header="0"/>
          <w:type w:val="continuous"/>
        </w:sectPr>
      </w:pPr>
    </w:p>
    <w:bookmarkStart w:id="6" w:name="page7"/>
    <w:bookmarkEnd w:id="6"/>
    <w:p>
      <w:pPr>
        <w:ind w:left="500"/>
        <w:spacing w:after="0"/>
        <w:rPr>
          <w:sz w:val="20"/>
          <w:szCs w:val="20"/>
          <w:color w:val="auto"/>
        </w:rPr>
      </w:pPr>
      <w:r>
        <w:rPr>
          <w:rFonts w:ascii="Arial" w:cs="Arial" w:eastAsia="Arial" w:hAnsi="Arial"/>
          <w:sz w:val="17"/>
          <w:szCs w:val="17"/>
          <w:color w:val="auto"/>
        </w:rPr>
        <w:t>The table below summarizes the sources and drivers of our revenue:</w:t>
      </w:r>
    </w:p>
    <w:p>
      <w:pPr>
        <w:sectPr>
          <w:pgSz w:w="11900" w:h="16838" w:orient="portrait"/>
          <w:cols w:equalWidth="0" w:num="1">
            <w:col w:w="11280"/>
          </w:cols>
          <w:pgMar w:left="240" w:top="436"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left="200"/>
        <w:spacing w:after="0" w:line="250" w:lineRule="auto"/>
        <w:rPr>
          <w:sz w:val="20"/>
          <w:szCs w:val="20"/>
          <w:color w:val="auto"/>
        </w:rPr>
      </w:pPr>
      <w:r>
        <w:rPr>
          <w:rFonts w:ascii="Arial" w:cs="Arial" w:eastAsia="Arial" w:hAnsi="Arial"/>
          <w:sz w:val="14"/>
          <w:szCs w:val="14"/>
          <w:color w:val="auto"/>
        </w:rPr>
        <w:t>Advisor-driven revenue with ~85%-90% payout ratio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-433070</wp:posOffset>
            </wp:positionV>
            <wp:extent cx="1174750" cy="20066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74750" cy="2006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500" w:right="100" w:hanging="211"/>
        <w:spacing w:after="0" w:line="258" w:lineRule="auto"/>
        <w:rPr>
          <w:sz w:val="20"/>
          <w:szCs w:val="20"/>
          <w:color w:val="auto"/>
        </w:rPr>
      </w:pPr>
      <w:r>
        <w:rPr>
          <w:rFonts w:ascii="Arial" w:cs="Arial" w:eastAsia="Arial" w:hAnsi="Arial"/>
          <w:sz w:val="14"/>
          <w:szCs w:val="14"/>
          <w:color w:val="auto"/>
        </w:rPr>
        <w:t>Attachment revenue retained by us</w:t>
      </w:r>
    </w:p>
    <w:p>
      <w:pPr>
        <w:spacing w:after="0" w:line="20" w:lineRule="exact"/>
        <w:rPr>
          <w:sz w:val="20"/>
          <w:szCs w:val="20"/>
          <w:color w:val="auto"/>
        </w:rPr>
      </w:pPr>
      <w:r>
        <w:rPr>
          <w:sz w:val="20"/>
          <w:szCs w:val="20"/>
          <w:color w:val="auto"/>
        </w:rPr>
        <w:br w:type="column"/>
      </w:r>
    </w:p>
    <w:p>
      <w:pPr>
        <w:spacing w:after="0" w:line="117" w:lineRule="exact"/>
        <w:rPr>
          <w:sz w:val="20"/>
          <w:szCs w:val="20"/>
          <w:color w:val="auto"/>
        </w:rPr>
      </w:pPr>
    </w:p>
    <w:p>
      <w:pPr>
        <w:spacing w:after="0" w:line="1" w:lineRule="exact"/>
        <w:rPr>
          <w:sz w:val="1"/>
          <w:szCs w:val="1"/>
          <w:color w:val="auto"/>
        </w:rPr>
      </w:pPr>
    </w:p>
    <w:tbl>
      <w:tblPr>
        <w:tblLayout w:type="fixed"/>
        <w:tblInd w:w="10" w:type="dxa"/>
        <w:tblCellMar>
          <w:top w:w="0" w:type="dxa"/>
          <w:left w:w="0" w:type="dxa"/>
          <w:bottom w:w="0" w:type="dxa"/>
          <w:right w:w="0" w:type="dxa"/>
        </w:tblCellMar>
      </w:tblPr>
      <w:tr>
        <w:trPr>
          <w:trHeight w:val="289"/>
        </w:trPr>
        <w:tc>
          <w:tcPr>
            <w:tcW w:w="2400" w:type="dxa"/>
            <w:vAlign w:val="bottom"/>
            <w:tcBorders>
              <w:top w:val="single" w:sz="8" w:color="A5A5A5"/>
              <w:left w:val="single" w:sz="8" w:color="A5A5A5"/>
              <w:bottom w:val="single" w:sz="8" w:color="80C9FF"/>
              <w:right w:val="single" w:sz="8" w:color="A5A5A5"/>
            </w:tcBorders>
            <w:shd w:val="clear" w:color="auto" w:fill="80C9FF"/>
          </w:tcPr>
          <w:p>
            <w:pPr>
              <w:spacing w:after="0"/>
              <w:rPr>
                <w:sz w:val="24"/>
                <w:szCs w:val="24"/>
                <w:color w:val="auto"/>
              </w:rPr>
            </w:pPr>
          </w:p>
        </w:tc>
        <w:tc>
          <w:tcPr>
            <w:tcW w:w="2280" w:type="dxa"/>
            <w:vAlign w:val="bottom"/>
            <w:tcBorders>
              <w:top w:val="single" w:sz="8" w:color="A5A5A5"/>
              <w:bottom w:val="single" w:sz="8" w:color="80C9FF"/>
              <w:right w:val="single" w:sz="8" w:color="A5A5A5"/>
            </w:tcBorders>
            <w:shd w:val="clear" w:color="auto" w:fill="80C9FF"/>
          </w:tcPr>
          <w:p>
            <w:pPr>
              <w:spacing w:after="0"/>
              <w:rPr>
                <w:sz w:val="24"/>
                <w:szCs w:val="24"/>
                <w:color w:val="auto"/>
              </w:rPr>
            </w:pPr>
          </w:p>
        </w:tc>
        <w:tc>
          <w:tcPr>
            <w:tcW w:w="4320" w:type="dxa"/>
            <w:vAlign w:val="bottom"/>
            <w:tcBorders>
              <w:top w:val="single" w:sz="8" w:color="A5A5A5"/>
              <w:bottom w:val="single" w:sz="8" w:color="80C9FF"/>
              <w:right w:val="single" w:sz="8" w:color="A5A5A5"/>
            </w:tcBorders>
            <w:gridSpan w:val="4"/>
            <w:shd w:val="clear" w:color="auto" w:fill="80C9FF"/>
          </w:tcPr>
          <w:p>
            <w:pPr>
              <w:ind w:left="600"/>
              <w:spacing w:after="0"/>
              <w:rPr>
                <w:sz w:val="20"/>
                <w:szCs w:val="20"/>
                <w:color w:val="auto"/>
              </w:rPr>
            </w:pPr>
            <w:r>
              <w:rPr>
                <w:rFonts w:ascii="Arial" w:cs="Arial" w:eastAsia="Arial" w:hAnsi="Arial"/>
                <w:sz w:val="16"/>
                <w:szCs w:val="16"/>
                <w:b w:val="1"/>
                <w:bCs w:val="1"/>
                <w:color w:val="auto"/>
                <w:shd w:val="clear" w:color="auto" w:fill="80C9FF"/>
              </w:rPr>
              <w:t>Nine Months Ended September 30, 2016</w:t>
            </w:r>
          </w:p>
        </w:tc>
        <w:tc>
          <w:tcPr>
            <w:tcW w:w="0" w:type="dxa"/>
            <w:vAlign w:val="bottom"/>
          </w:tcPr>
          <w:p>
            <w:pPr>
              <w:spacing w:after="0"/>
              <w:rPr>
                <w:sz w:val="1"/>
                <w:szCs w:val="1"/>
                <w:color w:val="auto"/>
              </w:rPr>
            </w:pPr>
          </w:p>
        </w:tc>
      </w:tr>
      <w:tr>
        <w:trPr>
          <w:trHeight w:val="191"/>
        </w:trPr>
        <w:tc>
          <w:tcPr>
            <w:tcW w:w="2400" w:type="dxa"/>
            <w:vAlign w:val="bottom"/>
            <w:tcBorders>
              <w:top w:val="single" w:sz="8" w:color="80C9FF"/>
              <w:left w:val="single" w:sz="8" w:color="A5A5A5"/>
              <w:right w:val="single" w:sz="8" w:color="A5A5A5"/>
            </w:tcBorders>
            <w:shd w:val="clear" w:color="auto" w:fill="80C9FF"/>
          </w:tcPr>
          <w:p>
            <w:pPr>
              <w:spacing w:after="0"/>
              <w:rPr>
                <w:sz w:val="16"/>
                <w:szCs w:val="16"/>
                <w:color w:val="auto"/>
              </w:rPr>
            </w:pPr>
          </w:p>
        </w:tc>
        <w:tc>
          <w:tcPr>
            <w:tcW w:w="2280" w:type="dxa"/>
            <w:vAlign w:val="bottom"/>
            <w:tcBorders>
              <w:top w:val="single" w:sz="8" w:color="80C9FF"/>
              <w:right w:val="single" w:sz="8" w:color="A5A5A5"/>
            </w:tcBorders>
            <w:shd w:val="clear" w:color="auto" w:fill="80C9FF"/>
          </w:tcPr>
          <w:p>
            <w:pPr>
              <w:spacing w:after="0"/>
              <w:rPr>
                <w:sz w:val="16"/>
                <w:szCs w:val="16"/>
                <w:color w:val="auto"/>
              </w:rPr>
            </w:pPr>
          </w:p>
        </w:tc>
        <w:tc>
          <w:tcPr>
            <w:tcW w:w="1080" w:type="dxa"/>
            <w:vAlign w:val="bottom"/>
            <w:tcBorders>
              <w:top w:val="single" w:sz="8" w:color="A5A5A5"/>
              <w:right w:val="single" w:sz="8" w:color="A5A5A5"/>
            </w:tcBorders>
            <w:shd w:val="clear" w:color="auto" w:fill="80C9FF"/>
          </w:tcPr>
          <w:p>
            <w:pPr>
              <w:spacing w:after="0"/>
              <w:rPr>
                <w:sz w:val="16"/>
                <w:szCs w:val="16"/>
                <w:color w:val="auto"/>
              </w:rPr>
            </w:pPr>
          </w:p>
        </w:tc>
        <w:tc>
          <w:tcPr>
            <w:tcW w:w="1080" w:type="dxa"/>
            <w:vAlign w:val="bottom"/>
            <w:tcBorders>
              <w:top w:val="single" w:sz="8" w:color="A5A5A5"/>
              <w:right w:val="single" w:sz="8" w:color="A5A5A5"/>
            </w:tcBorders>
            <w:shd w:val="clear" w:color="auto" w:fill="80C9FF"/>
          </w:tcPr>
          <w:p>
            <w:pPr>
              <w:spacing w:after="0"/>
              <w:rPr>
                <w:sz w:val="16"/>
                <w:szCs w:val="16"/>
                <w:color w:val="auto"/>
              </w:rPr>
            </w:pPr>
          </w:p>
        </w:tc>
        <w:tc>
          <w:tcPr>
            <w:tcW w:w="1080" w:type="dxa"/>
            <w:vAlign w:val="bottom"/>
            <w:tcBorders>
              <w:top w:val="single" w:sz="8" w:color="A5A5A5"/>
              <w:right w:val="single" w:sz="8" w:color="A5A5A5"/>
            </w:tcBorders>
            <w:shd w:val="clear" w:color="auto" w:fill="80C9FF"/>
          </w:tcPr>
          <w:p>
            <w:pPr>
              <w:jc w:val="right"/>
              <w:ind w:right="305"/>
              <w:spacing w:after="0"/>
              <w:rPr>
                <w:sz w:val="20"/>
                <w:szCs w:val="20"/>
                <w:color w:val="auto"/>
              </w:rPr>
            </w:pPr>
            <w:r>
              <w:rPr>
                <w:rFonts w:ascii="Arial" w:cs="Arial" w:eastAsia="Arial" w:hAnsi="Arial"/>
                <w:sz w:val="16"/>
                <w:szCs w:val="16"/>
                <w:b w:val="1"/>
                <w:bCs w:val="1"/>
                <w:color w:val="auto"/>
              </w:rPr>
              <w:t>Total</w:t>
            </w:r>
          </w:p>
        </w:tc>
        <w:tc>
          <w:tcPr>
            <w:tcW w:w="1080" w:type="dxa"/>
            <w:vAlign w:val="bottom"/>
            <w:tcBorders>
              <w:top w:val="single" w:sz="8" w:color="A5A5A5"/>
              <w:right w:val="single" w:sz="8" w:color="A5A5A5"/>
            </w:tcBorders>
            <w:shd w:val="clear" w:color="auto" w:fill="80C9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400" w:type="dxa"/>
            <w:vAlign w:val="bottom"/>
            <w:tcBorders>
              <w:left w:val="single" w:sz="8" w:color="A5A5A5"/>
              <w:right w:val="single" w:sz="8" w:color="A5A5A5"/>
            </w:tcBorders>
            <w:shd w:val="clear" w:color="auto" w:fill="80C9FF"/>
          </w:tcPr>
          <w:p>
            <w:pPr>
              <w:spacing w:after="0"/>
              <w:rPr>
                <w:sz w:val="16"/>
                <w:szCs w:val="16"/>
                <w:color w:val="auto"/>
              </w:rPr>
            </w:pPr>
          </w:p>
        </w:tc>
        <w:tc>
          <w:tcPr>
            <w:tcW w:w="2280" w:type="dxa"/>
            <w:vAlign w:val="bottom"/>
            <w:tcBorders>
              <w:right w:val="single" w:sz="8" w:color="A5A5A5"/>
            </w:tcBorders>
            <w:shd w:val="clear" w:color="auto" w:fill="80C9FF"/>
          </w:tcPr>
          <w:p>
            <w:pPr>
              <w:spacing w:after="0"/>
              <w:rPr>
                <w:sz w:val="16"/>
                <w:szCs w:val="16"/>
                <w:color w:val="auto"/>
              </w:rPr>
            </w:pPr>
          </w:p>
        </w:tc>
        <w:tc>
          <w:tcPr>
            <w:tcW w:w="1080" w:type="dxa"/>
            <w:vAlign w:val="bottom"/>
            <w:tcBorders>
              <w:right w:val="single" w:sz="8" w:color="A5A5A5"/>
            </w:tcBorders>
            <w:shd w:val="clear" w:color="auto" w:fill="80C9FF"/>
          </w:tcPr>
          <w:p>
            <w:pPr>
              <w:jc w:val="center"/>
              <w:spacing w:after="0"/>
              <w:rPr>
                <w:sz w:val="20"/>
                <w:szCs w:val="20"/>
                <w:color w:val="auto"/>
              </w:rPr>
            </w:pPr>
            <w:r>
              <w:rPr>
                <w:rFonts w:ascii="Arial" w:cs="Arial" w:eastAsia="Arial" w:hAnsi="Arial"/>
                <w:sz w:val="16"/>
                <w:szCs w:val="16"/>
                <w:b w:val="1"/>
                <w:bCs w:val="1"/>
                <w:color w:val="auto"/>
                <w:w w:val="94"/>
              </w:rPr>
              <w:t>Total</w:t>
            </w:r>
          </w:p>
        </w:tc>
        <w:tc>
          <w:tcPr>
            <w:tcW w:w="1080" w:type="dxa"/>
            <w:vAlign w:val="bottom"/>
            <w:tcBorders>
              <w:right w:val="single" w:sz="8" w:color="A5A5A5"/>
            </w:tcBorders>
            <w:shd w:val="clear" w:color="auto" w:fill="80C9FF"/>
          </w:tcPr>
          <w:p>
            <w:pPr>
              <w:jc w:val="center"/>
              <w:spacing w:after="0"/>
              <w:rPr>
                <w:sz w:val="20"/>
                <w:szCs w:val="20"/>
                <w:color w:val="auto"/>
              </w:rPr>
            </w:pPr>
            <w:r>
              <w:rPr>
                <w:rFonts w:ascii="Arial" w:cs="Arial" w:eastAsia="Arial" w:hAnsi="Arial"/>
                <w:sz w:val="16"/>
                <w:szCs w:val="16"/>
                <w:b w:val="1"/>
                <w:bCs w:val="1"/>
                <w:color w:val="auto"/>
                <w:w w:val="99"/>
              </w:rPr>
              <w:t>% of Total</w:t>
            </w:r>
          </w:p>
        </w:tc>
        <w:tc>
          <w:tcPr>
            <w:tcW w:w="1080" w:type="dxa"/>
            <w:vAlign w:val="bottom"/>
            <w:tcBorders>
              <w:right w:val="single" w:sz="8" w:color="A5A5A5"/>
            </w:tcBorders>
            <w:shd w:val="clear" w:color="auto" w:fill="80C9FF"/>
          </w:tcPr>
          <w:p>
            <w:pPr>
              <w:jc w:val="right"/>
              <w:ind w:right="125"/>
              <w:spacing w:after="0"/>
              <w:rPr>
                <w:sz w:val="20"/>
                <w:szCs w:val="20"/>
                <w:color w:val="auto"/>
              </w:rPr>
            </w:pPr>
            <w:r>
              <w:rPr>
                <w:rFonts w:ascii="Arial" w:cs="Arial" w:eastAsia="Arial" w:hAnsi="Arial"/>
                <w:sz w:val="16"/>
                <w:szCs w:val="16"/>
                <w:b w:val="1"/>
                <w:bCs w:val="1"/>
                <w:color w:val="auto"/>
              </w:rPr>
              <w:t>Recurring</w:t>
            </w:r>
          </w:p>
        </w:tc>
        <w:tc>
          <w:tcPr>
            <w:tcW w:w="1080" w:type="dxa"/>
            <w:vAlign w:val="bottom"/>
            <w:tcBorders>
              <w:right w:val="single" w:sz="8" w:color="A5A5A5"/>
            </w:tcBorders>
            <w:shd w:val="clear" w:color="auto" w:fill="80C9FF"/>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400" w:type="dxa"/>
            <w:vAlign w:val="bottom"/>
            <w:tcBorders>
              <w:left w:val="single" w:sz="8" w:color="A5A5A5"/>
              <w:bottom w:val="single" w:sz="8" w:color="A5A5A5"/>
              <w:right w:val="single" w:sz="8" w:color="A5A5A5"/>
            </w:tcBorders>
            <w:shd w:val="clear" w:color="auto" w:fill="80C9FF"/>
          </w:tcPr>
          <w:p>
            <w:pPr>
              <w:ind w:left="420"/>
              <w:spacing w:after="0"/>
              <w:rPr>
                <w:sz w:val="20"/>
                <w:szCs w:val="20"/>
                <w:color w:val="auto"/>
              </w:rPr>
            </w:pPr>
            <w:r>
              <w:rPr>
                <w:rFonts w:ascii="Arial" w:cs="Arial" w:eastAsia="Arial" w:hAnsi="Arial"/>
                <w:sz w:val="16"/>
                <w:szCs w:val="16"/>
                <w:b w:val="1"/>
                <w:bCs w:val="1"/>
                <w:color w:val="auto"/>
              </w:rPr>
              <w:t>Sources of Revenue</w:t>
            </w:r>
          </w:p>
        </w:tc>
        <w:tc>
          <w:tcPr>
            <w:tcW w:w="2280" w:type="dxa"/>
            <w:vAlign w:val="bottom"/>
            <w:tcBorders>
              <w:bottom w:val="single" w:sz="8" w:color="A5A5A5"/>
              <w:right w:val="single" w:sz="8" w:color="A5A5A5"/>
            </w:tcBorders>
            <w:shd w:val="clear" w:color="auto" w:fill="80C9FF"/>
          </w:tcPr>
          <w:p>
            <w:pPr>
              <w:ind w:left="520"/>
              <w:spacing w:after="0"/>
              <w:rPr>
                <w:sz w:val="20"/>
                <w:szCs w:val="20"/>
                <w:color w:val="auto"/>
              </w:rPr>
            </w:pPr>
            <w:r>
              <w:rPr>
                <w:rFonts w:ascii="Arial" w:cs="Arial" w:eastAsia="Arial" w:hAnsi="Arial"/>
                <w:sz w:val="16"/>
                <w:szCs w:val="16"/>
                <w:b w:val="1"/>
                <w:bCs w:val="1"/>
                <w:color w:val="auto"/>
              </w:rPr>
              <w:t>Primary Drivers</w:t>
            </w:r>
          </w:p>
        </w:tc>
        <w:tc>
          <w:tcPr>
            <w:tcW w:w="1080" w:type="dxa"/>
            <w:vAlign w:val="bottom"/>
            <w:tcBorders>
              <w:bottom w:val="single" w:sz="8" w:color="A5A5A5"/>
              <w:right w:val="single" w:sz="8" w:color="A5A5A5"/>
            </w:tcBorders>
            <w:shd w:val="clear" w:color="auto" w:fill="80C9FF"/>
          </w:tcPr>
          <w:p>
            <w:pPr>
              <w:jc w:val="center"/>
              <w:spacing w:after="0"/>
              <w:rPr>
                <w:sz w:val="20"/>
                <w:szCs w:val="20"/>
                <w:color w:val="auto"/>
              </w:rPr>
            </w:pPr>
            <w:r>
              <w:rPr>
                <w:rFonts w:ascii="Arial" w:cs="Arial" w:eastAsia="Arial" w:hAnsi="Arial"/>
                <w:sz w:val="16"/>
                <w:szCs w:val="16"/>
                <w:b w:val="1"/>
                <w:bCs w:val="1"/>
                <w:color w:val="auto"/>
              </w:rPr>
              <w:t>(millions)</w:t>
            </w:r>
          </w:p>
        </w:tc>
        <w:tc>
          <w:tcPr>
            <w:tcW w:w="1080" w:type="dxa"/>
            <w:vAlign w:val="bottom"/>
            <w:tcBorders>
              <w:bottom w:val="single" w:sz="8" w:color="A5A5A5"/>
              <w:right w:val="single" w:sz="8" w:color="A5A5A5"/>
            </w:tcBorders>
            <w:shd w:val="clear" w:color="auto" w:fill="80C9FF"/>
          </w:tcPr>
          <w:p>
            <w:pPr>
              <w:jc w:val="center"/>
              <w:spacing w:after="0"/>
              <w:rPr>
                <w:sz w:val="20"/>
                <w:szCs w:val="20"/>
                <w:color w:val="auto"/>
              </w:rPr>
            </w:pPr>
            <w:r>
              <w:rPr>
                <w:rFonts w:ascii="Arial" w:cs="Arial" w:eastAsia="Arial" w:hAnsi="Arial"/>
                <w:sz w:val="16"/>
                <w:szCs w:val="16"/>
                <w:b w:val="1"/>
                <w:bCs w:val="1"/>
                <w:color w:val="auto"/>
              </w:rPr>
              <w:t>Net Revenue</w:t>
            </w:r>
          </w:p>
        </w:tc>
        <w:tc>
          <w:tcPr>
            <w:tcW w:w="1080" w:type="dxa"/>
            <w:vAlign w:val="bottom"/>
            <w:tcBorders>
              <w:bottom w:val="single" w:sz="8" w:color="A5A5A5"/>
              <w:right w:val="single" w:sz="8" w:color="A5A5A5"/>
            </w:tcBorders>
            <w:shd w:val="clear" w:color="auto" w:fill="80C9FF"/>
          </w:tcPr>
          <w:p>
            <w:pPr>
              <w:jc w:val="right"/>
              <w:ind w:right="125"/>
              <w:spacing w:after="0"/>
              <w:rPr>
                <w:sz w:val="20"/>
                <w:szCs w:val="20"/>
                <w:color w:val="auto"/>
              </w:rPr>
            </w:pPr>
            <w:r>
              <w:rPr>
                <w:rFonts w:ascii="Arial" w:cs="Arial" w:eastAsia="Arial" w:hAnsi="Arial"/>
                <w:sz w:val="16"/>
                <w:szCs w:val="16"/>
                <w:b w:val="1"/>
                <w:bCs w:val="1"/>
                <w:color w:val="auto"/>
              </w:rPr>
              <w:t>(millions)</w:t>
            </w:r>
          </w:p>
        </w:tc>
        <w:tc>
          <w:tcPr>
            <w:tcW w:w="1080" w:type="dxa"/>
            <w:vAlign w:val="bottom"/>
            <w:tcBorders>
              <w:bottom w:val="single" w:sz="8" w:color="A5A5A5"/>
              <w:right w:val="single" w:sz="8" w:color="A5A5A5"/>
            </w:tcBorders>
            <w:shd w:val="clear" w:color="auto" w:fill="80C9FF"/>
          </w:tcPr>
          <w:p>
            <w:pPr>
              <w:jc w:val="center"/>
              <w:spacing w:after="0"/>
              <w:rPr>
                <w:sz w:val="20"/>
                <w:szCs w:val="20"/>
                <w:color w:val="auto"/>
              </w:rPr>
            </w:pPr>
            <w:r>
              <w:rPr>
                <w:rFonts w:ascii="Arial" w:cs="Arial" w:eastAsia="Arial" w:hAnsi="Arial"/>
                <w:sz w:val="16"/>
                <w:szCs w:val="16"/>
                <w:b w:val="1"/>
                <w:bCs w:val="1"/>
                <w:color w:val="auto"/>
              </w:rPr>
              <w:t>% Recurring</w:t>
            </w:r>
          </w:p>
        </w:tc>
        <w:tc>
          <w:tcPr>
            <w:tcW w:w="0" w:type="dxa"/>
            <w:vAlign w:val="bottom"/>
          </w:tcPr>
          <w:p>
            <w:pPr>
              <w:spacing w:after="0"/>
              <w:rPr>
                <w:sz w:val="1"/>
                <w:szCs w:val="1"/>
                <w:color w:val="auto"/>
              </w:rPr>
            </w:pPr>
          </w:p>
        </w:tc>
      </w:tr>
      <w:tr>
        <w:trPr>
          <w:trHeight w:val="302"/>
        </w:trPr>
        <w:tc>
          <w:tcPr>
            <w:tcW w:w="2400" w:type="dxa"/>
            <w:vAlign w:val="bottom"/>
            <w:tcBorders>
              <w:left w:val="single" w:sz="8" w:color="A5A5A5"/>
              <w:right w:val="single" w:sz="8" w:color="A5A5A5"/>
            </w:tcBorders>
          </w:tcPr>
          <w:p>
            <w:pPr>
              <w:ind w:left="40"/>
              <w:spacing w:after="0"/>
              <w:rPr>
                <w:sz w:val="20"/>
                <w:szCs w:val="20"/>
                <w:color w:val="auto"/>
              </w:rPr>
            </w:pPr>
            <w:r>
              <w:rPr>
                <w:rFonts w:ascii="Arial" w:cs="Arial" w:eastAsia="Arial" w:hAnsi="Arial"/>
                <w:sz w:val="14"/>
                <w:szCs w:val="14"/>
                <w:b w:val="1"/>
                <w:bCs w:val="1"/>
                <w:color w:val="auto"/>
              </w:rPr>
              <w:t>Commission</w:t>
            </w:r>
          </w:p>
        </w:tc>
        <w:tc>
          <w:tcPr>
            <w:tcW w:w="2280" w:type="dxa"/>
            <w:vAlign w:val="bottom"/>
            <w:tcBorders>
              <w:right w:val="single" w:sz="8" w:color="A5A5A5"/>
            </w:tcBorders>
          </w:tcPr>
          <w:p>
            <w:pPr>
              <w:ind w:left="20"/>
              <w:spacing w:after="0"/>
              <w:rPr>
                <w:sz w:val="20"/>
                <w:szCs w:val="20"/>
                <w:color w:val="auto"/>
              </w:rPr>
            </w:pPr>
            <w:r>
              <w:rPr>
                <w:rFonts w:ascii="Arial" w:cs="Arial" w:eastAsia="Arial" w:hAnsi="Arial"/>
                <w:sz w:val="14"/>
                <w:szCs w:val="14"/>
                <w:color w:val="auto"/>
              </w:rPr>
              <w:t>- Transactions</w:t>
            </w:r>
          </w:p>
        </w:tc>
        <w:tc>
          <w:tcPr>
            <w:tcW w:w="1080" w:type="dxa"/>
            <w:vAlign w:val="bottom"/>
            <w:tcBorders>
              <w:right w:val="single" w:sz="8" w:color="A5A5A5"/>
            </w:tcBorders>
          </w:tcPr>
          <w:p>
            <w:pPr>
              <w:jc w:val="center"/>
              <w:spacing w:after="0"/>
              <w:rPr>
                <w:sz w:val="20"/>
                <w:szCs w:val="20"/>
                <w:color w:val="auto"/>
              </w:rPr>
            </w:pPr>
            <w:r>
              <w:rPr>
                <w:rFonts w:ascii="Arial" w:cs="Arial" w:eastAsia="Arial" w:hAnsi="Arial"/>
                <w:sz w:val="14"/>
                <w:szCs w:val="14"/>
                <w:color w:val="auto"/>
              </w:rPr>
              <w:t>$1,314</w:t>
            </w:r>
          </w:p>
        </w:tc>
        <w:tc>
          <w:tcPr>
            <w:tcW w:w="1080" w:type="dxa"/>
            <w:vAlign w:val="bottom"/>
            <w:tcBorders>
              <w:right w:val="single" w:sz="8" w:color="A5A5A5"/>
            </w:tcBorders>
          </w:tcPr>
          <w:p>
            <w:pPr>
              <w:jc w:val="center"/>
              <w:spacing w:after="0"/>
              <w:rPr>
                <w:sz w:val="20"/>
                <w:szCs w:val="20"/>
                <w:color w:val="auto"/>
              </w:rPr>
            </w:pPr>
            <w:r>
              <w:rPr>
                <w:rFonts w:ascii="Arial" w:cs="Arial" w:eastAsia="Arial" w:hAnsi="Arial"/>
                <w:sz w:val="14"/>
                <w:szCs w:val="14"/>
                <w:color w:val="auto"/>
              </w:rPr>
              <w:t>43.2%</w:t>
            </w:r>
          </w:p>
        </w:tc>
        <w:tc>
          <w:tcPr>
            <w:tcW w:w="1080" w:type="dxa"/>
            <w:vAlign w:val="bottom"/>
            <w:tcBorders>
              <w:right w:val="single" w:sz="8" w:color="A5A5A5"/>
            </w:tcBorders>
          </w:tcPr>
          <w:p>
            <w:pPr>
              <w:jc w:val="center"/>
              <w:spacing w:after="0"/>
              <w:rPr>
                <w:sz w:val="20"/>
                <w:szCs w:val="20"/>
                <w:color w:val="auto"/>
              </w:rPr>
            </w:pPr>
            <w:r>
              <w:rPr>
                <w:rFonts w:ascii="Arial" w:cs="Arial" w:eastAsia="Arial" w:hAnsi="Arial"/>
                <w:sz w:val="14"/>
                <w:szCs w:val="14"/>
                <w:color w:val="auto"/>
              </w:rPr>
              <w:t>$685</w:t>
            </w:r>
          </w:p>
        </w:tc>
        <w:tc>
          <w:tcPr>
            <w:tcW w:w="1080" w:type="dxa"/>
            <w:vAlign w:val="bottom"/>
            <w:tcBorders>
              <w:right w:val="single" w:sz="8" w:color="A5A5A5"/>
            </w:tcBorders>
          </w:tcPr>
          <w:p>
            <w:pPr>
              <w:jc w:val="center"/>
              <w:spacing w:after="0"/>
              <w:rPr>
                <w:sz w:val="20"/>
                <w:szCs w:val="20"/>
                <w:color w:val="auto"/>
              </w:rPr>
            </w:pPr>
            <w:r>
              <w:rPr>
                <w:rFonts w:ascii="Arial" w:cs="Arial" w:eastAsia="Arial" w:hAnsi="Arial"/>
                <w:sz w:val="14"/>
                <w:szCs w:val="14"/>
                <w:color w:val="auto"/>
              </w:rPr>
              <w:t>52.1%</w:t>
            </w:r>
          </w:p>
        </w:tc>
        <w:tc>
          <w:tcPr>
            <w:tcW w:w="0" w:type="dxa"/>
            <w:vAlign w:val="bottom"/>
          </w:tcPr>
          <w:p>
            <w:pPr>
              <w:spacing w:after="0"/>
              <w:rPr>
                <w:sz w:val="1"/>
                <w:szCs w:val="1"/>
                <w:color w:val="auto"/>
              </w:rPr>
            </w:pPr>
          </w:p>
        </w:tc>
      </w:tr>
      <w:tr>
        <w:trPr>
          <w:trHeight w:val="178"/>
        </w:trPr>
        <w:tc>
          <w:tcPr>
            <w:tcW w:w="2400" w:type="dxa"/>
            <w:vAlign w:val="bottom"/>
            <w:tcBorders>
              <w:left w:val="single" w:sz="8" w:color="A5A5A5"/>
              <w:bottom w:val="single" w:sz="8" w:color="A5A5A5"/>
              <w:right w:val="single" w:sz="8" w:color="A5A5A5"/>
            </w:tcBorders>
          </w:tcPr>
          <w:p>
            <w:pPr>
              <w:spacing w:after="0"/>
              <w:rPr>
                <w:sz w:val="15"/>
                <w:szCs w:val="15"/>
                <w:color w:val="auto"/>
              </w:rPr>
            </w:pPr>
          </w:p>
        </w:tc>
        <w:tc>
          <w:tcPr>
            <w:tcW w:w="2280" w:type="dxa"/>
            <w:vAlign w:val="bottom"/>
            <w:tcBorders>
              <w:bottom w:val="single" w:sz="8" w:color="A5A5A5"/>
              <w:right w:val="single" w:sz="8" w:color="A5A5A5"/>
            </w:tcBorders>
          </w:tcPr>
          <w:p>
            <w:pPr>
              <w:ind w:left="20"/>
              <w:spacing w:after="0"/>
              <w:rPr>
                <w:sz w:val="20"/>
                <w:szCs w:val="20"/>
                <w:color w:val="auto"/>
              </w:rPr>
            </w:pPr>
            <w:r>
              <w:rPr>
                <w:rFonts w:ascii="Arial" w:cs="Arial" w:eastAsia="Arial" w:hAnsi="Arial"/>
                <w:sz w:val="14"/>
                <w:szCs w:val="14"/>
                <w:color w:val="auto"/>
              </w:rPr>
              <w:t>- Brokerage asset levels</w:t>
            </w:r>
          </w:p>
        </w:tc>
        <w:tc>
          <w:tcPr>
            <w:tcW w:w="1080" w:type="dxa"/>
            <w:vAlign w:val="bottom"/>
            <w:tcBorders>
              <w:bottom w:val="single" w:sz="8" w:color="A5A5A5"/>
              <w:right w:val="single" w:sz="8" w:color="A5A5A5"/>
            </w:tcBorders>
          </w:tcPr>
          <w:p>
            <w:pPr>
              <w:spacing w:after="0"/>
              <w:rPr>
                <w:sz w:val="15"/>
                <w:szCs w:val="15"/>
                <w:color w:val="auto"/>
              </w:rPr>
            </w:pPr>
          </w:p>
        </w:tc>
        <w:tc>
          <w:tcPr>
            <w:tcW w:w="1080" w:type="dxa"/>
            <w:vAlign w:val="bottom"/>
            <w:tcBorders>
              <w:bottom w:val="single" w:sz="8" w:color="A5A5A5"/>
              <w:right w:val="single" w:sz="8" w:color="A5A5A5"/>
            </w:tcBorders>
          </w:tcPr>
          <w:p>
            <w:pPr>
              <w:spacing w:after="0"/>
              <w:rPr>
                <w:sz w:val="15"/>
                <w:szCs w:val="15"/>
                <w:color w:val="auto"/>
              </w:rPr>
            </w:pPr>
          </w:p>
        </w:tc>
        <w:tc>
          <w:tcPr>
            <w:tcW w:w="1080" w:type="dxa"/>
            <w:vAlign w:val="bottom"/>
            <w:tcBorders>
              <w:bottom w:val="single" w:sz="8" w:color="A5A5A5"/>
              <w:right w:val="single" w:sz="8" w:color="A5A5A5"/>
            </w:tcBorders>
          </w:tcPr>
          <w:p>
            <w:pPr>
              <w:spacing w:after="0"/>
              <w:rPr>
                <w:sz w:val="15"/>
                <w:szCs w:val="15"/>
                <w:color w:val="auto"/>
              </w:rPr>
            </w:pPr>
          </w:p>
        </w:tc>
        <w:tc>
          <w:tcPr>
            <w:tcW w:w="1080" w:type="dxa"/>
            <w:vAlign w:val="bottom"/>
            <w:tcBorders>
              <w:bottom w:val="single" w:sz="8" w:color="A5A5A5"/>
              <w:right w:val="single" w:sz="8" w:color="A5A5A5"/>
            </w:tcBorders>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400" w:type="dxa"/>
            <w:vAlign w:val="bottom"/>
            <w:tcBorders>
              <w:left w:val="single" w:sz="8" w:color="A5A5A5"/>
              <w:right w:val="single" w:sz="8" w:color="A5A5A5"/>
            </w:tcBorders>
          </w:tcPr>
          <w:p>
            <w:pPr>
              <w:ind w:left="40"/>
              <w:spacing w:after="0"/>
              <w:rPr>
                <w:sz w:val="20"/>
                <w:szCs w:val="20"/>
                <w:color w:val="auto"/>
              </w:rPr>
            </w:pPr>
            <w:r>
              <w:rPr>
                <w:rFonts w:ascii="Arial" w:cs="Arial" w:eastAsia="Arial" w:hAnsi="Arial"/>
                <w:sz w:val="14"/>
                <w:szCs w:val="14"/>
                <w:b w:val="1"/>
                <w:bCs w:val="1"/>
                <w:color w:val="auto"/>
              </w:rPr>
              <w:t>Advisory</w:t>
            </w:r>
          </w:p>
        </w:tc>
        <w:tc>
          <w:tcPr>
            <w:tcW w:w="2280" w:type="dxa"/>
            <w:vAlign w:val="bottom"/>
            <w:tcBorders>
              <w:right w:val="single" w:sz="8" w:color="A5A5A5"/>
            </w:tcBorders>
          </w:tcPr>
          <w:p>
            <w:pPr>
              <w:ind w:left="20"/>
              <w:spacing w:after="0"/>
              <w:rPr>
                <w:sz w:val="20"/>
                <w:szCs w:val="20"/>
                <w:color w:val="auto"/>
              </w:rPr>
            </w:pPr>
            <w:r>
              <w:rPr>
                <w:rFonts w:ascii="Arial" w:cs="Arial" w:eastAsia="Arial" w:hAnsi="Arial"/>
                <w:sz w:val="14"/>
                <w:szCs w:val="14"/>
                <w:color w:val="auto"/>
              </w:rPr>
              <w:t>- Advisory asset levels</w:t>
            </w:r>
          </w:p>
        </w:tc>
        <w:tc>
          <w:tcPr>
            <w:tcW w:w="1080" w:type="dxa"/>
            <w:vAlign w:val="bottom"/>
            <w:tcBorders>
              <w:right w:val="single" w:sz="8" w:color="A5A5A5"/>
            </w:tcBorders>
          </w:tcPr>
          <w:p>
            <w:pPr>
              <w:jc w:val="center"/>
              <w:spacing w:after="0"/>
              <w:rPr>
                <w:sz w:val="20"/>
                <w:szCs w:val="20"/>
                <w:color w:val="auto"/>
              </w:rPr>
            </w:pPr>
            <w:r>
              <w:rPr>
                <w:rFonts w:ascii="Arial" w:cs="Arial" w:eastAsia="Arial" w:hAnsi="Arial"/>
                <w:sz w:val="14"/>
                <w:szCs w:val="14"/>
                <w:color w:val="auto"/>
              </w:rPr>
              <w:t>$964</w:t>
            </w:r>
          </w:p>
        </w:tc>
        <w:tc>
          <w:tcPr>
            <w:tcW w:w="1080" w:type="dxa"/>
            <w:vAlign w:val="bottom"/>
            <w:tcBorders>
              <w:right w:val="single" w:sz="8" w:color="A5A5A5"/>
            </w:tcBorders>
            <w:vMerge w:val="restart"/>
          </w:tcPr>
          <w:p>
            <w:pPr>
              <w:jc w:val="center"/>
              <w:spacing w:after="0"/>
              <w:rPr>
                <w:sz w:val="20"/>
                <w:szCs w:val="20"/>
                <w:color w:val="auto"/>
              </w:rPr>
            </w:pPr>
            <w:r>
              <w:rPr>
                <w:rFonts w:ascii="Arial" w:cs="Arial" w:eastAsia="Arial" w:hAnsi="Arial"/>
                <w:sz w:val="14"/>
                <w:szCs w:val="14"/>
                <w:color w:val="auto"/>
              </w:rPr>
              <w:t>31.7%</w:t>
            </w:r>
          </w:p>
        </w:tc>
        <w:tc>
          <w:tcPr>
            <w:tcW w:w="1080" w:type="dxa"/>
            <w:vAlign w:val="bottom"/>
            <w:tcBorders>
              <w:right w:val="single" w:sz="8" w:color="A5A5A5"/>
            </w:tcBorders>
          </w:tcPr>
          <w:p>
            <w:pPr>
              <w:jc w:val="center"/>
              <w:spacing w:after="0"/>
              <w:rPr>
                <w:sz w:val="20"/>
                <w:szCs w:val="20"/>
                <w:color w:val="auto"/>
              </w:rPr>
            </w:pPr>
            <w:r>
              <w:rPr>
                <w:rFonts w:ascii="Arial" w:cs="Arial" w:eastAsia="Arial" w:hAnsi="Arial"/>
                <w:sz w:val="14"/>
                <w:szCs w:val="14"/>
                <w:color w:val="auto"/>
              </w:rPr>
              <w:t>$960</w:t>
            </w:r>
          </w:p>
        </w:tc>
        <w:tc>
          <w:tcPr>
            <w:tcW w:w="1080" w:type="dxa"/>
            <w:vAlign w:val="bottom"/>
            <w:tcBorders>
              <w:right w:val="single" w:sz="8" w:color="A5A5A5"/>
            </w:tcBorders>
            <w:vMerge w:val="restart"/>
          </w:tcPr>
          <w:p>
            <w:pPr>
              <w:jc w:val="center"/>
              <w:spacing w:after="0"/>
              <w:rPr>
                <w:sz w:val="20"/>
                <w:szCs w:val="20"/>
                <w:color w:val="auto"/>
              </w:rPr>
            </w:pPr>
            <w:r>
              <w:rPr>
                <w:rFonts w:ascii="Arial" w:cs="Arial" w:eastAsia="Arial" w:hAnsi="Arial"/>
                <w:sz w:val="14"/>
                <w:szCs w:val="14"/>
                <w:color w:val="auto"/>
              </w:rPr>
              <w:t>99.6%</w:t>
            </w:r>
          </w:p>
        </w:tc>
        <w:tc>
          <w:tcPr>
            <w:tcW w:w="0" w:type="dxa"/>
            <w:vAlign w:val="bottom"/>
          </w:tcPr>
          <w:p>
            <w:pPr>
              <w:spacing w:after="0"/>
              <w:rPr>
                <w:sz w:val="1"/>
                <w:szCs w:val="1"/>
                <w:color w:val="auto"/>
              </w:rPr>
            </w:pPr>
          </w:p>
        </w:tc>
      </w:tr>
      <w:tr>
        <w:trPr>
          <w:trHeight w:val="114"/>
        </w:trPr>
        <w:tc>
          <w:tcPr>
            <w:tcW w:w="2400" w:type="dxa"/>
            <w:vAlign w:val="bottom"/>
            <w:tcBorders>
              <w:left w:val="single" w:sz="8" w:color="A5A5A5"/>
              <w:bottom w:val="single" w:sz="8" w:color="A5A5A5"/>
              <w:right w:val="single" w:sz="8" w:color="A5A5A5"/>
            </w:tcBorders>
          </w:tcPr>
          <w:p>
            <w:pPr>
              <w:spacing w:after="0"/>
              <w:rPr>
                <w:sz w:val="9"/>
                <w:szCs w:val="9"/>
                <w:color w:val="auto"/>
              </w:rPr>
            </w:pPr>
          </w:p>
        </w:tc>
        <w:tc>
          <w:tcPr>
            <w:tcW w:w="2280" w:type="dxa"/>
            <w:vAlign w:val="bottom"/>
            <w:tcBorders>
              <w:bottom w:val="single" w:sz="8" w:color="A5A5A5"/>
              <w:right w:val="single" w:sz="8" w:color="A5A5A5"/>
            </w:tcBorders>
          </w:tcPr>
          <w:p>
            <w:pPr>
              <w:spacing w:after="0"/>
              <w:rPr>
                <w:sz w:val="9"/>
                <w:szCs w:val="9"/>
                <w:color w:val="auto"/>
              </w:rPr>
            </w:pPr>
          </w:p>
        </w:tc>
        <w:tc>
          <w:tcPr>
            <w:tcW w:w="1080" w:type="dxa"/>
            <w:vAlign w:val="bottom"/>
            <w:tcBorders>
              <w:bottom w:val="single" w:sz="8" w:color="A5A5A5"/>
              <w:right w:val="single" w:sz="8" w:color="A5A5A5"/>
            </w:tcBorders>
          </w:tcPr>
          <w:p>
            <w:pPr>
              <w:spacing w:after="0"/>
              <w:rPr>
                <w:sz w:val="9"/>
                <w:szCs w:val="9"/>
                <w:color w:val="auto"/>
              </w:rPr>
            </w:pPr>
          </w:p>
        </w:tc>
        <w:tc>
          <w:tcPr>
            <w:tcW w:w="1080" w:type="dxa"/>
            <w:vAlign w:val="bottom"/>
            <w:tcBorders>
              <w:bottom w:val="single" w:sz="8" w:color="A5A5A5"/>
              <w:right w:val="single" w:sz="8" w:color="A5A5A5"/>
            </w:tcBorders>
            <w:vMerge w:val="continue"/>
          </w:tcPr>
          <w:p>
            <w:pPr>
              <w:spacing w:after="0"/>
              <w:rPr>
                <w:sz w:val="9"/>
                <w:szCs w:val="9"/>
                <w:color w:val="auto"/>
              </w:rPr>
            </w:pPr>
          </w:p>
        </w:tc>
        <w:tc>
          <w:tcPr>
            <w:tcW w:w="1080" w:type="dxa"/>
            <w:vAlign w:val="bottom"/>
            <w:tcBorders>
              <w:bottom w:val="single" w:sz="8" w:color="A5A5A5"/>
              <w:right w:val="single" w:sz="8" w:color="A5A5A5"/>
            </w:tcBorders>
          </w:tcPr>
          <w:p>
            <w:pPr>
              <w:spacing w:after="0"/>
              <w:rPr>
                <w:sz w:val="9"/>
                <w:szCs w:val="9"/>
                <w:color w:val="auto"/>
              </w:rPr>
            </w:pPr>
          </w:p>
        </w:tc>
        <w:tc>
          <w:tcPr>
            <w:tcW w:w="1080" w:type="dxa"/>
            <w:vAlign w:val="bottom"/>
            <w:tcBorders>
              <w:bottom w:val="single" w:sz="8" w:color="A5A5A5"/>
              <w:right w:val="single" w:sz="8" w:color="A5A5A5"/>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3"/>
        </w:trPr>
        <w:tc>
          <w:tcPr>
            <w:tcW w:w="2400" w:type="dxa"/>
            <w:vAlign w:val="bottom"/>
            <w:tcBorders>
              <w:left w:val="single" w:sz="8" w:color="A5A5A5"/>
              <w:right w:val="single" w:sz="8" w:color="A5A5A5"/>
            </w:tcBorders>
          </w:tcPr>
          <w:p>
            <w:pPr>
              <w:ind w:left="40"/>
              <w:spacing w:after="0"/>
              <w:rPr>
                <w:sz w:val="20"/>
                <w:szCs w:val="20"/>
                <w:color w:val="auto"/>
              </w:rPr>
            </w:pPr>
            <w:r>
              <w:rPr>
                <w:rFonts w:ascii="Arial" w:cs="Arial" w:eastAsia="Arial" w:hAnsi="Arial"/>
                <w:sz w:val="14"/>
                <w:szCs w:val="14"/>
                <w:b w:val="1"/>
                <w:bCs w:val="1"/>
                <w:color w:val="auto"/>
              </w:rPr>
              <w:t>Asset-Based</w:t>
            </w:r>
          </w:p>
        </w:tc>
        <w:tc>
          <w:tcPr>
            <w:tcW w:w="2280" w:type="dxa"/>
            <w:vAlign w:val="bottom"/>
            <w:tcBorders>
              <w:right w:val="single" w:sz="8" w:color="A5A5A5"/>
            </w:tcBorders>
          </w:tcPr>
          <w:p>
            <w:pPr>
              <w:ind w:left="20"/>
              <w:spacing w:after="0"/>
              <w:rPr>
                <w:sz w:val="20"/>
                <w:szCs w:val="20"/>
                <w:color w:val="auto"/>
              </w:rPr>
            </w:pPr>
            <w:r>
              <w:rPr>
                <w:rFonts w:ascii="Arial" w:cs="Arial" w:eastAsia="Arial" w:hAnsi="Arial"/>
                <w:sz w:val="14"/>
                <w:szCs w:val="14"/>
                <w:color w:val="auto"/>
              </w:rPr>
              <w:t>- Cash balances</w:t>
            </w:r>
          </w:p>
        </w:tc>
        <w:tc>
          <w:tcPr>
            <w:tcW w:w="1080" w:type="dxa"/>
            <w:vAlign w:val="bottom"/>
            <w:tcBorders>
              <w:right w:val="single" w:sz="8" w:color="A5A5A5"/>
            </w:tcBorders>
          </w:tcPr>
          <w:p>
            <w:pPr>
              <w:jc w:val="center"/>
              <w:spacing w:after="0"/>
              <w:rPr>
                <w:sz w:val="20"/>
                <w:szCs w:val="20"/>
                <w:color w:val="auto"/>
              </w:rPr>
            </w:pPr>
            <w:r>
              <w:rPr>
                <w:rFonts w:ascii="Arial" w:cs="Arial" w:eastAsia="Arial" w:hAnsi="Arial"/>
                <w:sz w:val="14"/>
                <w:szCs w:val="14"/>
                <w:color w:val="auto"/>
              </w:rPr>
              <w:t>$413</w:t>
            </w:r>
          </w:p>
        </w:tc>
        <w:tc>
          <w:tcPr>
            <w:tcW w:w="1080" w:type="dxa"/>
            <w:vAlign w:val="bottom"/>
            <w:tcBorders>
              <w:right w:val="single" w:sz="8" w:color="A5A5A5"/>
            </w:tcBorders>
            <w:vMerge w:val="restart"/>
          </w:tcPr>
          <w:p>
            <w:pPr>
              <w:jc w:val="center"/>
              <w:spacing w:after="0"/>
              <w:rPr>
                <w:sz w:val="20"/>
                <w:szCs w:val="20"/>
                <w:color w:val="auto"/>
              </w:rPr>
            </w:pPr>
            <w:r>
              <w:rPr>
                <w:rFonts w:ascii="Arial" w:cs="Arial" w:eastAsia="Arial" w:hAnsi="Arial"/>
                <w:sz w:val="14"/>
                <w:szCs w:val="14"/>
                <w:color w:val="auto"/>
              </w:rPr>
              <w:t>13.6%</w:t>
            </w:r>
          </w:p>
        </w:tc>
        <w:tc>
          <w:tcPr>
            <w:tcW w:w="1080" w:type="dxa"/>
            <w:vAlign w:val="bottom"/>
            <w:tcBorders>
              <w:right w:val="single" w:sz="8" w:color="A5A5A5"/>
            </w:tcBorders>
          </w:tcPr>
          <w:p>
            <w:pPr>
              <w:jc w:val="center"/>
              <w:spacing w:after="0"/>
              <w:rPr>
                <w:sz w:val="20"/>
                <w:szCs w:val="20"/>
                <w:color w:val="auto"/>
              </w:rPr>
            </w:pPr>
            <w:r>
              <w:rPr>
                <w:rFonts w:ascii="Arial" w:cs="Arial" w:eastAsia="Arial" w:hAnsi="Arial"/>
                <w:sz w:val="14"/>
                <w:szCs w:val="14"/>
                <w:color w:val="auto"/>
              </w:rPr>
              <w:t>$401</w:t>
            </w:r>
          </w:p>
        </w:tc>
        <w:tc>
          <w:tcPr>
            <w:tcW w:w="1080" w:type="dxa"/>
            <w:vAlign w:val="bottom"/>
            <w:tcBorders>
              <w:right w:val="single" w:sz="8" w:color="A5A5A5"/>
            </w:tcBorders>
            <w:vMerge w:val="restart"/>
          </w:tcPr>
          <w:p>
            <w:pPr>
              <w:jc w:val="center"/>
              <w:spacing w:after="0"/>
              <w:rPr>
                <w:sz w:val="20"/>
                <w:szCs w:val="20"/>
                <w:color w:val="auto"/>
              </w:rPr>
            </w:pPr>
            <w:r>
              <w:rPr>
                <w:rFonts w:ascii="Arial" w:cs="Arial" w:eastAsia="Arial" w:hAnsi="Arial"/>
                <w:sz w:val="14"/>
                <w:szCs w:val="14"/>
                <w:color w:val="auto"/>
              </w:rPr>
              <w:t>97.1%</w:t>
            </w:r>
          </w:p>
        </w:tc>
        <w:tc>
          <w:tcPr>
            <w:tcW w:w="0" w:type="dxa"/>
            <w:vAlign w:val="bottom"/>
          </w:tcPr>
          <w:p>
            <w:pPr>
              <w:spacing w:after="0"/>
              <w:rPr>
                <w:sz w:val="1"/>
                <w:szCs w:val="1"/>
                <w:color w:val="auto"/>
              </w:rPr>
            </w:pPr>
          </w:p>
        </w:tc>
      </w:tr>
      <w:tr>
        <w:trPr>
          <w:trHeight w:val="118"/>
        </w:trPr>
        <w:tc>
          <w:tcPr>
            <w:tcW w:w="2400" w:type="dxa"/>
            <w:vAlign w:val="bottom"/>
            <w:tcBorders>
              <w:left w:val="single" w:sz="8" w:color="A5A5A5"/>
              <w:right w:val="single" w:sz="8" w:color="A5A5A5"/>
            </w:tcBorders>
            <w:vMerge w:val="restart"/>
          </w:tcPr>
          <w:p>
            <w:pPr>
              <w:ind w:left="40"/>
              <w:spacing w:after="0"/>
              <w:rPr>
                <w:sz w:val="20"/>
                <w:szCs w:val="20"/>
                <w:color w:val="auto"/>
              </w:rPr>
            </w:pPr>
            <w:r>
              <w:rPr>
                <w:rFonts w:ascii="Arial" w:cs="Arial" w:eastAsia="Arial" w:hAnsi="Arial"/>
                <w:sz w:val="14"/>
                <w:szCs w:val="14"/>
                <w:color w:val="auto"/>
              </w:rPr>
              <w:t>- Cash Sweep Fees</w:t>
            </w:r>
          </w:p>
        </w:tc>
        <w:tc>
          <w:tcPr>
            <w:tcW w:w="2280" w:type="dxa"/>
            <w:vAlign w:val="bottom"/>
            <w:tcBorders>
              <w:right w:val="single" w:sz="8" w:color="A5A5A5"/>
            </w:tcBorders>
            <w:vMerge w:val="restart"/>
          </w:tcPr>
          <w:p>
            <w:pPr>
              <w:ind w:left="20"/>
              <w:spacing w:after="0"/>
              <w:rPr>
                <w:sz w:val="20"/>
                <w:szCs w:val="20"/>
                <w:color w:val="auto"/>
              </w:rPr>
            </w:pPr>
            <w:r>
              <w:rPr>
                <w:rFonts w:ascii="Arial" w:cs="Arial" w:eastAsia="Arial" w:hAnsi="Arial"/>
                <w:sz w:val="14"/>
                <w:szCs w:val="14"/>
                <w:color w:val="auto"/>
              </w:rPr>
              <w:t>- Interest rates</w:t>
            </w:r>
          </w:p>
        </w:tc>
        <w:tc>
          <w:tcPr>
            <w:tcW w:w="1080" w:type="dxa"/>
            <w:vAlign w:val="bottom"/>
            <w:tcBorders>
              <w:right w:val="single" w:sz="8" w:color="A5A5A5"/>
            </w:tcBorders>
          </w:tcPr>
          <w:p>
            <w:pPr>
              <w:spacing w:after="0"/>
              <w:rPr>
                <w:sz w:val="10"/>
                <w:szCs w:val="10"/>
                <w:color w:val="auto"/>
              </w:rPr>
            </w:pPr>
          </w:p>
        </w:tc>
        <w:tc>
          <w:tcPr>
            <w:tcW w:w="1080" w:type="dxa"/>
            <w:vAlign w:val="bottom"/>
            <w:tcBorders>
              <w:right w:val="single" w:sz="8" w:color="A5A5A5"/>
            </w:tcBorders>
            <w:vMerge w:val="continue"/>
          </w:tcPr>
          <w:p>
            <w:pPr>
              <w:spacing w:after="0"/>
              <w:rPr>
                <w:sz w:val="10"/>
                <w:szCs w:val="10"/>
                <w:color w:val="auto"/>
              </w:rPr>
            </w:pPr>
          </w:p>
        </w:tc>
        <w:tc>
          <w:tcPr>
            <w:tcW w:w="1080" w:type="dxa"/>
            <w:vAlign w:val="bottom"/>
            <w:tcBorders>
              <w:right w:val="single" w:sz="8" w:color="A5A5A5"/>
            </w:tcBorders>
          </w:tcPr>
          <w:p>
            <w:pPr>
              <w:spacing w:after="0"/>
              <w:rPr>
                <w:sz w:val="10"/>
                <w:szCs w:val="10"/>
                <w:color w:val="auto"/>
              </w:rPr>
            </w:pPr>
          </w:p>
        </w:tc>
        <w:tc>
          <w:tcPr>
            <w:tcW w:w="1080" w:type="dxa"/>
            <w:vAlign w:val="bottom"/>
            <w:tcBorders>
              <w:right w:val="single" w:sz="8" w:color="A5A5A5"/>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2400" w:type="dxa"/>
            <w:vAlign w:val="bottom"/>
            <w:tcBorders>
              <w:left w:val="single" w:sz="8" w:color="A5A5A5"/>
              <w:right w:val="single" w:sz="8" w:color="A5A5A5"/>
            </w:tcBorders>
            <w:vMerge w:val="continue"/>
          </w:tcPr>
          <w:p>
            <w:pPr>
              <w:spacing w:after="0"/>
              <w:rPr>
                <w:sz w:val="3"/>
                <w:szCs w:val="3"/>
                <w:color w:val="auto"/>
              </w:rPr>
            </w:pPr>
          </w:p>
        </w:tc>
        <w:tc>
          <w:tcPr>
            <w:tcW w:w="2280" w:type="dxa"/>
            <w:vAlign w:val="bottom"/>
            <w:tcBorders>
              <w:right w:val="single" w:sz="8" w:color="A5A5A5"/>
            </w:tcBorders>
            <w:vMerge w:val="continue"/>
          </w:tcPr>
          <w:p>
            <w:pPr>
              <w:spacing w:after="0"/>
              <w:rPr>
                <w:sz w:val="3"/>
                <w:szCs w:val="3"/>
                <w:color w:val="auto"/>
              </w:rPr>
            </w:pPr>
          </w:p>
        </w:tc>
        <w:tc>
          <w:tcPr>
            <w:tcW w:w="1080" w:type="dxa"/>
            <w:vAlign w:val="bottom"/>
            <w:tcBorders>
              <w:right w:val="single" w:sz="8" w:color="A5A5A5"/>
            </w:tcBorders>
          </w:tcPr>
          <w:p>
            <w:pPr>
              <w:spacing w:after="0"/>
              <w:rPr>
                <w:sz w:val="3"/>
                <w:szCs w:val="3"/>
                <w:color w:val="auto"/>
              </w:rPr>
            </w:pPr>
          </w:p>
        </w:tc>
        <w:tc>
          <w:tcPr>
            <w:tcW w:w="1080" w:type="dxa"/>
            <w:vAlign w:val="bottom"/>
            <w:tcBorders>
              <w:right w:val="single" w:sz="8" w:color="A5A5A5"/>
            </w:tcBorders>
          </w:tcPr>
          <w:p>
            <w:pPr>
              <w:spacing w:after="0"/>
              <w:rPr>
                <w:sz w:val="3"/>
                <w:szCs w:val="3"/>
                <w:color w:val="auto"/>
              </w:rPr>
            </w:pPr>
          </w:p>
        </w:tc>
        <w:tc>
          <w:tcPr>
            <w:tcW w:w="1080" w:type="dxa"/>
            <w:vAlign w:val="bottom"/>
            <w:tcBorders>
              <w:right w:val="single" w:sz="8" w:color="A5A5A5"/>
            </w:tcBorders>
          </w:tcPr>
          <w:p>
            <w:pPr>
              <w:spacing w:after="0"/>
              <w:rPr>
                <w:sz w:val="3"/>
                <w:szCs w:val="3"/>
                <w:color w:val="auto"/>
              </w:rPr>
            </w:pPr>
          </w:p>
        </w:tc>
        <w:tc>
          <w:tcPr>
            <w:tcW w:w="1080" w:type="dxa"/>
            <w:vAlign w:val="bottom"/>
            <w:tcBorders>
              <w:right w:val="single" w:sz="8" w:color="A5A5A5"/>
            </w:tcBorders>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400" w:type="dxa"/>
            <w:vAlign w:val="bottom"/>
            <w:tcBorders>
              <w:left w:val="single" w:sz="8" w:color="A5A5A5"/>
              <w:right w:val="single" w:sz="8" w:color="A5A5A5"/>
            </w:tcBorders>
          </w:tcPr>
          <w:p>
            <w:pPr>
              <w:ind w:left="40"/>
              <w:spacing w:after="0"/>
              <w:rPr>
                <w:sz w:val="20"/>
                <w:szCs w:val="20"/>
                <w:color w:val="auto"/>
              </w:rPr>
            </w:pPr>
            <w:r>
              <w:rPr>
                <w:rFonts w:ascii="Arial" w:cs="Arial" w:eastAsia="Arial" w:hAnsi="Arial"/>
                <w:sz w:val="14"/>
                <w:szCs w:val="14"/>
                <w:color w:val="auto"/>
              </w:rPr>
              <w:t>- Sponsorship Fees</w:t>
            </w:r>
          </w:p>
        </w:tc>
        <w:tc>
          <w:tcPr>
            <w:tcW w:w="2280" w:type="dxa"/>
            <w:vAlign w:val="bottom"/>
            <w:tcBorders>
              <w:right w:val="single" w:sz="8" w:color="A5A5A5"/>
            </w:tcBorders>
          </w:tcPr>
          <w:p>
            <w:pPr>
              <w:ind w:left="20"/>
              <w:spacing w:after="0"/>
              <w:rPr>
                <w:sz w:val="20"/>
                <w:szCs w:val="20"/>
                <w:color w:val="auto"/>
              </w:rPr>
            </w:pPr>
            <w:r>
              <w:rPr>
                <w:rFonts w:ascii="Arial" w:cs="Arial" w:eastAsia="Arial" w:hAnsi="Arial"/>
                <w:sz w:val="14"/>
                <w:szCs w:val="14"/>
                <w:color w:val="auto"/>
              </w:rPr>
              <w:t>- Client asset levels</w:t>
            </w:r>
          </w:p>
        </w:tc>
        <w:tc>
          <w:tcPr>
            <w:tcW w:w="1080" w:type="dxa"/>
            <w:vAlign w:val="bottom"/>
            <w:tcBorders>
              <w:right w:val="single" w:sz="8" w:color="A5A5A5"/>
            </w:tcBorders>
          </w:tcPr>
          <w:p>
            <w:pPr>
              <w:spacing w:after="0"/>
              <w:rPr>
                <w:sz w:val="14"/>
                <w:szCs w:val="14"/>
                <w:color w:val="auto"/>
              </w:rPr>
            </w:pPr>
          </w:p>
        </w:tc>
        <w:tc>
          <w:tcPr>
            <w:tcW w:w="1080" w:type="dxa"/>
            <w:vAlign w:val="bottom"/>
            <w:tcBorders>
              <w:right w:val="single" w:sz="8" w:color="A5A5A5"/>
            </w:tcBorders>
          </w:tcPr>
          <w:p>
            <w:pPr>
              <w:spacing w:after="0"/>
              <w:rPr>
                <w:sz w:val="14"/>
                <w:szCs w:val="14"/>
                <w:color w:val="auto"/>
              </w:rPr>
            </w:pPr>
          </w:p>
        </w:tc>
        <w:tc>
          <w:tcPr>
            <w:tcW w:w="1080" w:type="dxa"/>
            <w:vAlign w:val="bottom"/>
            <w:tcBorders>
              <w:right w:val="single" w:sz="8" w:color="A5A5A5"/>
            </w:tcBorders>
          </w:tcPr>
          <w:p>
            <w:pPr>
              <w:spacing w:after="0"/>
              <w:rPr>
                <w:sz w:val="14"/>
                <w:szCs w:val="14"/>
                <w:color w:val="auto"/>
              </w:rPr>
            </w:pPr>
          </w:p>
        </w:tc>
        <w:tc>
          <w:tcPr>
            <w:tcW w:w="1080" w:type="dxa"/>
            <w:vAlign w:val="bottom"/>
            <w:tcBorders>
              <w:right w:val="single" w:sz="8" w:color="A5A5A5"/>
            </w:tcBorders>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400" w:type="dxa"/>
            <w:vAlign w:val="bottom"/>
            <w:tcBorders>
              <w:left w:val="single" w:sz="8" w:color="A5A5A5"/>
              <w:right w:val="single" w:sz="8" w:color="A5A5A5"/>
            </w:tcBorders>
          </w:tcPr>
          <w:p>
            <w:pPr>
              <w:ind w:left="40"/>
              <w:spacing w:after="0"/>
              <w:rPr>
                <w:sz w:val="20"/>
                <w:szCs w:val="20"/>
                <w:color w:val="auto"/>
              </w:rPr>
            </w:pPr>
            <w:r>
              <w:rPr>
                <w:rFonts w:ascii="Arial" w:cs="Arial" w:eastAsia="Arial" w:hAnsi="Arial"/>
                <w:sz w:val="14"/>
                <w:szCs w:val="14"/>
                <w:color w:val="auto"/>
              </w:rPr>
              <w:t>- Record Keeping</w:t>
            </w:r>
          </w:p>
        </w:tc>
        <w:tc>
          <w:tcPr>
            <w:tcW w:w="2280" w:type="dxa"/>
            <w:vAlign w:val="bottom"/>
            <w:tcBorders>
              <w:right w:val="single" w:sz="8" w:color="A5A5A5"/>
            </w:tcBorders>
          </w:tcPr>
          <w:p>
            <w:pPr>
              <w:ind w:left="20"/>
              <w:spacing w:after="0"/>
              <w:rPr>
                <w:sz w:val="20"/>
                <w:szCs w:val="20"/>
                <w:color w:val="auto"/>
              </w:rPr>
            </w:pPr>
            <w:r>
              <w:rPr>
                <w:rFonts w:ascii="Arial" w:cs="Arial" w:eastAsia="Arial" w:hAnsi="Arial"/>
                <w:sz w:val="14"/>
                <w:szCs w:val="14"/>
                <w:color w:val="auto"/>
              </w:rPr>
              <w:t>- Number of accounts</w:t>
            </w:r>
          </w:p>
        </w:tc>
        <w:tc>
          <w:tcPr>
            <w:tcW w:w="1080" w:type="dxa"/>
            <w:vAlign w:val="bottom"/>
            <w:tcBorders>
              <w:right w:val="single" w:sz="8" w:color="A5A5A5"/>
            </w:tcBorders>
          </w:tcPr>
          <w:p>
            <w:pPr>
              <w:spacing w:after="0"/>
              <w:rPr>
                <w:sz w:val="14"/>
                <w:szCs w:val="14"/>
                <w:color w:val="auto"/>
              </w:rPr>
            </w:pPr>
          </w:p>
        </w:tc>
        <w:tc>
          <w:tcPr>
            <w:tcW w:w="1080" w:type="dxa"/>
            <w:vAlign w:val="bottom"/>
            <w:tcBorders>
              <w:right w:val="single" w:sz="8" w:color="A5A5A5"/>
            </w:tcBorders>
          </w:tcPr>
          <w:p>
            <w:pPr>
              <w:spacing w:after="0"/>
              <w:rPr>
                <w:sz w:val="14"/>
                <w:szCs w:val="14"/>
                <w:color w:val="auto"/>
              </w:rPr>
            </w:pPr>
          </w:p>
        </w:tc>
        <w:tc>
          <w:tcPr>
            <w:tcW w:w="1080" w:type="dxa"/>
            <w:vAlign w:val="bottom"/>
            <w:tcBorders>
              <w:right w:val="single" w:sz="8" w:color="A5A5A5"/>
            </w:tcBorders>
          </w:tcPr>
          <w:p>
            <w:pPr>
              <w:spacing w:after="0"/>
              <w:rPr>
                <w:sz w:val="14"/>
                <w:szCs w:val="14"/>
                <w:color w:val="auto"/>
              </w:rPr>
            </w:pPr>
          </w:p>
        </w:tc>
        <w:tc>
          <w:tcPr>
            <w:tcW w:w="1080" w:type="dxa"/>
            <w:vAlign w:val="bottom"/>
            <w:tcBorders>
              <w:right w:val="single" w:sz="8" w:color="A5A5A5"/>
            </w:tcBorders>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400" w:type="dxa"/>
            <w:vAlign w:val="bottom"/>
            <w:tcBorders>
              <w:left w:val="single" w:sz="8" w:color="A5A5A5"/>
              <w:bottom w:val="single" w:sz="8" w:color="A5A5A5"/>
              <w:right w:val="single" w:sz="8" w:color="A5A5A5"/>
            </w:tcBorders>
          </w:tcPr>
          <w:p>
            <w:pPr>
              <w:spacing w:after="0"/>
              <w:rPr>
                <w:sz w:val="15"/>
                <w:szCs w:val="15"/>
                <w:color w:val="auto"/>
              </w:rPr>
            </w:pPr>
          </w:p>
        </w:tc>
        <w:tc>
          <w:tcPr>
            <w:tcW w:w="2280" w:type="dxa"/>
            <w:vAlign w:val="bottom"/>
            <w:tcBorders>
              <w:bottom w:val="single" w:sz="8" w:color="A5A5A5"/>
              <w:right w:val="single" w:sz="8" w:color="A5A5A5"/>
            </w:tcBorders>
          </w:tcPr>
          <w:p>
            <w:pPr>
              <w:spacing w:after="0"/>
              <w:rPr>
                <w:sz w:val="15"/>
                <w:szCs w:val="15"/>
                <w:color w:val="auto"/>
              </w:rPr>
            </w:pPr>
          </w:p>
        </w:tc>
        <w:tc>
          <w:tcPr>
            <w:tcW w:w="1080" w:type="dxa"/>
            <w:vAlign w:val="bottom"/>
            <w:tcBorders>
              <w:bottom w:val="single" w:sz="8" w:color="A5A5A5"/>
              <w:right w:val="single" w:sz="8" w:color="A5A5A5"/>
            </w:tcBorders>
          </w:tcPr>
          <w:p>
            <w:pPr>
              <w:spacing w:after="0"/>
              <w:rPr>
                <w:sz w:val="15"/>
                <w:szCs w:val="15"/>
                <w:color w:val="auto"/>
              </w:rPr>
            </w:pPr>
          </w:p>
        </w:tc>
        <w:tc>
          <w:tcPr>
            <w:tcW w:w="1080" w:type="dxa"/>
            <w:vAlign w:val="bottom"/>
            <w:tcBorders>
              <w:bottom w:val="single" w:sz="8" w:color="A5A5A5"/>
              <w:right w:val="single" w:sz="8" w:color="A5A5A5"/>
            </w:tcBorders>
          </w:tcPr>
          <w:p>
            <w:pPr>
              <w:spacing w:after="0"/>
              <w:rPr>
                <w:sz w:val="15"/>
                <w:szCs w:val="15"/>
                <w:color w:val="auto"/>
              </w:rPr>
            </w:pPr>
          </w:p>
        </w:tc>
        <w:tc>
          <w:tcPr>
            <w:tcW w:w="1080" w:type="dxa"/>
            <w:vAlign w:val="bottom"/>
            <w:tcBorders>
              <w:bottom w:val="single" w:sz="8" w:color="A5A5A5"/>
              <w:right w:val="single" w:sz="8" w:color="A5A5A5"/>
            </w:tcBorders>
          </w:tcPr>
          <w:p>
            <w:pPr>
              <w:spacing w:after="0"/>
              <w:rPr>
                <w:sz w:val="15"/>
                <w:szCs w:val="15"/>
                <w:color w:val="auto"/>
              </w:rPr>
            </w:pPr>
          </w:p>
        </w:tc>
        <w:tc>
          <w:tcPr>
            <w:tcW w:w="1080" w:type="dxa"/>
            <w:vAlign w:val="bottom"/>
            <w:tcBorders>
              <w:bottom w:val="single" w:sz="8" w:color="A5A5A5"/>
              <w:right w:val="single" w:sz="8" w:color="A5A5A5"/>
            </w:tcBorders>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2400" w:type="dxa"/>
            <w:vAlign w:val="bottom"/>
            <w:tcBorders>
              <w:left w:val="single" w:sz="8" w:color="A5A5A5"/>
              <w:right w:val="single" w:sz="8" w:color="A5A5A5"/>
            </w:tcBorders>
          </w:tcPr>
          <w:p>
            <w:pPr>
              <w:ind w:left="40"/>
              <w:spacing w:after="0"/>
              <w:rPr>
                <w:sz w:val="20"/>
                <w:szCs w:val="20"/>
                <w:color w:val="auto"/>
              </w:rPr>
            </w:pPr>
            <w:r>
              <w:rPr>
                <w:rFonts w:ascii="Arial" w:cs="Arial" w:eastAsia="Arial" w:hAnsi="Arial"/>
                <w:sz w:val="14"/>
                <w:szCs w:val="14"/>
                <w:b w:val="1"/>
                <w:bCs w:val="1"/>
                <w:color w:val="auto"/>
              </w:rPr>
              <w:t>Transaction and Fee</w:t>
            </w:r>
          </w:p>
        </w:tc>
        <w:tc>
          <w:tcPr>
            <w:tcW w:w="2280" w:type="dxa"/>
            <w:vAlign w:val="bottom"/>
            <w:tcBorders>
              <w:right w:val="single" w:sz="8" w:color="A5A5A5"/>
            </w:tcBorders>
          </w:tcPr>
          <w:p>
            <w:pPr>
              <w:ind w:left="20"/>
              <w:spacing w:after="0"/>
              <w:rPr>
                <w:sz w:val="20"/>
                <w:szCs w:val="20"/>
                <w:color w:val="auto"/>
              </w:rPr>
            </w:pPr>
            <w:r>
              <w:rPr>
                <w:rFonts w:ascii="Arial" w:cs="Arial" w:eastAsia="Arial" w:hAnsi="Arial"/>
                <w:sz w:val="14"/>
                <w:szCs w:val="14"/>
                <w:color w:val="auto"/>
              </w:rPr>
              <w:t>- Client activity</w:t>
            </w:r>
          </w:p>
        </w:tc>
        <w:tc>
          <w:tcPr>
            <w:tcW w:w="1080" w:type="dxa"/>
            <w:vAlign w:val="bottom"/>
            <w:tcBorders>
              <w:right w:val="single" w:sz="8" w:color="A5A5A5"/>
            </w:tcBorders>
          </w:tcPr>
          <w:p>
            <w:pPr>
              <w:jc w:val="center"/>
              <w:spacing w:after="0"/>
              <w:rPr>
                <w:sz w:val="20"/>
                <w:szCs w:val="20"/>
                <w:color w:val="auto"/>
              </w:rPr>
            </w:pPr>
            <w:r>
              <w:rPr>
                <w:rFonts w:ascii="Arial" w:cs="Arial" w:eastAsia="Arial" w:hAnsi="Arial"/>
                <w:sz w:val="14"/>
                <w:szCs w:val="14"/>
                <w:color w:val="auto"/>
              </w:rPr>
              <w:t>$313</w:t>
            </w:r>
          </w:p>
        </w:tc>
        <w:tc>
          <w:tcPr>
            <w:tcW w:w="1080" w:type="dxa"/>
            <w:vAlign w:val="bottom"/>
            <w:tcBorders>
              <w:right w:val="single" w:sz="8" w:color="A5A5A5"/>
            </w:tcBorders>
            <w:vMerge w:val="restart"/>
          </w:tcPr>
          <w:p>
            <w:pPr>
              <w:jc w:val="center"/>
              <w:spacing w:after="0"/>
              <w:rPr>
                <w:sz w:val="20"/>
                <w:szCs w:val="20"/>
                <w:color w:val="auto"/>
              </w:rPr>
            </w:pPr>
            <w:r>
              <w:rPr>
                <w:rFonts w:ascii="Arial" w:cs="Arial" w:eastAsia="Arial" w:hAnsi="Arial"/>
                <w:sz w:val="14"/>
                <w:szCs w:val="14"/>
                <w:color w:val="auto"/>
              </w:rPr>
              <w:t>10.3%</w:t>
            </w:r>
          </w:p>
        </w:tc>
        <w:tc>
          <w:tcPr>
            <w:tcW w:w="1080" w:type="dxa"/>
            <w:vAlign w:val="bottom"/>
            <w:tcBorders>
              <w:right w:val="single" w:sz="8" w:color="A5A5A5"/>
            </w:tcBorders>
          </w:tcPr>
          <w:p>
            <w:pPr>
              <w:jc w:val="center"/>
              <w:spacing w:after="0"/>
              <w:rPr>
                <w:sz w:val="20"/>
                <w:szCs w:val="20"/>
                <w:color w:val="auto"/>
              </w:rPr>
            </w:pPr>
            <w:r>
              <w:rPr>
                <w:rFonts w:ascii="Arial" w:cs="Arial" w:eastAsia="Arial" w:hAnsi="Arial"/>
                <w:sz w:val="14"/>
                <w:szCs w:val="14"/>
                <w:color w:val="auto"/>
              </w:rPr>
              <w:t>$186</w:t>
            </w:r>
          </w:p>
        </w:tc>
        <w:tc>
          <w:tcPr>
            <w:tcW w:w="1080" w:type="dxa"/>
            <w:vAlign w:val="bottom"/>
            <w:tcBorders>
              <w:right w:val="single" w:sz="8" w:color="A5A5A5"/>
            </w:tcBorders>
            <w:vMerge w:val="restart"/>
          </w:tcPr>
          <w:p>
            <w:pPr>
              <w:jc w:val="center"/>
              <w:spacing w:after="0"/>
              <w:rPr>
                <w:sz w:val="20"/>
                <w:szCs w:val="20"/>
                <w:color w:val="auto"/>
              </w:rPr>
            </w:pPr>
            <w:r>
              <w:rPr>
                <w:rFonts w:ascii="Arial" w:cs="Arial" w:eastAsia="Arial" w:hAnsi="Arial"/>
                <w:sz w:val="14"/>
                <w:szCs w:val="14"/>
                <w:color w:val="auto"/>
              </w:rPr>
              <w:t>59.4%</w:t>
            </w:r>
          </w:p>
        </w:tc>
        <w:tc>
          <w:tcPr>
            <w:tcW w:w="0" w:type="dxa"/>
            <w:vAlign w:val="bottom"/>
          </w:tcPr>
          <w:p>
            <w:pPr>
              <w:spacing w:after="0"/>
              <w:rPr>
                <w:sz w:val="1"/>
                <w:szCs w:val="1"/>
                <w:color w:val="auto"/>
              </w:rPr>
            </w:pPr>
          </w:p>
        </w:tc>
      </w:tr>
      <w:tr>
        <w:trPr>
          <w:trHeight w:val="118"/>
        </w:trPr>
        <w:tc>
          <w:tcPr>
            <w:tcW w:w="2400" w:type="dxa"/>
            <w:vAlign w:val="bottom"/>
            <w:tcBorders>
              <w:left w:val="single" w:sz="8" w:color="A5A5A5"/>
              <w:right w:val="single" w:sz="8" w:color="A5A5A5"/>
            </w:tcBorders>
            <w:vMerge w:val="restart"/>
          </w:tcPr>
          <w:p>
            <w:pPr>
              <w:ind w:left="40"/>
              <w:spacing w:after="0"/>
              <w:rPr>
                <w:sz w:val="20"/>
                <w:szCs w:val="20"/>
                <w:color w:val="auto"/>
              </w:rPr>
            </w:pPr>
            <w:r>
              <w:rPr>
                <w:rFonts w:ascii="Arial" w:cs="Arial" w:eastAsia="Arial" w:hAnsi="Arial"/>
                <w:sz w:val="14"/>
                <w:szCs w:val="14"/>
                <w:color w:val="auto"/>
              </w:rPr>
              <w:t>- Transactions</w:t>
            </w:r>
          </w:p>
        </w:tc>
        <w:tc>
          <w:tcPr>
            <w:tcW w:w="2280" w:type="dxa"/>
            <w:vAlign w:val="bottom"/>
            <w:tcBorders>
              <w:right w:val="single" w:sz="8" w:color="A5A5A5"/>
            </w:tcBorders>
            <w:vMerge w:val="restart"/>
          </w:tcPr>
          <w:p>
            <w:pPr>
              <w:ind w:left="20"/>
              <w:spacing w:after="0"/>
              <w:rPr>
                <w:sz w:val="20"/>
                <w:szCs w:val="20"/>
                <w:color w:val="auto"/>
              </w:rPr>
            </w:pPr>
            <w:r>
              <w:rPr>
                <w:rFonts w:ascii="Arial" w:cs="Arial" w:eastAsia="Arial" w:hAnsi="Arial"/>
                <w:sz w:val="14"/>
                <w:szCs w:val="14"/>
                <w:color w:val="auto"/>
              </w:rPr>
              <w:t>- Number of clients</w:t>
            </w:r>
          </w:p>
        </w:tc>
        <w:tc>
          <w:tcPr>
            <w:tcW w:w="1080" w:type="dxa"/>
            <w:vAlign w:val="bottom"/>
            <w:tcBorders>
              <w:right w:val="single" w:sz="8" w:color="A5A5A5"/>
            </w:tcBorders>
          </w:tcPr>
          <w:p>
            <w:pPr>
              <w:spacing w:after="0"/>
              <w:rPr>
                <w:sz w:val="10"/>
                <w:szCs w:val="10"/>
                <w:color w:val="auto"/>
              </w:rPr>
            </w:pPr>
          </w:p>
        </w:tc>
        <w:tc>
          <w:tcPr>
            <w:tcW w:w="1080" w:type="dxa"/>
            <w:vAlign w:val="bottom"/>
            <w:tcBorders>
              <w:right w:val="single" w:sz="8" w:color="A5A5A5"/>
            </w:tcBorders>
            <w:vMerge w:val="continue"/>
          </w:tcPr>
          <w:p>
            <w:pPr>
              <w:spacing w:after="0"/>
              <w:rPr>
                <w:sz w:val="10"/>
                <w:szCs w:val="10"/>
                <w:color w:val="auto"/>
              </w:rPr>
            </w:pPr>
          </w:p>
        </w:tc>
        <w:tc>
          <w:tcPr>
            <w:tcW w:w="1080" w:type="dxa"/>
            <w:vAlign w:val="bottom"/>
            <w:tcBorders>
              <w:right w:val="single" w:sz="8" w:color="A5A5A5"/>
            </w:tcBorders>
          </w:tcPr>
          <w:p>
            <w:pPr>
              <w:spacing w:after="0"/>
              <w:rPr>
                <w:sz w:val="10"/>
                <w:szCs w:val="10"/>
                <w:color w:val="auto"/>
              </w:rPr>
            </w:pPr>
          </w:p>
        </w:tc>
        <w:tc>
          <w:tcPr>
            <w:tcW w:w="1080" w:type="dxa"/>
            <w:vAlign w:val="bottom"/>
            <w:tcBorders>
              <w:right w:val="single" w:sz="8" w:color="A5A5A5"/>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2400" w:type="dxa"/>
            <w:vAlign w:val="bottom"/>
            <w:tcBorders>
              <w:left w:val="single" w:sz="8" w:color="A5A5A5"/>
              <w:right w:val="single" w:sz="8" w:color="A5A5A5"/>
            </w:tcBorders>
            <w:vMerge w:val="continue"/>
          </w:tcPr>
          <w:p>
            <w:pPr>
              <w:spacing w:after="0"/>
              <w:rPr>
                <w:sz w:val="3"/>
                <w:szCs w:val="3"/>
                <w:color w:val="auto"/>
              </w:rPr>
            </w:pPr>
          </w:p>
        </w:tc>
        <w:tc>
          <w:tcPr>
            <w:tcW w:w="2280" w:type="dxa"/>
            <w:vAlign w:val="bottom"/>
            <w:tcBorders>
              <w:right w:val="single" w:sz="8" w:color="A5A5A5"/>
            </w:tcBorders>
            <w:vMerge w:val="continue"/>
          </w:tcPr>
          <w:p>
            <w:pPr>
              <w:spacing w:after="0"/>
              <w:rPr>
                <w:sz w:val="3"/>
                <w:szCs w:val="3"/>
                <w:color w:val="auto"/>
              </w:rPr>
            </w:pPr>
          </w:p>
        </w:tc>
        <w:tc>
          <w:tcPr>
            <w:tcW w:w="1080" w:type="dxa"/>
            <w:vAlign w:val="bottom"/>
            <w:tcBorders>
              <w:right w:val="single" w:sz="8" w:color="A5A5A5"/>
            </w:tcBorders>
          </w:tcPr>
          <w:p>
            <w:pPr>
              <w:spacing w:after="0"/>
              <w:rPr>
                <w:sz w:val="3"/>
                <w:szCs w:val="3"/>
                <w:color w:val="auto"/>
              </w:rPr>
            </w:pPr>
          </w:p>
        </w:tc>
        <w:tc>
          <w:tcPr>
            <w:tcW w:w="1080" w:type="dxa"/>
            <w:vAlign w:val="bottom"/>
            <w:tcBorders>
              <w:right w:val="single" w:sz="8" w:color="A5A5A5"/>
            </w:tcBorders>
          </w:tcPr>
          <w:p>
            <w:pPr>
              <w:spacing w:after="0"/>
              <w:rPr>
                <w:sz w:val="3"/>
                <w:szCs w:val="3"/>
                <w:color w:val="auto"/>
              </w:rPr>
            </w:pPr>
          </w:p>
        </w:tc>
        <w:tc>
          <w:tcPr>
            <w:tcW w:w="1080" w:type="dxa"/>
            <w:vAlign w:val="bottom"/>
            <w:tcBorders>
              <w:right w:val="single" w:sz="8" w:color="A5A5A5"/>
            </w:tcBorders>
          </w:tcPr>
          <w:p>
            <w:pPr>
              <w:spacing w:after="0"/>
              <w:rPr>
                <w:sz w:val="3"/>
                <w:szCs w:val="3"/>
                <w:color w:val="auto"/>
              </w:rPr>
            </w:pPr>
          </w:p>
        </w:tc>
        <w:tc>
          <w:tcPr>
            <w:tcW w:w="1080" w:type="dxa"/>
            <w:vAlign w:val="bottom"/>
            <w:tcBorders>
              <w:right w:val="single" w:sz="8" w:color="A5A5A5"/>
            </w:tcBorders>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400" w:type="dxa"/>
            <w:vAlign w:val="bottom"/>
            <w:tcBorders>
              <w:left w:val="single" w:sz="8" w:color="A5A5A5"/>
              <w:right w:val="single" w:sz="8" w:color="A5A5A5"/>
            </w:tcBorders>
          </w:tcPr>
          <w:p>
            <w:pPr>
              <w:ind w:left="40"/>
              <w:spacing w:after="0"/>
              <w:rPr>
                <w:sz w:val="20"/>
                <w:szCs w:val="20"/>
                <w:color w:val="auto"/>
              </w:rPr>
            </w:pPr>
            <w:r>
              <w:rPr>
                <w:rFonts w:ascii="Arial" w:cs="Arial" w:eastAsia="Arial" w:hAnsi="Arial"/>
                <w:sz w:val="14"/>
                <w:szCs w:val="14"/>
                <w:color w:val="auto"/>
              </w:rPr>
              <w:t>- Client (Investor) Accounts</w:t>
            </w:r>
          </w:p>
        </w:tc>
        <w:tc>
          <w:tcPr>
            <w:tcW w:w="2280" w:type="dxa"/>
            <w:vAlign w:val="bottom"/>
            <w:tcBorders>
              <w:right w:val="single" w:sz="8" w:color="A5A5A5"/>
            </w:tcBorders>
          </w:tcPr>
          <w:p>
            <w:pPr>
              <w:ind w:left="20"/>
              <w:spacing w:after="0"/>
              <w:rPr>
                <w:sz w:val="20"/>
                <w:szCs w:val="20"/>
                <w:color w:val="auto"/>
              </w:rPr>
            </w:pPr>
            <w:r>
              <w:rPr>
                <w:rFonts w:ascii="Arial" w:cs="Arial" w:eastAsia="Arial" w:hAnsi="Arial"/>
                <w:sz w:val="14"/>
                <w:szCs w:val="14"/>
                <w:color w:val="auto"/>
              </w:rPr>
              <w:t>- Number of advisors</w:t>
            </w:r>
          </w:p>
        </w:tc>
        <w:tc>
          <w:tcPr>
            <w:tcW w:w="1080" w:type="dxa"/>
            <w:vAlign w:val="bottom"/>
            <w:tcBorders>
              <w:right w:val="single" w:sz="8" w:color="A5A5A5"/>
            </w:tcBorders>
          </w:tcPr>
          <w:p>
            <w:pPr>
              <w:spacing w:after="0"/>
              <w:rPr>
                <w:sz w:val="14"/>
                <w:szCs w:val="14"/>
                <w:color w:val="auto"/>
              </w:rPr>
            </w:pPr>
          </w:p>
        </w:tc>
        <w:tc>
          <w:tcPr>
            <w:tcW w:w="1080" w:type="dxa"/>
            <w:vAlign w:val="bottom"/>
            <w:tcBorders>
              <w:right w:val="single" w:sz="8" w:color="A5A5A5"/>
            </w:tcBorders>
          </w:tcPr>
          <w:p>
            <w:pPr>
              <w:spacing w:after="0"/>
              <w:rPr>
                <w:sz w:val="14"/>
                <w:szCs w:val="14"/>
                <w:color w:val="auto"/>
              </w:rPr>
            </w:pPr>
          </w:p>
        </w:tc>
        <w:tc>
          <w:tcPr>
            <w:tcW w:w="1080" w:type="dxa"/>
            <w:vAlign w:val="bottom"/>
            <w:tcBorders>
              <w:right w:val="single" w:sz="8" w:color="A5A5A5"/>
            </w:tcBorders>
          </w:tcPr>
          <w:p>
            <w:pPr>
              <w:spacing w:after="0"/>
              <w:rPr>
                <w:sz w:val="14"/>
                <w:szCs w:val="14"/>
                <w:color w:val="auto"/>
              </w:rPr>
            </w:pPr>
          </w:p>
        </w:tc>
        <w:tc>
          <w:tcPr>
            <w:tcW w:w="1080" w:type="dxa"/>
            <w:vAlign w:val="bottom"/>
            <w:tcBorders>
              <w:right w:val="single" w:sz="8" w:color="A5A5A5"/>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00" w:type="dxa"/>
            <w:vAlign w:val="bottom"/>
            <w:tcBorders>
              <w:left w:val="single" w:sz="8" w:color="A5A5A5"/>
              <w:right w:val="single" w:sz="8" w:color="A5A5A5"/>
            </w:tcBorders>
          </w:tcPr>
          <w:p>
            <w:pPr>
              <w:ind w:left="40"/>
              <w:spacing w:after="0"/>
              <w:rPr>
                <w:sz w:val="20"/>
                <w:szCs w:val="20"/>
                <w:color w:val="auto"/>
              </w:rPr>
            </w:pPr>
            <w:r>
              <w:rPr>
                <w:rFonts w:ascii="Arial" w:cs="Arial" w:eastAsia="Arial" w:hAnsi="Arial"/>
                <w:sz w:val="14"/>
                <w:szCs w:val="14"/>
                <w:color w:val="auto"/>
              </w:rPr>
              <w:t>- Advisor Seat and Technology</w:t>
            </w:r>
          </w:p>
        </w:tc>
        <w:tc>
          <w:tcPr>
            <w:tcW w:w="2280" w:type="dxa"/>
            <w:vAlign w:val="bottom"/>
            <w:tcBorders>
              <w:right w:val="single" w:sz="8" w:color="A5A5A5"/>
            </w:tcBorders>
          </w:tcPr>
          <w:p>
            <w:pPr>
              <w:ind w:left="20"/>
              <w:spacing w:after="0"/>
              <w:rPr>
                <w:sz w:val="20"/>
                <w:szCs w:val="20"/>
                <w:color w:val="auto"/>
              </w:rPr>
            </w:pPr>
            <w:r>
              <w:rPr>
                <w:rFonts w:ascii="Arial" w:cs="Arial" w:eastAsia="Arial" w:hAnsi="Arial"/>
                <w:sz w:val="14"/>
                <w:szCs w:val="14"/>
                <w:color w:val="auto"/>
              </w:rPr>
              <w:t>- Number of accounts</w:t>
            </w:r>
          </w:p>
        </w:tc>
        <w:tc>
          <w:tcPr>
            <w:tcW w:w="1080" w:type="dxa"/>
            <w:vAlign w:val="bottom"/>
            <w:tcBorders>
              <w:right w:val="single" w:sz="8" w:color="A5A5A5"/>
            </w:tcBorders>
          </w:tcPr>
          <w:p>
            <w:pPr>
              <w:spacing w:after="0"/>
              <w:rPr>
                <w:sz w:val="14"/>
                <w:szCs w:val="14"/>
                <w:color w:val="auto"/>
              </w:rPr>
            </w:pPr>
          </w:p>
        </w:tc>
        <w:tc>
          <w:tcPr>
            <w:tcW w:w="1080" w:type="dxa"/>
            <w:vAlign w:val="bottom"/>
            <w:tcBorders>
              <w:right w:val="single" w:sz="8" w:color="A5A5A5"/>
            </w:tcBorders>
          </w:tcPr>
          <w:p>
            <w:pPr>
              <w:spacing w:after="0"/>
              <w:rPr>
                <w:sz w:val="14"/>
                <w:szCs w:val="14"/>
                <w:color w:val="auto"/>
              </w:rPr>
            </w:pPr>
          </w:p>
        </w:tc>
        <w:tc>
          <w:tcPr>
            <w:tcW w:w="1080" w:type="dxa"/>
            <w:vAlign w:val="bottom"/>
            <w:tcBorders>
              <w:right w:val="single" w:sz="8" w:color="A5A5A5"/>
            </w:tcBorders>
          </w:tcPr>
          <w:p>
            <w:pPr>
              <w:spacing w:after="0"/>
              <w:rPr>
                <w:sz w:val="14"/>
                <w:szCs w:val="14"/>
                <w:color w:val="auto"/>
              </w:rPr>
            </w:pPr>
          </w:p>
        </w:tc>
        <w:tc>
          <w:tcPr>
            <w:tcW w:w="1080" w:type="dxa"/>
            <w:vAlign w:val="bottom"/>
            <w:tcBorders>
              <w:right w:val="single" w:sz="8" w:color="A5A5A5"/>
            </w:tcBorders>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2400" w:type="dxa"/>
            <w:vAlign w:val="bottom"/>
            <w:tcBorders>
              <w:left w:val="single" w:sz="8" w:color="A5A5A5"/>
              <w:bottom w:val="single" w:sz="8" w:color="A5A5A5"/>
              <w:right w:val="single" w:sz="8" w:color="A5A5A5"/>
            </w:tcBorders>
          </w:tcPr>
          <w:p>
            <w:pPr>
              <w:spacing w:after="0"/>
              <w:rPr>
                <w:sz w:val="15"/>
                <w:szCs w:val="15"/>
                <w:color w:val="auto"/>
              </w:rPr>
            </w:pPr>
          </w:p>
        </w:tc>
        <w:tc>
          <w:tcPr>
            <w:tcW w:w="2280" w:type="dxa"/>
            <w:vAlign w:val="bottom"/>
            <w:tcBorders>
              <w:bottom w:val="single" w:sz="8" w:color="A5A5A5"/>
              <w:right w:val="single" w:sz="8" w:color="A5A5A5"/>
            </w:tcBorders>
          </w:tcPr>
          <w:p>
            <w:pPr>
              <w:ind w:left="20"/>
              <w:spacing w:after="0"/>
              <w:rPr>
                <w:sz w:val="20"/>
                <w:szCs w:val="20"/>
                <w:color w:val="auto"/>
              </w:rPr>
            </w:pPr>
            <w:r>
              <w:rPr>
                <w:rFonts w:ascii="Arial" w:cs="Arial" w:eastAsia="Arial" w:hAnsi="Arial"/>
                <w:sz w:val="14"/>
                <w:szCs w:val="14"/>
                <w:color w:val="auto"/>
              </w:rPr>
              <w:t>- Premium technology subscribers</w:t>
            </w:r>
          </w:p>
        </w:tc>
        <w:tc>
          <w:tcPr>
            <w:tcW w:w="1080" w:type="dxa"/>
            <w:vAlign w:val="bottom"/>
            <w:tcBorders>
              <w:bottom w:val="single" w:sz="8" w:color="A5A5A5"/>
              <w:right w:val="single" w:sz="8" w:color="A5A5A5"/>
            </w:tcBorders>
          </w:tcPr>
          <w:p>
            <w:pPr>
              <w:spacing w:after="0"/>
              <w:rPr>
                <w:sz w:val="15"/>
                <w:szCs w:val="15"/>
                <w:color w:val="auto"/>
              </w:rPr>
            </w:pPr>
          </w:p>
        </w:tc>
        <w:tc>
          <w:tcPr>
            <w:tcW w:w="1080" w:type="dxa"/>
            <w:vAlign w:val="bottom"/>
            <w:tcBorders>
              <w:bottom w:val="single" w:sz="8" w:color="A5A5A5"/>
              <w:right w:val="single" w:sz="8" w:color="A5A5A5"/>
            </w:tcBorders>
          </w:tcPr>
          <w:p>
            <w:pPr>
              <w:spacing w:after="0"/>
              <w:rPr>
                <w:sz w:val="15"/>
                <w:szCs w:val="15"/>
                <w:color w:val="auto"/>
              </w:rPr>
            </w:pPr>
          </w:p>
        </w:tc>
        <w:tc>
          <w:tcPr>
            <w:tcW w:w="1080" w:type="dxa"/>
            <w:vAlign w:val="bottom"/>
            <w:tcBorders>
              <w:bottom w:val="single" w:sz="8" w:color="A5A5A5"/>
              <w:right w:val="single" w:sz="8" w:color="A5A5A5"/>
            </w:tcBorders>
          </w:tcPr>
          <w:p>
            <w:pPr>
              <w:spacing w:after="0"/>
              <w:rPr>
                <w:sz w:val="15"/>
                <w:szCs w:val="15"/>
                <w:color w:val="auto"/>
              </w:rPr>
            </w:pPr>
          </w:p>
        </w:tc>
        <w:tc>
          <w:tcPr>
            <w:tcW w:w="1080" w:type="dxa"/>
            <w:vAlign w:val="bottom"/>
            <w:tcBorders>
              <w:bottom w:val="single" w:sz="8" w:color="A5A5A5"/>
              <w:right w:val="single" w:sz="8" w:color="A5A5A5"/>
            </w:tcBorders>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400" w:type="dxa"/>
            <w:vAlign w:val="bottom"/>
            <w:tcBorders>
              <w:left w:val="single" w:sz="8" w:color="A5A5A5"/>
              <w:right w:val="single" w:sz="8" w:color="A5A5A5"/>
            </w:tcBorders>
          </w:tcPr>
          <w:p>
            <w:pPr>
              <w:ind w:left="40"/>
              <w:spacing w:after="0"/>
              <w:rPr>
                <w:sz w:val="20"/>
                <w:szCs w:val="20"/>
                <w:color w:val="auto"/>
              </w:rPr>
            </w:pPr>
            <w:r>
              <w:rPr>
                <w:rFonts w:ascii="Arial" w:cs="Arial" w:eastAsia="Arial" w:hAnsi="Arial"/>
                <w:sz w:val="14"/>
                <w:szCs w:val="14"/>
                <w:b w:val="1"/>
                <w:bCs w:val="1"/>
                <w:color w:val="auto"/>
              </w:rPr>
              <w:t>Other</w:t>
            </w:r>
          </w:p>
        </w:tc>
        <w:tc>
          <w:tcPr>
            <w:tcW w:w="2280" w:type="dxa"/>
            <w:vAlign w:val="bottom"/>
            <w:tcBorders>
              <w:right w:val="single" w:sz="8" w:color="A5A5A5"/>
            </w:tcBorders>
          </w:tcPr>
          <w:p>
            <w:pPr>
              <w:ind w:left="20"/>
              <w:spacing w:after="0"/>
              <w:rPr>
                <w:sz w:val="20"/>
                <w:szCs w:val="20"/>
                <w:color w:val="auto"/>
              </w:rPr>
            </w:pPr>
            <w:r>
              <w:rPr>
                <w:rFonts w:ascii="Arial" w:cs="Arial" w:eastAsia="Arial" w:hAnsi="Arial"/>
                <w:sz w:val="14"/>
                <w:szCs w:val="14"/>
                <w:color w:val="auto"/>
              </w:rPr>
              <w:t>- Margin account balances</w:t>
            </w:r>
          </w:p>
        </w:tc>
        <w:tc>
          <w:tcPr>
            <w:tcW w:w="1080" w:type="dxa"/>
            <w:vAlign w:val="bottom"/>
            <w:tcBorders>
              <w:right w:val="single" w:sz="8" w:color="A5A5A5"/>
            </w:tcBorders>
          </w:tcPr>
          <w:p>
            <w:pPr>
              <w:jc w:val="center"/>
              <w:spacing w:after="0"/>
              <w:rPr>
                <w:sz w:val="20"/>
                <w:szCs w:val="20"/>
                <w:color w:val="auto"/>
              </w:rPr>
            </w:pPr>
            <w:r>
              <w:rPr>
                <w:rFonts w:ascii="Arial" w:cs="Arial" w:eastAsia="Arial" w:hAnsi="Arial"/>
                <w:sz w:val="14"/>
                <w:szCs w:val="14"/>
                <w:color w:val="auto"/>
              </w:rPr>
              <w:t>$38</w:t>
            </w:r>
          </w:p>
        </w:tc>
        <w:tc>
          <w:tcPr>
            <w:tcW w:w="1080" w:type="dxa"/>
            <w:vAlign w:val="bottom"/>
            <w:tcBorders>
              <w:right w:val="single" w:sz="8" w:color="A5A5A5"/>
            </w:tcBorders>
            <w:vMerge w:val="restart"/>
          </w:tcPr>
          <w:p>
            <w:pPr>
              <w:jc w:val="center"/>
              <w:spacing w:after="0"/>
              <w:rPr>
                <w:sz w:val="20"/>
                <w:szCs w:val="20"/>
                <w:color w:val="auto"/>
              </w:rPr>
            </w:pPr>
            <w:r>
              <w:rPr>
                <w:rFonts w:ascii="Arial" w:cs="Arial" w:eastAsia="Arial" w:hAnsi="Arial"/>
                <w:sz w:val="14"/>
                <w:szCs w:val="14"/>
                <w:color w:val="auto"/>
              </w:rPr>
              <w:t>1.2%</w:t>
            </w:r>
          </w:p>
        </w:tc>
        <w:tc>
          <w:tcPr>
            <w:tcW w:w="1080" w:type="dxa"/>
            <w:vAlign w:val="bottom"/>
            <w:tcBorders>
              <w:right w:val="single" w:sz="8" w:color="A5A5A5"/>
            </w:tcBorders>
          </w:tcPr>
          <w:p>
            <w:pPr>
              <w:jc w:val="center"/>
              <w:spacing w:after="0"/>
              <w:rPr>
                <w:sz w:val="20"/>
                <w:szCs w:val="20"/>
                <w:color w:val="auto"/>
              </w:rPr>
            </w:pPr>
            <w:r>
              <w:rPr>
                <w:rFonts w:ascii="Arial" w:cs="Arial" w:eastAsia="Arial" w:hAnsi="Arial"/>
                <w:sz w:val="14"/>
                <w:szCs w:val="14"/>
                <w:color w:val="auto"/>
              </w:rPr>
              <w:t>$18</w:t>
            </w:r>
          </w:p>
        </w:tc>
        <w:tc>
          <w:tcPr>
            <w:tcW w:w="1080" w:type="dxa"/>
            <w:vAlign w:val="bottom"/>
            <w:tcBorders>
              <w:right w:val="single" w:sz="8" w:color="A5A5A5"/>
            </w:tcBorders>
            <w:vMerge w:val="restart"/>
          </w:tcPr>
          <w:p>
            <w:pPr>
              <w:jc w:val="center"/>
              <w:spacing w:after="0"/>
              <w:rPr>
                <w:sz w:val="20"/>
                <w:szCs w:val="20"/>
                <w:color w:val="auto"/>
              </w:rPr>
            </w:pPr>
            <w:r>
              <w:rPr>
                <w:rFonts w:ascii="Arial" w:cs="Arial" w:eastAsia="Arial" w:hAnsi="Arial"/>
                <w:sz w:val="14"/>
                <w:szCs w:val="14"/>
                <w:color w:val="auto"/>
              </w:rPr>
              <w:t>47.4%</w:t>
            </w:r>
          </w:p>
        </w:tc>
        <w:tc>
          <w:tcPr>
            <w:tcW w:w="0" w:type="dxa"/>
            <w:vAlign w:val="bottom"/>
          </w:tcPr>
          <w:p>
            <w:pPr>
              <w:spacing w:after="0"/>
              <w:rPr>
                <w:sz w:val="1"/>
                <w:szCs w:val="1"/>
                <w:color w:val="auto"/>
              </w:rPr>
            </w:pPr>
          </w:p>
        </w:tc>
      </w:tr>
      <w:tr>
        <w:trPr>
          <w:trHeight w:val="118"/>
        </w:trPr>
        <w:tc>
          <w:tcPr>
            <w:tcW w:w="2400" w:type="dxa"/>
            <w:vAlign w:val="bottom"/>
            <w:tcBorders>
              <w:left w:val="single" w:sz="8" w:color="A5A5A5"/>
              <w:right w:val="single" w:sz="8" w:color="A5A5A5"/>
            </w:tcBorders>
          </w:tcPr>
          <w:p>
            <w:pPr>
              <w:spacing w:after="0"/>
              <w:rPr>
                <w:sz w:val="10"/>
                <w:szCs w:val="10"/>
                <w:color w:val="auto"/>
              </w:rPr>
            </w:pPr>
          </w:p>
        </w:tc>
        <w:tc>
          <w:tcPr>
            <w:tcW w:w="2280" w:type="dxa"/>
            <w:vAlign w:val="bottom"/>
            <w:tcBorders>
              <w:right w:val="single" w:sz="8" w:color="A5A5A5"/>
            </w:tcBorders>
            <w:vMerge w:val="restart"/>
          </w:tcPr>
          <w:p>
            <w:pPr>
              <w:ind w:left="20"/>
              <w:spacing w:after="0"/>
              <w:rPr>
                <w:sz w:val="20"/>
                <w:szCs w:val="20"/>
                <w:color w:val="auto"/>
              </w:rPr>
            </w:pPr>
            <w:r>
              <w:rPr>
                <w:rFonts w:ascii="Arial" w:cs="Arial" w:eastAsia="Arial" w:hAnsi="Arial"/>
                <w:sz w:val="14"/>
                <w:szCs w:val="14"/>
                <w:color w:val="auto"/>
              </w:rPr>
              <w:t>- Alternative investment</w:t>
            </w:r>
          </w:p>
        </w:tc>
        <w:tc>
          <w:tcPr>
            <w:tcW w:w="1080" w:type="dxa"/>
            <w:vAlign w:val="bottom"/>
            <w:tcBorders>
              <w:right w:val="single" w:sz="8" w:color="A5A5A5"/>
            </w:tcBorders>
          </w:tcPr>
          <w:p>
            <w:pPr>
              <w:spacing w:after="0"/>
              <w:rPr>
                <w:sz w:val="10"/>
                <w:szCs w:val="10"/>
                <w:color w:val="auto"/>
              </w:rPr>
            </w:pPr>
          </w:p>
        </w:tc>
        <w:tc>
          <w:tcPr>
            <w:tcW w:w="1080" w:type="dxa"/>
            <w:vAlign w:val="bottom"/>
            <w:tcBorders>
              <w:right w:val="single" w:sz="8" w:color="A5A5A5"/>
            </w:tcBorders>
            <w:vMerge w:val="continue"/>
          </w:tcPr>
          <w:p>
            <w:pPr>
              <w:spacing w:after="0"/>
              <w:rPr>
                <w:sz w:val="10"/>
                <w:szCs w:val="10"/>
                <w:color w:val="auto"/>
              </w:rPr>
            </w:pPr>
          </w:p>
        </w:tc>
        <w:tc>
          <w:tcPr>
            <w:tcW w:w="1080" w:type="dxa"/>
            <w:vAlign w:val="bottom"/>
            <w:tcBorders>
              <w:right w:val="single" w:sz="8" w:color="A5A5A5"/>
            </w:tcBorders>
          </w:tcPr>
          <w:p>
            <w:pPr>
              <w:spacing w:after="0"/>
              <w:rPr>
                <w:sz w:val="10"/>
                <w:szCs w:val="10"/>
                <w:color w:val="auto"/>
              </w:rPr>
            </w:pPr>
          </w:p>
        </w:tc>
        <w:tc>
          <w:tcPr>
            <w:tcW w:w="1080" w:type="dxa"/>
            <w:vAlign w:val="bottom"/>
            <w:tcBorders>
              <w:right w:val="single" w:sz="8" w:color="A5A5A5"/>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2400" w:type="dxa"/>
            <w:vAlign w:val="bottom"/>
            <w:tcBorders>
              <w:left w:val="single" w:sz="8" w:color="A5A5A5"/>
              <w:right w:val="single" w:sz="8" w:color="A5A5A5"/>
            </w:tcBorders>
          </w:tcPr>
          <w:p>
            <w:pPr>
              <w:spacing w:after="0"/>
              <w:rPr>
                <w:sz w:val="3"/>
                <w:szCs w:val="3"/>
                <w:color w:val="auto"/>
              </w:rPr>
            </w:pPr>
          </w:p>
        </w:tc>
        <w:tc>
          <w:tcPr>
            <w:tcW w:w="2280" w:type="dxa"/>
            <w:vAlign w:val="bottom"/>
            <w:tcBorders>
              <w:right w:val="single" w:sz="8" w:color="A5A5A5"/>
            </w:tcBorders>
            <w:vMerge w:val="continue"/>
          </w:tcPr>
          <w:p>
            <w:pPr>
              <w:spacing w:after="0"/>
              <w:rPr>
                <w:sz w:val="3"/>
                <w:szCs w:val="3"/>
                <w:color w:val="auto"/>
              </w:rPr>
            </w:pPr>
          </w:p>
        </w:tc>
        <w:tc>
          <w:tcPr>
            <w:tcW w:w="1080" w:type="dxa"/>
            <w:vAlign w:val="bottom"/>
            <w:tcBorders>
              <w:right w:val="single" w:sz="8" w:color="A5A5A5"/>
            </w:tcBorders>
          </w:tcPr>
          <w:p>
            <w:pPr>
              <w:spacing w:after="0"/>
              <w:rPr>
                <w:sz w:val="3"/>
                <w:szCs w:val="3"/>
                <w:color w:val="auto"/>
              </w:rPr>
            </w:pPr>
          </w:p>
        </w:tc>
        <w:tc>
          <w:tcPr>
            <w:tcW w:w="1080" w:type="dxa"/>
            <w:vAlign w:val="bottom"/>
            <w:tcBorders>
              <w:right w:val="single" w:sz="8" w:color="A5A5A5"/>
            </w:tcBorders>
          </w:tcPr>
          <w:p>
            <w:pPr>
              <w:spacing w:after="0"/>
              <w:rPr>
                <w:sz w:val="3"/>
                <w:szCs w:val="3"/>
                <w:color w:val="auto"/>
              </w:rPr>
            </w:pPr>
          </w:p>
        </w:tc>
        <w:tc>
          <w:tcPr>
            <w:tcW w:w="1080" w:type="dxa"/>
            <w:vAlign w:val="bottom"/>
            <w:tcBorders>
              <w:right w:val="single" w:sz="8" w:color="A5A5A5"/>
            </w:tcBorders>
          </w:tcPr>
          <w:p>
            <w:pPr>
              <w:spacing w:after="0"/>
              <w:rPr>
                <w:sz w:val="3"/>
                <w:szCs w:val="3"/>
                <w:color w:val="auto"/>
              </w:rPr>
            </w:pPr>
          </w:p>
        </w:tc>
        <w:tc>
          <w:tcPr>
            <w:tcW w:w="1080" w:type="dxa"/>
            <w:vAlign w:val="bottom"/>
            <w:tcBorders>
              <w:right w:val="single" w:sz="8" w:color="A5A5A5"/>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400" w:type="dxa"/>
            <w:vAlign w:val="bottom"/>
            <w:tcBorders>
              <w:left w:val="single" w:sz="8" w:color="A5A5A5"/>
              <w:bottom w:val="single" w:sz="8" w:color="A5A5A5"/>
              <w:right w:val="single" w:sz="8" w:color="A5A5A5"/>
            </w:tcBorders>
          </w:tcPr>
          <w:p>
            <w:pPr>
              <w:spacing w:after="0"/>
              <w:rPr>
                <w:sz w:val="15"/>
                <w:szCs w:val="15"/>
                <w:color w:val="auto"/>
              </w:rPr>
            </w:pPr>
          </w:p>
        </w:tc>
        <w:tc>
          <w:tcPr>
            <w:tcW w:w="2280" w:type="dxa"/>
            <w:vAlign w:val="bottom"/>
            <w:tcBorders>
              <w:bottom w:val="single" w:sz="8" w:color="A5A5A5"/>
              <w:right w:val="single" w:sz="8" w:color="A5A5A5"/>
            </w:tcBorders>
          </w:tcPr>
          <w:p>
            <w:pPr>
              <w:ind w:left="180"/>
              <w:spacing w:after="0"/>
              <w:rPr>
                <w:sz w:val="20"/>
                <w:szCs w:val="20"/>
                <w:color w:val="auto"/>
              </w:rPr>
            </w:pPr>
            <w:r>
              <w:rPr>
                <w:rFonts w:ascii="Arial" w:cs="Arial" w:eastAsia="Arial" w:hAnsi="Arial"/>
                <w:sz w:val="14"/>
                <w:szCs w:val="14"/>
                <w:color w:val="auto"/>
              </w:rPr>
              <w:t>transactions</w:t>
            </w:r>
          </w:p>
        </w:tc>
        <w:tc>
          <w:tcPr>
            <w:tcW w:w="1080" w:type="dxa"/>
            <w:vAlign w:val="bottom"/>
            <w:tcBorders>
              <w:bottom w:val="single" w:sz="8" w:color="A5A5A5"/>
              <w:right w:val="single" w:sz="8" w:color="A5A5A5"/>
            </w:tcBorders>
          </w:tcPr>
          <w:p>
            <w:pPr>
              <w:spacing w:after="0"/>
              <w:rPr>
                <w:sz w:val="15"/>
                <w:szCs w:val="15"/>
                <w:color w:val="auto"/>
              </w:rPr>
            </w:pPr>
          </w:p>
        </w:tc>
        <w:tc>
          <w:tcPr>
            <w:tcW w:w="1080" w:type="dxa"/>
            <w:vAlign w:val="bottom"/>
            <w:tcBorders>
              <w:bottom w:val="single" w:sz="8" w:color="A5A5A5"/>
              <w:right w:val="single" w:sz="8" w:color="A5A5A5"/>
            </w:tcBorders>
          </w:tcPr>
          <w:p>
            <w:pPr>
              <w:spacing w:after="0"/>
              <w:rPr>
                <w:sz w:val="15"/>
                <w:szCs w:val="15"/>
                <w:color w:val="auto"/>
              </w:rPr>
            </w:pPr>
          </w:p>
        </w:tc>
        <w:tc>
          <w:tcPr>
            <w:tcW w:w="1080" w:type="dxa"/>
            <w:vAlign w:val="bottom"/>
            <w:tcBorders>
              <w:bottom w:val="single" w:sz="8" w:color="A5A5A5"/>
              <w:right w:val="single" w:sz="8" w:color="A5A5A5"/>
            </w:tcBorders>
          </w:tcPr>
          <w:p>
            <w:pPr>
              <w:spacing w:after="0"/>
              <w:rPr>
                <w:sz w:val="15"/>
                <w:szCs w:val="15"/>
                <w:color w:val="auto"/>
              </w:rPr>
            </w:pPr>
          </w:p>
        </w:tc>
        <w:tc>
          <w:tcPr>
            <w:tcW w:w="1080" w:type="dxa"/>
            <w:vAlign w:val="bottom"/>
            <w:tcBorders>
              <w:bottom w:val="single" w:sz="8" w:color="A5A5A5"/>
              <w:right w:val="single" w:sz="8" w:color="A5A5A5"/>
            </w:tcBorders>
          </w:tcPr>
          <w:p>
            <w:pPr>
              <w:spacing w:after="0"/>
              <w:rPr>
                <w:sz w:val="15"/>
                <w:szCs w:val="15"/>
                <w:color w:val="auto"/>
              </w:rPr>
            </w:pPr>
          </w:p>
        </w:tc>
        <w:tc>
          <w:tcPr>
            <w:tcW w:w="0" w:type="dxa"/>
            <w:vAlign w:val="bottom"/>
          </w:tcPr>
          <w:p>
            <w:pPr>
              <w:spacing w:after="0"/>
              <w:rPr>
                <w:sz w:val="1"/>
                <w:szCs w:val="1"/>
                <w:color w:val="auto"/>
              </w:rPr>
            </w:pPr>
          </w:p>
        </w:tc>
      </w:tr>
      <w:tr>
        <w:trPr>
          <w:trHeight w:val="258"/>
        </w:trPr>
        <w:tc>
          <w:tcPr>
            <w:tcW w:w="2400" w:type="dxa"/>
            <w:vAlign w:val="bottom"/>
            <w:tcBorders>
              <w:left w:val="single" w:sz="8" w:color="A5A5A5"/>
            </w:tcBorders>
          </w:tcPr>
          <w:p>
            <w:pPr>
              <w:ind w:left="40"/>
              <w:spacing w:after="0"/>
              <w:rPr>
                <w:sz w:val="20"/>
                <w:szCs w:val="20"/>
                <w:color w:val="auto"/>
              </w:rPr>
            </w:pPr>
            <w:r>
              <w:rPr>
                <w:rFonts w:ascii="Arial" w:cs="Arial" w:eastAsia="Arial" w:hAnsi="Arial"/>
                <w:sz w:val="14"/>
                <w:szCs w:val="14"/>
                <w:b w:val="1"/>
                <w:bCs w:val="1"/>
                <w:color w:val="auto"/>
              </w:rPr>
              <w:t>Total Net Revenue</w:t>
            </w:r>
          </w:p>
        </w:tc>
        <w:tc>
          <w:tcPr>
            <w:tcW w:w="2280" w:type="dxa"/>
            <w:vAlign w:val="bottom"/>
            <w:tcBorders>
              <w:right w:val="single" w:sz="8" w:color="A5A5A5"/>
            </w:tcBorders>
          </w:tcPr>
          <w:p>
            <w:pPr>
              <w:spacing w:after="0"/>
              <w:rPr>
                <w:sz w:val="22"/>
                <w:szCs w:val="22"/>
                <w:color w:val="auto"/>
              </w:rPr>
            </w:pPr>
          </w:p>
        </w:tc>
        <w:tc>
          <w:tcPr>
            <w:tcW w:w="1080" w:type="dxa"/>
            <w:vAlign w:val="bottom"/>
            <w:tcBorders>
              <w:right w:val="single" w:sz="8" w:color="A5A5A5"/>
            </w:tcBorders>
          </w:tcPr>
          <w:p>
            <w:pPr>
              <w:jc w:val="center"/>
              <w:spacing w:after="0"/>
              <w:rPr>
                <w:sz w:val="20"/>
                <w:szCs w:val="20"/>
                <w:color w:val="auto"/>
              </w:rPr>
            </w:pPr>
            <w:r>
              <w:rPr>
                <w:rFonts w:ascii="Arial" w:cs="Arial" w:eastAsia="Arial" w:hAnsi="Arial"/>
                <w:sz w:val="14"/>
                <w:szCs w:val="14"/>
                <w:color w:val="auto"/>
              </w:rPr>
              <w:t>$3,042</w:t>
            </w:r>
          </w:p>
        </w:tc>
        <w:tc>
          <w:tcPr>
            <w:tcW w:w="1080" w:type="dxa"/>
            <w:vAlign w:val="bottom"/>
            <w:tcBorders>
              <w:right w:val="single" w:sz="8" w:color="A5A5A5"/>
            </w:tcBorders>
          </w:tcPr>
          <w:p>
            <w:pPr>
              <w:jc w:val="center"/>
              <w:spacing w:after="0"/>
              <w:rPr>
                <w:sz w:val="20"/>
                <w:szCs w:val="20"/>
                <w:color w:val="auto"/>
              </w:rPr>
            </w:pPr>
            <w:r>
              <w:rPr>
                <w:rFonts w:ascii="Arial" w:cs="Arial" w:eastAsia="Arial" w:hAnsi="Arial"/>
                <w:sz w:val="14"/>
                <w:szCs w:val="14"/>
                <w:color w:val="auto"/>
              </w:rPr>
              <w:t>100.0%</w:t>
            </w:r>
          </w:p>
        </w:tc>
        <w:tc>
          <w:tcPr>
            <w:tcW w:w="1080" w:type="dxa"/>
            <w:vAlign w:val="bottom"/>
            <w:tcBorders>
              <w:right w:val="single" w:sz="8" w:color="A5A5A5"/>
            </w:tcBorders>
          </w:tcPr>
          <w:p>
            <w:pPr>
              <w:jc w:val="center"/>
              <w:spacing w:after="0"/>
              <w:rPr>
                <w:sz w:val="20"/>
                <w:szCs w:val="20"/>
                <w:color w:val="auto"/>
              </w:rPr>
            </w:pPr>
            <w:r>
              <w:rPr>
                <w:rFonts w:ascii="Arial" w:cs="Arial" w:eastAsia="Arial" w:hAnsi="Arial"/>
                <w:sz w:val="14"/>
                <w:szCs w:val="14"/>
                <w:color w:val="auto"/>
              </w:rPr>
              <w:t>$2,250</w:t>
            </w:r>
          </w:p>
        </w:tc>
        <w:tc>
          <w:tcPr>
            <w:tcW w:w="1080" w:type="dxa"/>
            <w:vAlign w:val="bottom"/>
            <w:tcBorders>
              <w:right w:val="single" w:sz="8" w:color="A5A5A5"/>
            </w:tcBorders>
            <w:vMerge w:val="restart"/>
          </w:tcPr>
          <w:p>
            <w:pPr>
              <w:jc w:val="center"/>
              <w:spacing w:after="0"/>
              <w:rPr>
                <w:sz w:val="20"/>
                <w:szCs w:val="20"/>
                <w:color w:val="auto"/>
              </w:rPr>
            </w:pPr>
            <w:r>
              <w:rPr>
                <w:rFonts w:ascii="Arial" w:cs="Arial" w:eastAsia="Arial" w:hAnsi="Arial"/>
                <w:sz w:val="14"/>
                <w:szCs w:val="14"/>
                <w:color w:val="auto"/>
              </w:rPr>
              <w:t>74.0%</w:t>
            </w:r>
          </w:p>
        </w:tc>
        <w:tc>
          <w:tcPr>
            <w:tcW w:w="0" w:type="dxa"/>
            <w:vAlign w:val="bottom"/>
          </w:tcPr>
          <w:p>
            <w:pPr>
              <w:spacing w:after="0"/>
              <w:rPr>
                <w:sz w:val="1"/>
                <w:szCs w:val="1"/>
                <w:color w:val="auto"/>
              </w:rPr>
            </w:pPr>
          </w:p>
        </w:tc>
      </w:tr>
      <w:tr>
        <w:trPr>
          <w:trHeight w:val="60"/>
        </w:trPr>
        <w:tc>
          <w:tcPr>
            <w:tcW w:w="2400" w:type="dxa"/>
            <w:vAlign w:val="bottom"/>
            <w:tcBorders>
              <w:left w:val="single" w:sz="8" w:color="A5A5A5"/>
              <w:bottom w:val="single" w:sz="8" w:color="A5A5A5"/>
            </w:tcBorders>
          </w:tcPr>
          <w:p>
            <w:pPr>
              <w:spacing w:after="0"/>
              <w:rPr>
                <w:sz w:val="5"/>
                <w:szCs w:val="5"/>
                <w:color w:val="auto"/>
              </w:rPr>
            </w:pPr>
          </w:p>
        </w:tc>
        <w:tc>
          <w:tcPr>
            <w:tcW w:w="2280" w:type="dxa"/>
            <w:vAlign w:val="bottom"/>
            <w:tcBorders>
              <w:bottom w:val="single" w:sz="8" w:color="A5A5A5"/>
              <w:right w:val="single" w:sz="8" w:color="A5A5A5"/>
            </w:tcBorders>
          </w:tcPr>
          <w:p>
            <w:pPr>
              <w:spacing w:after="0"/>
              <w:rPr>
                <w:sz w:val="5"/>
                <w:szCs w:val="5"/>
                <w:color w:val="auto"/>
              </w:rPr>
            </w:pPr>
          </w:p>
        </w:tc>
        <w:tc>
          <w:tcPr>
            <w:tcW w:w="1080" w:type="dxa"/>
            <w:vAlign w:val="bottom"/>
            <w:tcBorders>
              <w:bottom w:val="single" w:sz="8" w:color="A5A5A5"/>
              <w:right w:val="single" w:sz="8" w:color="A5A5A5"/>
            </w:tcBorders>
          </w:tcPr>
          <w:p>
            <w:pPr>
              <w:spacing w:after="0"/>
              <w:rPr>
                <w:sz w:val="5"/>
                <w:szCs w:val="5"/>
                <w:color w:val="auto"/>
              </w:rPr>
            </w:pPr>
          </w:p>
        </w:tc>
        <w:tc>
          <w:tcPr>
            <w:tcW w:w="1080" w:type="dxa"/>
            <w:vAlign w:val="bottom"/>
            <w:tcBorders>
              <w:bottom w:val="single" w:sz="8" w:color="A5A5A5"/>
              <w:right w:val="single" w:sz="8" w:color="A5A5A5"/>
            </w:tcBorders>
          </w:tcPr>
          <w:p>
            <w:pPr>
              <w:spacing w:after="0"/>
              <w:rPr>
                <w:sz w:val="5"/>
                <w:szCs w:val="5"/>
                <w:color w:val="auto"/>
              </w:rPr>
            </w:pPr>
          </w:p>
        </w:tc>
        <w:tc>
          <w:tcPr>
            <w:tcW w:w="1080" w:type="dxa"/>
            <w:vAlign w:val="bottom"/>
            <w:tcBorders>
              <w:bottom w:val="single" w:sz="8" w:color="A5A5A5"/>
              <w:right w:val="single" w:sz="8" w:color="A5A5A5"/>
            </w:tcBorders>
          </w:tcPr>
          <w:p>
            <w:pPr>
              <w:spacing w:after="0"/>
              <w:rPr>
                <w:sz w:val="5"/>
                <w:szCs w:val="5"/>
                <w:color w:val="auto"/>
              </w:rPr>
            </w:pPr>
          </w:p>
        </w:tc>
        <w:tc>
          <w:tcPr>
            <w:tcW w:w="1080" w:type="dxa"/>
            <w:vAlign w:val="bottom"/>
            <w:tcBorders>
              <w:bottom w:val="single" w:sz="8" w:color="A5A5A5"/>
              <w:right w:val="single" w:sz="8" w:color="A5A5A5"/>
            </w:tcBorders>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sectPr>
          <w:pgSz w:w="11900" w:h="16838" w:orient="portrait"/>
          <w:cols w:equalWidth="0" w:num="2">
            <w:col w:w="1680" w:space="160"/>
            <w:col w:w="9440"/>
          </w:cols>
          <w:pgMar w:left="240" w:top="436" w:right="379" w:bottom="1440" w:gutter="0" w:footer="0" w:header="0"/>
          <w:type w:val="continuous"/>
        </w:sectPr>
      </w:pPr>
    </w:p>
    <w:p>
      <w:pPr>
        <w:ind w:firstLine="486"/>
        <w:spacing w:after="0" w:line="256" w:lineRule="auto"/>
        <w:rPr>
          <w:sz w:val="20"/>
          <w:szCs w:val="20"/>
          <w:color w:val="auto"/>
        </w:rPr>
      </w:pPr>
      <w:r>
        <w:rPr>
          <w:rFonts w:ascii="Arial" w:cs="Arial" w:eastAsia="Arial" w:hAnsi="Arial"/>
          <w:sz w:val="18"/>
          <w:szCs w:val="18"/>
          <w:color w:val="auto"/>
        </w:rPr>
        <w:t>We regularly review various aspects of our operations and service offerings, including our policies, procedures, and platforms, in response to marketplace developments. We currently expect to implement changes to aspects of our operations and service offerings in order to position our advisors for long-term growth and to align with competitive and regulatory developments.</w:t>
      </w:r>
    </w:p>
    <w:p>
      <w:pPr>
        <w:spacing w:after="0" w:line="33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80"/>
          </w:cols>
          <w:pgMar w:left="240" w:top="436" w:right="379" w:bottom="1440" w:gutter="0" w:footer="0" w:header="0"/>
          <w:type w:val="continuous"/>
        </w:sectPr>
      </w:pPr>
    </w:p>
    <w:bookmarkStart w:id="7" w:name="page8"/>
    <w:bookmarkEnd w:id="7"/>
    <w:p>
      <w:pPr>
        <w:spacing w:after="0"/>
        <w:rPr>
          <w:sz w:val="20"/>
          <w:szCs w:val="20"/>
          <w:color w:val="auto"/>
        </w:rPr>
      </w:pPr>
      <w:r>
        <w:rPr>
          <w:rFonts w:ascii="Arial" w:cs="Arial" w:eastAsia="Arial" w:hAnsi="Arial"/>
          <w:sz w:val="18"/>
          <w:szCs w:val="18"/>
          <w:b w:val="1"/>
          <w:bCs w:val="1"/>
          <w:color w:val="auto"/>
        </w:rPr>
        <w:t>How We Evaluate Our Business</w:t>
      </w:r>
    </w:p>
    <w:p>
      <w:pPr>
        <w:spacing w:after="0" w:line="139" w:lineRule="exact"/>
        <w:rPr>
          <w:sz w:val="20"/>
          <w:szCs w:val="20"/>
          <w:color w:val="auto"/>
        </w:rPr>
      </w:pPr>
    </w:p>
    <w:p>
      <w:pPr>
        <w:ind w:right="20" w:firstLine="486"/>
        <w:spacing w:after="0" w:line="262" w:lineRule="auto"/>
        <w:rPr>
          <w:sz w:val="20"/>
          <w:szCs w:val="20"/>
          <w:color w:val="auto"/>
        </w:rPr>
      </w:pPr>
      <w:r>
        <w:rPr>
          <w:rFonts w:ascii="Arial" w:cs="Arial" w:eastAsia="Arial" w:hAnsi="Arial"/>
          <w:sz w:val="18"/>
          <w:szCs w:val="18"/>
          <w:color w:val="auto"/>
        </w:rPr>
        <w:t>We focus on several key business and financial metrics in evaluating the success of our business relationships and our resulting financial position and operating performance. Our key business and financial metrics are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20" w:type="dxa"/>
            <w:vAlign w:val="bottom"/>
            <w:gridSpan w:val="5"/>
          </w:tcPr>
          <w:p>
            <w:pPr>
              <w:ind w:left="380"/>
              <w:spacing w:after="0"/>
              <w:rPr>
                <w:sz w:val="20"/>
                <w:szCs w:val="20"/>
                <w:color w:val="auto"/>
              </w:rPr>
            </w:pPr>
            <w:r>
              <w:rPr>
                <w:rFonts w:ascii="Arial" w:cs="Arial" w:eastAsia="Arial" w:hAnsi="Arial"/>
                <w:sz w:val="16"/>
                <w:szCs w:val="16"/>
                <w:b w:val="1"/>
                <w:bCs w:val="1"/>
                <w:color w:val="auto"/>
              </w:rPr>
              <w:t>September 30,</w:t>
            </w:r>
          </w:p>
        </w:tc>
        <w:tc>
          <w:tcPr>
            <w:tcW w:w="1260" w:type="dxa"/>
            <w:vAlign w:val="bottom"/>
          </w:tcPr>
          <w:p>
            <w:pPr>
              <w:spacing w:after="0"/>
              <w:rPr>
                <w:sz w:val="19"/>
                <w:szCs w:val="19"/>
                <w:color w:val="auto"/>
              </w:rPr>
            </w:pPr>
          </w:p>
        </w:tc>
      </w:tr>
      <w:tr>
        <w:trPr>
          <w:trHeight w:val="264"/>
        </w:trPr>
        <w:tc>
          <w:tcPr>
            <w:tcW w:w="7680" w:type="dxa"/>
            <w:vAlign w:val="bottom"/>
            <w:tcBorders>
              <w:bottom w:val="single" w:sz="8" w:color="CCEEFF"/>
            </w:tcBorders>
          </w:tcPr>
          <w:p>
            <w:pPr>
              <w:ind w:left="80"/>
              <w:spacing w:after="0"/>
              <w:rPr>
                <w:sz w:val="20"/>
                <w:szCs w:val="20"/>
                <w:color w:val="auto"/>
              </w:rPr>
            </w:pPr>
            <w:r>
              <w:rPr>
                <w:rFonts w:ascii="Arial" w:cs="Arial" w:eastAsia="Arial" w:hAnsi="Arial"/>
                <w:sz w:val="16"/>
                <w:szCs w:val="16"/>
                <w:b w:val="1"/>
                <w:bCs w:val="1"/>
                <w:color w:val="auto"/>
              </w:rPr>
              <w:t>Business Metrics</w:t>
            </w:r>
          </w:p>
        </w:tc>
        <w:tc>
          <w:tcPr>
            <w:tcW w:w="26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2016</w:t>
            </w:r>
          </w:p>
        </w:tc>
        <w:tc>
          <w:tcPr>
            <w:tcW w:w="100" w:type="dxa"/>
            <w:vAlign w:val="bottom"/>
            <w:tcBorders>
              <w:top w:val="single" w:sz="8" w:color="auto"/>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2015</w:t>
            </w:r>
          </w:p>
        </w:tc>
        <w:tc>
          <w:tcPr>
            <w:tcW w:w="100" w:type="dxa"/>
            <w:vAlign w:val="bottom"/>
            <w:tcBorders>
              <w:bottom w:val="single" w:sz="8" w:color="CCEEFF"/>
            </w:tcBorders>
          </w:tcPr>
          <w:p>
            <w:pPr>
              <w:spacing w:after="0"/>
              <w:rPr>
                <w:sz w:val="22"/>
                <w:szCs w:val="22"/>
                <w:color w:val="auto"/>
              </w:rPr>
            </w:pPr>
          </w:p>
        </w:tc>
        <w:tc>
          <w:tcPr>
            <w:tcW w:w="12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 Change</w:t>
            </w:r>
          </w:p>
        </w:tc>
      </w:tr>
      <w:tr>
        <w:trPr>
          <w:trHeight w:val="257"/>
        </w:trPr>
        <w:tc>
          <w:tcPr>
            <w:tcW w:w="7680" w:type="dxa"/>
            <w:vAlign w:val="bottom"/>
            <w:shd w:val="clear" w:color="auto" w:fill="CCEEFF"/>
          </w:tcPr>
          <w:p>
            <w:pPr>
              <w:ind w:left="80"/>
              <w:spacing w:after="0"/>
              <w:rPr>
                <w:sz w:val="20"/>
                <w:szCs w:val="20"/>
                <w:color w:val="auto"/>
              </w:rPr>
            </w:pPr>
            <w:r>
              <w:rPr>
                <w:rFonts w:ascii="Arial" w:cs="Arial" w:eastAsia="Arial" w:hAnsi="Arial"/>
                <w:sz w:val="16"/>
                <w:szCs w:val="16"/>
                <w:color w:val="auto"/>
              </w:rPr>
              <w:t>Brokerage and advisory assets served (in billions)(1)</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502.4</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461.8</w:t>
            </w:r>
          </w:p>
        </w:tc>
        <w:tc>
          <w:tcPr>
            <w:tcW w:w="10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8.8 %</w:t>
            </w:r>
          </w:p>
        </w:tc>
      </w:tr>
      <w:tr>
        <w:trPr>
          <w:trHeight w:val="260"/>
        </w:trPr>
        <w:tc>
          <w:tcPr>
            <w:tcW w:w="7680" w:type="dxa"/>
            <w:vAlign w:val="bottom"/>
          </w:tcPr>
          <w:p>
            <w:pPr>
              <w:ind w:left="80"/>
              <w:spacing w:after="0"/>
              <w:rPr>
                <w:sz w:val="20"/>
                <w:szCs w:val="20"/>
                <w:color w:val="auto"/>
              </w:rPr>
            </w:pPr>
            <w:r>
              <w:rPr>
                <w:rFonts w:ascii="Arial" w:cs="Arial" w:eastAsia="Arial" w:hAnsi="Arial"/>
                <w:sz w:val="16"/>
                <w:szCs w:val="16"/>
                <w:color w:val="auto"/>
              </w:rPr>
              <w:t>Advisory assets under custody (in billions)(1)(2)</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205.5</w:t>
            </w:r>
          </w:p>
        </w:tc>
        <w:tc>
          <w:tcPr>
            <w:tcW w:w="100" w:type="dxa"/>
            <w:vAlign w:val="bottom"/>
          </w:tcPr>
          <w:p>
            <w:pPr>
              <w:spacing w:after="0"/>
              <w:rPr>
                <w:sz w:val="22"/>
                <w:szCs w:val="22"/>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179.7</w:t>
            </w:r>
          </w:p>
        </w:tc>
        <w:tc>
          <w:tcPr>
            <w:tcW w:w="10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14.4 %</w:t>
            </w:r>
          </w:p>
        </w:tc>
      </w:tr>
      <w:tr>
        <w:trPr>
          <w:trHeight w:val="280"/>
        </w:trPr>
        <w:tc>
          <w:tcPr>
            <w:tcW w:w="7680" w:type="dxa"/>
            <w:vAlign w:val="bottom"/>
            <w:shd w:val="clear" w:color="auto" w:fill="CCEEFF"/>
          </w:tcPr>
          <w:p>
            <w:pPr>
              <w:ind w:left="80"/>
              <w:spacing w:after="0"/>
              <w:rPr>
                <w:sz w:val="20"/>
                <w:szCs w:val="20"/>
                <w:color w:val="auto"/>
              </w:rPr>
            </w:pPr>
            <w:r>
              <w:rPr>
                <w:rFonts w:ascii="Arial" w:cs="Arial" w:eastAsia="Arial" w:hAnsi="Arial"/>
                <w:sz w:val="16"/>
                <w:szCs w:val="16"/>
                <w:color w:val="auto"/>
              </w:rPr>
              <w:t>Net new advisory assets (in billions)(3)</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8.9</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13.7</w:t>
            </w:r>
          </w:p>
        </w:tc>
        <w:tc>
          <w:tcPr>
            <w:tcW w:w="10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w:t>
            </w:r>
          </w:p>
        </w:tc>
      </w:tr>
      <w:tr>
        <w:trPr>
          <w:trHeight w:val="260"/>
        </w:trPr>
        <w:tc>
          <w:tcPr>
            <w:tcW w:w="7680" w:type="dxa"/>
            <w:vAlign w:val="bottom"/>
          </w:tcPr>
          <w:p>
            <w:pPr>
              <w:ind w:left="80"/>
              <w:spacing w:after="0"/>
              <w:rPr>
                <w:sz w:val="20"/>
                <w:szCs w:val="20"/>
                <w:color w:val="auto"/>
              </w:rPr>
            </w:pPr>
            <w:r>
              <w:rPr>
                <w:rFonts w:ascii="Arial" w:cs="Arial" w:eastAsia="Arial" w:hAnsi="Arial"/>
                <w:sz w:val="16"/>
                <w:szCs w:val="16"/>
                <w:color w:val="auto"/>
              </w:rPr>
              <w:t>Insured cash account balances (in billions)(1)</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21.1</w:t>
            </w:r>
          </w:p>
        </w:tc>
        <w:tc>
          <w:tcPr>
            <w:tcW w:w="100" w:type="dxa"/>
            <w:vAlign w:val="bottom"/>
          </w:tcPr>
          <w:p>
            <w:pPr>
              <w:spacing w:after="0"/>
              <w:rPr>
                <w:sz w:val="22"/>
                <w:szCs w:val="22"/>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19.5</w:t>
            </w:r>
          </w:p>
        </w:tc>
        <w:tc>
          <w:tcPr>
            <w:tcW w:w="10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8.2 %</w:t>
            </w:r>
          </w:p>
        </w:tc>
      </w:tr>
      <w:tr>
        <w:trPr>
          <w:trHeight w:val="280"/>
        </w:trPr>
        <w:tc>
          <w:tcPr>
            <w:tcW w:w="7680" w:type="dxa"/>
            <w:vAlign w:val="bottom"/>
            <w:shd w:val="clear" w:color="auto" w:fill="CCEEFF"/>
          </w:tcPr>
          <w:p>
            <w:pPr>
              <w:ind w:left="80"/>
              <w:spacing w:after="0"/>
              <w:rPr>
                <w:sz w:val="20"/>
                <w:szCs w:val="20"/>
                <w:color w:val="auto"/>
              </w:rPr>
            </w:pPr>
            <w:r>
              <w:rPr>
                <w:rFonts w:ascii="Arial" w:cs="Arial" w:eastAsia="Arial" w:hAnsi="Arial"/>
                <w:sz w:val="16"/>
                <w:szCs w:val="16"/>
                <w:color w:val="auto"/>
              </w:rPr>
              <w:t>Deposit cash account balances (in billions) (1)</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4.2</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n/m</w:t>
            </w:r>
          </w:p>
        </w:tc>
      </w:tr>
      <w:tr>
        <w:trPr>
          <w:trHeight w:val="260"/>
        </w:trPr>
        <w:tc>
          <w:tcPr>
            <w:tcW w:w="7680" w:type="dxa"/>
            <w:vAlign w:val="bottom"/>
          </w:tcPr>
          <w:p>
            <w:pPr>
              <w:ind w:left="80"/>
              <w:spacing w:after="0"/>
              <w:rPr>
                <w:sz w:val="20"/>
                <w:szCs w:val="20"/>
                <w:color w:val="auto"/>
              </w:rPr>
            </w:pPr>
            <w:r>
              <w:rPr>
                <w:rFonts w:ascii="Arial" w:cs="Arial" w:eastAsia="Arial" w:hAnsi="Arial"/>
                <w:sz w:val="16"/>
                <w:szCs w:val="16"/>
                <w:color w:val="auto"/>
              </w:rPr>
              <w:t>Money market account balances (in billions)(1)</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3.9</w:t>
            </w:r>
          </w:p>
        </w:tc>
        <w:tc>
          <w:tcPr>
            <w:tcW w:w="100" w:type="dxa"/>
            <w:vAlign w:val="bottom"/>
          </w:tcPr>
          <w:p>
            <w:pPr>
              <w:spacing w:after="0"/>
              <w:rPr>
                <w:sz w:val="22"/>
                <w:szCs w:val="22"/>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8.2</w:t>
            </w:r>
          </w:p>
        </w:tc>
        <w:tc>
          <w:tcPr>
            <w:tcW w:w="10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(52.4)%</w:t>
            </w:r>
          </w:p>
        </w:tc>
      </w:tr>
      <w:tr>
        <w:trPr>
          <w:trHeight w:val="280"/>
        </w:trPr>
        <w:tc>
          <w:tcPr>
            <w:tcW w:w="7680" w:type="dxa"/>
            <w:vAlign w:val="bottom"/>
            <w:shd w:val="clear" w:color="auto" w:fill="CCEEFF"/>
          </w:tcPr>
          <w:p>
            <w:pPr>
              <w:ind w:left="80"/>
              <w:spacing w:after="0"/>
              <w:rPr>
                <w:sz w:val="20"/>
                <w:szCs w:val="20"/>
                <w:color w:val="auto"/>
              </w:rPr>
            </w:pPr>
            <w:r>
              <w:rPr>
                <w:rFonts w:ascii="Arial" w:cs="Arial" w:eastAsia="Arial" w:hAnsi="Arial"/>
                <w:sz w:val="16"/>
                <w:szCs w:val="16"/>
                <w:color w:val="auto"/>
              </w:rPr>
              <w:t>Advisors(4)</w:t>
            </w: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14,185</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14,073</w:t>
            </w:r>
          </w:p>
        </w:tc>
        <w:tc>
          <w:tcPr>
            <w:tcW w:w="10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0.8 %</w:t>
            </w:r>
          </w:p>
        </w:tc>
      </w:tr>
    </w:tbl>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980" w:type="dxa"/>
            <w:vAlign w:val="bottom"/>
            <w:gridSpan w:val="5"/>
          </w:tcPr>
          <w:p>
            <w:pPr>
              <w:spacing w:after="0"/>
              <w:rPr>
                <w:sz w:val="20"/>
                <w:szCs w:val="20"/>
                <w:color w:val="auto"/>
              </w:rPr>
            </w:pPr>
            <w:r>
              <w:rPr>
                <w:rFonts w:ascii="Arial" w:cs="Arial" w:eastAsia="Arial" w:hAnsi="Arial"/>
                <w:sz w:val="16"/>
                <w:szCs w:val="16"/>
                <w:b w:val="1"/>
                <w:bCs w:val="1"/>
                <w:color w:val="auto"/>
              </w:rPr>
              <w:t>Three Months Ended September 30,</w:t>
            </w:r>
          </w:p>
        </w:tc>
        <w:tc>
          <w:tcPr>
            <w:tcW w:w="160" w:type="dxa"/>
            <w:vAlign w:val="bottom"/>
          </w:tcPr>
          <w:p>
            <w:pPr>
              <w:spacing w:after="0"/>
              <w:rPr>
                <w:sz w:val="19"/>
                <w:szCs w:val="19"/>
                <w:color w:val="auto"/>
              </w:rPr>
            </w:pPr>
          </w:p>
        </w:tc>
        <w:tc>
          <w:tcPr>
            <w:tcW w:w="2860" w:type="dxa"/>
            <w:vAlign w:val="bottom"/>
            <w:gridSpan w:val="4"/>
          </w:tcPr>
          <w:p>
            <w:pPr>
              <w:jc w:val="right"/>
              <w:ind w:right="79"/>
              <w:spacing w:after="0"/>
              <w:rPr>
                <w:sz w:val="20"/>
                <w:szCs w:val="20"/>
                <w:color w:val="auto"/>
              </w:rPr>
            </w:pPr>
            <w:r>
              <w:rPr>
                <w:rFonts w:ascii="Arial" w:cs="Arial" w:eastAsia="Arial" w:hAnsi="Arial"/>
                <w:sz w:val="16"/>
                <w:szCs w:val="16"/>
                <w:b w:val="1"/>
                <w:bCs w:val="1"/>
                <w:color w:val="auto"/>
              </w:rPr>
              <w:t>Nine Months Ended September 30,</w:t>
            </w:r>
          </w:p>
        </w:tc>
      </w:tr>
      <w:tr>
        <w:trPr>
          <w:trHeight w:val="264"/>
        </w:trPr>
        <w:tc>
          <w:tcPr>
            <w:tcW w:w="5280" w:type="dxa"/>
            <w:vAlign w:val="bottom"/>
            <w:tcBorders>
              <w:bottom w:val="single" w:sz="8" w:color="CCEEFF"/>
            </w:tcBorders>
          </w:tcPr>
          <w:p>
            <w:pPr>
              <w:ind w:left="80"/>
              <w:spacing w:after="0"/>
              <w:rPr>
                <w:sz w:val="20"/>
                <w:szCs w:val="20"/>
                <w:color w:val="auto"/>
              </w:rPr>
            </w:pPr>
            <w:r>
              <w:rPr>
                <w:rFonts w:ascii="Arial" w:cs="Arial" w:eastAsia="Arial" w:hAnsi="Arial"/>
                <w:sz w:val="16"/>
                <w:szCs w:val="16"/>
                <w:b w:val="1"/>
                <w:bCs w:val="1"/>
                <w:color w:val="auto"/>
              </w:rPr>
              <w:t>Financial Metrics</w:t>
            </w:r>
          </w:p>
        </w:tc>
        <w:tc>
          <w:tcPr>
            <w:tcW w:w="140" w:type="dxa"/>
            <w:vAlign w:val="bottom"/>
            <w:tcBorders>
              <w:top w:val="single" w:sz="8" w:color="auto"/>
              <w:bottom w:val="single" w:sz="8" w:color="auto"/>
            </w:tcBorders>
          </w:tcPr>
          <w:p>
            <w:pPr>
              <w:spacing w:after="0"/>
              <w:rPr>
                <w:sz w:val="22"/>
                <w:szCs w:val="22"/>
                <w:color w:val="auto"/>
              </w:rPr>
            </w:pPr>
          </w:p>
        </w:tc>
        <w:tc>
          <w:tcPr>
            <w:tcW w:w="1320" w:type="dxa"/>
            <w:vAlign w:val="bottom"/>
            <w:tcBorders>
              <w:top w:val="single" w:sz="8" w:color="auto"/>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2016</w:t>
            </w:r>
          </w:p>
        </w:tc>
        <w:tc>
          <w:tcPr>
            <w:tcW w:w="10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2015</w:t>
            </w:r>
          </w:p>
        </w:tc>
        <w:tc>
          <w:tcPr>
            <w:tcW w:w="12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130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2016</w:t>
            </w:r>
          </w:p>
        </w:tc>
        <w:tc>
          <w:tcPr>
            <w:tcW w:w="10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2015</w:t>
            </w:r>
          </w:p>
        </w:tc>
      </w:tr>
      <w:tr>
        <w:trPr>
          <w:trHeight w:val="257"/>
        </w:trPr>
        <w:tc>
          <w:tcPr>
            <w:tcW w:w="52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Revenue (in millions)</w:t>
            </w:r>
          </w:p>
        </w:tc>
        <w:tc>
          <w:tcPr>
            <w:tcW w:w="14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1,017.4</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1,054.7</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3,041.9</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3,254.7</w:t>
            </w:r>
          </w:p>
        </w:tc>
      </w:tr>
      <w:tr>
        <w:trPr>
          <w:trHeight w:val="260"/>
        </w:trPr>
        <w:tc>
          <w:tcPr>
            <w:tcW w:w="5280" w:type="dxa"/>
            <w:vAlign w:val="bottom"/>
          </w:tcPr>
          <w:p>
            <w:pPr>
              <w:ind w:left="200"/>
              <w:spacing w:after="0"/>
              <w:rPr>
                <w:sz w:val="20"/>
                <w:szCs w:val="20"/>
                <w:color w:val="auto"/>
              </w:rPr>
            </w:pPr>
            <w:r>
              <w:rPr>
                <w:rFonts w:ascii="Arial" w:cs="Arial" w:eastAsia="Arial" w:hAnsi="Arial"/>
                <w:sz w:val="16"/>
                <w:szCs w:val="16"/>
                <w:color w:val="auto"/>
              </w:rPr>
              <w:t>Revenue decrease</w:t>
            </w:r>
          </w:p>
        </w:tc>
        <w:tc>
          <w:tcPr>
            <w:tcW w:w="14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(3.5)%</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(3.2)%</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(6.5)%</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(0.4)%</w:t>
            </w:r>
          </w:p>
        </w:tc>
      </w:tr>
      <w:tr>
        <w:trPr>
          <w:trHeight w:val="361"/>
        </w:trPr>
        <w:tc>
          <w:tcPr>
            <w:tcW w:w="52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Recurring revenue as a % of net revenue</w:t>
            </w:r>
          </w:p>
        </w:tc>
        <w:tc>
          <w:tcPr>
            <w:tcW w:w="14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74.3 %</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72.4 %</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74.0 %</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71.1 %</w:t>
            </w:r>
          </w:p>
        </w:tc>
      </w:tr>
      <w:tr>
        <w:trPr>
          <w:trHeight w:val="260"/>
        </w:trPr>
        <w:tc>
          <w:tcPr>
            <w:tcW w:w="5280" w:type="dxa"/>
            <w:vAlign w:val="bottom"/>
          </w:tcPr>
          <w:p>
            <w:pPr>
              <w:ind w:left="200"/>
              <w:spacing w:after="0"/>
              <w:rPr>
                <w:sz w:val="20"/>
                <w:szCs w:val="20"/>
                <w:color w:val="auto"/>
              </w:rPr>
            </w:pPr>
            <w:r>
              <w:rPr>
                <w:rFonts w:ascii="Arial" w:cs="Arial" w:eastAsia="Arial" w:hAnsi="Arial"/>
                <w:sz w:val="16"/>
                <w:szCs w:val="16"/>
                <w:color w:val="auto"/>
              </w:rPr>
              <w:t>Pre-tax income (in millions)</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59"/>
              <w:spacing w:after="0"/>
              <w:rPr>
                <w:sz w:val="20"/>
                <w:szCs w:val="20"/>
                <w:color w:val="auto"/>
              </w:rPr>
            </w:pPr>
            <w:r>
              <w:rPr>
                <w:rFonts w:ascii="Arial" w:cs="Arial" w:eastAsia="Arial" w:hAnsi="Arial"/>
                <w:sz w:val="16"/>
                <w:szCs w:val="16"/>
                <w:color w:val="auto"/>
              </w:rPr>
              <w:t>68.2</w:t>
            </w:r>
          </w:p>
        </w:tc>
        <w:tc>
          <w:tcPr>
            <w:tcW w:w="100" w:type="dxa"/>
            <w:vAlign w:val="bottom"/>
          </w:tcPr>
          <w:p>
            <w:pPr>
              <w:spacing w:after="0"/>
              <w:rPr>
                <w:sz w:val="22"/>
                <w:szCs w:val="22"/>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39"/>
              <w:spacing w:after="0"/>
              <w:rPr>
                <w:sz w:val="20"/>
                <w:szCs w:val="20"/>
                <w:color w:val="auto"/>
              </w:rPr>
            </w:pPr>
            <w:r>
              <w:rPr>
                <w:rFonts w:ascii="Arial" w:cs="Arial" w:eastAsia="Arial" w:hAnsi="Arial"/>
                <w:sz w:val="16"/>
                <w:szCs w:val="16"/>
                <w:color w:val="auto"/>
              </w:rPr>
              <w:t>68.7</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59"/>
              <w:spacing w:after="0"/>
              <w:rPr>
                <w:sz w:val="20"/>
                <w:szCs w:val="20"/>
                <w:color w:val="auto"/>
              </w:rPr>
            </w:pPr>
            <w:r>
              <w:rPr>
                <w:rFonts w:ascii="Arial" w:cs="Arial" w:eastAsia="Arial" w:hAnsi="Arial"/>
                <w:sz w:val="16"/>
                <w:szCs w:val="16"/>
                <w:color w:val="auto"/>
              </w:rPr>
              <w:t>232.6</w:t>
            </w:r>
          </w:p>
        </w:tc>
        <w:tc>
          <w:tcPr>
            <w:tcW w:w="100" w:type="dxa"/>
            <w:vAlign w:val="bottom"/>
          </w:tcPr>
          <w:p>
            <w:pPr>
              <w:spacing w:after="0"/>
              <w:rPr>
                <w:sz w:val="22"/>
                <w:szCs w:val="22"/>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39"/>
              <w:spacing w:after="0"/>
              <w:rPr>
                <w:sz w:val="20"/>
                <w:szCs w:val="20"/>
                <w:color w:val="auto"/>
              </w:rPr>
            </w:pPr>
            <w:r>
              <w:rPr>
                <w:rFonts w:ascii="Arial" w:cs="Arial" w:eastAsia="Arial" w:hAnsi="Arial"/>
                <w:sz w:val="16"/>
                <w:szCs w:val="16"/>
                <w:color w:val="auto"/>
              </w:rPr>
              <w:t>237.5</w:t>
            </w:r>
          </w:p>
        </w:tc>
      </w:tr>
      <w:tr>
        <w:trPr>
          <w:trHeight w:val="280"/>
        </w:trPr>
        <w:tc>
          <w:tcPr>
            <w:tcW w:w="52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Net income (in millions)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52.0</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41.1</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150.2</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142.0</w:t>
            </w:r>
          </w:p>
        </w:tc>
      </w:tr>
      <w:tr>
        <w:trPr>
          <w:trHeight w:val="260"/>
        </w:trPr>
        <w:tc>
          <w:tcPr>
            <w:tcW w:w="5280" w:type="dxa"/>
            <w:vAlign w:val="bottom"/>
          </w:tcPr>
          <w:p>
            <w:pPr>
              <w:ind w:left="200"/>
              <w:spacing w:after="0"/>
              <w:rPr>
                <w:sz w:val="20"/>
                <w:szCs w:val="20"/>
                <w:color w:val="auto"/>
              </w:rPr>
            </w:pPr>
            <w:r>
              <w:rPr>
                <w:rFonts w:ascii="Arial" w:cs="Arial" w:eastAsia="Arial" w:hAnsi="Arial"/>
                <w:sz w:val="16"/>
                <w:szCs w:val="16"/>
                <w:color w:val="auto"/>
              </w:rPr>
              <w:t>Earnings per share (diluted)</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59"/>
              <w:spacing w:after="0"/>
              <w:rPr>
                <w:sz w:val="20"/>
                <w:szCs w:val="20"/>
                <w:color w:val="auto"/>
              </w:rPr>
            </w:pPr>
            <w:r>
              <w:rPr>
                <w:rFonts w:ascii="Arial" w:cs="Arial" w:eastAsia="Arial" w:hAnsi="Arial"/>
                <w:sz w:val="16"/>
                <w:szCs w:val="16"/>
                <w:color w:val="auto"/>
              </w:rPr>
              <w:t>0.58</w:t>
            </w:r>
          </w:p>
        </w:tc>
        <w:tc>
          <w:tcPr>
            <w:tcW w:w="100" w:type="dxa"/>
            <w:vAlign w:val="bottom"/>
          </w:tcPr>
          <w:p>
            <w:pPr>
              <w:spacing w:after="0"/>
              <w:rPr>
                <w:sz w:val="22"/>
                <w:szCs w:val="22"/>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39"/>
              <w:spacing w:after="0"/>
              <w:rPr>
                <w:sz w:val="20"/>
                <w:szCs w:val="20"/>
                <w:color w:val="auto"/>
              </w:rPr>
            </w:pPr>
            <w:r>
              <w:rPr>
                <w:rFonts w:ascii="Arial" w:cs="Arial" w:eastAsia="Arial" w:hAnsi="Arial"/>
                <w:sz w:val="16"/>
                <w:szCs w:val="16"/>
                <w:color w:val="auto"/>
              </w:rPr>
              <w:t>0.43</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59"/>
              <w:spacing w:after="0"/>
              <w:rPr>
                <w:sz w:val="20"/>
                <w:szCs w:val="20"/>
                <w:color w:val="auto"/>
              </w:rPr>
            </w:pPr>
            <w:r>
              <w:rPr>
                <w:rFonts w:ascii="Arial" w:cs="Arial" w:eastAsia="Arial" w:hAnsi="Arial"/>
                <w:sz w:val="16"/>
                <w:szCs w:val="16"/>
                <w:color w:val="auto"/>
              </w:rPr>
              <w:t>1.67</w:t>
            </w:r>
          </w:p>
        </w:tc>
        <w:tc>
          <w:tcPr>
            <w:tcW w:w="100" w:type="dxa"/>
            <w:vAlign w:val="bottom"/>
          </w:tcPr>
          <w:p>
            <w:pPr>
              <w:spacing w:after="0"/>
              <w:rPr>
                <w:sz w:val="22"/>
                <w:szCs w:val="22"/>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39"/>
              <w:spacing w:after="0"/>
              <w:rPr>
                <w:sz w:val="20"/>
                <w:szCs w:val="20"/>
                <w:color w:val="auto"/>
              </w:rPr>
            </w:pPr>
            <w:r>
              <w:rPr>
                <w:rFonts w:ascii="Arial" w:cs="Arial" w:eastAsia="Arial" w:hAnsi="Arial"/>
                <w:sz w:val="16"/>
                <w:szCs w:val="16"/>
                <w:color w:val="auto"/>
              </w:rPr>
              <w:t>1.46</w:t>
            </w:r>
          </w:p>
        </w:tc>
      </w:tr>
      <w:tr>
        <w:trPr>
          <w:trHeight w:val="280"/>
        </w:trPr>
        <w:tc>
          <w:tcPr>
            <w:tcW w:w="5280" w:type="dxa"/>
            <w:vAlign w:val="bottom"/>
            <w:shd w:val="clear" w:color="auto" w:fill="CCEEFF"/>
          </w:tcPr>
          <w:p>
            <w:pPr>
              <w:ind w:left="80"/>
              <w:spacing w:after="0"/>
              <w:rPr>
                <w:sz w:val="20"/>
                <w:szCs w:val="20"/>
                <w:color w:val="auto"/>
              </w:rPr>
            </w:pPr>
            <w:r>
              <w:rPr>
                <w:rFonts w:ascii="Arial" w:cs="Arial" w:eastAsia="Arial" w:hAnsi="Arial"/>
                <w:sz w:val="16"/>
                <w:szCs w:val="16"/>
                <w:color w:val="auto"/>
              </w:rPr>
              <w:t>Non-GAAP Measures:(5)</w:t>
            </w:r>
          </w:p>
        </w:tc>
        <w:tc>
          <w:tcPr>
            <w:tcW w:w="14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60"/>
        </w:trPr>
        <w:tc>
          <w:tcPr>
            <w:tcW w:w="5280" w:type="dxa"/>
            <w:vAlign w:val="bottom"/>
          </w:tcPr>
          <w:p>
            <w:pPr>
              <w:ind w:left="200"/>
              <w:spacing w:after="0"/>
              <w:rPr>
                <w:sz w:val="20"/>
                <w:szCs w:val="20"/>
                <w:color w:val="auto"/>
              </w:rPr>
            </w:pPr>
            <w:r>
              <w:rPr>
                <w:rFonts w:ascii="Arial" w:cs="Arial" w:eastAsia="Arial" w:hAnsi="Arial"/>
                <w:sz w:val="16"/>
                <w:szCs w:val="16"/>
                <w:color w:val="auto"/>
              </w:rPr>
              <w:t>Gross profit (in millions)(6)</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59"/>
              <w:spacing w:after="0"/>
              <w:rPr>
                <w:sz w:val="20"/>
                <w:szCs w:val="20"/>
                <w:color w:val="auto"/>
              </w:rPr>
            </w:pPr>
            <w:r>
              <w:rPr>
                <w:rFonts w:ascii="Arial" w:cs="Arial" w:eastAsia="Arial" w:hAnsi="Arial"/>
                <w:sz w:val="16"/>
                <w:szCs w:val="16"/>
                <w:color w:val="auto"/>
              </w:rPr>
              <w:t>346.9</w:t>
            </w:r>
          </w:p>
        </w:tc>
        <w:tc>
          <w:tcPr>
            <w:tcW w:w="100" w:type="dxa"/>
            <w:vAlign w:val="bottom"/>
          </w:tcPr>
          <w:p>
            <w:pPr>
              <w:spacing w:after="0"/>
              <w:rPr>
                <w:sz w:val="22"/>
                <w:szCs w:val="22"/>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39"/>
              <w:spacing w:after="0"/>
              <w:rPr>
                <w:sz w:val="20"/>
                <w:szCs w:val="20"/>
                <w:color w:val="auto"/>
              </w:rPr>
            </w:pPr>
            <w:r>
              <w:rPr>
                <w:rFonts w:ascii="Arial" w:cs="Arial" w:eastAsia="Arial" w:hAnsi="Arial"/>
                <w:sz w:val="16"/>
                <w:szCs w:val="16"/>
                <w:color w:val="auto"/>
              </w:rPr>
              <w:t>339.8</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59"/>
              <w:spacing w:after="0"/>
              <w:rPr>
                <w:sz w:val="20"/>
                <w:szCs w:val="20"/>
                <w:color w:val="auto"/>
              </w:rPr>
            </w:pPr>
            <w:r>
              <w:rPr>
                <w:rFonts w:ascii="Arial" w:cs="Arial" w:eastAsia="Arial" w:hAnsi="Arial"/>
                <w:sz w:val="16"/>
                <w:szCs w:val="16"/>
                <w:color w:val="auto"/>
              </w:rPr>
              <w:t>1,047.5</w:t>
            </w:r>
          </w:p>
        </w:tc>
        <w:tc>
          <w:tcPr>
            <w:tcW w:w="100" w:type="dxa"/>
            <w:vAlign w:val="bottom"/>
          </w:tcPr>
          <w:p>
            <w:pPr>
              <w:spacing w:after="0"/>
              <w:rPr>
                <w:sz w:val="22"/>
                <w:szCs w:val="22"/>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39"/>
              <w:spacing w:after="0"/>
              <w:rPr>
                <w:sz w:val="20"/>
                <w:szCs w:val="20"/>
                <w:color w:val="auto"/>
              </w:rPr>
            </w:pPr>
            <w:r>
              <w:rPr>
                <w:rFonts w:ascii="Arial" w:cs="Arial" w:eastAsia="Arial" w:hAnsi="Arial"/>
                <w:sz w:val="16"/>
                <w:szCs w:val="16"/>
                <w:color w:val="auto"/>
              </w:rPr>
              <w:t>1,035.3</w:t>
            </w:r>
          </w:p>
        </w:tc>
      </w:tr>
      <w:tr>
        <w:trPr>
          <w:trHeight w:val="280"/>
        </w:trPr>
        <w:tc>
          <w:tcPr>
            <w:tcW w:w="52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Gross profit growth from prior period(6)</w:t>
            </w:r>
          </w:p>
        </w:tc>
        <w:tc>
          <w:tcPr>
            <w:tcW w:w="14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2.1 %</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2.6 %</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1.2 %</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4.5 %</w:t>
            </w:r>
          </w:p>
        </w:tc>
      </w:tr>
      <w:tr>
        <w:trPr>
          <w:trHeight w:val="251"/>
        </w:trPr>
        <w:tc>
          <w:tcPr>
            <w:tcW w:w="5280" w:type="dxa"/>
            <w:vAlign w:val="bottom"/>
          </w:tcPr>
          <w:p>
            <w:pPr>
              <w:ind w:left="200"/>
              <w:spacing w:after="0"/>
              <w:rPr>
                <w:sz w:val="20"/>
                <w:szCs w:val="20"/>
                <w:color w:val="auto"/>
              </w:rPr>
            </w:pPr>
            <w:r>
              <w:rPr>
                <w:rFonts w:ascii="Arial" w:cs="Arial" w:eastAsia="Arial" w:hAnsi="Arial"/>
                <w:sz w:val="16"/>
                <w:szCs w:val="16"/>
                <w:color w:val="auto"/>
              </w:rPr>
              <w:t>Gross profit as a % of net revenue(6)</w:t>
            </w: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34.1 %</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32.2 %</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34.4 %</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31.8 %</w:t>
            </w:r>
          </w:p>
        </w:tc>
      </w:tr>
    </w:tbl>
    <w:p>
      <w:pPr>
        <w:spacing w:after="0" w:line="19" w:lineRule="exact"/>
        <w:rPr>
          <w:sz w:val="20"/>
          <w:szCs w:val="20"/>
          <w:color w:val="auto"/>
        </w:rPr>
      </w:pPr>
    </w:p>
    <w:p>
      <w:pPr>
        <w:spacing w:after="0"/>
        <w:rPr>
          <w:sz w:val="20"/>
          <w:szCs w:val="20"/>
          <w:color w:val="auto"/>
        </w:rPr>
      </w:pPr>
      <w:r>
        <w:rPr>
          <w:rFonts w:ascii="Arial" w:cs="Arial" w:eastAsia="Arial" w:hAnsi="Arial"/>
          <w:sz w:val="7"/>
          <w:szCs w:val="7"/>
          <w:color w:val="auto"/>
        </w:rPr>
        <w:t>_______________________________</w:t>
      </w:r>
    </w:p>
    <w:p>
      <w:pPr>
        <w:ind w:left="660" w:right="180" w:hanging="328"/>
        <w:spacing w:after="0" w:line="252"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Brokerage and advisory assets served are comprised of assets that are custodied, networked, and non-networked and reflect market movement in addition to new assets, inclusive of new business development and net of attrition. Insured cash account balances, money market account balances, and beginning in July 2016, deposit cash account balances are also included in brokerage and advisory assets served. Set forth below are other client asset balances from September 30, 2016 and 2015, including retirement plan assets and certain trust and high-net-worth assets that are custodied with third-party providers and therefore excluded from total brokerage and advisory assets served (in billions):</w:t>
      </w:r>
    </w:p>
    <w:p>
      <w:pPr>
        <w:spacing w:after="0" w:line="164" w:lineRule="exact"/>
        <w:rPr>
          <w:sz w:val="20"/>
          <w:szCs w:val="20"/>
          <w:color w:val="auto"/>
        </w:rPr>
      </w:pPr>
    </w:p>
    <w:tbl>
      <w:tblPr>
        <w:tblLayout w:type="fixed"/>
        <w:tblInd w:w="1080" w:type="dxa"/>
        <w:tblCellMar>
          <w:top w:w="0" w:type="dxa"/>
          <w:left w:w="0" w:type="dxa"/>
          <w:bottom w:w="0" w:type="dxa"/>
          <w:right w:w="0" w:type="dxa"/>
        </w:tblCellMar>
      </w:tblPr>
      <w:tr>
        <w:trPr>
          <w:trHeight w:val="228"/>
        </w:trPr>
        <w:tc>
          <w:tcPr>
            <w:tcW w:w="7220" w:type="dxa"/>
            <w:vAlign w:val="bottom"/>
          </w:tcPr>
          <w:p>
            <w:pPr>
              <w:spacing w:after="0"/>
              <w:rPr>
                <w:sz w:val="19"/>
                <w:szCs w:val="19"/>
                <w:color w:val="auto"/>
              </w:rPr>
            </w:pPr>
          </w:p>
        </w:tc>
        <w:tc>
          <w:tcPr>
            <w:tcW w:w="2260" w:type="dxa"/>
            <w:vAlign w:val="bottom"/>
            <w:tcBorders>
              <w:bottom w:val="single" w:sz="8" w:color="auto"/>
            </w:tcBorders>
            <w:gridSpan w:val="4"/>
          </w:tcPr>
          <w:p>
            <w:pPr>
              <w:jc w:val="right"/>
              <w:ind w:right="259"/>
              <w:spacing w:after="0"/>
              <w:rPr>
                <w:sz w:val="20"/>
                <w:szCs w:val="20"/>
                <w:color w:val="auto"/>
              </w:rPr>
            </w:pPr>
            <w:r>
              <w:rPr>
                <w:rFonts w:ascii="Arial" w:cs="Arial" w:eastAsia="Arial" w:hAnsi="Arial"/>
                <w:sz w:val="16"/>
                <w:szCs w:val="16"/>
                <w:b w:val="1"/>
                <w:bCs w:val="1"/>
                <w:color w:val="auto"/>
              </w:rPr>
              <w:t>September 30,</w:t>
            </w:r>
          </w:p>
        </w:tc>
        <w:tc>
          <w:tcPr>
            <w:tcW w:w="440" w:type="dxa"/>
            <w:vAlign w:val="bottom"/>
            <w:tcBorders>
              <w:bottom w:val="single" w:sz="8" w:color="auto"/>
            </w:tcBorders>
          </w:tcPr>
          <w:p>
            <w:pPr>
              <w:spacing w:after="0"/>
              <w:rPr>
                <w:sz w:val="19"/>
                <w:szCs w:val="19"/>
                <w:color w:val="auto"/>
              </w:rPr>
            </w:pPr>
          </w:p>
        </w:tc>
      </w:tr>
      <w:tr>
        <w:trPr>
          <w:trHeight w:val="264"/>
        </w:trPr>
        <w:tc>
          <w:tcPr>
            <w:tcW w:w="7220" w:type="dxa"/>
            <w:vAlign w:val="bottom"/>
            <w:tcBorders>
              <w:bottom w:val="single" w:sz="8" w:color="CCEEFF"/>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2016</w:t>
            </w:r>
          </w:p>
        </w:tc>
        <w:tc>
          <w:tcPr>
            <w:tcW w:w="4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2015</w:t>
            </w:r>
          </w:p>
        </w:tc>
        <w:tc>
          <w:tcPr>
            <w:tcW w:w="440" w:type="dxa"/>
            <w:vAlign w:val="bottom"/>
            <w:tcBorders>
              <w:bottom w:val="single" w:sz="8" w:color="auto"/>
            </w:tcBorders>
          </w:tcPr>
          <w:p>
            <w:pPr>
              <w:spacing w:after="0"/>
              <w:rPr>
                <w:sz w:val="22"/>
                <w:szCs w:val="22"/>
                <w:color w:val="auto"/>
              </w:rPr>
            </w:pPr>
          </w:p>
        </w:tc>
      </w:tr>
      <w:tr>
        <w:trPr>
          <w:trHeight w:val="257"/>
        </w:trPr>
        <w:tc>
          <w:tcPr>
            <w:tcW w:w="7220" w:type="dxa"/>
            <w:vAlign w:val="bottom"/>
            <w:shd w:val="clear" w:color="auto" w:fill="CCEEFF"/>
          </w:tcPr>
          <w:p>
            <w:pPr>
              <w:ind w:left="80"/>
              <w:spacing w:after="0"/>
              <w:rPr>
                <w:sz w:val="20"/>
                <w:szCs w:val="20"/>
                <w:color w:val="auto"/>
              </w:rPr>
            </w:pPr>
            <w:r>
              <w:rPr>
                <w:rFonts w:ascii="Arial" w:cs="Arial" w:eastAsia="Arial" w:hAnsi="Arial"/>
                <w:sz w:val="16"/>
                <w:szCs w:val="16"/>
                <w:color w:val="auto"/>
              </w:rPr>
              <w:t>Retirement plan assets(a)</w:t>
            </w:r>
          </w:p>
        </w:tc>
        <w:tc>
          <w:tcPr>
            <w:tcW w:w="860" w:type="dxa"/>
            <w:vAlign w:val="bottom"/>
            <w:shd w:val="clear" w:color="auto" w:fill="CCEEFF"/>
          </w:tcPr>
          <w:p>
            <w:pPr>
              <w:jc w:val="right"/>
              <w:ind w:right="659"/>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91.3</w:t>
            </w:r>
          </w:p>
        </w:tc>
        <w:tc>
          <w:tcPr>
            <w:tcW w:w="10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659"/>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80.8</w:t>
            </w:r>
          </w:p>
        </w:tc>
      </w:tr>
      <w:tr>
        <w:trPr>
          <w:trHeight w:val="260"/>
        </w:trPr>
        <w:tc>
          <w:tcPr>
            <w:tcW w:w="7220" w:type="dxa"/>
            <w:vAlign w:val="bottom"/>
          </w:tcPr>
          <w:p>
            <w:pPr>
              <w:ind w:left="80"/>
              <w:spacing w:after="0"/>
              <w:rPr>
                <w:sz w:val="20"/>
                <w:szCs w:val="20"/>
                <w:color w:val="auto"/>
              </w:rPr>
            </w:pPr>
            <w:r>
              <w:rPr>
                <w:rFonts w:ascii="Arial" w:cs="Arial" w:eastAsia="Arial" w:hAnsi="Arial"/>
                <w:sz w:val="16"/>
                <w:szCs w:val="16"/>
                <w:color w:val="auto"/>
              </w:rPr>
              <w:t>Trust assets</w:t>
            </w:r>
          </w:p>
        </w:tc>
        <w:tc>
          <w:tcPr>
            <w:tcW w:w="860" w:type="dxa"/>
            <w:vAlign w:val="bottom"/>
          </w:tcPr>
          <w:p>
            <w:pPr>
              <w:jc w:val="right"/>
              <w:ind w:right="659"/>
              <w:spacing w:after="0"/>
              <w:rPr>
                <w:sz w:val="20"/>
                <w:szCs w:val="20"/>
                <w:color w:val="auto"/>
              </w:rPr>
            </w:pPr>
            <w:r>
              <w:rPr>
                <w:rFonts w:ascii="Arial" w:cs="Arial" w:eastAsia="Arial" w:hAnsi="Arial"/>
                <w:sz w:val="16"/>
                <w:szCs w:val="16"/>
                <w:color w:val="auto"/>
              </w:rPr>
              <w:t>$</w:t>
            </w:r>
          </w:p>
        </w:tc>
        <w:tc>
          <w:tcPr>
            <w:tcW w:w="440" w:type="dxa"/>
            <w:vAlign w:val="bottom"/>
          </w:tcPr>
          <w:p>
            <w:pPr>
              <w:jc w:val="right"/>
              <w:ind w:right="19"/>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22"/>
                <w:szCs w:val="22"/>
                <w:color w:val="auto"/>
              </w:rPr>
            </w:pPr>
          </w:p>
        </w:tc>
        <w:tc>
          <w:tcPr>
            <w:tcW w:w="860" w:type="dxa"/>
            <w:vAlign w:val="bottom"/>
          </w:tcPr>
          <w:p>
            <w:pPr>
              <w:jc w:val="right"/>
              <w:ind w:right="659"/>
              <w:spacing w:after="0"/>
              <w:rPr>
                <w:sz w:val="20"/>
                <w:szCs w:val="20"/>
                <w:color w:val="auto"/>
              </w:rPr>
            </w:pPr>
            <w:r>
              <w:rPr>
                <w:rFonts w:ascii="Arial" w:cs="Arial" w:eastAsia="Arial" w:hAnsi="Arial"/>
                <w:sz w:val="16"/>
                <w:szCs w:val="16"/>
                <w:color w:val="auto"/>
              </w:rPr>
              <w:t>$</w:t>
            </w:r>
          </w:p>
        </w:tc>
        <w:tc>
          <w:tcPr>
            <w:tcW w:w="440" w:type="dxa"/>
            <w:vAlign w:val="bottom"/>
          </w:tcPr>
          <w:p>
            <w:pPr>
              <w:jc w:val="right"/>
              <w:ind w:right="19"/>
              <w:spacing w:after="0"/>
              <w:rPr>
                <w:sz w:val="20"/>
                <w:szCs w:val="20"/>
                <w:color w:val="auto"/>
              </w:rPr>
            </w:pPr>
            <w:r>
              <w:rPr>
                <w:rFonts w:ascii="Arial" w:cs="Arial" w:eastAsia="Arial" w:hAnsi="Arial"/>
                <w:sz w:val="16"/>
                <w:szCs w:val="16"/>
                <w:color w:val="auto"/>
              </w:rPr>
              <w:t>1.0</w:t>
            </w:r>
          </w:p>
        </w:tc>
      </w:tr>
      <w:tr>
        <w:trPr>
          <w:trHeight w:val="280"/>
        </w:trPr>
        <w:tc>
          <w:tcPr>
            <w:tcW w:w="7220" w:type="dxa"/>
            <w:vAlign w:val="bottom"/>
            <w:shd w:val="clear" w:color="auto" w:fill="CCEEFF"/>
          </w:tcPr>
          <w:p>
            <w:pPr>
              <w:ind w:left="80"/>
              <w:spacing w:after="0"/>
              <w:rPr>
                <w:sz w:val="20"/>
                <w:szCs w:val="20"/>
                <w:color w:val="auto"/>
              </w:rPr>
            </w:pPr>
            <w:r>
              <w:rPr>
                <w:rFonts w:ascii="Arial" w:cs="Arial" w:eastAsia="Arial" w:hAnsi="Arial"/>
                <w:sz w:val="16"/>
                <w:szCs w:val="16"/>
                <w:color w:val="auto"/>
              </w:rPr>
              <w:t>High-net-worth assets</w:t>
            </w:r>
          </w:p>
        </w:tc>
        <w:tc>
          <w:tcPr>
            <w:tcW w:w="860" w:type="dxa"/>
            <w:vAlign w:val="bottom"/>
            <w:shd w:val="clear" w:color="auto" w:fill="CCEEFF"/>
          </w:tcPr>
          <w:p>
            <w:pPr>
              <w:jc w:val="right"/>
              <w:ind w:right="659"/>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86.8</w:t>
            </w:r>
          </w:p>
        </w:tc>
        <w:tc>
          <w:tcPr>
            <w:tcW w:w="10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659"/>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94.4</w:t>
            </w:r>
          </w:p>
        </w:tc>
      </w:tr>
    </w:tbl>
    <w:p>
      <w:pPr>
        <w:ind w:left="660"/>
        <w:spacing w:after="0"/>
        <w:rPr>
          <w:sz w:val="20"/>
          <w:szCs w:val="20"/>
          <w:color w:val="auto"/>
        </w:rPr>
      </w:pPr>
      <w:r>
        <w:rPr>
          <w:rFonts w:ascii="Arial" w:cs="Arial" w:eastAsia="Arial" w:hAnsi="Arial"/>
          <w:sz w:val="7"/>
          <w:szCs w:val="7"/>
          <w:color w:val="auto"/>
        </w:rPr>
        <w:t>_____________________________</w:t>
      </w:r>
    </w:p>
    <w:p>
      <w:pPr>
        <w:ind w:left="980" w:right="40" w:hanging="324"/>
        <w:spacing w:after="0" w:line="252" w:lineRule="auto"/>
        <w:tabs>
          <w:tab w:leader="none" w:pos="980" w:val="left"/>
        </w:tabs>
        <w:numPr>
          <w:ilvl w:val="1"/>
          <w:numId w:val="4"/>
        </w:numPr>
        <w:rPr>
          <w:rFonts w:ascii="Arial" w:cs="Arial" w:eastAsia="Arial" w:hAnsi="Arial"/>
          <w:sz w:val="18"/>
          <w:szCs w:val="18"/>
          <w:color w:val="auto"/>
        </w:rPr>
      </w:pPr>
      <w:r>
        <w:rPr>
          <w:rFonts w:ascii="Arial" w:cs="Arial" w:eastAsia="Arial" w:hAnsi="Arial"/>
          <w:sz w:val="18"/>
          <w:szCs w:val="18"/>
          <w:color w:val="auto"/>
        </w:rPr>
        <w:t>Retirement plan assets are held in retirement plans that are supported by advisors licensed with LPL Financial. At September 30, 2016 and 2015, our retirement plan assets represent those assets that are custodied with various third-party providers of retirement plan administrative services who provide reporting feeds. We estimate the total assets in retirement plans supported to be approximately $128.6 billion at September 30, 2016. If we receive reporting feeds in the future from providers from whom we do not currently receive feeds, we intend to include and identify such additional assets in this metric. Such additional feeds since September 30, 2015, accounted for $2.0 billion of the total retirement plan assets.</w:t>
      </w:r>
    </w:p>
    <w:p>
      <w:pPr>
        <w:spacing w:after="0" w:line="208" w:lineRule="exact"/>
        <w:rPr>
          <w:rFonts w:ascii="Arial" w:cs="Arial" w:eastAsia="Arial" w:hAnsi="Arial"/>
          <w:sz w:val="18"/>
          <w:szCs w:val="18"/>
          <w:color w:val="auto"/>
        </w:rPr>
      </w:pPr>
    </w:p>
    <w:p>
      <w:pPr>
        <w:ind w:left="660" w:right="180" w:hanging="328"/>
        <w:spacing w:after="0" w:line="291" w:lineRule="auto"/>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Advisory assets under custody are comprised of advisory assets under management in our corporate RIA platform and Hybrid RIA assets in advisory accounts custodied by us. See “Results of Operations” for a tabular presentation of advisory assets under custody.</w:t>
      </w: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522" w:right="239" w:bottom="1440" w:gutter="0" w:footer="0" w:header="0"/>
        </w:sectPr>
      </w:pPr>
    </w:p>
    <w:bookmarkStart w:id="8" w:name="page9"/>
    <w:bookmarkEnd w:id="8"/>
    <w:p>
      <w:pPr>
        <w:ind w:left="660" w:right="60" w:hanging="328"/>
        <w:spacing w:after="0" w:line="256"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Represents net new assets for the nine months ended September 30, 2016 and 2015 consisting of total inflows of funds deposited into new advisory accounts and additional funds deposited into existing advisory accounts that are custodied in our fee-based advisory platforms and total outflows from all closed and existing advisory accounts custodied on such platforms during the period.</w:t>
      </w:r>
    </w:p>
    <w:p>
      <w:pPr>
        <w:spacing w:after="0" w:line="201" w:lineRule="exact"/>
        <w:rPr>
          <w:rFonts w:ascii="Arial" w:cs="Arial" w:eastAsia="Arial" w:hAnsi="Arial"/>
          <w:sz w:val="18"/>
          <w:szCs w:val="18"/>
          <w:color w:val="auto"/>
        </w:rPr>
      </w:pPr>
    </w:p>
    <w:p>
      <w:pPr>
        <w:ind w:left="660" w:right="480" w:hanging="328"/>
        <w:spacing w:after="0" w:line="262"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Advisors are defined as those independent financial advisors and financial advisors at financial institutions who are licensed to do business with our broker-dealer subsidiary.</w:t>
      </w:r>
    </w:p>
    <w:p>
      <w:pPr>
        <w:spacing w:after="0" w:line="196" w:lineRule="exact"/>
        <w:rPr>
          <w:rFonts w:ascii="Arial" w:cs="Arial" w:eastAsia="Arial" w:hAnsi="Arial"/>
          <w:sz w:val="18"/>
          <w:szCs w:val="18"/>
          <w:color w:val="auto"/>
        </w:rPr>
      </w:pPr>
    </w:p>
    <w:p>
      <w:pPr>
        <w:ind w:left="660" w:right="300" w:hanging="328"/>
        <w:spacing w:after="0" w:line="253"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management believes that presenting certain non-GAAP measures by excluding or including certain items can be helpful to investors and analysts who may wish to use some or all of this information to analyze our current performance, prospects, and valuation. Our management uses this non-GAAP information internally to evaluate operating performance and in formulating the budget for future periods. Our management believes that the non-GAAP measures and metrics discussed below are appropriate for evaluating the performance of the Company.</w:t>
      </w:r>
    </w:p>
    <w:p>
      <w:pPr>
        <w:spacing w:after="0" w:line="205" w:lineRule="exact"/>
        <w:rPr>
          <w:rFonts w:ascii="Arial" w:cs="Arial" w:eastAsia="Arial" w:hAnsi="Arial"/>
          <w:sz w:val="18"/>
          <w:szCs w:val="18"/>
          <w:color w:val="auto"/>
        </w:rPr>
      </w:pPr>
    </w:p>
    <w:p>
      <w:pPr>
        <w:ind w:left="660" w:right="20" w:hanging="328"/>
        <w:spacing w:after="0" w:line="252"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Gross profit is calculated as net revenues less commission and advisory expenses and brokerage, clearing, and exchange fees. All other expense categories, including depreciation and amortization of fixed assets and amortization of intangible assets, are considered general and administrative in nature. Because our gross profit amounts do not include any depreciation and amortization expense, we consider our gross profit amounts to be non-GAAP measures that may not be comparable to those of others in our industry. We believe that gross profit amounts can be useful to investors because they show the Company’s core operating performance before indirect costs that are general and administrative in nature.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&amp; Regulatory Matters</w:t>
      </w:r>
    </w:p>
    <w:p>
      <w:pPr>
        <w:spacing w:after="0" w:line="247" w:lineRule="exact"/>
        <w:rPr>
          <w:sz w:val="20"/>
          <w:szCs w:val="20"/>
          <w:color w:val="auto"/>
        </w:rPr>
      </w:pPr>
    </w:p>
    <w:p>
      <w:pPr>
        <w:ind w:firstLine="486"/>
        <w:spacing w:after="0" w:line="251" w:lineRule="auto"/>
        <w:rPr>
          <w:sz w:val="20"/>
          <w:szCs w:val="20"/>
          <w:color w:val="auto"/>
        </w:rPr>
      </w:pPr>
      <w:r>
        <w:rPr>
          <w:rFonts w:ascii="Arial" w:cs="Arial" w:eastAsia="Arial" w:hAnsi="Arial"/>
          <w:sz w:val="18"/>
          <w:szCs w:val="18"/>
          <w:color w:val="auto"/>
        </w:rPr>
        <w:t>As a regulated entity, we are subject to regulatory oversight and inquiries related to, among other items, our compliance and supervisory systems and procedures and other controls, as well as our disclosures, supervision, and reporting. The environment of additional regulation, increased regulatory compliance obligations, and enhanced regulatory enforcement has resulted in additional operational and compliance costs, as well as increased costs in the form of fines, restitution, and remediation related to regulatory matters. In the ordinary course of business, we periodically identify or become aware of purported inadequacies, deficiencies, and other issues. It is our policy to evaluate these matters for potential securities law or regulatory violations and other potential compliance issues. It is also our policy to self-report known violations and issues as required by applicable law and regulation. When deemed probable that matters may result in financial losses, we accrue for those losses based on an estimate of possible fines, customer restitution, and losses related to the repurchase of sold securities and other losses, as applicable. Certain regulatory and other legal claims and losses may be covered through our wholly-owned captive insurance subsidiary, which is chartered with the insurance commissioner in the State of Tennessee. Our ability to estimate such costs may vary based on the current stage of evaluation and status of discussion with regulators, as applicable.</w:t>
      </w:r>
    </w:p>
    <w:p>
      <w:pPr>
        <w:spacing w:after="0" w:line="212" w:lineRule="exact"/>
        <w:rPr>
          <w:sz w:val="20"/>
          <w:szCs w:val="20"/>
          <w:color w:val="auto"/>
        </w:rPr>
      </w:pPr>
    </w:p>
    <w:p>
      <w:pPr>
        <w:ind w:right="80" w:firstLine="486"/>
        <w:spacing w:after="0" w:line="253" w:lineRule="auto"/>
        <w:rPr>
          <w:sz w:val="20"/>
          <w:szCs w:val="20"/>
          <w:color w:val="auto"/>
        </w:rPr>
      </w:pPr>
      <w:r>
        <w:rPr>
          <w:rFonts w:ascii="Arial" w:cs="Arial" w:eastAsia="Arial" w:hAnsi="Arial"/>
          <w:sz w:val="18"/>
          <w:szCs w:val="18"/>
          <w:color w:val="auto"/>
        </w:rPr>
        <w:t>Our accruals, including those established through the captive insurance subsidiary, at September 30, 2016, include estimated costs for significant regulatory matters, generally relating to the adequacy of our compliance and supervisory systems and procedures and other controls, for which we believe losses are both probable and reasonably estimable. One of the matters relates to sales of certain securities over several years, and our accrual at September 30, 2016, includes an estimate for the loss we expect to incur in resolving this matter, including if we were to repurchase certain affected securities at their original sales prices.</w:t>
      </w:r>
    </w:p>
    <w:p>
      <w:pPr>
        <w:spacing w:after="0" w:line="206" w:lineRule="exact"/>
        <w:rPr>
          <w:sz w:val="20"/>
          <w:szCs w:val="20"/>
          <w:color w:val="auto"/>
        </w:rPr>
      </w:pPr>
    </w:p>
    <w:p>
      <w:pPr>
        <w:ind w:right="460" w:firstLine="486"/>
        <w:spacing w:after="0" w:line="254" w:lineRule="auto"/>
        <w:rPr>
          <w:sz w:val="20"/>
          <w:szCs w:val="20"/>
          <w:color w:val="auto"/>
        </w:rPr>
      </w:pPr>
      <w:r>
        <w:rPr>
          <w:rFonts w:ascii="Arial" w:cs="Arial" w:eastAsia="Arial" w:hAnsi="Arial"/>
          <w:sz w:val="18"/>
          <w:szCs w:val="18"/>
          <w:color w:val="auto"/>
        </w:rPr>
        <w:t xml:space="preserve">The outcome of regulatory matters could result in legal liability, regulatory fines, or monetary penalties in excess of our accruals and insurance, which could have a material adverse effect on our business, results of operations, cash flows, or financial condition. For more information on management’s loss contingency policies, see Note 8.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within the notes to the unaudited condensed consolidated financial statements.</w:t>
      </w:r>
    </w:p>
    <w:p>
      <w:pPr>
        <w:spacing w:after="0" w:line="186" w:lineRule="exact"/>
        <w:rPr>
          <w:sz w:val="20"/>
          <w:szCs w:val="20"/>
          <w:color w:val="auto"/>
        </w:rPr>
      </w:pPr>
    </w:p>
    <w:p>
      <w:pPr>
        <w:ind w:right="100" w:firstLine="486"/>
        <w:spacing w:after="0" w:line="255" w:lineRule="auto"/>
        <w:rPr>
          <w:sz w:val="20"/>
          <w:szCs w:val="20"/>
          <w:color w:val="auto"/>
        </w:rPr>
      </w:pPr>
      <w:r>
        <w:rPr>
          <w:rFonts w:ascii="Arial" w:cs="Arial" w:eastAsia="Arial" w:hAnsi="Arial"/>
          <w:sz w:val="18"/>
          <w:szCs w:val="18"/>
          <w:color w:val="auto"/>
        </w:rPr>
        <w:t xml:space="preserve">In April 2016, the U.S. Department of Labor issued a final rule (the “DOL Rule”): </w:t>
      </w:r>
      <w:r>
        <w:rPr>
          <w:rFonts w:ascii="Arial" w:cs="Arial" w:eastAsia="Arial" w:hAnsi="Arial"/>
          <w:sz w:val="18"/>
          <w:szCs w:val="18"/>
          <w:i w:val="1"/>
          <w:iCs w:val="1"/>
          <w:color w:val="auto"/>
        </w:rPr>
        <w:t>“Definition of the Term “Fiduciary”; Conflict of Interest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Rule-Retirement Investment Advice.” </w:t>
      </w:r>
      <w:r>
        <w:rPr>
          <w:rFonts w:ascii="Arial" w:cs="Arial" w:eastAsia="Arial" w:hAnsi="Arial"/>
          <w:sz w:val="18"/>
          <w:szCs w:val="18"/>
          <w:color w:val="auto"/>
        </w:rPr>
        <w:t>The DOL Rule broadens the circumstances under which we may be considered a “fiduciary” with respect</w:t>
      </w:r>
      <w:r>
        <w:rPr>
          <w:rFonts w:ascii="Arial" w:cs="Arial" w:eastAsia="Arial" w:hAnsi="Arial"/>
          <w:sz w:val="18"/>
          <w:szCs w:val="18"/>
          <w:i w:val="1"/>
          <w:iCs w:val="1"/>
          <w:color w:val="auto"/>
        </w:rPr>
        <w:t xml:space="preserve"> </w:t>
      </w:r>
      <w:r>
        <w:rPr>
          <w:rFonts w:ascii="Arial" w:cs="Arial" w:eastAsia="Arial" w:hAnsi="Arial"/>
          <w:sz w:val="18"/>
          <w:szCs w:val="18"/>
          <w:color w:val="auto"/>
        </w:rPr>
        <w:t>to certain accounts that are subject to the Employee Retirement Income Security Act, and the prohibited transaction rules under section 4975 of the Internal Revenue Code, including many employer-sponsored retirement plans and individual retirement accounts. The DOL Rule will likely affect the products and services we provide to these types of accounts and the compensation that we and our advisors receive in connection with such products and services, as well as our regulatory compliance and other costs and those of our advisors. In addition, the DOL Rule creates increased risk of private arbitration and litigation, including potential class action litigation, based on violations of the DOL Rule. As we implement the DOL rule, we</w:t>
      </w: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90" w:right="239" w:bottom="1440" w:gutter="0" w:footer="0" w:header="0"/>
        </w:sectPr>
      </w:pPr>
    </w:p>
    <w:bookmarkStart w:id="9" w:name="page10"/>
    <w:bookmarkEnd w:id="9"/>
    <w:p>
      <w:pPr>
        <w:ind w:right="80"/>
        <w:spacing w:after="0" w:line="262" w:lineRule="auto"/>
        <w:rPr>
          <w:sz w:val="20"/>
          <w:szCs w:val="20"/>
          <w:color w:val="auto"/>
        </w:rPr>
      </w:pPr>
      <w:r>
        <w:rPr>
          <w:rFonts w:ascii="Arial" w:cs="Arial" w:eastAsia="Arial" w:hAnsi="Arial"/>
          <w:sz w:val="18"/>
          <w:szCs w:val="18"/>
          <w:color w:val="auto"/>
        </w:rPr>
        <w:t>continue to analyze the potential effects on our business, including implications for both our revenues and expenses, and the broader financial services industry as of the date of this quarterly report.</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Financial Instruments</w:t>
      </w:r>
    </w:p>
    <w:p>
      <w:pPr>
        <w:spacing w:after="0" w:line="247"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In May 2013, we entered into a long-term contractual obligation (the "Agreement") with a third-party provider to enhance the quality and speed and reduce the cost of our processes by outsourcing certain functions. The Agreement provides that on each annual anniversary date of the signing of the Agreement, the price for services (as denominated in US dollars) is to be adjusted for the then-current exchange rate between the U.S. dollar and the Indian rupee. We bear the risk of currency movement at each annual reset date.</w:t>
      </w:r>
    </w:p>
    <w:p>
      <w:pPr>
        <w:spacing w:after="0" w:line="204" w:lineRule="exact"/>
        <w:rPr>
          <w:sz w:val="20"/>
          <w:szCs w:val="20"/>
          <w:color w:val="auto"/>
        </w:rPr>
      </w:pPr>
    </w:p>
    <w:p>
      <w:pPr>
        <w:ind w:right="400" w:firstLine="486"/>
        <w:spacing w:after="0" w:line="254" w:lineRule="auto"/>
        <w:rPr>
          <w:sz w:val="20"/>
          <w:szCs w:val="20"/>
          <w:color w:val="auto"/>
        </w:rPr>
      </w:pPr>
      <w:r>
        <w:rPr>
          <w:rFonts w:ascii="Arial" w:cs="Arial" w:eastAsia="Arial" w:hAnsi="Arial"/>
          <w:sz w:val="18"/>
          <w:szCs w:val="18"/>
          <w:color w:val="auto"/>
        </w:rPr>
        <w:t>We use derivative financial instruments consisting primarily of non-deliverable foreign currency contracts, all of which have been designated as cash flow hedges. Through these instruments, we believe we have mitigated foreign currency risk arising from a substantial portion of our contract obligation with the third-party provider arising from annual anniversary adjustments. We will continue to assess the effectiveness of our use of cash flow hedges to mitigate risk from foreign currency contracts.</w:t>
      </w:r>
    </w:p>
    <w:p>
      <w:pPr>
        <w:spacing w:after="0" w:line="78" w:lineRule="exact"/>
        <w:rPr>
          <w:sz w:val="20"/>
          <w:szCs w:val="20"/>
          <w:color w:val="auto"/>
        </w:rPr>
      </w:pPr>
    </w:p>
    <w:p>
      <w:pPr>
        <w:ind w:right="740" w:firstLine="486"/>
        <w:spacing w:after="0" w:line="282" w:lineRule="auto"/>
        <w:rPr>
          <w:sz w:val="20"/>
          <w:szCs w:val="20"/>
          <w:color w:val="auto"/>
        </w:rPr>
      </w:pPr>
      <w:r>
        <w:rPr>
          <w:rFonts w:ascii="Arial" w:cs="Arial" w:eastAsia="Arial" w:hAnsi="Arial"/>
          <w:sz w:val="18"/>
          <w:szCs w:val="18"/>
          <w:color w:val="auto"/>
        </w:rPr>
        <w:t xml:space="preserve">See Note 5. </w:t>
      </w:r>
      <w:r>
        <w:rPr>
          <w:rFonts w:ascii="Arial" w:cs="Arial" w:eastAsia="Arial" w:hAnsi="Arial"/>
          <w:sz w:val="18"/>
          <w:szCs w:val="18"/>
          <w:i w:val="1"/>
          <w:iCs w:val="1"/>
          <w:color w:val="auto"/>
        </w:rPr>
        <w:t>Derivative Financial Instruments</w:t>
      </w:r>
      <w:r>
        <w:rPr>
          <w:rFonts w:ascii="Arial" w:cs="Arial" w:eastAsia="Arial" w:hAnsi="Arial"/>
          <w:sz w:val="18"/>
          <w:szCs w:val="18"/>
          <w:color w:val="auto"/>
        </w:rPr>
        <w:t>, within the notes to the unaudited condensed consolidated financial statements for additional information regarding our derivative financial instruments.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 Integrations, and Divestitures</w:t>
      </w:r>
    </w:p>
    <w:p>
      <w:pPr>
        <w:spacing w:after="0" w:line="247" w:lineRule="exact"/>
        <w:rPr>
          <w:sz w:val="20"/>
          <w:szCs w:val="20"/>
          <w:color w:val="auto"/>
        </w:rPr>
      </w:pPr>
    </w:p>
    <w:p>
      <w:pPr>
        <w:ind w:right="320" w:firstLine="486"/>
        <w:spacing w:after="0" w:line="254" w:lineRule="auto"/>
        <w:rPr>
          <w:sz w:val="20"/>
          <w:szCs w:val="20"/>
          <w:color w:val="auto"/>
        </w:rPr>
      </w:pPr>
      <w:r>
        <w:rPr>
          <w:rFonts w:ascii="Arial" w:cs="Arial" w:eastAsia="Arial" w:hAnsi="Arial"/>
          <w:sz w:val="18"/>
          <w:szCs w:val="18"/>
          <w:color w:val="auto"/>
        </w:rPr>
        <w:t>From time to time we undertake acquisitions or divestitures outside the ordinary course of business based on opportunities in the competitive landscape. These activities are part of our overall growth strategy, but can distort comparability when reviewing revenue and expense trends for periods presented. There have been no material acquisitions, integrations, or divestitures during the nine months ended September 30, 2016. See our 2015 Annual Report on Form 10-K for 2015 activity.</w:t>
      </w:r>
    </w:p>
    <w:p>
      <w:pPr>
        <w:spacing w:after="0" w:line="3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490" w:right="27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Economic Overview and Impact of Financial Market Events</w:t>
      </w:r>
    </w:p>
    <w:p>
      <w:pPr>
        <w:spacing w:after="0" w:line="247" w:lineRule="exact"/>
        <w:rPr>
          <w:sz w:val="20"/>
          <w:szCs w:val="20"/>
          <w:color w:val="auto"/>
        </w:rPr>
      </w:pPr>
    </w:p>
    <w:p>
      <w:pPr>
        <w:ind w:right="20" w:firstLine="486"/>
        <w:spacing w:after="0" w:line="251" w:lineRule="auto"/>
        <w:rPr>
          <w:sz w:val="20"/>
          <w:szCs w:val="20"/>
          <w:color w:val="auto"/>
        </w:rPr>
      </w:pPr>
      <w:r>
        <w:rPr>
          <w:rFonts w:ascii="Arial" w:cs="Arial" w:eastAsia="Arial" w:hAnsi="Arial"/>
          <w:sz w:val="18"/>
          <w:szCs w:val="18"/>
          <w:color w:val="auto"/>
        </w:rPr>
        <w:t>Our business is directly and indirectly sensitive to several macroeconomic factors and the state of financial markets, particularly in the United States. In the U.S., economic data continues to point to fairly steady economic growth. According to the most recent estimate by the Bureau of Economic Analysis, real gross domestic product (“GDP”) growth accelerated to a 2.9% annualized rate in the third quarter of 2016 from 1.4% in the second quarter, putting the overall growth rate over the last four quarters at 1.5%. A largely healthy labor market, a relatively strong U.S. consumer spending, and low interest rates have all been supportive of growth. In addition, stabilizing oil prices have helped manufacturing to rebound modestly, while services sector activity remains steady. Nevertheless, a lack of support from global growth continues to be a concern. In addition, uncertainty arising from the impact of the U.K.'s vote to leave the European Union, despite a muted effect thus far, and the upcoming election in the U.S. may be causing some businesses to delay committing to major projects pending greater clarity. While growth of 2-3% is modest by historical standards, such a growth rate, should it continue, would still be above the Congressional Budget Office’s estimate of potential GDP growth, and therefore could be enough to continue to slowly tighten the labor market, push wages higher, and increase the probability of the Federal Reserve ("Fed") raising rates later this year or in early 2017.</w:t>
      </w:r>
    </w:p>
    <w:p>
      <w:pPr>
        <w:spacing w:after="0" w:line="104" w:lineRule="exact"/>
        <w:rPr>
          <w:sz w:val="20"/>
          <w:szCs w:val="20"/>
          <w:color w:val="auto"/>
        </w:rPr>
      </w:pPr>
    </w:p>
    <w:p>
      <w:pPr>
        <w:ind w:firstLine="486"/>
        <w:spacing w:after="0" w:line="251" w:lineRule="auto"/>
        <w:rPr>
          <w:sz w:val="20"/>
          <w:szCs w:val="20"/>
          <w:color w:val="auto"/>
        </w:rPr>
      </w:pPr>
      <w:r>
        <w:rPr>
          <w:rFonts w:ascii="Arial" w:cs="Arial" w:eastAsia="Arial" w:hAnsi="Arial"/>
          <w:sz w:val="18"/>
          <w:szCs w:val="18"/>
          <w:color w:val="auto"/>
        </w:rPr>
        <w:t>Equity markets exhibited relatively low volatility over the quarter and measures of financial stress, while not at cycle lows, remained considerably better than levels seen earlier this year. The S&amp;P 500 index advanced in the third quarter, with a bulk of gains coming in July, and posted a new all-time high in early July for the first time since May 21, 2015. However, fund flow data and investor sentiment surveys continue to indicate caution among retail investors. Market leadership shifted during the quarter from high dividend-paying sectors to more economically sensitive sectors, such as technology and industrials, with a similar shift in fixed income toward less rate-sensitive sectors. The change in sector leadership in part reflected a change in interest rate behavior during the quarter after rates fell sharply in the first half of the year. Treasury yields, which started the quarter at depressed levels following declines in response to the U.K. referendum vote, rose steadily over the quarter to end higher across the yield curve. Yields were pushed higher by a modest advance in market-based and macroeconomic measures of inflation and the absence of any meaningful expansion of policy support by major global central banks at their September meetings, which, in the context of a very accommodative policy environment overall has been interpreted as a move toward tighter monetary policy than had previously been expected.</w:t>
      </w:r>
    </w:p>
    <w:p>
      <w:pPr>
        <w:spacing w:after="0" w:line="104" w:lineRule="exact"/>
        <w:rPr>
          <w:sz w:val="20"/>
          <w:szCs w:val="20"/>
          <w:color w:val="auto"/>
        </w:rPr>
      </w:pPr>
    </w:p>
    <w:p>
      <w:pPr>
        <w:ind w:right="20" w:firstLine="486"/>
        <w:spacing w:after="0" w:line="251" w:lineRule="auto"/>
        <w:rPr>
          <w:sz w:val="20"/>
          <w:szCs w:val="20"/>
          <w:color w:val="auto"/>
        </w:rPr>
      </w:pPr>
      <w:r>
        <w:rPr>
          <w:rFonts w:ascii="Arial" w:cs="Arial" w:eastAsia="Arial" w:hAnsi="Arial"/>
          <w:sz w:val="18"/>
          <w:szCs w:val="18"/>
          <w:color w:val="auto"/>
        </w:rPr>
        <w:t>Our business is also sensitive to current and expected short-term interest rates, which are largely driven by Federal Reserve policy. In particular, low short-term rates can weigh on the profitability of our cash sweep program, due to the fee compression needed to keep our rates competitive. Low interest rates and the prospect of rising rates over the long term can also have an impact on demand for fixed and variable annuity products. The Fed did not increase its policy rate at its September meeting, but for the first time since December 2014 there were three dissenting votes (out of 10 voting members). In addition, several Fed members in interviews and speeches continued to reinforce that every Fed policy meeting was “live,” as the Fed tried to prepare markets for the next potential interest rate increase. While sentiment in favor of a hike has grown, the expected path of rates continues to be moderate. In updated projections that accompanied the September policy statement, Fed members’ median expectation of the Fed Funds Effective Rate for year-end 2017 fell from 1.6% to 1.1%, while median expectation for year-end 2018 fell from 2.4% to 1.9%. The policy statement released after the meeting continued to signal the possibility of a December rate hike and to highlight that “the case for an increase in the federal funds rate has strengthened,” with the added qualification that any decision would be data dependent.</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522"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Results of Operations</w:t>
      </w:r>
    </w:p>
    <w:p>
      <w:pPr>
        <w:spacing w:after="0" w:line="193" w:lineRule="exact"/>
        <w:rPr>
          <w:sz w:val="20"/>
          <w:szCs w:val="20"/>
          <w:color w:val="auto"/>
        </w:rPr>
      </w:pPr>
    </w:p>
    <w:p>
      <w:pPr>
        <w:ind w:right="120" w:firstLine="486"/>
        <w:spacing w:after="0" w:line="256" w:lineRule="auto"/>
        <w:rPr>
          <w:sz w:val="20"/>
          <w:szCs w:val="20"/>
          <w:color w:val="auto"/>
        </w:rPr>
      </w:pPr>
      <w:r>
        <w:rPr>
          <w:rFonts w:ascii="Arial" w:cs="Arial" w:eastAsia="Arial" w:hAnsi="Arial"/>
          <w:sz w:val="18"/>
          <w:szCs w:val="18"/>
          <w:color w:val="auto"/>
        </w:rPr>
        <w:t>The following table and discussion below presents an analysis of our results of operations for the three and nine months ended September 30, 2016 and 2015. Where appropriate, we have identified specific events and changes that affect comparability or identification or monitoring of trends, and where possible and practical, have quantified the impact of such items.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420" w:type="dxa"/>
            <w:vAlign w:val="bottom"/>
          </w:tcPr>
          <w:p>
            <w:pPr>
              <w:spacing w:after="0"/>
              <w:rPr>
                <w:sz w:val="16"/>
                <w:szCs w:val="16"/>
                <w:color w:val="auto"/>
              </w:rPr>
            </w:pPr>
          </w:p>
        </w:tc>
        <w:tc>
          <w:tcPr>
            <w:tcW w:w="2580" w:type="dxa"/>
            <w:vAlign w:val="bottom"/>
            <w:gridSpan w:val="6"/>
          </w:tcPr>
          <w:p>
            <w:pPr>
              <w:jc w:val="right"/>
              <w:spacing w:after="0"/>
              <w:rPr>
                <w:sz w:val="20"/>
                <w:szCs w:val="20"/>
                <w:color w:val="auto"/>
              </w:rPr>
            </w:pPr>
            <w:r>
              <w:rPr>
                <w:rFonts w:ascii="Arial" w:cs="Arial" w:eastAsia="Arial" w:hAnsi="Arial"/>
                <w:sz w:val="16"/>
                <w:szCs w:val="16"/>
                <w:b w:val="1"/>
                <w:bCs w:val="1"/>
                <w:color w:val="auto"/>
              </w:rPr>
              <w:t>Three Months Ended September</w:t>
            </w:r>
          </w:p>
        </w:tc>
        <w:tc>
          <w:tcPr>
            <w:tcW w:w="1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80" w:type="dxa"/>
            <w:vAlign w:val="bottom"/>
            <w:gridSpan w:val="6"/>
          </w:tcPr>
          <w:p>
            <w:pPr>
              <w:jc w:val="right"/>
              <w:spacing w:after="0"/>
              <w:rPr>
                <w:sz w:val="20"/>
                <w:szCs w:val="20"/>
                <w:color w:val="auto"/>
              </w:rPr>
            </w:pPr>
            <w:r>
              <w:rPr>
                <w:rFonts w:ascii="Arial" w:cs="Arial" w:eastAsia="Arial" w:hAnsi="Arial"/>
                <w:sz w:val="16"/>
                <w:szCs w:val="16"/>
                <w:b w:val="1"/>
                <w:bCs w:val="1"/>
                <w:color w:val="auto"/>
              </w:rPr>
              <w:t>Nine Months Ended September</w:t>
            </w:r>
          </w:p>
        </w:tc>
        <w:tc>
          <w:tcPr>
            <w:tcW w:w="1360" w:type="dxa"/>
            <w:vAlign w:val="bottom"/>
          </w:tcPr>
          <w:p>
            <w:pPr>
              <w:spacing w:after="0"/>
              <w:rPr>
                <w:sz w:val="16"/>
                <w:szCs w:val="16"/>
                <w:color w:val="auto"/>
              </w:rPr>
            </w:pPr>
          </w:p>
        </w:tc>
      </w:tr>
      <w:tr>
        <w:trPr>
          <w:trHeight w:val="228"/>
        </w:trPr>
        <w:tc>
          <w:tcPr>
            <w:tcW w:w="34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6"/>
                <w:szCs w:val="16"/>
                <w:b w:val="1"/>
                <w:bCs w:val="1"/>
                <w:color w:val="auto"/>
              </w:rPr>
              <w:t>30,</w:t>
            </w:r>
          </w:p>
        </w:tc>
        <w:tc>
          <w:tcPr>
            <w:tcW w:w="980" w:type="dxa"/>
            <w:vAlign w:val="bottom"/>
            <w:tcBorders>
              <w:bottom w:val="single" w:sz="8" w:color="auto"/>
            </w:tcBorders>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gridSpan w:val="4"/>
          </w:tcPr>
          <w:p>
            <w:pPr>
              <w:jc w:val="right"/>
              <w:ind w:right="180"/>
              <w:spacing w:after="0"/>
              <w:rPr>
                <w:sz w:val="20"/>
                <w:szCs w:val="20"/>
                <w:color w:val="auto"/>
              </w:rPr>
            </w:pPr>
            <w:r>
              <w:rPr>
                <w:rFonts w:ascii="Arial" w:cs="Arial" w:eastAsia="Arial" w:hAnsi="Arial"/>
                <w:sz w:val="16"/>
                <w:szCs w:val="16"/>
                <w:b w:val="1"/>
                <w:bCs w:val="1"/>
                <w:color w:val="auto"/>
              </w:rPr>
              <w:t>30,</w:t>
            </w:r>
          </w:p>
        </w:tc>
        <w:tc>
          <w:tcPr>
            <w:tcW w:w="980" w:type="dxa"/>
            <w:vAlign w:val="bottom"/>
            <w:tcBorders>
              <w:bottom w:val="single" w:sz="8" w:color="auto"/>
            </w:tcBorders>
          </w:tcPr>
          <w:p>
            <w:pPr>
              <w:spacing w:after="0"/>
              <w:rPr>
                <w:sz w:val="19"/>
                <w:szCs w:val="19"/>
                <w:color w:val="auto"/>
              </w:rPr>
            </w:pPr>
          </w:p>
        </w:tc>
        <w:tc>
          <w:tcPr>
            <w:tcW w:w="1360" w:type="dxa"/>
            <w:vAlign w:val="bottom"/>
          </w:tcPr>
          <w:p>
            <w:pPr>
              <w:spacing w:after="0"/>
              <w:rPr>
                <w:sz w:val="19"/>
                <w:szCs w:val="19"/>
                <w:color w:val="auto"/>
              </w:rPr>
            </w:pPr>
          </w:p>
        </w:tc>
      </w:tr>
      <w:tr>
        <w:trPr>
          <w:trHeight w:val="264"/>
        </w:trPr>
        <w:tc>
          <w:tcPr>
            <w:tcW w:w="34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2016</w:t>
            </w: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2015</w:t>
            </w:r>
          </w:p>
        </w:tc>
        <w:tc>
          <w:tcPr>
            <w:tcW w:w="146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 Change</w:t>
            </w:r>
          </w:p>
        </w:tc>
        <w:tc>
          <w:tcPr>
            <w:tcW w:w="1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2016</w:t>
            </w:r>
          </w:p>
        </w:tc>
        <w:tc>
          <w:tcPr>
            <w:tcW w:w="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2015</w:t>
            </w:r>
          </w:p>
        </w:tc>
        <w:tc>
          <w:tcPr>
            <w:tcW w:w="13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 Change</w:t>
            </w:r>
          </w:p>
        </w:tc>
      </w:tr>
      <w:tr>
        <w:trPr>
          <w:trHeight w:val="233"/>
        </w:trPr>
        <w:tc>
          <w:tcPr>
            <w:tcW w:w="3420" w:type="dxa"/>
            <w:vAlign w:val="bottom"/>
          </w:tcPr>
          <w:p>
            <w:pPr>
              <w:ind w:left="80"/>
              <w:spacing w:after="0"/>
              <w:rPr>
                <w:sz w:val="20"/>
                <w:szCs w:val="20"/>
                <w:color w:val="auto"/>
              </w:rPr>
            </w:pPr>
            <w:r>
              <w:rPr>
                <w:rFonts w:ascii="Arial" w:cs="Arial" w:eastAsia="Arial" w:hAnsi="Arial"/>
                <w:sz w:val="16"/>
                <w:szCs w:val="16"/>
                <w:b w:val="1"/>
                <w:bCs w:val="1"/>
                <w:color w:val="auto"/>
              </w:rPr>
              <w:t>Revenues</w:t>
            </w: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40" w:type="dxa"/>
            <w:vAlign w:val="bottom"/>
            <w:gridSpan w:val="3"/>
          </w:tcPr>
          <w:p>
            <w:pPr>
              <w:jc w:val="right"/>
              <w:ind w:right="579"/>
              <w:spacing w:after="0"/>
              <w:rPr>
                <w:sz w:val="20"/>
                <w:szCs w:val="20"/>
                <w:color w:val="auto"/>
              </w:rPr>
            </w:pPr>
            <w:r>
              <w:rPr>
                <w:rFonts w:ascii="Arial" w:cs="Arial" w:eastAsia="Arial" w:hAnsi="Arial"/>
                <w:sz w:val="16"/>
                <w:szCs w:val="16"/>
                <w:b w:val="1"/>
                <w:bCs w:val="1"/>
                <w:color w:val="auto"/>
              </w:rPr>
              <w:t>(In thousands)</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80"/>
        </w:trPr>
        <w:tc>
          <w:tcPr>
            <w:tcW w:w="3420" w:type="dxa"/>
            <w:vAlign w:val="bottom"/>
            <w:shd w:val="clear" w:color="auto" w:fill="CCEEFF"/>
          </w:tcPr>
          <w:p>
            <w:pPr>
              <w:ind w:left="80"/>
              <w:spacing w:after="0"/>
              <w:rPr>
                <w:sz w:val="20"/>
                <w:szCs w:val="20"/>
                <w:color w:val="auto"/>
              </w:rPr>
            </w:pPr>
            <w:r>
              <w:rPr>
                <w:rFonts w:ascii="Arial" w:cs="Arial" w:eastAsia="Arial" w:hAnsi="Arial"/>
                <w:sz w:val="16"/>
                <w:szCs w:val="16"/>
                <w:color w:val="auto"/>
              </w:rPr>
              <w:t>Commission</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431,686</w:t>
            </w:r>
          </w:p>
        </w:tc>
        <w:tc>
          <w:tcPr>
            <w:tcW w:w="44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480,271</w:t>
            </w:r>
          </w:p>
        </w:tc>
        <w:tc>
          <w:tcPr>
            <w:tcW w:w="14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(10.1)%</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1,314,168</w:t>
            </w:r>
          </w:p>
        </w:tc>
        <w:tc>
          <w:tcPr>
            <w:tcW w:w="440" w:type="dxa"/>
            <w:vAlign w:val="bottom"/>
            <w:gridSpan w:val="4"/>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1,513,359</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w:t>
            </w:r>
          </w:p>
        </w:tc>
      </w:tr>
      <w:tr>
        <w:trPr>
          <w:trHeight w:val="260"/>
        </w:trPr>
        <w:tc>
          <w:tcPr>
            <w:tcW w:w="3420" w:type="dxa"/>
            <w:vAlign w:val="bottom"/>
          </w:tcPr>
          <w:p>
            <w:pPr>
              <w:ind w:left="80"/>
              <w:spacing w:after="0"/>
              <w:rPr>
                <w:sz w:val="20"/>
                <w:szCs w:val="20"/>
                <w:color w:val="auto"/>
              </w:rPr>
            </w:pPr>
            <w:r>
              <w:rPr>
                <w:rFonts w:ascii="Arial" w:cs="Arial" w:eastAsia="Arial" w:hAnsi="Arial"/>
                <w:sz w:val="16"/>
                <w:szCs w:val="16"/>
                <w:color w:val="auto"/>
              </w:rPr>
              <w:t>Advisory</w:t>
            </w:r>
          </w:p>
        </w:tc>
        <w:tc>
          <w:tcPr>
            <w:tcW w:w="2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321,911</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341,217</w:t>
            </w:r>
          </w:p>
        </w:tc>
        <w:tc>
          <w:tcPr>
            <w:tcW w:w="1460" w:type="dxa"/>
            <w:vAlign w:val="bottom"/>
          </w:tcPr>
          <w:p>
            <w:pPr>
              <w:jc w:val="right"/>
              <w:ind w:right="59"/>
              <w:spacing w:after="0"/>
              <w:rPr>
                <w:sz w:val="20"/>
                <w:szCs w:val="20"/>
                <w:color w:val="auto"/>
              </w:rPr>
            </w:pPr>
            <w:r>
              <w:rPr>
                <w:rFonts w:ascii="Arial" w:cs="Arial" w:eastAsia="Arial" w:hAnsi="Arial"/>
                <w:sz w:val="16"/>
                <w:szCs w:val="16"/>
                <w:color w:val="auto"/>
              </w:rPr>
              <w:t>(5.7)%</w:t>
            </w:r>
          </w:p>
        </w:tc>
        <w:tc>
          <w:tcPr>
            <w:tcW w:w="1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964,298</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1,028,213</w:t>
            </w:r>
          </w:p>
        </w:tc>
        <w:tc>
          <w:tcPr>
            <w:tcW w:w="1360" w:type="dxa"/>
            <w:vAlign w:val="bottom"/>
          </w:tcPr>
          <w:p>
            <w:pPr>
              <w:jc w:val="right"/>
              <w:spacing w:after="0"/>
              <w:rPr>
                <w:sz w:val="20"/>
                <w:szCs w:val="20"/>
                <w:color w:val="auto"/>
              </w:rPr>
            </w:pPr>
            <w:r>
              <w:rPr>
                <w:rFonts w:ascii="Arial" w:cs="Arial" w:eastAsia="Arial" w:hAnsi="Arial"/>
                <w:sz w:val="16"/>
                <w:szCs w:val="16"/>
                <w:color w:val="auto"/>
              </w:rPr>
              <w:t>(6.2)%</w:t>
            </w:r>
          </w:p>
        </w:tc>
      </w:tr>
      <w:tr>
        <w:trPr>
          <w:trHeight w:val="280"/>
        </w:trPr>
        <w:tc>
          <w:tcPr>
            <w:tcW w:w="3420" w:type="dxa"/>
            <w:vAlign w:val="bottom"/>
            <w:shd w:val="clear" w:color="auto" w:fill="CCEEFF"/>
          </w:tcPr>
          <w:p>
            <w:pPr>
              <w:ind w:left="80"/>
              <w:spacing w:after="0"/>
              <w:rPr>
                <w:sz w:val="20"/>
                <w:szCs w:val="20"/>
                <w:color w:val="auto"/>
              </w:rPr>
            </w:pPr>
            <w:r>
              <w:rPr>
                <w:rFonts w:ascii="Arial" w:cs="Arial" w:eastAsia="Arial" w:hAnsi="Arial"/>
                <w:sz w:val="16"/>
                <w:szCs w:val="16"/>
                <w:color w:val="auto"/>
              </w:rPr>
              <w:t>Asset-based</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138,291</w:t>
            </w: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123,921</w:t>
            </w:r>
          </w:p>
        </w:tc>
        <w:tc>
          <w:tcPr>
            <w:tcW w:w="14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11.6 %</w:t>
            </w:r>
          </w:p>
        </w:tc>
        <w:tc>
          <w:tcPr>
            <w:tcW w:w="12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412,339</w:t>
            </w: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369,625</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11.6 %</w:t>
            </w:r>
          </w:p>
        </w:tc>
      </w:tr>
      <w:tr>
        <w:trPr>
          <w:trHeight w:val="260"/>
        </w:trPr>
        <w:tc>
          <w:tcPr>
            <w:tcW w:w="3420" w:type="dxa"/>
            <w:vAlign w:val="bottom"/>
          </w:tcPr>
          <w:p>
            <w:pPr>
              <w:ind w:left="80"/>
              <w:spacing w:after="0"/>
              <w:rPr>
                <w:sz w:val="20"/>
                <w:szCs w:val="20"/>
                <w:color w:val="auto"/>
              </w:rPr>
            </w:pPr>
            <w:r>
              <w:rPr>
                <w:rFonts w:ascii="Arial" w:cs="Arial" w:eastAsia="Arial" w:hAnsi="Arial"/>
                <w:sz w:val="16"/>
                <w:szCs w:val="16"/>
                <w:color w:val="auto"/>
              </w:rPr>
              <w:t>Transaction and fee</w:t>
            </w:r>
          </w:p>
        </w:tc>
        <w:tc>
          <w:tcPr>
            <w:tcW w:w="2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108,413</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105,593</w:t>
            </w:r>
          </w:p>
        </w:tc>
        <w:tc>
          <w:tcPr>
            <w:tcW w:w="1460" w:type="dxa"/>
            <w:vAlign w:val="bottom"/>
          </w:tcPr>
          <w:p>
            <w:pPr>
              <w:jc w:val="right"/>
              <w:ind w:right="59"/>
              <w:spacing w:after="0"/>
              <w:rPr>
                <w:sz w:val="20"/>
                <w:szCs w:val="20"/>
                <w:color w:val="auto"/>
              </w:rPr>
            </w:pPr>
            <w:r>
              <w:rPr>
                <w:rFonts w:ascii="Arial" w:cs="Arial" w:eastAsia="Arial" w:hAnsi="Arial"/>
                <w:sz w:val="16"/>
                <w:szCs w:val="16"/>
                <w:color w:val="auto"/>
              </w:rPr>
              <w:t>2.7 %</w:t>
            </w:r>
          </w:p>
        </w:tc>
        <w:tc>
          <w:tcPr>
            <w:tcW w:w="1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312,927</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305,099</w:t>
            </w:r>
          </w:p>
        </w:tc>
        <w:tc>
          <w:tcPr>
            <w:tcW w:w="1360" w:type="dxa"/>
            <w:vAlign w:val="bottom"/>
          </w:tcPr>
          <w:p>
            <w:pPr>
              <w:jc w:val="right"/>
              <w:spacing w:after="0"/>
              <w:rPr>
                <w:sz w:val="20"/>
                <w:szCs w:val="20"/>
                <w:color w:val="auto"/>
              </w:rPr>
            </w:pPr>
            <w:r>
              <w:rPr>
                <w:rFonts w:ascii="Arial" w:cs="Arial" w:eastAsia="Arial" w:hAnsi="Arial"/>
                <w:sz w:val="16"/>
                <w:szCs w:val="16"/>
                <w:color w:val="auto"/>
              </w:rPr>
              <w:t>2.6 %</w:t>
            </w:r>
          </w:p>
        </w:tc>
      </w:tr>
      <w:tr>
        <w:trPr>
          <w:trHeight w:val="280"/>
        </w:trPr>
        <w:tc>
          <w:tcPr>
            <w:tcW w:w="3420" w:type="dxa"/>
            <w:vAlign w:val="bottom"/>
            <w:shd w:val="clear" w:color="auto" w:fill="CCEEFF"/>
          </w:tcPr>
          <w:p>
            <w:pPr>
              <w:ind w:left="80"/>
              <w:spacing w:after="0"/>
              <w:rPr>
                <w:sz w:val="20"/>
                <w:szCs w:val="20"/>
                <w:color w:val="auto"/>
              </w:rPr>
            </w:pPr>
            <w:r>
              <w:rPr>
                <w:rFonts w:ascii="Arial" w:cs="Arial" w:eastAsia="Arial" w:hAnsi="Arial"/>
                <w:sz w:val="16"/>
                <w:szCs w:val="16"/>
                <w:color w:val="auto"/>
              </w:rPr>
              <w:t>Interest income, net of interest expense</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5,372</w:t>
            </w: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5,221</w:t>
            </w:r>
          </w:p>
        </w:tc>
        <w:tc>
          <w:tcPr>
            <w:tcW w:w="14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2.9 %</w:t>
            </w:r>
          </w:p>
        </w:tc>
        <w:tc>
          <w:tcPr>
            <w:tcW w:w="12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15,940</w:t>
            </w: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14,976</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6.4 %</w:t>
            </w:r>
          </w:p>
        </w:tc>
      </w:tr>
      <w:tr>
        <w:trPr>
          <w:trHeight w:val="264"/>
        </w:trPr>
        <w:tc>
          <w:tcPr>
            <w:tcW w:w="3420" w:type="dxa"/>
            <w:vAlign w:val="bottom"/>
            <w:tcBorders>
              <w:bottom w:val="single" w:sz="8" w:color="CCEEFF"/>
            </w:tcBorders>
          </w:tcPr>
          <w:p>
            <w:pPr>
              <w:ind w:left="80"/>
              <w:spacing w:after="0"/>
              <w:rPr>
                <w:sz w:val="20"/>
                <w:szCs w:val="20"/>
                <w:color w:val="auto"/>
              </w:rPr>
            </w:pPr>
            <w:r>
              <w:rPr>
                <w:rFonts w:ascii="Arial" w:cs="Arial" w:eastAsia="Arial" w:hAnsi="Arial"/>
                <w:sz w:val="16"/>
                <w:szCs w:val="16"/>
                <w:color w:val="auto"/>
              </w:rPr>
              <w:t>Other</w:t>
            </w: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11,767</w:t>
            </w: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(1,478)</w:t>
            </w:r>
          </w:p>
        </w:tc>
        <w:tc>
          <w:tcPr>
            <w:tcW w:w="1460" w:type="dxa"/>
            <w:vAlign w:val="bottom"/>
            <w:tcBorders>
              <w:bottom w:val="single" w:sz="8" w:color="CCEEFF"/>
            </w:tcBorders>
          </w:tcPr>
          <w:p>
            <w:pPr>
              <w:jc w:val="right"/>
              <w:ind w:right="259"/>
              <w:spacing w:after="0"/>
              <w:rPr>
                <w:sz w:val="20"/>
                <w:szCs w:val="20"/>
                <w:color w:val="auto"/>
              </w:rPr>
            </w:pPr>
            <w:r>
              <w:rPr>
                <w:rFonts w:ascii="Arial" w:cs="Arial" w:eastAsia="Arial" w:hAnsi="Arial"/>
                <w:sz w:val="16"/>
                <w:szCs w:val="16"/>
                <w:color w:val="auto"/>
              </w:rPr>
              <w:t>n/m</w:t>
            </w:r>
          </w:p>
        </w:tc>
        <w:tc>
          <w:tcPr>
            <w:tcW w:w="1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22,254</w:t>
            </w:r>
          </w:p>
        </w:tc>
        <w:tc>
          <w:tcPr>
            <w:tcW w:w="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23,436</w:t>
            </w:r>
          </w:p>
        </w:tc>
        <w:tc>
          <w:tcPr>
            <w:tcW w:w="13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(5.0)%</w:t>
            </w:r>
          </w:p>
        </w:tc>
      </w:tr>
      <w:tr>
        <w:trPr>
          <w:trHeight w:val="257"/>
        </w:trPr>
        <w:tc>
          <w:tcPr>
            <w:tcW w:w="3420" w:type="dxa"/>
            <w:vAlign w:val="bottom"/>
            <w:shd w:val="clear" w:color="auto" w:fill="CCEEFF"/>
          </w:tcPr>
          <w:p>
            <w:pPr>
              <w:ind w:left="160"/>
              <w:spacing w:after="0"/>
              <w:rPr>
                <w:sz w:val="20"/>
                <w:szCs w:val="20"/>
                <w:color w:val="auto"/>
              </w:rPr>
            </w:pPr>
            <w:r>
              <w:rPr>
                <w:rFonts w:ascii="Arial" w:cs="Arial" w:eastAsia="Arial" w:hAnsi="Arial"/>
                <w:sz w:val="16"/>
                <w:szCs w:val="16"/>
                <w:b w:val="1"/>
                <w:bCs w:val="1"/>
                <w:color w:val="auto"/>
              </w:rPr>
              <w:t>Total net revenues</w:t>
            </w:r>
          </w:p>
        </w:tc>
        <w:tc>
          <w:tcPr>
            <w:tcW w:w="26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1,017,440</w:t>
            </w:r>
          </w:p>
        </w:tc>
        <w:tc>
          <w:tcPr>
            <w:tcW w:w="8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1,054,745</w:t>
            </w:r>
          </w:p>
        </w:tc>
        <w:tc>
          <w:tcPr>
            <w:tcW w:w="14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(3.5)%</w:t>
            </w:r>
          </w:p>
        </w:tc>
        <w:tc>
          <w:tcPr>
            <w:tcW w:w="12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3,041,926</w:t>
            </w:r>
          </w:p>
        </w:tc>
        <w:tc>
          <w:tcPr>
            <w:tcW w:w="60" w:type="dxa"/>
            <w:vAlign w:val="bottom"/>
            <w:tcBorders>
              <w:bottom w:val="single" w:sz="8" w:color="auto"/>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3,254,708</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w:t>
            </w:r>
          </w:p>
        </w:tc>
      </w:tr>
      <w:tr>
        <w:trPr>
          <w:trHeight w:val="254"/>
        </w:trPr>
        <w:tc>
          <w:tcPr>
            <w:tcW w:w="3420" w:type="dxa"/>
            <w:vAlign w:val="bottom"/>
          </w:tcPr>
          <w:p>
            <w:pPr>
              <w:ind w:left="80"/>
              <w:spacing w:after="0"/>
              <w:rPr>
                <w:sz w:val="20"/>
                <w:szCs w:val="20"/>
                <w:color w:val="auto"/>
              </w:rPr>
            </w:pPr>
            <w:r>
              <w:rPr>
                <w:rFonts w:ascii="Arial" w:cs="Arial" w:eastAsia="Arial" w:hAnsi="Arial"/>
                <w:sz w:val="16"/>
                <w:szCs w:val="16"/>
                <w:b w:val="1"/>
                <w:bCs w:val="1"/>
                <w:color w:val="auto"/>
              </w:rPr>
              <w:t>Expenses</w:t>
            </w: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360" w:type="dxa"/>
            <w:vAlign w:val="bottom"/>
          </w:tcPr>
          <w:p>
            <w:pPr>
              <w:spacing w:after="0"/>
              <w:rPr>
                <w:sz w:val="22"/>
                <w:szCs w:val="22"/>
                <w:color w:val="auto"/>
              </w:rPr>
            </w:pPr>
          </w:p>
        </w:tc>
      </w:tr>
      <w:tr>
        <w:trPr>
          <w:trHeight w:val="280"/>
        </w:trPr>
        <w:tc>
          <w:tcPr>
            <w:tcW w:w="3420" w:type="dxa"/>
            <w:vAlign w:val="bottom"/>
            <w:shd w:val="clear" w:color="auto" w:fill="CCEEFF"/>
          </w:tcPr>
          <w:p>
            <w:pPr>
              <w:ind w:left="80"/>
              <w:spacing w:after="0"/>
              <w:rPr>
                <w:sz w:val="20"/>
                <w:szCs w:val="20"/>
                <w:color w:val="auto"/>
              </w:rPr>
            </w:pPr>
            <w:r>
              <w:rPr>
                <w:rFonts w:ascii="Arial" w:cs="Arial" w:eastAsia="Arial" w:hAnsi="Arial"/>
                <w:sz w:val="16"/>
                <w:szCs w:val="16"/>
                <w:color w:val="auto"/>
              </w:rPr>
              <w:t>Commission and advisory</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657,432</w:t>
            </w: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701,585</w:t>
            </w:r>
          </w:p>
        </w:tc>
        <w:tc>
          <w:tcPr>
            <w:tcW w:w="14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(6.3)%</w:t>
            </w:r>
          </w:p>
        </w:tc>
        <w:tc>
          <w:tcPr>
            <w:tcW w:w="12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1,954,123</w:t>
            </w: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2,179,686</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w:t>
            </w:r>
          </w:p>
        </w:tc>
      </w:tr>
      <w:tr>
        <w:trPr>
          <w:trHeight w:val="260"/>
        </w:trPr>
        <w:tc>
          <w:tcPr>
            <w:tcW w:w="3420" w:type="dxa"/>
            <w:vAlign w:val="bottom"/>
          </w:tcPr>
          <w:p>
            <w:pPr>
              <w:ind w:left="80"/>
              <w:spacing w:after="0"/>
              <w:rPr>
                <w:sz w:val="20"/>
                <w:szCs w:val="20"/>
                <w:color w:val="auto"/>
              </w:rPr>
            </w:pPr>
            <w:r>
              <w:rPr>
                <w:rFonts w:ascii="Arial" w:cs="Arial" w:eastAsia="Arial" w:hAnsi="Arial"/>
                <w:sz w:val="16"/>
                <w:szCs w:val="16"/>
                <w:color w:val="auto"/>
              </w:rPr>
              <w:t>Compensation and benefits</w:t>
            </w:r>
          </w:p>
        </w:tc>
        <w:tc>
          <w:tcPr>
            <w:tcW w:w="2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107,988</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110,494</w:t>
            </w:r>
          </w:p>
        </w:tc>
        <w:tc>
          <w:tcPr>
            <w:tcW w:w="1460" w:type="dxa"/>
            <w:vAlign w:val="bottom"/>
          </w:tcPr>
          <w:p>
            <w:pPr>
              <w:jc w:val="right"/>
              <w:ind w:right="59"/>
              <w:spacing w:after="0"/>
              <w:rPr>
                <w:sz w:val="20"/>
                <w:szCs w:val="20"/>
                <w:color w:val="auto"/>
              </w:rPr>
            </w:pPr>
            <w:r>
              <w:rPr>
                <w:rFonts w:ascii="Arial" w:cs="Arial" w:eastAsia="Arial" w:hAnsi="Arial"/>
                <w:sz w:val="16"/>
                <w:szCs w:val="16"/>
                <w:color w:val="auto"/>
              </w:rPr>
              <w:t>(2.3)%</w:t>
            </w:r>
          </w:p>
        </w:tc>
        <w:tc>
          <w:tcPr>
            <w:tcW w:w="1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327,816</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335,111</w:t>
            </w:r>
          </w:p>
        </w:tc>
        <w:tc>
          <w:tcPr>
            <w:tcW w:w="1360" w:type="dxa"/>
            <w:vAlign w:val="bottom"/>
          </w:tcPr>
          <w:p>
            <w:pPr>
              <w:jc w:val="right"/>
              <w:spacing w:after="0"/>
              <w:rPr>
                <w:sz w:val="20"/>
                <w:szCs w:val="20"/>
                <w:color w:val="auto"/>
              </w:rPr>
            </w:pPr>
            <w:r>
              <w:rPr>
                <w:rFonts w:ascii="Arial" w:cs="Arial" w:eastAsia="Arial" w:hAnsi="Arial"/>
                <w:sz w:val="16"/>
                <w:szCs w:val="16"/>
                <w:color w:val="auto"/>
              </w:rPr>
              <w:t>(2.2)%</w:t>
            </w:r>
          </w:p>
        </w:tc>
      </w:tr>
      <w:tr>
        <w:trPr>
          <w:trHeight w:val="280"/>
        </w:trPr>
        <w:tc>
          <w:tcPr>
            <w:tcW w:w="3420" w:type="dxa"/>
            <w:vAlign w:val="bottom"/>
            <w:shd w:val="clear" w:color="auto" w:fill="CCEEFF"/>
          </w:tcPr>
          <w:p>
            <w:pPr>
              <w:ind w:left="80"/>
              <w:spacing w:after="0"/>
              <w:rPr>
                <w:sz w:val="20"/>
                <w:szCs w:val="20"/>
                <w:color w:val="auto"/>
              </w:rPr>
            </w:pPr>
            <w:r>
              <w:rPr>
                <w:rFonts w:ascii="Arial" w:cs="Arial" w:eastAsia="Arial" w:hAnsi="Arial"/>
                <w:sz w:val="16"/>
                <w:szCs w:val="16"/>
                <w:color w:val="auto"/>
              </w:rPr>
              <w:t>Promotional</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42,609</w:t>
            </w: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42,040</w:t>
            </w:r>
          </w:p>
        </w:tc>
        <w:tc>
          <w:tcPr>
            <w:tcW w:w="14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1.4 %</w:t>
            </w:r>
          </w:p>
        </w:tc>
        <w:tc>
          <w:tcPr>
            <w:tcW w:w="12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113,010</w:t>
            </w: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104,416</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8.2 %</w:t>
            </w:r>
          </w:p>
        </w:tc>
      </w:tr>
      <w:tr>
        <w:trPr>
          <w:trHeight w:val="260"/>
        </w:trPr>
        <w:tc>
          <w:tcPr>
            <w:tcW w:w="3420" w:type="dxa"/>
            <w:vAlign w:val="bottom"/>
          </w:tcPr>
          <w:p>
            <w:pPr>
              <w:ind w:left="80"/>
              <w:spacing w:after="0"/>
              <w:rPr>
                <w:sz w:val="20"/>
                <w:szCs w:val="20"/>
                <w:color w:val="auto"/>
              </w:rPr>
            </w:pPr>
            <w:r>
              <w:rPr>
                <w:rFonts w:ascii="Arial" w:cs="Arial" w:eastAsia="Arial" w:hAnsi="Arial"/>
                <w:sz w:val="16"/>
                <w:szCs w:val="16"/>
                <w:color w:val="auto"/>
              </w:rPr>
              <w:t>Depreciation and amortization</w:t>
            </w:r>
          </w:p>
        </w:tc>
        <w:tc>
          <w:tcPr>
            <w:tcW w:w="2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18,434</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17,231</w:t>
            </w:r>
          </w:p>
        </w:tc>
        <w:tc>
          <w:tcPr>
            <w:tcW w:w="1460" w:type="dxa"/>
            <w:vAlign w:val="bottom"/>
          </w:tcPr>
          <w:p>
            <w:pPr>
              <w:jc w:val="right"/>
              <w:ind w:right="59"/>
              <w:spacing w:after="0"/>
              <w:rPr>
                <w:sz w:val="20"/>
                <w:szCs w:val="20"/>
                <w:color w:val="auto"/>
              </w:rPr>
            </w:pPr>
            <w:r>
              <w:rPr>
                <w:rFonts w:ascii="Arial" w:cs="Arial" w:eastAsia="Arial" w:hAnsi="Arial"/>
                <w:sz w:val="16"/>
                <w:szCs w:val="16"/>
                <w:color w:val="auto"/>
              </w:rPr>
              <w:t>7.0 %</w:t>
            </w:r>
          </w:p>
        </w:tc>
        <w:tc>
          <w:tcPr>
            <w:tcW w:w="1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56,145</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50,856</w:t>
            </w:r>
          </w:p>
        </w:tc>
        <w:tc>
          <w:tcPr>
            <w:tcW w:w="1360" w:type="dxa"/>
            <w:vAlign w:val="bottom"/>
          </w:tcPr>
          <w:p>
            <w:pPr>
              <w:jc w:val="right"/>
              <w:spacing w:after="0"/>
              <w:rPr>
                <w:sz w:val="20"/>
                <w:szCs w:val="20"/>
                <w:color w:val="auto"/>
              </w:rPr>
            </w:pPr>
            <w:r>
              <w:rPr>
                <w:rFonts w:ascii="Arial" w:cs="Arial" w:eastAsia="Arial" w:hAnsi="Arial"/>
                <w:sz w:val="16"/>
                <w:szCs w:val="16"/>
                <w:color w:val="auto"/>
              </w:rPr>
              <w:t>10.4 %</w:t>
            </w:r>
          </w:p>
        </w:tc>
      </w:tr>
      <w:tr>
        <w:trPr>
          <w:trHeight w:val="280"/>
        </w:trPr>
        <w:tc>
          <w:tcPr>
            <w:tcW w:w="3420" w:type="dxa"/>
            <w:vAlign w:val="bottom"/>
            <w:shd w:val="clear" w:color="auto" w:fill="CCEEFF"/>
          </w:tcPr>
          <w:p>
            <w:pPr>
              <w:ind w:left="80"/>
              <w:spacing w:after="0"/>
              <w:rPr>
                <w:sz w:val="20"/>
                <w:szCs w:val="20"/>
                <w:color w:val="auto"/>
              </w:rPr>
            </w:pPr>
            <w:r>
              <w:rPr>
                <w:rFonts w:ascii="Arial" w:cs="Arial" w:eastAsia="Arial" w:hAnsi="Arial"/>
                <w:sz w:val="16"/>
                <w:szCs w:val="16"/>
                <w:color w:val="auto"/>
              </w:rPr>
              <w:t>Amortization of intangible assets</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9,502</w:t>
            </w: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9,535</w:t>
            </w:r>
          </w:p>
        </w:tc>
        <w:tc>
          <w:tcPr>
            <w:tcW w:w="14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(0.3)%</w:t>
            </w:r>
          </w:p>
        </w:tc>
        <w:tc>
          <w:tcPr>
            <w:tcW w:w="12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28,536</w:t>
            </w: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28,708</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w:t>
            </w:r>
          </w:p>
        </w:tc>
      </w:tr>
      <w:tr>
        <w:trPr>
          <w:trHeight w:val="260"/>
        </w:trPr>
        <w:tc>
          <w:tcPr>
            <w:tcW w:w="3420" w:type="dxa"/>
            <w:vAlign w:val="bottom"/>
          </w:tcPr>
          <w:p>
            <w:pPr>
              <w:ind w:left="80"/>
              <w:spacing w:after="0"/>
              <w:rPr>
                <w:sz w:val="20"/>
                <w:szCs w:val="20"/>
                <w:color w:val="auto"/>
              </w:rPr>
            </w:pPr>
            <w:r>
              <w:rPr>
                <w:rFonts w:ascii="Arial" w:cs="Arial" w:eastAsia="Arial" w:hAnsi="Arial"/>
                <w:sz w:val="16"/>
                <w:szCs w:val="16"/>
                <w:color w:val="auto"/>
              </w:rPr>
              <w:t>Occupancy and equipment</w:t>
            </w:r>
          </w:p>
        </w:tc>
        <w:tc>
          <w:tcPr>
            <w:tcW w:w="2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23,530</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19,760</w:t>
            </w:r>
          </w:p>
        </w:tc>
        <w:tc>
          <w:tcPr>
            <w:tcW w:w="1460" w:type="dxa"/>
            <w:vAlign w:val="bottom"/>
          </w:tcPr>
          <w:p>
            <w:pPr>
              <w:jc w:val="right"/>
              <w:ind w:right="59"/>
              <w:spacing w:after="0"/>
              <w:rPr>
                <w:sz w:val="20"/>
                <w:szCs w:val="20"/>
                <w:color w:val="auto"/>
              </w:rPr>
            </w:pPr>
            <w:r>
              <w:rPr>
                <w:rFonts w:ascii="Arial" w:cs="Arial" w:eastAsia="Arial" w:hAnsi="Arial"/>
                <w:sz w:val="16"/>
                <w:szCs w:val="16"/>
                <w:color w:val="auto"/>
              </w:rPr>
              <w:t>19.1 %</w:t>
            </w:r>
          </w:p>
        </w:tc>
        <w:tc>
          <w:tcPr>
            <w:tcW w:w="1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67,347</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61,957</w:t>
            </w:r>
          </w:p>
        </w:tc>
        <w:tc>
          <w:tcPr>
            <w:tcW w:w="1360" w:type="dxa"/>
            <w:vAlign w:val="bottom"/>
          </w:tcPr>
          <w:p>
            <w:pPr>
              <w:jc w:val="right"/>
              <w:spacing w:after="0"/>
              <w:rPr>
                <w:sz w:val="20"/>
                <w:szCs w:val="20"/>
                <w:color w:val="auto"/>
              </w:rPr>
            </w:pPr>
            <w:r>
              <w:rPr>
                <w:rFonts w:ascii="Arial" w:cs="Arial" w:eastAsia="Arial" w:hAnsi="Arial"/>
                <w:sz w:val="16"/>
                <w:szCs w:val="16"/>
                <w:color w:val="auto"/>
              </w:rPr>
              <w:t>8.7 %</w:t>
            </w:r>
          </w:p>
        </w:tc>
      </w:tr>
      <w:tr>
        <w:trPr>
          <w:trHeight w:val="280"/>
        </w:trPr>
        <w:tc>
          <w:tcPr>
            <w:tcW w:w="3420" w:type="dxa"/>
            <w:vAlign w:val="bottom"/>
            <w:shd w:val="clear" w:color="auto" w:fill="CCEEFF"/>
          </w:tcPr>
          <w:p>
            <w:pPr>
              <w:ind w:left="80"/>
              <w:spacing w:after="0"/>
              <w:rPr>
                <w:sz w:val="20"/>
                <w:szCs w:val="20"/>
                <w:color w:val="auto"/>
              </w:rPr>
            </w:pPr>
            <w:r>
              <w:rPr>
                <w:rFonts w:ascii="Arial" w:cs="Arial" w:eastAsia="Arial" w:hAnsi="Arial"/>
                <w:sz w:val="16"/>
                <w:szCs w:val="16"/>
                <w:color w:val="auto"/>
              </w:rPr>
              <w:t>Professional services</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17,045</w:t>
            </w: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15,341</w:t>
            </w:r>
          </w:p>
        </w:tc>
        <w:tc>
          <w:tcPr>
            <w:tcW w:w="14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11.1 %</w:t>
            </w:r>
          </w:p>
        </w:tc>
        <w:tc>
          <w:tcPr>
            <w:tcW w:w="12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49,184</w:t>
            </w: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43,914</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12.0 %</w:t>
            </w:r>
          </w:p>
        </w:tc>
      </w:tr>
      <w:tr>
        <w:trPr>
          <w:trHeight w:val="260"/>
        </w:trPr>
        <w:tc>
          <w:tcPr>
            <w:tcW w:w="3420" w:type="dxa"/>
            <w:vAlign w:val="bottom"/>
          </w:tcPr>
          <w:p>
            <w:pPr>
              <w:ind w:left="80"/>
              <w:spacing w:after="0"/>
              <w:rPr>
                <w:sz w:val="20"/>
                <w:szCs w:val="20"/>
                <w:color w:val="auto"/>
              </w:rPr>
            </w:pPr>
            <w:r>
              <w:rPr>
                <w:rFonts w:ascii="Arial" w:cs="Arial" w:eastAsia="Arial" w:hAnsi="Arial"/>
                <w:sz w:val="16"/>
                <w:szCs w:val="16"/>
                <w:color w:val="auto"/>
              </w:rPr>
              <w:t>Brokerage, clearing, and exchange</w:t>
            </w:r>
          </w:p>
        </w:tc>
        <w:tc>
          <w:tcPr>
            <w:tcW w:w="2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13,098</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13,403</w:t>
            </w:r>
          </w:p>
        </w:tc>
        <w:tc>
          <w:tcPr>
            <w:tcW w:w="1460" w:type="dxa"/>
            <w:vAlign w:val="bottom"/>
          </w:tcPr>
          <w:p>
            <w:pPr>
              <w:jc w:val="right"/>
              <w:ind w:right="59"/>
              <w:spacing w:after="0"/>
              <w:rPr>
                <w:sz w:val="20"/>
                <w:szCs w:val="20"/>
                <w:color w:val="auto"/>
              </w:rPr>
            </w:pPr>
            <w:r>
              <w:rPr>
                <w:rFonts w:ascii="Arial" w:cs="Arial" w:eastAsia="Arial" w:hAnsi="Arial"/>
                <w:sz w:val="16"/>
                <w:szCs w:val="16"/>
                <w:color w:val="auto"/>
              </w:rPr>
              <w:t>(2.3)%</w:t>
            </w:r>
          </w:p>
        </w:tc>
        <w:tc>
          <w:tcPr>
            <w:tcW w:w="1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40,296</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39,680</w:t>
            </w:r>
          </w:p>
        </w:tc>
        <w:tc>
          <w:tcPr>
            <w:tcW w:w="1360" w:type="dxa"/>
            <w:vAlign w:val="bottom"/>
          </w:tcPr>
          <w:p>
            <w:pPr>
              <w:jc w:val="right"/>
              <w:spacing w:after="0"/>
              <w:rPr>
                <w:sz w:val="20"/>
                <w:szCs w:val="20"/>
                <w:color w:val="auto"/>
              </w:rPr>
            </w:pPr>
            <w:r>
              <w:rPr>
                <w:rFonts w:ascii="Arial" w:cs="Arial" w:eastAsia="Arial" w:hAnsi="Arial"/>
                <w:sz w:val="16"/>
                <w:szCs w:val="16"/>
                <w:color w:val="auto"/>
              </w:rPr>
              <w:t>1.6 %</w:t>
            </w:r>
          </w:p>
        </w:tc>
      </w:tr>
      <w:tr>
        <w:trPr>
          <w:trHeight w:val="280"/>
        </w:trPr>
        <w:tc>
          <w:tcPr>
            <w:tcW w:w="3420" w:type="dxa"/>
            <w:vAlign w:val="bottom"/>
            <w:shd w:val="clear" w:color="auto" w:fill="CCEEFF"/>
          </w:tcPr>
          <w:p>
            <w:pPr>
              <w:ind w:left="80"/>
              <w:spacing w:after="0"/>
              <w:rPr>
                <w:sz w:val="20"/>
                <w:szCs w:val="20"/>
                <w:color w:val="auto"/>
              </w:rPr>
            </w:pPr>
            <w:r>
              <w:rPr>
                <w:rFonts w:ascii="Arial" w:cs="Arial" w:eastAsia="Arial" w:hAnsi="Arial"/>
                <w:sz w:val="16"/>
                <w:szCs w:val="16"/>
                <w:color w:val="auto"/>
              </w:rPr>
              <w:t>Communications and data processing</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10,333</w:t>
            </w: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11,253</w:t>
            </w:r>
          </w:p>
        </w:tc>
        <w:tc>
          <w:tcPr>
            <w:tcW w:w="14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(8.2)%</w:t>
            </w:r>
          </w:p>
        </w:tc>
        <w:tc>
          <w:tcPr>
            <w:tcW w:w="12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31,801</w:t>
            </w: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33,974</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w:t>
            </w:r>
          </w:p>
        </w:tc>
      </w:tr>
      <w:tr>
        <w:trPr>
          <w:trHeight w:val="260"/>
        </w:trPr>
        <w:tc>
          <w:tcPr>
            <w:tcW w:w="3420" w:type="dxa"/>
            <w:vAlign w:val="bottom"/>
          </w:tcPr>
          <w:p>
            <w:pPr>
              <w:ind w:left="80"/>
              <w:spacing w:after="0"/>
              <w:rPr>
                <w:sz w:val="20"/>
                <w:szCs w:val="20"/>
                <w:color w:val="auto"/>
              </w:rPr>
            </w:pPr>
            <w:r>
              <w:rPr>
                <w:rFonts w:ascii="Arial" w:cs="Arial" w:eastAsia="Arial" w:hAnsi="Arial"/>
                <w:sz w:val="16"/>
                <w:szCs w:val="16"/>
                <w:color w:val="auto"/>
              </w:rPr>
              <w:t>Restructuring charges</w:t>
            </w:r>
          </w:p>
        </w:tc>
        <w:tc>
          <w:tcPr>
            <w:tcW w:w="2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3,071</w:t>
            </w:r>
          </w:p>
        </w:tc>
        <w:tc>
          <w:tcPr>
            <w:tcW w:w="1460" w:type="dxa"/>
            <w:vAlign w:val="bottom"/>
          </w:tcPr>
          <w:p>
            <w:pPr>
              <w:jc w:val="right"/>
              <w:ind w:right="59"/>
              <w:spacing w:after="0"/>
              <w:rPr>
                <w:sz w:val="20"/>
                <w:szCs w:val="20"/>
                <w:color w:val="auto"/>
              </w:rPr>
            </w:pPr>
            <w:r>
              <w:rPr>
                <w:rFonts w:ascii="Arial" w:cs="Arial" w:eastAsia="Arial" w:hAnsi="Arial"/>
                <w:sz w:val="16"/>
                <w:szCs w:val="16"/>
                <w:color w:val="auto"/>
              </w:rPr>
              <w:t>(100.0)%</w:t>
            </w:r>
          </w:p>
        </w:tc>
        <w:tc>
          <w:tcPr>
            <w:tcW w:w="1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11,487</w:t>
            </w:r>
          </w:p>
        </w:tc>
        <w:tc>
          <w:tcPr>
            <w:tcW w:w="1360" w:type="dxa"/>
            <w:vAlign w:val="bottom"/>
          </w:tcPr>
          <w:p>
            <w:pPr>
              <w:jc w:val="right"/>
              <w:spacing w:after="0"/>
              <w:rPr>
                <w:sz w:val="20"/>
                <w:szCs w:val="20"/>
                <w:color w:val="auto"/>
              </w:rPr>
            </w:pPr>
            <w:r>
              <w:rPr>
                <w:rFonts w:ascii="Arial" w:cs="Arial" w:eastAsia="Arial" w:hAnsi="Arial"/>
                <w:sz w:val="16"/>
                <w:szCs w:val="16"/>
                <w:color w:val="auto"/>
              </w:rPr>
              <w:t>(100.0)%</w:t>
            </w:r>
          </w:p>
        </w:tc>
      </w:tr>
      <w:tr>
        <w:trPr>
          <w:trHeight w:val="280"/>
        </w:trPr>
        <w:tc>
          <w:tcPr>
            <w:tcW w:w="3420" w:type="dxa"/>
            <w:vAlign w:val="bottom"/>
            <w:shd w:val="clear" w:color="auto" w:fill="CCEEFF"/>
          </w:tcPr>
          <w:p>
            <w:pPr>
              <w:ind w:left="80"/>
              <w:spacing w:after="0"/>
              <w:rPr>
                <w:sz w:val="20"/>
                <w:szCs w:val="20"/>
                <w:color w:val="auto"/>
              </w:rPr>
            </w:pPr>
            <w:r>
              <w:rPr>
                <w:rFonts w:ascii="Arial" w:cs="Arial" w:eastAsia="Arial" w:hAnsi="Arial"/>
                <w:sz w:val="16"/>
                <w:szCs w:val="16"/>
                <w:color w:val="auto"/>
              </w:rPr>
              <w:t>Other</w:t>
            </w:r>
          </w:p>
        </w:tc>
        <w:tc>
          <w:tcPr>
            <w:tcW w:w="26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25,356</w:t>
            </w:r>
          </w:p>
        </w:tc>
        <w:tc>
          <w:tcPr>
            <w:tcW w:w="8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28,852</w:t>
            </w:r>
          </w:p>
        </w:tc>
        <w:tc>
          <w:tcPr>
            <w:tcW w:w="14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(12.1)%</w:t>
            </w:r>
          </w:p>
        </w:tc>
        <w:tc>
          <w:tcPr>
            <w:tcW w:w="12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69,512</w:t>
            </w:r>
          </w:p>
        </w:tc>
        <w:tc>
          <w:tcPr>
            <w:tcW w:w="6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86,796</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w:t>
            </w:r>
          </w:p>
        </w:tc>
      </w:tr>
      <w:tr>
        <w:trPr>
          <w:trHeight w:val="244"/>
        </w:trPr>
        <w:tc>
          <w:tcPr>
            <w:tcW w:w="3420" w:type="dxa"/>
            <w:vAlign w:val="bottom"/>
            <w:tcBorders>
              <w:bottom w:val="single" w:sz="8" w:color="CCEEFF"/>
            </w:tcBorders>
          </w:tcPr>
          <w:p>
            <w:pPr>
              <w:ind w:left="160"/>
              <w:spacing w:after="0"/>
              <w:rPr>
                <w:sz w:val="20"/>
                <w:szCs w:val="20"/>
                <w:color w:val="auto"/>
              </w:rPr>
            </w:pPr>
            <w:r>
              <w:rPr>
                <w:rFonts w:ascii="Arial" w:cs="Arial" w:eastAsia="Arial" w:hAnsi="Arial"/>
                <w:sz w:val="16"/>
                <w:szCs w:val="16"/>
                <w:b w:val="1"/>
                <w:bCs w:val="1"/>
                <w:color w:val="auto"/>
              </w:rPr>
              <w:t>Total operating expenses</w:t>
            </w: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925,327</w:t>
            </w:r>
          </w:p>
        </w:tc>
        <w:tc>
          <w:tcPr>
            <w:tcW w:w="8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972,565</w:t>
            </w:r>
          </w:p>
        </w:tc>
        <w:tc>
          <w:tcPr>
            <w:tcW w:w="1460" w:type="dxa"/>
            <w:vAlign w:val="bottom"/>
            <w:tcBorders>
              <w:bottom w:val="single" w:sz="8" w:color="CCEEFF"/>
            </w:tcBorders>
          </w:tcPr>
          <w:p>
            <w:pPr>
              <w:jc w:val="right"/>
              <w:ind w:right="59"/>
              <w:spacing w:after="0"/>
              <w:rPr>
                <w:sz w:val="20"/>
                <w:szCs w:val="20"/>
                <w:color w:val="auto"/>
              </w:rPr>
            </w:pPr>
            <w:r>
              <w:rPr>
                <w:rFonts w:ascii="Arial" w:cs="Arial" w:eastAsia="Arial" w:hAnsi="Arial"/>
                <w:sz w:val="16"/>
                <w:szCs w:val="16"/>
                <w:color w:val="auto"/>
              </w:rPr>
              <w:t>(4.9)%</w:t>
            </w:r>
          </w:p>
        </w:tc>
        <w:tc>
          <w:tcPr>
            <w:tcW w:w="1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2,737,770</w:t>
            </w:r>
          </w:p>
        </w:tc>
        <w:tc>
          <w:tcPr>
            <w:tcW w:w="6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2,976,585</w:t>
            </w:r>
          </w:p>
        </w:tc>
        <w:tc>
          <w:tcPr>
            <w:tcW w:w="13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(8.0)%</w:t>
            </w:r>
          </w:p>
        </w:tc>
      </w:tr>
      <w:tr>
        <w:trPr>
          <w:trHeight w:val="250"/>
        </w:trPr>
        <w:tc>
          <w:tcPr>
            <w:tcW w:w="3420" w:type="dxa"/>
            <w:vAlign w:val="bottom"/>
            <w:shd w:val="clear" w:color="auto" w:fill="CCEEFF"/>
          </w:tcPr>
          <w:p>
            <w:pPr>
              <w:ind w:left="80"/>
              <w:spacing w:after="0"/>
              <w:rPr>
                <w:sz w:val="20"/>
                <w:szCs w:val="20"/>
                <w:color w:val="auto"/>
              </w:rPr>
            </w:pPr>
            <w:r>
              <w:rPr>
                <w:rFonts w:ascii="Arial" w:cs="Arial" w:eastAsia="Arial" w:hAnsi="Arial"/>
                <w:sz w:val="16"/>
                <w:szCs w:val="16"/>
                <w:color w:val="auto"/>
              </w:rPr>
              <w:t>Non-operating interest expense</w:t>
            </w:r>
          </w:p>
        </w:tc>
        <w:tc>
          <w:tcPr>
            <w:tcW w:w="26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23,889</w:t>
            </w:r>
          </w:p>
        </w:tc>
        <w:tc>
          <w:tcPr>
            <w:tcW w:w="8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13,493</w:t>
            </w:r>
          </w:p>
        </w:tc>
        <w:tc>
          <w:tcPr>
            <w:tcW w:w="14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77.0 %</w:t>
            </w:r>
          </w:p>
        </w:tc>
        <w:tc>
          <w:tcPr>
            <w:tcW w:w="12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71,583</w:t>
            </w:r>
          </w:p>
        </w:tc>
        <w:tc>
          <w:tcPr>
            <w:tcW w:w="60" w:type="dxa"/>
            <w:vAlign w:val="bottom"/>
            <w:tcBorders>
              <w:bottom w:val="single" w:sz="8" w:color="auto"/>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40,671</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76.0 %</w:t>
            </w:r>
          </w:p>
        </w:tc>
      </w:tr>
      <w:tr>
        <w:trPr>
          <w:trHeight w:val="247"/>
        </w:trPr>
        <w:tc>
          <w:tcPr>
            <w:tcW w:w="3420" w:type="dxa"/>
            <w:vAlign w:val="bottom"/>
          </w:tcPr>
          <w:p>
            <w:pPr>
              <w:ind w:left="40"/>
              <w:spacing w:after="0"/>
              <w:rPr>
                <w:sz w:val="20"/>
                <w:szCs w:val="20"/>
                <w:color w:val="auto"/>
              </w:rPr>
            </w:pPr>
            <w:r>
              <w:rPr>
                <w:rFonts w:ascii="Arial" w:cs="Arial" w:eastAsia="Arial" w:hAnsi="Arial"/>
                <w:sz w:val="16"/>
                <w:szCs w:val="16"/>
                <w:color w:val="auto"/>
              </w:rPr>
              <w:t>Income before provision for income taxes</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68,224</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68,687</w:t>
            </w:r>
          </w:p>
        </w:tc>
        <w:tc>
          <w:tcPr>
            <w:tcW w:w="1460" w:type="dxa"/>
            <w:vAlign w:val="bottom"/>
          </w:tcPr>
          <w:p>
            <w:pPr>
              <w:jc w:val="right"/>
              <w:ind w:right="59"/>
              <w:spacing w:after="0"/>
              <w:rPr>
                <w:sz w:val="20"/>
                <w:szCs w:val="20"/>
                <w:color w:val="auto"/>
              </w:rPr>
            </w:pPr>
            <w:r>
              <w:rPr>
                <w:rFonts w:ascii="Arial" w:cs="Arial" w:eastAsia="Arial" w:hAnsi="Arial"/>
                <w:sz w:val="16"/>
                <w:szCs w:val="16"/>
                <w:color w:val="auto"/>
              </w:rPr>
              <w:t>(0.7)%</w:t>
            </w:r>
          </w:p>
        </w:tc>
        <w:tc>
          <w:tcPr>
            <w:tcW w:w="1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232,573</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237,452</w:t>
            </w:r>
          </w:p>
        </w:tc>
        <w:tc>
          <w:tcPr>
            <w:tcW w:w="1360" w:type="dxa"/>
            <w:vAlign w:val="bottom"/>
          </w:tcPr>
          <w:p>
            <w:pPr>
              <w:jc w:val="right"/>
              <w:spacing w:after="0"/>
              <w:rPr>
                <w:sz w:val="20"/>
                <w:szCs w:val="20"/>
                <w:color w:val="auto"/>
              </w:rPr>
            </w:pPr>
            <w:r>
              <w:rPr>
                <w:rFonts w:ascii="Arial" w:cs="Arial" w:eastAsia="Arial" w:hAnsi="Arial"/>
                <w:sz w:val="16"/>
                <w:szCs w:val="16"/>
                <w:color w:val="auto"/>
              </w:rPr>
              <w:t>(2.1)%</w:t>
            </w:r>
          </w:p>
        </w:tc>
      </w:tr>
      <w:tr>
        <w:trPr>
          <w:trHeight w:val="280"/>
        </w:trPr>
        <w:tc>
          <w:tcPr>
            <w:tcW w:w="342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Provision for income taxes</w:t>
            </w:r>
          </w:p>
        </w:tc>
        <w:tc>
          <w:tcPr>
            <w:tcW w:w="26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16,270</w:t>
            </w:r>
          </w:p>
        </w:tc>
        <w:tc>
          <w:tcPr>
            <w:tcW w:w="8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27,635</w:t>
            </w:r>
          </w:p>
        </w:tc>
        <w:tc>
          <w:tcPr>
            <w:tcW w:w="14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(41.1)%</w:t>
            </w:r>
          </w:p>
        </w:tc>
        <w:tc>
          <w:tcPr>
            <w:tcW w:w="12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82,378</w:t>
            </w:r>
          </w:p>
        </w:tc>
        <w:tc>
          <w:tcPr>
            <w:tcW w:w="6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95,480</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w:t>
            </w:r>
          </w:p>
        </w:tc>
      </w:tr>
      <w:tr>
        <w:trPr>
          <w:trHeight w:val="261"/>
        </w:trPr>
        <w:tc>
          <w:tcPr>
            <w:tcW w:w="3420" w:type="dxa"/>
            <w:vAlign w:val="bottom"/>
          </w:tcPr>
          <w:p>
            <w:pPr>
              <w:ind w:left="20"/>
              <w:spacing w:after="0"/>
              <w:rPr>
                <w:sz w:val="20"/>
                <w:szCs w:val="20"/>
                <w:color w:val="auto"/>
              </w:rPr>
            </w:pPr>
            <w:r>
              <w:rPr>
                <w:rFonts w:ascii="Arial" w:cs="Arial" w:eastAsia="Arial" w:hAnsi="Arial"/>
                <w:sz w:val="16"/>
                <w:szCs w:val="16"/>
                <w:b w:val="1"/>
                <w:bCs w:val="1"/>
                <w:color w:val="auto"/>
              </w:rPr>
              <w:t>Net income</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51,954</w:t>
            </w:r>
          </w:p>
        </w:tc>
        <w:tc>
          <w:tcPr>
            <w:tcW w:w="44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41,052</w:t>
            </w:r>
          </w:p>
        </w:tc>
        <w:tc>
          <w:tcPr>
            <w:tcW w:w="1460" w:type="dxa"/>
            <w:vAlign w:val="bottom"/>
          </w:tcPr>
          <w:p>
            <w:pPr>
              <w:jc w:val="right"/>
              <w:ind w:right="59"/>
              <w:spacing w:after="0"/>
              <w:rPr>
                <w:sz w:val="20"/>
                <w:szCs w:val="20"/>
                <w:color w:val="auto"/>
              </w:rPr>
            </w:pPr>
            <w:r>
              <w:rPr>
                <w:rFonts w:ascii="Arial" w:cs="Arial" w:eastAsia="Arial" w:hAnsi="Arial"/>
                <w:sz w:val="16"/>
                <w:szCs w:val="16"/>
                <w:color w:val="auto"/>
              </w:rPr>
              <w:t>26.6 %</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150,195</w:t>
            </w:r>
          </w:p>
        </w:tc>
        <w:tc>
          <w:tcPr>
            <w:tcW w:w="440" w:type="dxa"/>
            <w:vAlign w:val="bottom"/>
            <w:gridSpan w:val="4"/>
          </w:tcPr>
          <w:p>
            <w:pPr>
              <w:jc w:val="right"/>
              <w:ind w:right="18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141,972</w:t>
            </w:r>
          </w:p>
        </w:tc>
        <w:tc>
          <w:tcPr>
            <w:tcW w:w="1360" w:type="dxa"/>
            <w:vAlign w:val="bottom"/>
          </w:tcPr>
          <w:p>
            <w:pPr>
              <w:jc w:val="right"/>
              <w:spacing w:after="0"/>
              <w:rPr>
                <w:sz w:val="20"/>
                <w:szCs w:val="20"/>
                <w:color w:val="auto"/>
              </w:rPr>
            </w:pPr>
            <w:r>
              <w:rPr>
                <w:rFonts w:ascii="Arial" w:cs="Arial" w:eastAsia="Arial" w:hAnsi="Arial"/>
                <w:sz w:val="16"/>
                <w:szCs w:val="16"/>
                <w:color w:val="auto"/>
              </w:rPr>
              <w:t>5.8 %</w:t>
            </w:r>
          </w:p>
        </w:tc>
      </w:tr>
      <w:tr>
        <w:trPr>
          <w:trHeight w:val="20"/>
        </w:trPr>
        <w:tc>
          <w:tcPr>
            <w:tcW w:w="34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522"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i w:val="1"/>
          <w:iCs w:val="1"/>
          <w:color w:val="auto"/>
        </w:rPr>
        <w:t>Revenues</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Commission Revenues</w:t>
      </w:r>
    </w:p>
    <w:p>
      <w:pPr>
        <w:spacing w:after="0" w:line="297" w:lineRule="exact"/>
        <w:rPr>
          <w:sz w:val="20"/>
          <w:szCs w:val="20"/>
          <w:color w:val="auto"/>
        </w:rPr>
      </w:pPr>
    </w:p>
    <w:p>
      <w:pPr>
        <w:ind w:right="420" w:firstLine="486"/>
        <w:spacing w:after="0" w:line="252" w:lineRule="auto"/>
        <w:rPr>
          <w:sz w:val="20"/>
          <w:szCs w:val="20"/>
          <w:color w:val="auto"/>
        </w:rPr>
      </w:pPr>
      <w:r>
        <w:rPr>
          <w:rFonts w:ascii="Arial" w:cs="Arial" w:eastAsia="Arial" w:hAnsi="Arial"/>
          <w:sz w:val="18"/>
          <w:szCs w:val="18"/>
          <w:color w:val="auto"/>
        </w:rPr>
        <w:t>We generate two types of commission revenues: sales-based commissions and trailing commissions. Sales-based commission revenues, which occur whenever clients trade securities or purchase various types of investment products, primarily represent gross commissions earned by our advisors. The levels of sales-based commission revenues can vary from period to period based on the overall economic environment, number of trading days in the reporting period, and investment activity of our advisors' clients. Trailing commission revenues are recurring in nature and are earned based on the market value of investment holdings in trail eligible assets. We earn trailing commission revenues (a commission that is paid over time, such as 12(b)-1 fees) primarily on mutual funds and variable annuities held by clients of our advisors.</w:t>
      </w:r>
    </w:p>
    <w:p>
      <w:pPr>
        <w:spacing w:after="0" w:line="99" w:lineRule="exact"/>
        <w:rPr>
          <w:sz w:val="20"/>
          <w:szCs w:val="20"/>
          <w:color w:val="auto"/>
        </w:rPr>
      </w:pPr>
    </w:p>
    <w:p>
      <w:pPr>
        <w:ind w:right="860" w:firstLine="486"/>
        <w:spacing w:after="0" w:line="262" w:lineRule="auto"/>
        <w:rPr>
          <w:sz w:val="20"/>
          <w:szCs w:val="20"/>
          <w:color w:val="auto"/>
        </w:rPr>
      </w:pPr>
      <w:r>
        <w:rPr>
          <w:rFonts w:ascii="Arial" w:cs="Arial" w:eastAsia="Arial" w:hAnsi="Arial"/>
          <w:sz w:val="18"/>
          <w:szCs w:val="18"/>
          <w:color w:val="auto"/>
        </w:rPr>
        <w:t>The following table sets forth our commission revenue, by product category, included in our unaudited condensed consolidated statements of income (in thousands):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200" w:type="dxa"/>
            <w:vAlign w:val="bottom"/>
          </w:tcPr>
          <w:p>
            <w:pPr>
              <w:spacing w:after="0"/>
              <w:rPr>
                <w:sz w:val="16"/>
                <w:szCs w:val="16"/>
                <w:color w:val="auto"/>
              </w:rPr>
            </w:pPr>
          </w:p>
        </w:tc>
        <w:tc>
          <w:tcPr>
            <w:tcW w:w="2720" w:type="dxa"/>
            <w:vAlign w:val="bottom"/>
            <w:gridSpan w:val="7"/>
          </w:tcPr>
          <w:p>
            <w:pPr>
              <w:ind w:left="80"/>
              <w:spacing w:after="0"/>
              <w:rPr>
                <w:sz w:val="20"/>
                <w:szCs w:val="20"/>
                <w:color w:val="auto"/>
              </w:rPr>
            </w:pPr>
            <w:r>
              <w:rPr>
                <w:rFonts w:ascii="Arial" w:cs="Arial" w:eastAsia="Arial" w:hAnsi="Arial"/>
                <w:sz w:val="16"/>
                <w:szCs w:val="16"/>
                <w:b w:val="1"/>
                <w:bCs w:val="1"/>
                <w:color w:val="auto"/>
              </w:rPr>
              <w:t>Three Months Ended September</w:t>
            </w: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28"/>
        </w:trPr>
        <w:tc>
          <w:tcPr>
            <w:tcW w:w="62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gridSpan w:val="3"/>
          </w:tcPr>
          <w:p>
            <w:pPr>
              <w:jc w:val="right"/>
              <w:ind w:right="139"/>
              <w:spacing w:after="0"/>
              <w:rPr>
                <w:sz w:val="20"/>
                <w:szCs w:val="20"/>
                <w:color w:val="auto"/>
              </w:rPr>
            </w:pPr>
            <w:r>
              <w:rPr>
                <w:rFonts w:ascii="Arial" w:cs="Arial" w:eastAsia="Arial" w:hAnsi="Arial"/>
                <w:sz w:val="16"/>
                <w:szCs w:val="16"/>
                <w:b w:val="1"/>
                <w:bCs w:val="1"/>
                <w:color w:val="auto"/>
                <w:w w:val="98"/>
              </w:rPr>
              <w:t>30,</w:t>
            </w:r>
          </w:p>
        </w:tc>
        <w:tc>
          <w:tcPr>
            <w:tcW w:w="9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64"/>
        </w:trPr>
        <w:tc>
          <w:tcPr>
            <w:tcW w:w="62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2016</w:t>
            </w:r>
          </w:p>
        </w:tc>
        <w:tc>
          <w:tcPr>
            <w:tcW w:w="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2015</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 Change</w:t>
            </w:r>
          </w:p>
        </w:tc>
        <w:tc>
          <w:tcPr>
            <w:tcW w:w="100" w:type="dxa"/>
            <w:vAlign w:val="bottom"/>
            <w:tcBorders>
              <w:bottom w:val="single" w:sz="8" w:color="CCEEFF"/>
            </w:tcBorders>
          </w:tcPr>
          <w:p>
            <w:pPr>
              <w:spacing w:after="0"/>
              <w:rPr>
                <w:sz w:val="22"/>
                <w:szCs w:val="22"/>
                <w:color w:val="auto"/>
              </w:rPr>
            </w:pPr>
          </w:p>
        </w:tc>
        <w:tc>
          <w:tcPr>
            <w:tcW w:w="12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 Change</w:t>
            </w:r>
          </w:p>
        </w:tc>
      </w:tr>
      <w:tr>
        <w:trPr>
          <w:trHeight w:val="257"/>
        </w:trPr>
        <w:tc>
          <w:tcPr>
            <w:tcW w:w="6200" w:type="dxa"/>
            <w:vAlign w:val="bottom"/>
            <w:shd w:val="clear" w:color="auto" w:fill="CCEEFF"/>
          </w:tcPr>
          <w:p>
            <w:pPr>
              <w:ind w:left="80"/>
              <w:spacing w:after="0"/>
              <w:rPr>
                <w:sz w:val="20"/>
                <w:szCs w:val="20"/>
                <w:color w:val="auto"/>
              </w:rPr>
            </w:pPr>
            <w:r>
              <w:rPr>
                <w:rFonts w:ascii="Arial" w:cs="Arial" w:eastAsia="Arial" w:hAnsi="Arial"/>
                <w:sz w:val="16"/>
                <w:szCs w:val="16"/>
                <w:color w:val="auto"/>
              </w:rPr>
              <w:t>Variable annuities</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169,413</w:t>
            </w:r>
          </w:p>
        </w:tc>
        <w:tc>
          <w:tcPr>
            <w:tcW w:w="460" w:type="dxa"/>
            <w:vAlign w:val="bottom"/>
            <w:gridSpan w:val="3"/>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189,623</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(20,210)</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(10.7)%</w:t>
            </w:r>
          </w:p>
        </w:tc>
      </w:tr>
      <w:tr>
        <w:trPr>
          <w:trHeight w:val="260"/>
        </w:trPr>
        <w:tc>
          <w:tcPr>
            <w:tcW w:w="6200" w:type="dxa"/>
            <w:vAlign w:val="bottom"/>
          </w:tcPr>
          <w:p>
            <w:pPr>
              <w:ind w:left="80"/>
              <w:spacing w:after="0"/>
              <w:rPr>
                <w:sz w:val="20"/>
                <w:szCs w:val="20"/>
                <w:color w:val="auto"/>
              </w:rPr>
            </w:pPr>
            <w:r>
              <w:rPr>
                <w:rFonts w:ascii="Arial" w:cs="Arial" w:eastAsia="Arial" w:hAnsi="Arial"/>
                <w:sz w:val="16"/>
                <w:szCs w:val="16"/>
                <w:color w:val="auto"/>
              </w:rPr>
              <w:t>Mutual funds</w:t>
            </w:r>
          </w:p>
        </w:tc>
        <w:tc>
          <w:tcPr>
            <w:tcW w:w="2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137,238</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144,441</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(7,203)</w:t>
            </w:r>
          </w:p>
        </w:tc>
        <w:tc>
          <w:tcPr>
            <w:tcW w:w="1360" w:type="dxa"/>
            <w:vAlign w:val="bottom"/>
            <w:gridSpan w:val="2"/>
          </w:tcPr>
          <w:p>
            <w:pPr>
              <w:jc w:val="right"/>
              <w:spacing w:after="0"/>
              <w:rPr>
                <w:sz w:val="20"/>
                <w:szCs w:val="20"/>
                <w:color w:val="auto"/>
              </w:rPr>
            </w:pPr>
            <w:r>
              <w:rPr>
                <w:rFonts w:ascii="Arial" w:cs="Arial" w:eastAsia="Arial" w:hAnsi="Arial"/>
                <w:sz w:val="16"/>
                <w:szCs w:val="16"/>
                <w:color w:val="auto"/>
              </w:rPr>
              <w:t>(5.0)%</w:t>
            </w:r>
          </w:p>
        </w:tc>
      </w:tr>
      <w:tr>
        <w:trPr>
          <w:trHeight w:val="280"/>
        </w:trPr>
        <w:tc>
          <w:tcPr>
            <w:tcW w:w="6200" w:type="dxa"/>
            <w:vAlign w:val="bottom"/>
            <w:shd w:val="clear" w:color="auto" w:fill="CCEEFF"/>
          </w:tcPr>
          <w:p>
            <w:pPr>
              <w:ind w:left="80"/>
              <w:spacing w:after="0"/>
              <w:rPr>
                <w:sz w:val="20"/>
                <w:szCs w:val="20"/>
                <w:color w:val="auto"/>
              </w:rPr>
            </w:pPr>
            <w:r>
              <w:rPr>
                <w:rFonts w:ascii="Arial" w:cs="Arial" w:eastAsia="Arial" w:hAnsi="Arial"/>
                <w:sz w:val="16"/>
                <w:szCs w:val="16"/>
                <w:color w:val="auto"/>
              </w:rPr>
              <w:t>Alternative investments</w:t>
            </w:r>
          </w:p>
        </w:tc>
        <w:tc>
          <w:tcPr>
            <w:tcW w:w="28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8,514</w:t>
            </w: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26,113</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(17,599)</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(67.4)%</w:t>
            </w:r>
          </w:p>
        </w:tc>
      </w:tr>
      <w:tr>
        <w:trPr>
          <w:trHeight w:val="260"/>
        </w:trPr>
        <w:tc>
          <w:tcPr>
            <w:tcW w:w="6200" w:type="dxa"/>
            <w:vAlign w:val="bottom"/>
          </w:tcPr>
          <w:p>
            <w:pPr>
              <w:ind w:left="80"/>
              <w:spacing w:after="0"/>
              <w:rPr>
                <w:sz w:val="20"/>
                <w:szCs w:val="20"/>
                <w:color w:val="auto"/>
              </w:rPr>
            </w:pPr>
            <w:r>
              <w:rPr>
                <w:rFonts w:ascii="Arial" w:cs="Arial" w:eastAsia="Arial" w:hAnsi="Arial"/>
                <w:sz w:val="16"/>
                <w:szCs w:val="16"/>
                <w:color w:val="auto"/>
              </w:rPr>
              <w:t>Fixed annuities</w:t>
            </w:r>
          </w:p>
        </w:tc>
        <w:tc>
          <w:tcPr>
            <w:tcW w:w="2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44,933</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42,417</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2,516</w:t>
            </w:r>
          </w:p>
        </w:tc>
        <w:tc>
          <w:tcPr>
            <w:tcW w:w="1360" w:type="dxa"/>
            <w:vAlign w:val="bottom"/>
            <w:gridSpan w:val="2"/>
          </w:tcPr>
          <w:p>
            <w:pPr>
              <w:jc w:val="right"/>
              <w:spacing w:after="0"/>
              <w:rPr>
                <w:sz w:val="20"/>
                <w:szCs w:val="20"/>
                <w:color w:val="auto"/>
              </w:rPr>
            </w:pPr>
            <w:r>
              <w:rPr>
                <w:rFonts w:ascii="Arial" w:cs="Arial" w:eastAsia="Arial" w:hAnsi="Arial"/>
                <w:sz w:val="16"/>
                <w:szCs w:val="16"/>
                <w:color w:val="auto"/>
              </w:rPr>
              <w:t>5.9 %</w:t>
            </w:r>
          </w:p>
        </w:tc>
      </w:tr>
      <w:tr>
        <w:trPr>
          <w:trHeight w:val="280"/>
        </w:trPr>
        <w:tc>
          <w:tcPr>
            <w:tcW w:w="6200" w:type="dxa"/>
            <w:vAlign w:val="bottom"/>
            <w:shd w:val="clear" w:color="auto" w:fill="CCEEFF"/>
          </w:tcPr>
          <w:p>
            <w:pPr>
              <w:ind w:left="80"/>
              <w:spacing w:after="0"/>
              <w:rPr>
                <w:sz w:val="20"/>
                <w:szCs w:val="20"/>
                <w:color w:val="auto"/>
              </w:rPr>
            </w:pPr>
            <w:r>
              <w:rPr>
                <w:rFonts w:ascii="Arial" w:cs="Arial" w:eastAsia="Arial" w:hAnsi="Arial"/>
                <w:sz w:val="16"/>
                <w:szCs w:val="16"/>
                <w:color w:val="auto"/>
              </w:rPr>
              <w:t>Equities</w:t>
            </w:r>
          </w:p>
        </w:tc>
        <w:tc>
          <w:tcPr>
            <w:tcW w:w="28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20,263</w:t>
            </w: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24,875</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(4,612)</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(18.5)%</w:t>
            </w:r>
          </w:p>
        </w:tc>
      </w:tr>
      <w:tr>
        <w:trPr>
          <w:trHeight w:val="260"/>
        </w:trPr>
        <w:tc>
          <w:tcPr>
            <w:tcW w:w="6200" w:type="dxa"/>
            <w:vAlign w:val="bottom"/>
          </w:tcPr>
          <w:p>
            <w:pPr>
              <w:ind w:left="80"/>
              <w:spacing w:after="0"/>
              <w:rPr>
                <w:sz w:val="20"/>
                <w:szCs w:val="20"/>
                <w:color w:val="auto"/>
              </w:rPr>
            </w:pPr>
            <w:r>
              <w:rPr>
                <w:rFonts w:ascii="Arial" w:cs="Arial" w:eastAsia="Arial" w:hAnsi="Arial"/>
                <w:sz w:val="16"/>
                <w:szCs w:val="16"/>
                <w:color w:val="auto"/>
              </w:rPr>
              <w:t>Fixed income</w:t>
            </w:r>
          </w:p>
        </w:tc>
        <w:tc>
          <w:tcPr>
            <w:tcW w:w="2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21,756</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21,778</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(22)</w:t>
            </w:r>
          </w:p>
        </w:tc>
        <w:tc>
          <w:tcPr>
            <w:tcW w:w="1360" w:type="dxa"/>
            <w:vAlign w:val="bottom"/>
            <w:gridSpan w:val="2"/>
          </w:tcPr>
          <w:p>
            <w:pPr>
              <w:jc w:val="right"/>
              <w:spacing w:after="0"/>
              <w:rPr>
                <w:sz w:val="20"/>
                <w:szCs w:val="20"/>
                <w:color w:val="auto"/>
              </w:rPr>
            </w:pPr>
            <w:r>
              <w:rPr>
                <w:rFonts w:ascii="Arial" w:cs="Arial" w:eastAsia="Arial" w:hAnsi="Arial"/>
                <w:sz w:val="16"/>
                <w:szCs w:val="16"/>
                <w:color w:val="auto"/>
              </w:rPr>
              <w:t>(0.1)%</w:t>
            </w:r>
          </w:p>
        </w:tc>
      </w:tr>
      <w:tr>
        <w:trPr>
          <w:trHeight w:val="280"/>
        </w:trPr>
        <w:tc>
          <w:tcPr>
            <w:tcW w:w="6200" w:type="dxa"/>
            <w:vAlign w:val="bottom"/>
            <w:shd w:val="clear" w:color="auto" w:fill="CCEEFF"/>
          </w:tcPr>
          <w:p>
            <w:pPr>
              <w:ind w:left="80"/>
              <w:spacing w:after="0"/>
              <w:rPr>
                <w:sz w:val="20"/>
                <w:szCs w:val="20"/>
                <w:color w:val="auto"/>
              </w:rPr>
            </w:pPr>
            <w:r>
              <w:rPr>
                <w:rFonts w:ascii="Arial" w:cs="Arial" w:eastAsia="Arial" w:hAnsi="Arial"/>
                <w:sz w:val="16"/>
                <w:szCs w:val="16"/>
                <w:color w:val="auto"/>
              </w:rPr>
              <w:t>Insurance</w:t>
            </w:r>
          </w:p>
        </w:tc>
        <w:tc>
          <w:tcPr>
            <w:tcW w:w="28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18,083</w:t>
            </w: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19,105</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(1,022)</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(5.3)%</w:t>
            </w:r>
          </w:p>
        </w:tc>
      </w:tr>
      <w:tr>
        <w:trPr>
          <w:trHeight w:val="260"/>
        </w:trPr>
        <w:tc>
          <w:tcPr>
            <w:tcW w:w="6200" w:type="dxa"/>
            <w:vAlign w:val="bottom"/>
          </w:tcPr>
          <w:p>
            <w:pPr>
              <w:ind w:left="80"/>
              <w:spacing w:after="0"/>
              <w:rPr>
                <w:sz w:val="20"/>
                <w:szCs w:val="20"/>
                <w:color w:val="auto"/>
              </w:rPr>
            </w:pPr>
            <w:r>
              <w:rPr>
                <w:rFonts w:ascii="Arial" w:cs="Arial" w:eastAsia="Arial" w:hAnsi="Arial"/>
                <w:sz w:val="16"/>
                <w:szCs w:val="16"/>
                <w:color w:val="auto"/>
              </w:rPr>
              <w:t>Group annuities</w:t>
            </w:r>
          </w:p>
        </w:tc>
        <w:tc>
          <w:tcPr>
            <w:tcW w:w="2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11,266</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11,777</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(511)</w:t>
            </w:r>
          </w:p>
        </w:tc>
        <w:tc>
          <w:tcPr>
            <w:tcW w:w="1360" w:type="dxa"/>
            <w:vAlign w:val="bottom"/>
            <w:gridSpan w:val="2"/>
          </w:tcPr>
          <w:p>
            <w:pPr>
              <w:jc w:val="right"/>
              <w:spacing w:after="0"/>
              <w:rPr>
                <w:sz w:val="20"/>
                <w:szCs w:val="20"/>
                <w:color w:val="auto"/>
              </w:rPr>
            </w:pPr>
            <w:r>
              <w:rPr>
                <w:rFonts w:ascii="Arial" w:cs="Arial" w:eastAsia="Arial" w:hAnsi="Arial"/>
                <w:sz w:val="16"/>
                <w:szCs w:val="16"/>
                <w:color w:val="auto"/>
              </w:rPr>
              <w:t>(4.3)%</w:t>
            </w:r>
          </w:p>
        </w:tc>
      </w:tr>
      <w:tr>
        <w:trPr>
          <w:trHeight w:val="280"/>
        </w:trPr>
        <w:tc>
          <w:tcPr>
            <w:tcW w:w="6200" w:type="dxa"/>
            <w:vAlign w:val="bottom"/>
            <w:shd w:val="clear" w:color="auto" w:fill="CCEEFF"/>
          </w:tcPr>
          <w:p>
            <w:pPr>
              <w:ind w:left="80"/>
              <w:spacing w:after="0"/>
              <w:rPr>
                <w:sz w:val="20"/>
                <w:szCs w:val="20"/>
                <w:color w:val="auto"/>
              </w:rPr>
            </w:pPr>
            <w:r>
              <w:rPr>
                <w:rFonts w:ascii="Arial" w:cs="Arial" w:eastAsia="Arial" w:hAnsi="Arial"/>
                <w:sz w:val="16"/>
                <w:szCs w:val="16"/>
                <w:color w:val="auto"/>
              </w:rPr>
              <w:t>Other</w:t>
            </w:r>
          </w:p>
        </w:tc>
        <w:tc>
          <w:tcPr>
            <w:tcW w:w="28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220</w:t>
            </w:r>
          </w:p>
        </w:tc>
        <w:tc>
          <w:tcPr>
            <w:tcW w:w="6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142</w:t>
            </w:r>
          </w:p>
        </w:tc>
        <w:tc>
          <w:tcPr>
            <w:tcW w:w="10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78</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54.9 %</w:t>
            </w:r>
          </w:p>
        </w:tc>
      </w:tr>
      <w:tr>
        <w:trPr>
          <w:trHeight w:val="244"/>
        </w:trPr>
        <w:tc>
          <w:tcPr>
            <w:tcW w:w="6200" w:type="dxa"/>
            <w:vAlign w:val="bottom"/>
          </w:tcPr>
          <w:p>
            <w:pPr>
              <w:ind w:left="200"/>
              <w:spacing w:after="0"/>
              <w:rPr>
                <w:sz w:val="20"/>
                <w:szCs w:val="20"/>
                <w:color w:val="auto"/>
              </w:rPr>
            </w:pPr>
            <w:r>
              <w:rPr>
                <w:rFonts w:ascii="Arial" w:cs="Arial" w:eastAsia="Arial" w:hAnsi="Arial"/>
                <w:sz w:val="16"/>
                <w:szCs w:val="16"/>
                <w:b w:val="1"/>
                <w:bCs w:val="1"/>
                <w:color w:val="auto"/>
              </w:rPr>
              <w:t>Total commission revenue</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431,686</w:t>
            </w:r>
          </w:p>
        </w:tc>
        <w:tc>
          <w:tcPr>
            <w:tcW w:w="6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480,271</w:t>
            </w:r>
          </w:p>
        </w:tc>
        <w:tc>
          <w:tcPr>
            <w:tcW w:w="10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(48,585)</w:t>
            </w:r>
          </w:p>
        </w:tc>
        <w:tc>
          <w:tcPr>
            <w:tcW w:w="1360" w:type="dxa"/>
            <w:vAlign w:val="bottom"/>
            <w:gridSpan w:val="2"/>
          </w:tcPr>
          <w:p>
            <w:pPr>
              <w:jc w:val="right"/>
              <w:spacing w:after="0"/>
              <w:rPr>
                <w:sz w:val="20"/>
                <w:szCs w:val="20"/>
                <w:color w:val="auto"/>
              </w:rPr>
            </w:pPr>
            <w:r>
              <w:rPr>
                <w:rFonts w:ascii="Arial" w:cs="Arial" w:eastAsia="Arial" w:hAnsi="Arial"/>
                <w:sz w:val="16"/>
                <w:szCs w:val="16"/>
                <w:color w:val="auto"/>
              </w:rPr>
              <w:t>(10.1)%</w:t>
            </w:r>
          </w:p>
        </w:tc>
      </w:tr>
    </w:tbl>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522" w:right="239" w:bottom="1440" w:gutter="0" w:footer="0" w:header="0"/>
        </w:sectPr>
      </w:pPr>
    </w:p>
    <w:bookmarkStart w:id="13" w:name="page14"/>
    <w:bookmarkEnd w:id="13"/>
    <w:p>
      <w:pPr>
        <w:ind w:left="500"/>
        <w:spacing w:after="0"/>
        <w:rPr>
          <w:sz w:val="20"/>
          <w:szCs w:val="20"/>
          <w:color w:val="auto"/>
        </w:rPr>
      </w:pPr>
      <w:r>
        <w:rPr>
          <w:rFonts w:ascii="Arial" w:cs="Arial" w:eastAsia="Arial" w:hAnsi="Arial"/>
          <w:sz w:val="18"/>
          <w:szCs w:val="18"/>
          <w:color w:val="auto"/>
        </w:rPr>
        <w:t>The following table sets forth our commission revenue, by sales-based and trailing commission revenue (in thousands):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780" w:type="dxa"/>
            <w:vAlign w:val="bottom"/>
          </w:tcPr>
          <w:p>
            <w:pPr>
              <w:spacing w:after="0"/>
              <w:rPr>
                <w:sz w:val="16"/>
                <w:szCs w:val="16"/>
                <w:color w:val="auto"/>
              </w:rPr>
            </w:pPr>
          </w:p>
        </w:tc>
        <w:tc>
          <w:tcPr>
            <w:tcW w:w="2620" w:type="dxa"/>
            <w:vAlign w:val="bottom"/>
            <w:gridSpan w:val="7"/>
          </w:tcPr>
          <w:p>
            <w:pPr>
              <w:ind w:left="40"/>
              <w:spacing w:after="0"/>
              <w:rPr>
                <w:sz w:val="20"/>
                <w:szCs w:val="20"/>
                <w:color w:val="auto"/>
              </w:rPr>
            </w:pPr>
            <w:r>
              <w:rPr>
                <w:rFonts w:ascii="Arial" w:cs="Arial" w:eastAsia="Arial" w:hAnsi="Arial"/>
                <w:sz w:val="16"/>
                <w:szCs w:val="16"/>
                <w:b w:val="1"/>
                <w:bCs w:val="1"/>
                <w:color w:val="auto"/>
              </w:rPr>
              <w:t>Three Months Ended September</w:t>
            </w: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28"/>
        </w:trPr>
        <w:tc>
          <w:tcPr>
            <w:tcW w:w="57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gridSpan w:val="3"/>
          </w:tcPr>
          <w:p>
            <w:pPr>
              <w:jc w:val="right"/>
              <w:ind w:right="99"/>
              <w:spacing w:after="0"/>
              <w:rPr>
                <w:sz w:val="20"/>
                <w:szCs w:val="20"/>
                <w:color w:val="auto"/>
              </w:rPr>
            </w:pPr>
            <w:r>
              <w:rPr>
                <w:rFonts w:ascii="Arial" w:cs="Arial" w:eastAsia="Arial" w:hAnsi="Arial"/>
                <w:sz w:val="16"/>
                <w:szCs w:val="16"/>
                <w:b w:val="1"/>
                <w:bCs w:val="1"/>
                <w:color w:val="auto"/>
              </w:rPr>
              <w:t>30,</w:t>
            </w:r>
          </w:p>
        </w:tc>
        <w:tc>
          <w:tcPr>
            <w:tcW w:w="9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64"/>
        </w:trPr>
        <w:tc>
          <w:tcPr>
            <w:tcW w:w="578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2016</w:t>
            </w: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2015</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 Change</w:t>
            </w:r>
          </w:p>
        </w:tc>
        <w:tc>
          <w:tcPr>
            <w:tcW w:w="120" w:type="dxa"/>
            <w:vAlign w:val="bottom"/>
            <w:tcBorders>
              <w:bottom w:val="single" w:sz="8" w:color="CCEEFF"/>
            </w:tcBorders>
          </w:tcPr>
          <w:p>
            <w:pPr>
              <w:spacing w:after="0"/>
              <w:rPr>
                <w:sz w:val="22"/>
                <w:szCs w:val="22"/>
                <w:color w:val="auto"/>
              </w:rPr>
            </w:pPr>
          </w:p>
        </w:tc>
        <w:tc>
          <w:tcPr>
            <w:tcW w:w="12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 Change</w:t>
            </w:r>
          </w:p>
        </w:tc>
      </w:tr>
      <w:tr>
        <w:trPr>
          <w:trHeight w:val="270"/>
        </w:trPr>
        <w:tc>
          <w:tcPr>
            <w:tcW w:w="578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Sales-based</w:t>
            </w:r>
          </w:p>
        </w:tc>
        <w:tc>
          <w:tcPr>
            <w:tcW w:w="28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r>
      <w:tr>
        <w:trPr>
          <w:trHeight w:val="260"/>
        </w:trPr>
        <w:tc>
          <w:tcPr>
            <w:tcW w:w="5780" w:type="dxa"/>
            <w:vAlign w:val="bottom"/>
          </w:tcPr>
          <w:p>
            <w:pPr>
              <w:ind w:left="180"/>
              <w:spacing w:after="0"/>
              <w:rPr>
                <w:sz w:val="20"/>
                <w:szCs w:val="20"/>
                <w:color w:val="auto"/>
              </w:rPr>
            </w:pPr>
            <w:r>
              <w:rPr>
                <w:rFonts w:ascii="Arial" w:cs="Arial" w:eastAsia="Arial" w:hAnsi="Arial"/>
                <w:sz w:val="16"/>
                <w:szCs w:val="16"/>
                <w:color w:val="auto"/>
              </w:rPr>
              <w:t>Variable annuities</w:t>
            </w:r>
          </w:p>
        </w:tc>
        <w:tc>
          <w:tcPr>
            <w:tcW w:w="280" w:type="dxa"/>
            <w:vAlign w:val="bottom"/>
          </w:tcPr>
          <w:p>
            <w:pPr>
              <w:ind w:left="4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57,337</w:t>
            </w:r>
          </w:p>
        </w:tc>
        <w:tc>
          <w:tcPr>
            <w:tcW w:w="440" w:type="dxa"/>
            <w:vAlign w:val="bottom"/>
            <w:gridSpan w:val="3"/>
          </w:tcPr>
          <w:p>
            <w:pPr>
              <w:jc w:val="right"/>
              <w:ind w:right="5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78,113</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(20,776)</w:t>
            </w: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(26.6)%</w:t>
            </w:r>
          </w:p>
        </w:tc>
      </w:tr>
      <w:tr>
        <w:trPr>
          <w:trHeight w:val="280"/>
        </w:trPr>
        <w:tc>
          <w:tcPr>
            <w:tcW w:w="57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Mutual funds</w:t>
            </w:r>
          </w:p>
        </w:tc>
        <w:tc>
          <w:tcPr>
            <w:tcW w:w="28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34,985</w:t>
            </w: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39,463</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(4,478)</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(11.3)%</w:t>
            </w:r>
          </w:p>
        </w:tc>
      </w:tr>
      <w:tr>
        <w:trPr>
          <w:trHeight w:val="260"/>
        </w:trPr>
        <w:tc>
          <w:tcPr>
            <w:tcW w:w="5780" w:type="dxa"/>
            <w:vAlign w:val="bottom"/>
          </w:tcPr>
          <w:p>
            <w:pPr>
              <w:ind w:left="180"/>
              <w:spacing w:after="0"/>
              <w:rPr>
                <w:sz w:val="20"/>
                <w:szCs w:val="20"/>
                <w:color w:val="auto"/>
              </w:rPr>
            </w:pPr>
            <w:r>
              <w:rPr>
                <w:rFonts w:ascii="Arial" w:cs="Arial" w:eastAsia="Arial" w:hAnsi="Arial"/>
                <w:sz w:val="16"/>
                <w:szCs w:val="16"/>
                <w:color w:val="auto"/>
              </w:rPr>
              <w:t>Alternative investments</w:t>
            </w:r>
          </w:p>
        </w:tc>
        <w:tc>
          <w:tcPr>
            <w:tcW w:w="28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7,198</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24,932</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(17,734)</w:t>
            </w: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(71.1)%</w:t>
            </w:r>
          </w:p>
        </w:tc>
      </w:tr>
      <w:tr>
        <w:trPr>
          <w:trHeight w:val="280"/>
        </w:trPr>
        <w:tc>
          <w:tcPr>
            <w:tcW w:w="57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Fixed annuities</w:t>
            </w:r>
          </w:p>
        </w:tc>
        <w:tc>
          <w:tcPr>
            <w:tcW w:w="28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41,995</w:t>
            </w: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40,552</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1,443</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3.6 %</w:t>
            </w:r>
          </w:p>
        </w:tc>
      </w:tr>
      <w:tr>
        <w:trPr>
          <w:trHeight w:val="260"/>
        </w:trPr>
        <w:tc>
          <w:tcPr>
            <w:tcW w:w="5780" w:type="dxa"/>
            <w:vAlign w:val="bottom"/>
          </w:tcPr>
          <w:p>
            <w:pPr>
              <w:ind w:left="180"/>
              <w:spacing w:after="0"/>
              <w:rPr>
                <w:sz w:val="20"/>
                <w:szCs w:val="20"/>
                <w:color w:val="auto"/>
              </w:rPr>
            </w:pPr>
            <w:r>
              <w:rPr>
                <w:rFonts w:ascii="Arial" w:cs="Arial" w:eastAsia="Arial" w:hAnsi="Arial"/>
                <w:sz w:val="16"/>
                <w:szCs w:val="16"/>
                <w:color w:val="auto"/>
              </w:rPr>
              <w:t>Equities</w:t>
            </w:r>
          </w:p>
        </w:tc>
        <w:tc>
          <w:tcPr>
            <w:tcW w:w="28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20,263</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24,875</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(4,612)</w:t>
            </w: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(18.5)%</w:t>
            </w:r>
          </w:p>
        </w:tc>
      </w:tr>
      <w:tr>
        <w:trPr>
          <w:trHeight w:val="280"/>
        </w:trPr>
        <w:tc>
          <w:tcPr>
            <w:tcW w:w="57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Fixed income</w:t>
            </w:r>
          </w:p>
        </w:tc>
        <w:tc>
          <w:tcPr>
            <w:tcW w:w="28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16,588</w:t>
            </w: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16,588</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 %</w:t>
            </w:r>
          </w:p>
        </w:tc>
      </w:tr>
      <w:tr>
        <w:trPr>
          <w:trHeight w:val="260"/>
        </w:trPr>
        <w:tc>
          <w:tcPr>
            <w:tcW w:w="5780" w:type="dxa"/>
            <w:vAlign w:val="bottom"/>
          </w:tcPr>
          <w:p>
            <w:pPr>
              <w:ind w:left="180"/>
              <w:spacing w:after="0"/>
              <w:rPr>
                <w:sz w:val="20"/>
                <w:szCs w:val="20"/>
                <w:color w:val="auto"/>
              </w:rPr>
            </w:pPr>
            <w:r>
              <w:rPr>
                <w:rFonts w:ascii="Arial" w:cs="Arial" w:eastAsia="Arial" w:hAnsi="Arial"/>
                <w:sz w:val="16"/>
                <w:szCs w:val="16"/>
                <w:color w:val="auto"/>
              </w:rPr>
              <w:t>Insurance</w:t>
            </w:r>
          </w:p>
        </w:tc>
        <w:tc>
          <w:tcPr>
            <w:tcW w:w="28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16,520</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17,675</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(1,155)</w:t>
            </w: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(6.5)%</w:t>
            </w:r>
          </w:p>
        </w:tc>
      </w:tr>
      <w:tr>
        <w:trPr>
          <w:trHeight w:val="280"/>
        </w:trPr>
        <w:tc>
          <w:tcPr>
            <w:tcW w:w="57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Group annuities</w:t>
            </w:r>
          </w:p>
        </w:tc>
        <w:tc>
          <w:tcPr>
            <w:tcW w:w="28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1,258</w:t>
            </w: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1,701</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(443)</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(26.0)%</w:t>
            </w:r>
          </w:p>
        </w:tc>
      </w:tr>
      <w:tr>
        <w:trPr>
          <w:trHeight w:val="264"/>
        </w:trPr>
        <w:tc>
          <w:tcPr>
            <w:tcW w:w="578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Other</w:t>
            </w: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220</w:t>
            </w: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142</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78</w:t>
            </w:r>
          </w:p>
        </w:tc>
        <w:tc>
          <w:tcPr>
            <w:tcW w:w="132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54.9 %</w:t>
            </w:r>
          </w:p>
        </w:tc>
      </w:tr>
      <w:tr>
        <w:trPr>
          <w:trHeight w:val="257"/>
        </w:trPr>
        <w:tc>
          <w:tcPr>
            <w:tcW w:w="5780" w:type="dxa"/>
            <w:vAlign w:val="bottom"/>
            <w:shd w:val="clear" w:color="auto" w:fill="CCEEFF"/>
          </w:tcPr>
          <w:p>
            <w:pPr>
              <w:ind w:left="280"/>
              <w:spacing w:after="0"/>
              <w:rPr>
                <w:sz w:val="20"/>
                <w:szCs w:val="20"/>
                <w:color w:val="auto"/>
              </w:rPr>
            </w:pPr>
            <w:r>
              <w:rPr>
                <w:rFonts w:ascii="Arial" w:cs="Arial" w:eastAsia="Arial" w:hAnsi="Arial"/>
                <w:sz w:val="16"/>
                <w:szCs w:val="16"/>
                <w:b w:val="1"/>
                <w:bCs w:val="1"/>
                <w:color w:val="auto"/>
              </w:rPr>
              <w:t>Total sales-based revenue</w:t>
            </w:r>
          </w:p>
        </w:tc>
        <w:tc>
          <w:tcPr>
            <w:tcW w:w="280" w:type="dxa"/>
            <w:vAlign w:val="bottom"/>
            <w:shd w:val="clear" w:color="auto" w:fill="CCEEFF"/>
          </w:tcPr>
          <w:p>
            <w:pPr>
              <w:ind w:left="4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196,364</w:t>
            </w:r>
          </w:p>
        </w:tc>
        <w:tc>
          <w:tcPr>
            <w:tcW w:w="440" w:type="dxa"/>
            <w:vAlign w:val="bottom"/>
            <w:gridSpan w:val="3"/>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244,041</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(47,677)</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(19.5)%</w:t>
            </w:r>
          </w:p>
        </w:tc>
      </w:tr>
      <w:tr>
        <w:trPr>
          <w:trHeight w:val="260"/>
        </w:trPr>
        <w:tc>
          <w:tcPr>
            <w:tcW w:w="5780" w:type="dxa"/>
            <w:vAlign w:val="bottom"/>
          </w:tcPr>
          <w:p>
            <w:pPr>
              <w:ind w:left="40"/>
              <w:spacing w:after="0"/>
              <w:rPr>
                <w:sz w:val="20"/>
                <w:szCs w:val="20"/>
                <w:color w:val="auto"/>
              </w:rPr>
            </w:pPr>
            <w:r>
              <w:rPr>
                <w:rFonts w:ascii="Arial" w:cs="Arial" w:eastAsia="Arial" w:hAnsi="Arial"/>
                <w:sz w:val="16"/>
                <w:szCs w:val="16"/>
                <w:b w:val="1"/>
                <w:bCs w:val="1"/>
                <w:color w:val="auto"/>
              </w:rPr>
              <w:t>Trailing</w:t>
            </w:r>
          </w:p>
        </w:tc>
        <w:tc>
          <w:tcPr>
            <w:tcW w:w="2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80"/>
        </w:trPr>
        <w:tc>
          <w:tcPr>
            <w:tcW w:w="57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Variable annuities</w:t>
            </w:r>
          </w:p>
        </w:tc>
        <w:tc>
          <w:tcPr>
            <w:tcW w:w="280" w:type="dxa"/>
            <w:vAlign w:val="bottom"/>
            <w:shd w:val="clear" w:color="auto" w:fill="CCEEFF"/>
          </w:tcPr>
          <w:p>
            <w:pPr>
              <w:ind w:left="4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112,076</w:t>
            </w:r>
          </w:p>
        </w:tc>
        <w:tc>
          <w:tcPr>
            <w:tcW w:w="440" w:type="dxa"/>
            <w:vAlign w:val="bottom"/>
            <w:gridSpan w:val="3"/>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111,510</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566</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0.5 %</w:t>
            </w:r>
          </w:p>
        </w:tc>
      </w:tr>
      <w:tr>
        <w:trPr>
          <w:trHeight w:val="260"/>
        </w:trPr>
        <w:tc>
          <w:tcPr>
            <w:tcW w:w="5780" w:type="dxa"/>
            <w:vAlign w:val="bottom"/>
          </w:tcPr>
          <w:p>
            <w:pPr>
              <w:ind w:left="180"/>
              <w:spacing w:after="0"/>
              <w:rPr>
                <w:sz w:val="20"/>
                <w:szCs w:val="20"/>
                <w:color w:val="auto"/>
              </w:rPr>
            </w:pPr>
            <w:r>
              <w:rPr>
                <w:rFonts w:ascii="Arial" w:cs="Arial" w:eastAsia="Arial" w:hAnsi="Arial"/>
                <w:sz w:val="16"/>
                <w:szCs w:val="16"/>
                <w:color w:val="auto"/>
              </w:rPr>
              <w:t>Mutual funds</w:t>
            </w:r>
          </w:p>
        </w:tc>
        <w:tc>
          <w:tcPr>
            <w:tcW w:w="28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102,253</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104,978</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(2,725)</w:t>
            </w: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(2.6)%</w:t>
            </w:r>
          </w:p>
        </w:tc>
      </w:tr>
      <w:tr>
        <w:trPr>
          <w:trHeight w:val="280"/>
        </w:trPr>
        <w:tc>
          <w:tcPr>
            <w:tcW w:w="57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Alternative investments</w:t>
            </w:r>
          </w:p>
        </w:tc>
        <w:tc>
          <w:tcPr>
            <w:tcW w:w="28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1,316</w:t>
            </w: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1,181</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135</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11.4 %</w:t>
            </w:r>
          </w:p>
        </w:tc>
      </w:tr>
      <w:tr>
        <w:trPr>
          <w:trHeight w:val="260"/>
        </w:trPr>
        <w:tc>
          <w:tcPr>
            <w:tcW w:w="5780" w:type="dxa"/>
            <w:vAlign w:val="bottom"/>
          </w:tcPr>
          <w:p>
            <w:pPr>
              <w:ind w:left="180"/>
              <w:spacing w:after="0"/>
              <w:rPr>
                <w:sz w:val="20"/>
                <w:szCs w:val="20"/>
                <w:color w:val="auto"/>
              </w:rPr>
            </w:pPr>
            <w:r>
              <w:rPr>
                <w:rFonts w:ascii="Arial" w:cs="Arial" w:eastAsia="Arial" w:hAnsi="Arial"/>
                <w:sz w:val="16"/>
                <w:szCs w:val="16"/>
                <w:color w:val="auto"/>
              </w:rPr>
              <w:t>Fixed annuities</w:t>
            </w:r>
          </w:p>
        </w:tc>
        <w:tc>
          <w:tcPr>
            <w:tcW w:w="28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2,938</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1,865</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1,073</w:t>
            </w: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57.5 %</w:t>
            </w:r>
          </w:p>
        </w:tc>
      </w:tr>
      <w:tr>
        <w:trPr>
          <w:trHeight w:val="280"/>
        </w:trPr>
        <w:tc>
          <w:tcPr>
            <w:tcW w:w="57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Fixed income</w:t>
            </w:r>
          </w:p>
        </w:tc>
        <w:tc>
          <w:tcPr>
            <w:tcW w:w="28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5,168</w:t>
            </w: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5,190</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(0.4)%</w:t>
            </w:r>
          </w:p>
        </w:tc>
      </w:tr>
      <w:tr>
        <w:trPr>
          <w:trHeight w:val="260"/>
        </w:trPr>
        <w:tc>
          <w:tcPr>
            <w:tcW w:w="5780" w:type="dxa"/>
            <w:vAlign w:val="bottom"/>
          </w:tcPr>
          <w:p>
            <w:pPr>
              <w:ind w:left="180"/>
              <w:spacing w:after="0"/>
              <w:rPr>
                <w:sz w:val="20"/>
                <w:szCs w:val="20"/>
                <w:color w:val="auto"/>
              </w:rPr>
            </w:pPr>
            <w:r>
              <w:rPr>
                <w:rFonts w:ascii="Arial" w:cs="Arial" w:eastAsia="Arial" w:hAnsi="Arial"/>
                <w:sz w:val="16"/>
                <w:szCs w:val="16"/>
                <w:color w:val="auto"/>
              </w:rPr>
              <w:t>Insurance</w:t>
            </w:r>
          </w:p>
        </w:tc>
        <w:tc>
          <w:tcPr>
            <w:tcW w:w="28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1,563</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1,430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133</w:t>
            </w: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9.3 %</w:t>
            </w:r>
          </w:p>
        </w:tc>
      </w:tr>
      <w:tr>
        <w:trPr>
          <w:trHeight w:val="280"/>
        </w:trPr>
        <w:tc>
          <w:tcPr>
            <w:tcW w:w="57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Group annuities</w:t>
            </w:r>
          </w:p>
        </w:tc>
        <w:tc>
          <w:tcPr>
            <w:tcW w:w="280" w:type="dxa"/>
            <w:vAlign w:val="bottom"/>
            <w:tcBorders>
              <w:bottom w:val="single" w:sz="8" w:color="auto"/>
            </w:tcBorders>
            <w:shd w:val="clear" w:color="auto" w:fill="CCEEFF"/>
          </w:tcPr>
          <w:p>
            <w:pPr>
              <w:spacing w:after="0"/>
              <w:rPr>
                <w:sz w:val="24"/>
                <w:szCs w:val="2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10,008</w:t>
            </w:r>
          </w:p>
        </w:tc>
        <w:tc>
          <w:tcPr>
            <w:tcW w:w="8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10,076</w:t>
            </w:r>
          </w:p>
        </w:tc>
        <w:tc>
          <w:tcPr>
            <w:tcW w:w="10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(0.7)%</w:t>
            </w:r>
          </w:p>
        </w:tc>
      </w:tr>
      <w:tr>
        <w:trPr>
          <w:trHeight w:val="244"/>
        </w:trPr>
        <w:tc>
          <w:tcPr>
            <w:tcW w:w="5780" w:type="dxa"/>
            <w:vAlign w:val="bottom"/>
            <w:tcBorders>
              <w:bottom w:val="single" w:sz="8" w:color="CCEEFF"/>
            </w:tcBorders>
          </w:tcPr>
          <w:p>
            <w:pPr>
              <w:ind w:left="280"/>
              <w:spacing w:after="0"/>
              <w:rPr>
                <w:sz w:val="20"/>
                <w:szCs w:val="20"/>
                <w:color w:val="auto"/>
              </w:rPr>
            </w:pPr>
            <w:r>
              <w:rPr>
                <w:rFonts w:ascii="Arial" w:cs="Arial" w:eastAsia="Arial" w:hAnsi="Arial"/>
                <w:sz w:val="16"/>
                <w:szCs w:val="16"/>
                <w:b w:val="1"/>
                <w:bCs w:val="1"/>
                <w:color w:val="auto"/>
              </w:rPr>
              <w:t>Total trailing revenue</w:t>
            </w:r>
          </w:p>
        </w:tc>
        <w:tc>
          <w:tcPr>
            <w:tcW w:w="28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235,322</w:t>
            </w:r>
          </w:p>
        </w:tc>
        <w:tc>
          <w:tcPr>
            <w:tcW w:w="8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236,230</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(908)</w:t>
            </w:r>
          </w:p>
        </w:tc>
        <w:tc>
          <w:tcPr>
            <w:tcW w:w="132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(0.4)%</w:t>
            </w:r>
          </w:p>
        </w:tc>
      </w:tr>
      <w:tr>
        <w:trPr>
          <w:trHeight w:val="240"/>
        </w:trPr>
        <w:tc>
          <w:tcPr>
            <w:tcW w:w="5780" w:type="dxa"/>
            <w:vAlign w:val="bottom"/>
            <w:shd w:val="clear" w:color="auto" w:fill="CCEEFF"/>
          </w:tcPr>
          <w:p>
            <w:pPr>
              <w:ind w:left="280"/>
              <w:spacing w:after="0"/>
              <w:rPr>
                <w:sz w:val="20"/>
                <w:szCs w:val="20"/>
                <w:color w:val="auto"/>
              </w:rPr>
            </w:pPr>
            <w:r>
              <w:rPr>
                <w:rFonts w:ascii="Arial" w:cs="Arial" w:eastAsia="Arial" w:hAnsi="Arial"/>
                <w:sz w:val="16"/>
                <w:szCs w:val="16"/>
                <w:b w:val="1"/>
                <w:bCs w:val="1"/>
                <w:color w:val="auto"/>
              </w:rPr>
              <w:t>Total commission revenue</w:t>
            </w:r>
          </w:p>
        </w:tc>
        <w:tc>
          <w:tcPr>
            <w:tcW w:w="280" w:type="dxa"/>
            <w:vAlign w:val="bottom"/>
            <w:shd w:val="clear" w:color="auto" w:fill="CCEEFF"/>
          </w:tcPr>
          <w:p>
            <w:pPr>
              <w:ind w:left="4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431,686</w:t>
            </w:r>
          </w:p>
        </w:tc>
        <w:tc>
          <w:tcPr>
            <w:tcW w:w="440" w:type="dxa"/>
            <w:vAlign w:val="bottom"/>
            <w:gridSpan w:val="3"/>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480,271</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(48,585)</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(10.1)%</w:t>
            </w:r>
          </w:p>
        </w:tc>
      </w:tr>
      <w:tr>
        <w:trPr>
          <w:trHeight w:val="20"/>
        </w:trPr>
        <w:tc>
          <w:tcPr>
            <w:tcW w:w="57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r>
    </w:tbl>
    <w:p>
      <w:pPr>
        <w:spacing w:after="0" w:line="107"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The decrease in sales-based commission revenue for the three months ended September 30, 2016, compared with the same period in 2015, was primarily due to a decrease in activity for variable annuities, alternative investments, equities, and mutual funds. Continued investor uncertainty in the low interest rate environment led to a decline in demand for variable annuities and mutual funds. Alternative investment sales commissions were primarily challenged by marketplace uncertainties in response to regulatory changes.</w:t>
      </w:r>
    </w:p>
    <w:p>
      <w:pPr>
        <w:spacing w:after="0" w:line="204" w:lineRule="exact"/>
        <w:rPr>
          <w:sz w:val="20"/>
          <w:szCs w:val="20"/>
          <w:color w:val="auto"/>
        </w:rPr>
      </w:pPr>
    </w:p>
    <w:p>
      <w:pPr>
        <w:ind w:right="600" w:firstLine="486"/>
        <w:spacing w:after="0" w:line="262" w:lineRule="auto"/>
        <w:rPr>
          <w:sz w:val="20"/>
          <w:szCs w:val="20"/>
          <w:color w:val="auto"/>
        </w:rPr>
      </w:pPr>
      <w:r>
        <w:rPr>
          <w:rFonts w:ascii="Arial" w:cs="Arial" w:eastAsia="Arial" w:hAnsi="Arial"/>
          <w:sz w:val="18"/>
          <w:szCs w:val="18"/>
          <w:color w:val="auto"/>
        </w:rPr>
        <w:t>Trailing revenues are recurring in nature and the decrease in revenue for the period reflects a decrease in the market value of the underlying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382" w:right="279" w:bottom="1440" w:gutter="0" w:footer="0" w:header="0"/>
        </w:sectPr>
      </w:pPr>
    </w:p>
    <w:bookmarkStart w:id="14" w:name="page15"/>
    <w:bookmarkEnd w:id="14"/>
    <w:p>
      <w:pPr>
        <w:ind w:right="860" w:firstLine="486"/>
        <w:spacing w:after="0" w:line="262" w:lineRule="auto"/>
        <w:rPr>
          <w:sz w:val="20"/>
          <w:szCs w:val="20"/>
          <w:color w:val="auto"/>
        </w:rPr>
      </w:pPr>
      <w:r>
        <w:rPr>
          <w:rFonts w:ascii="Arial" w:cs="Arial" w:eastAsia="Arial" w:hAnsi="Arial"/>
          <w:sz w:val="18"/>
          <w:szCs w:val="18"/>
          <w:color w:val="auto"/>
        </w:rPr>
        <w:t>The following table sets forth our commission revenue, by product category, included in our unaudited condensed consolidated statements of income (in thousands):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0" w:type="dxa"/>
            <w:vAlign w:val="bottom"/>
            <w:gridSpan w:val="5"/>
          </w:tcPr>
          <w:p>
            <w:pPr>
              <w:ind w:left="40"/>
              <w:spacing w:after="0"/>
              <w:rPr>
                <w:sz w:val="20"/>
                <w:szCs w:val="20"/>
                <w:color w:val="auto"/>
              </w:rPr>
            </w:pPr>
            <w:r>
              <w:rPr>
                <w:rFonts w:ascii="Arial" w:cs="Arial" w:eastAsia="Arial" w:hAnsi="Arial"/>
                <w:sz w:val="16"/>
                <w:szCs w:val="16"/>
                <w:b w:val="1"/>
                <w:bCs w:val="1"/>
                <w:color w:val="auto"/>
              </w:rPr>
              <w:t>Nine Months Ended September 30,</w:t>
            </w: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64"/>
        </w:trPr>
        <w:tc>
          <w:tcPr>
            <w:tcW w:w="554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130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2016</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2015</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 Change</w:t>
            </w:r>
          </w:p>
        </w:tc>
        <w:tc>
          <w:tcPr>
            <w:tcW w:w="12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 Change</w:t>
            </w:r>
          </w:p>
        </w:tc>
      </w:tr>
      <w:tr>
        <w:trPr>
          <w:trHeight w:val="257"/>
        </w:trPr>
        <w:tc>
          <w:tcPr>
            <w:tcW w:w="5540" w:type="dxa"/>
            <w:vAlign w:val="bottom"/>
            <w:shd w:val="clear" w:color="auto" w:fill="CCEEFF"/>
          </w:tcPr>
          <w:p>
            <w:pPr>
              <w:ind w:left="80"/>
              <w:spacing w:after="0"/>
              <w:rPr>
                <w:sz w:val="20"/>
                <w:szCs w:val="20"/>
                <w:color w:val="auto"/>
              </w:rPr>
            </w:pPr>
            <w:r>
              <w:rPr>
                <w:rFonts w:ascii="Arial" w:cs="Arial" w:eastAsia="Arial" w:hAnsi="Arial"/>
                <w:sz w:val="16"/>
                <w:szCs w:val="16"/>
                <w:color w:val="auto"/>
              </w:rPr>
              <w:t>Variable annuities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514,521</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585,354</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(70,833)</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(12.1)%</w:t>
            </w:r>
          </w:p>
        </w:tc>
      </w:tr>
      <w:tr>
        <w:trPr>
          <w:trHeight w:val="260"/>
        </w:trPr>
        <w:tc>
          <w:tcPr>
            <w:tcW w:w="5540" w:type="dxa"/>
            <w:vAlign w:val="bottom"/>
          </w:tcPr>
          <w:p>
            <w:pPr>
              <w:ind w:left="80"/>
              <w:spacing w:after="0"/>
              <w:rPr>
                <w:sz w:val="20"/>
                <w:szCs w:val="20"/>
                <w:color w:val="auto"/>
              </w:rPr>
            </w:pPr>
            <w:r>
              <w:rPr>
                <w:rFonts w:ascii="Arial" w:cs="Arial" w:eastAsia="Arial" w:hAnsi="Arial"/>
                <w:sz w:val="16"/>
                <w:szCs w:val="16"/>
                <w:color w:val="auto"/>
              </w:rPr>
              <w:t>Mutual funds</w:t>
            </w:r>
          </w:p>
        </w:tc>
        <w:tc>
          <w:tcPr>
            <w:tcW w:w="16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406,741</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453,658</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(46,917)</w:t>
            </w:r>
          </w:p>
        </w:tc>
        <w:tc>
          <w:tcPr>
            <w:tcW w:w="1480" w:type="dxa"/>
            <w:vAlign w:val="bottom"/>
            <w:gridSpan w:val="2"/>
          </w:tcPr>
          <w:p>
            <w:pPr>
              <w:jc w:val="right"/>
              <w:spacing w:after="0"/>
              <w:rPr>
                <w:sz w:val="20"/>
                <w:szCs w:val="20"/>
                <w:color w:val="auto"/>
              </w:rPr>
            </w:pPr>
            <w:r>
              <w:rPr>
                <w:rFonts w:ascii="Arial" w:cs="Arial" w:eastAsia="Arial" w:hAnsi="Arial"/>
                <w:sz w:val="16"/>
                <w:szCs w:val="16"/>
                <w:color w:val="auto"/>
              </w:rPr>
              <w:t>(10.3)%</w:t>
            </w:r>
          </w:p>
        </w:tc>
      </w:tr>
      <w:tr>
        <w:trPr>
          <w:trHeight w:val="280"/>
        </w:trPr>
        <w:tc>
          <w:tcPr>
            <w:tcW w:w="5540" w:type="dxa"/>
            <w:vAlign w:val="bottom"/>
            <w:shd w:val="clear" w:color="auto" w:fill="CCEEFF"/>
          </w:tcPr>
          <w:p>
            <w:pPr>
              <w:ind w:left="80"/>
              <w:spacing w:after="0"/>
              <w:rPr>
                <w:sz w:val="20"/>
                <w:szCs w:val="20"/>
                <w:color w:val="auto"/>
              </w:rPr>
            </w:pPr>
            <w:r>
              <w:rPr>
                <w:rFonts w:ascii="Arial" w:cs="Arial" w:eastAsia="Arial" w:hAnsi="Arial"/>
                <w:sz w:val="16"/>
                <w:szCs w:val="16"/>
                <w:color w:val="auto"/>
              </w:rPr>
              <w:t>Alternative investments</w:t>
            </w:r>
          </w:p>
        </w:tc>
        <w:tc>
          <w:tcPr>
            <w:tcW w:w="16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25,415</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116,793</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(91,378)</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(78.2)%</w:t>
            </w:r>
          </w:p>
        </w:tc>
      </w:tr>
      <w:tr>
        <w:trPr>
          <w:trHeight w:val="260"/>
        </w:trPr>
        <w:tc>
          <w:tcPr>
            <w:tcW w:w="5540" w:type="dxa"/>
            <w:vAlign w:val="bottom"/>
          </w:tcPr>
          <w:p>
            <w:pPr>
              <w:ind w:left="80"/>
              <w:spacing w:after="0"/>
              <w:rPr>
                <w:sz w:val="20"/>
                <w:szCs w:val="20"/>
                <w:color w:val="auto"/>
              </w:rPr>
            </w:pPr>
            <w:r>
              <w:rPr>
                <w:rFonts w:ascii="Arial" w:cs="Arial" w:eastAsia="Arial" w:hAnsi="Arial"/>
                <w:sz w:val="16"/>
                <w:szCs w:val="16"/>
                <w:color w:val="auto"/>
              </w:rPr>
              <w:t>Fixed annuities</w:t>
            </w:r>
          </w:p>
        </w:tc>
        <w:tc>
          <w:tcPr>
            <w:tcW w:w="16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150,622</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113,616</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37,006</w:t>
            </w:r>
          </w:p>
        </w:tc>
        <w:tc>
          <w:tcPr>
            <w:tcW w:w="1480" w:type="dxa"/>
            <w:vAlign w:val="bottom"/>
            <w:gridSpan w:val="2"/>
          </w:tcPr>
          <w:p>
            <w:pPr>
              <w:jc w:val="right"/>
              <w:spacing w:after="0"/>
              <w:rPr>
                <w:sz w:val="20"/>
                <w:szCs w:val="20"/>
                <w:color w:val="auto"/>
              </w:rPr>
            </w:pPr>
            <w:r>
              <w:rPr>
                <w:rFonts w:ascii="Arial" w:cs="Arial" w:eastAsia="Arial" w:hAnsi="Arial"/>
                <w:sz w:val="16"/>
                <w:szCs w:val="16"/>
                <w:color w:val="auto"/>
              </w:rPr>
              <w:t>32.6 %</w:t>
            </w:r>
          </w:p>
        </w:tc>
      </w:tr>
      <w:tr>
        <w:trPr>
          <w:trHeight w:val="280"/>
        </w:trPr>
        <w:tc>
          <w:tcPr>
            <w:tcW w:w="5540" w:type="dxa"/>
            <w:vAlign w:val="bottom"/>
            <w:shd w:val="clear" w:color="auto" w:fill="CCEEFF"/>
          </w:tcPr>
          <w:p>
            <w:pPr>
              <w:ind w:left="80"/>
              <w:spacing w:after="0"/>
              <w:rPr>
                <w:sz w:val="20"/>
                <w:szCs w:val="20"/>
                <w:color w:val="auto"/>
              </w:rPr>
            </w:pPr>
            <w:r>
              <w:rPr>
                <w:rFonts w:ascii="Arial" w:cs="Arial" w:eastAsia="Arial" w:hAnsi="Arial"/>
                <w:sz w:val="16"/>
                <w:szCs w:val="16"/>
                <w:color w:val="auto"/>
              </w:rPr>
              <w:t>Equities</w:t>
            </w:r>
          </w:p>
        </w:tc>
        <w:tc>
          <w:tcPr>
            <w:tcW w:w="16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61,588</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75,684</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(14,096)</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(18.6)%</w:t>
            </w:r>
          </w:p>
        </w:tc>
      </w:tr>
      <w:tr>
        <w:trPr>
          <w:trHeight w:val="260"/>
        </w:trPr>
        <w:tc>
          <w:tcPr>
            <w:tcW w:w="5540" w:type="dxa"/>
            <w:vAlign w:val="bottom"/>
          </w:tcPr>
          <w:p>
            <w:pPr>
              <w:ind w:left="80"/>
              <w:spacing w:after="0"/>
              <w:rPr>
                <w:sz w:val="20"/>
                <w:szCs w:val="20"/>
                <w:color w:val="auto"/>
              </w:rPr>
            </w:pPr>
            <w:r>
              <w:rPr>
                <w:rFonts w:ascii="Arial" w:cs="Arial" w:eastAsia="Arial" w:hAnsi="Arial"/>
                <w:sz w:val="16"/>
                <w:szCs w:val="16"/>
                <w:color w:val="auto"/>
              </w:rPr>
              <w:t>Fixed income</w:t>
            </w:r>
          </w:p>
        </w:tc>
        <w:tc>
          <w:tcPr>
            <w:tcW w:w="16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63,703</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69,836</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(6,133)</w:t>
            </w:r>
          </w:p>
        </w:tc>
        <w:tc>
          <w:tcPr>
            <w:tcW w:w="1480" w:type="dxa"/>
            <w:vAlign w:val="bottom"/>
            <w:gridSpan w:val="2"/>
          </w:tcPr>
          <w:p>
            <w:pPr>
              <w:jc w:val="right"/>
              <w:spacing w:after="0"/>
              <w:rPr>
                <w:sz w:val="20"/>
                <w:szCs w:val="20"/>
                <w:color w:val="auto"/>
              </w:rPr>
            </w:pPr>
            <w:r>
              <w:rPr>
                <w:rFonts w:ascii="Arial" w:cs="Arial" w:eastAsia="Arial" w:hAnsi="Arial"/>
                <w:sz w:val="16"/>
                <w:szCs w:val="16"/>
                <w:color w:val="auto"/>
              </w:rPr>
              <w:t>(8.8)%</w:t>
            </w:r>
          </w:p>
        </w:tc>
      </w:tr>
      <w:tr>
        <w:trPr>
          <w:trHeight w:val="280"/>
        </w:trPr>
        <w:tc>
          <w:tcPr>
            <w:tcW w:w="5540" w:type="dxa"/>
            <w:vAlign w:val="bottom"/>
            <w:shd w:val="clear" w:color="auto" w:fill="CCEEFF"/>
          </w:tcPr>
          <w:p>
            <w:pPr>
              <w:ind w:left="80"/>
              <w:spacing w:after="0"/>
              <w:rPr>
                <w:sz w:val="20"/>
                <w:szCs w:val="20"/>
                <w:color w:val="auto"/>
              </w:rPr>
            </w:pPr>
            <w:r>
              <w:rPr>
                <w:rFonts w:ascii="Arial" w:cs="Arial" w:eastAsia="Arial" w:hAnsi="Arial"/>
                <w:sz w:val="16"/>
                <w:szCs w:val="16"/>
                <w:color w:val="auto"/>
              </w:rPr>
              <w:t>Insurance</w:t>
            </w:r>
          </w:p>
        </w:tc>
        <w:tc>
          <w:tcPr>
            <w:tcW w:w="16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56,297</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60,817</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(4,520)</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(7.4)%</w:t>
            </w:r>
          </w:p>
        </w:tc>
      </w:tr>
      <w:tr>
        <w:trPr>
          <w:trHeight w:val="260"/>
        </w:trPr>
        <w:tc>
          <w:tcPr>
            <w:tcW w:w="5540" w:type="dxa"/>
            <w:vAlign w:val="bottom"/>
          </w:tcPr>
          <w:p>
            <w:pPr>
              <w:ind w:left="80"/>
              <w:spacing w:after="0"/>
              <w:rPr>
                <w:sz w:val="20"/>
                <w:szCs w:val="20"/>
                <w:color w:val="auto"/>
              </w:rPr>
            </w:pPr>
            <w:r>
              <w:rPr>
                <w:rFonts w:ascii="Arial" w:cs="Arial" w:eastAsia="Arial" w:hAnsi="Arial"/>
                <w:sz w:val="16"/>
                <w:szCs w:val="16"/>
                <w:color w:val="auto"/>
              </w:rPr>
              <w:t>Group annuities</w:t>
            </w:r>
          </w:p>
        </w:tc>
        <w:tc>
          <w:tcPr>
            <w:tcW w:w="16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34,708</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37,160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(2,452)</w:t>
            </w:r>
          </w:p>
        </w:tc>
        <w:tc>
          <w:tcPr>
            <w:tcW w:w="1480" w:type="dxa"/>
            <w:vAlign w:val="bottom"/>
            <w:gridSpan w:val="2"/>
          </w:tcPr>
          <w:p>
            <w:pPr>
              <w:jc w:val="right"/>
              <w:spacing w:after="0"/>
              <w:rPr>
                <w:sz w:val="20"/>
                <w:szCs w:val="20"/>
                <w:color w:val="auto"/>
              </w:rPr>
            </w:pPr>
            <w:r>
              <w:rPr>
                <w:rFonts w:ascii="Arial" w:cs="Arial" w:eastAsia="Arial" w:hAnsi="Arial"/>
                <w:sz w:val="16"/>
                <w:szCs w:val="16"/>
                <w:color w:val="auto"/>
              </w:rPr>
              <w:t>(6.6)%</w:t>
            </w:r>
          </w:p>
        </w:tc>
      </w:tr>
      <w:tr>
        <w:trPr>
          <w:trHeight w:val="280"/>
        </w:trPr>
        <w:tc>
          <w:tcPr>
            <w:tcW w:w="5540" w:type="dxa"/>
            <w:vAlign w:val="bottom"/>
            <w:shd w:val="clear" w:color="auto" w:fill="CCEEFF"/>
          </w:tcPr>
          <w:p>
            <w:pPr>
              <w:ind w:left="80"/>
              <w:spacing w:after="0"/>
              <w:rPr>
                <w:sz w:val="20"/>
                <w:szCs w:val="20"/>
                <w:color w:val="auto"/>
              </w:rPr>
            </w:pPr>
            <w:r>
              <w:rPr>
                <w:rFonts w:ascii="Arial" w:cs="Arial" w:eastAsia="Arial" w:hAnsi="Arial"/>
                <w:sz w:val="16"/>
                <w:szCs w:val="16"/>
                <w:color w:val="auto"/>
              </w:rPr>
              <w:t>Other</w:t>
            </w:r>
          </w:p>
        </w:tc>
        <w:tc>
          <w:tcPr>
            <w:tcW w:w="160" w:type="dxa"/>
            <w:vAlign w:val="bottom"/>
            <w:tcBorders>
              <w:bottom w:val="single" w:sz="8" w:color="auto"/>
            </w:tcBorders>
            <w:shd w:val="clear" w:color="auto" w:fill="CCEEFF"/>
          </w:tcPr>
          <w:p>
            <w:pPr>
              <w:spacing w:after="0"/>
              <w:rPr>
                <w:sz w:val="24"/>
                <w:szCs w:val="24"/>
                <w:color w:val="auto"/>
              </w:rPr>
            </w:pPr>
          </w:p>
        </w:tc>
        <w:tc>
          <w:tcPr>
            <w:tcW w:w="13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573</w:t>
            </w:r>
          </w:p>
        </w:tc>
        <w:tc>
          <w:tcPr>
            <w:tcW w:w="120" w:type="dxa"/>
            <w:vAlign w:val="bottom"/>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441</w:t>
            </w:r>
          </w:p>
        </w:tc>
        <w:tc>
          <w:tcPr>
            <w:tcW w:w="12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132</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29.9 %</w:t>
            </w:r>
          </w:p>
        </w:tc>
      </w:tr>
      <w:tr>
        <w:trPr>
          <w:trHeight w:val="234"/>
        </w:trPr>
        <w:tc>
          <w:tcPr>
            <w:tcW w:w="5540" w:type="dxa"/>
            <w:vAlign w:val="bottom"/>
          </w:tcPr>
          <w:p>
            <w:pPr>
              <w:ind w:left="200"/>
              <w:spacing w:after="0"/>
              <w:rPr>
                <w:sz w:val="20"/>
                <w:szCs w:val="20"/>
                <w:color w:val="auto"/>
              </w:rPr>
            </w:pPr>
            <w:r>
              <w:rPr>
                <w:rFonts w:ascii="Arial" w:cs="Arial" w:eastAsia="Arial" w:hAnsi="Arial"/>
                <w:sz w:val="16"/>
                <w:szCs w:val="16"/>
                <w:b w:val="1"/>
                <w:bCs w:val="1"/>
                <w:color w:val="auto"/>
              </w:rPr>
              <w:t>Total commission revenue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1,314,168</w:t>
            </w:r>
          </w:p>
        </w:tc>
        <w:tc>
          <w:tcPr>
            <w:tcW w:w="120" w:type="dxa"/>
            <w:vAlign w:val="bottom"/>
          </w:tcPr>
          <w:p>
            <w:pPr>
              <w:spacing w:after="0"/>
              <w:rPr>
                <w:sz w:val="20"/>
                <w:szCs w:val="20"/>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1,513,359</w:t>
            </w:r>
          </w:p>
        </w:tc>
        <w:tc>
          <w:tcPr>
            <w:tcW w:w="12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(199,191)</w:t>
            </w:r>
          </w:p>
        </w:tc>
        <w:tc>
          <w:tcPr>
            <w:tcW w:w="1480" w:type="dxa"/>
            <w:vAlign w:val="bottom"/>
            <w:gridSpan w:val="2"/>
          </w:tcPr>
          <w:p>
            <w:pPr>
              <w:jc w:val="right"/>
              <w:spacing w:after="0"/>
              <w:rPr>
                <w:sz w:val="20"/>
                <w:szCs w:val="20"/>
                <w:color w:val="auto"/>
              </w:rPr>
            </w:pPr>
            <w:r>
              <w:rPr>
                <w:rFonts w:ascii="Arial" w:cs="Arial" w:eastAsia="Arial" w:hAnsi="Arial"/>
                <w:sz w:val="16"/>
                <w:szCs w:val="16"/>
                <w:color w:val="auto"/>
              </w:rPr>
              <w:t>(13.2)%</w:t>
            </w:r>
          </w:p>
        </w:tc>
      </w:tr>
      <w:tr>
        <w:trPr>
          <w:trHeight w:val="20"/>
        </w:trPr>
        <w:tc>
          <w:tcPr>
            <w:tcW w:w="5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bl>
    <w:p>
      <w:pPr>
        <w:spacing w:after="0" w:line="16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sets forth our commission revenue, by sales-based and trailing commission revenue (in thousands):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0" w:type="dxa"/>
            <w:vAlign w:val="bottom"/>
            <w:gridSpan w:val="5"/>
          </w:tcPr>
          <w:p>
            <w:pPr>
              <w:ind w:left="40"/>
              <w:spacing w:after="0"/>
              <w:rPr>
                <w:sz w:val="20"/>
                <w:szCs w:val="20"/>
                <w:color w:val="auto"/>
              </w:rPr>
            </w:pPr>
            <w:r>
              <w:rPr>
                <w:rFonts w:ascii="Arial" w:cs="Arial" w:eastAsia="Arial" w:hAnsi="Arial"/>
                <w:sz w:val="16"/>
                <w:szCs w:val="16"/>
                <w:b w:val="1"/>
                <w:bCs w:val="1"/>
                <w:color w:val="auto"/>
              </w:rPr>
              <w:t>Nine Months Ended September 30,</w:t>
            </w: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64"/>
        </w:trPr>
        <w:tc>
          <w:tcPr>
            <w:tcW w:w="554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130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2016</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2015</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 Change</w:t>
            </w:r>
          </w:p>
        </w:tc>
        <w:tc>
          <w:tcPr>
            <w:tcW w:w="12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 Change</w:t>
            </w:r>
          </w:p>
        </w:tc>
      </w:tr>
      <w:tr>
        <w:trPr>
          <w:trHeight w:val="270"/>
        </w:trPr>
        <w:tc>
          <w:tcPr>
            <w:tcW w:w="554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Sales-based</w:t>
            </w:r>
          </w:p>
        </w:tc>
        <w:tc>
          <w:tcPr>
            <w:tcW w:w="16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r>
      <w:tr>
        <w:trPr>
          <w:trHeight w:val="260"/>
        </w:trPr>
        <w:tc>
          <w:tcPr>
            <w:tcW w:w="5540" w:type="dxa"/>
            <w:vAlign w:val="bottom"/>
          </w:tcPr>
          <w:p>
            <w:pPr>
              <w:ind w:left="180"/>
              <w:spacing w:after="0"/>
              <w:rPr>
                <w:sz w:val="20"/>
                <w:szCs w:val="20"/>
                <w:color w:val="auto"/>
              </w:rPr>
            </w:pPr>
            <w:r>
              <w:rPr>
                <w:rFonts w:ascii="Arial" w:cs="Arial" w:eastAsia="Arial" w:hAnsi="Arial"/>
                <w:sz w:val="16"/>
                <w:szCs w:val="16"/>
                <w:color w:val="auto"/>
              </w:rPr>
              <w:t>Variable annuities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186,963</w:t>
            </w:r>
          </w:p>
        </w:tc>
        <w:tc>
          <w:tcPr>
            <w:tcW w:w="120" w:type="dxa"/>
            <w:vAlign w:val="bottom"/>
          </w:tcPr>
          <w:p>
            <w:pPr>
              <w:spacing w:after="0"/>
              <w:rPr>
                <w:sz w:val="22"/>
                <w:szCs w:val="22"/>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243,556</w:t>
            </w:r>
          </w:p>
        </w:tc>
        <w:tc>
          <w:tcPr>
            <w:tcW w:w="12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(56,593)</w:t>
            </w:r>
          </w:p>
        </w:tc>
        <w:tc>
          <w:tcPr>
            <w:tcW w:w="1480" w:type="dxa"/>
            <w:vAlign w:val="bottom"/>
            <w:gridSpan w:val="2"/>
          </w:tcPr>
          <w:p>
            <w:pPr>
              <w:jc w:val="right"/>
              <w:spacing w:after="0"/>
              <w:rPr>
                <w:sz w:val="20"/>
                <w:szCs w:val="20"/>
                <w:color w:val="auto"/>
              </w:rPr>
            </w:pPr>
            <w:r>
              <w:rPr>
                <w:rFonts w:ascii="Arial" w:cs="Arial" w:eastAsia="Arial" w:hAnsi="Arial"/>
                <w:sz w:val="16"/>
                <w:szCs w:val="16"/>
                <w:color w:val="auto"/>
              </w:rPr>
              <w:t>(23.2)%</w:t>
            </w:r>
          </w:p>
        </w:tc>
      </w:tr>
      <w:tr>
        <w:trPr>
          <w:trHeight w:val="280"/>
        </w:trPr>
        <w:tc>
          <w:tcPr>
            <w:tcW w:w="55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Mutual funds</w:t>
            </w:r>
          </w:p>
        </w:tc>
        <w:tc>
          <w:tcPr>
            <w:tcW w:w="16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111,548</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136,388</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(24,840)</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(18.2)%</w:t>
            </w:r>
          </w:p>
        </w:tc>
      </w:tr>
      <w:tr>
        <w:trPr>
          <w:trHeight w:val="260"/>
        </w:trPr>
        <w:tc>
          <w:tcPr>
            <w:tcW w:w="5540" w:type="dxa"/>
            <w:vAlign w:val="bottom"/>
          </w:tcPr>
          <w:p>
            <w:pPr>
              <w:ind w:left="180"/>
              <w:spacing w:after="0"/>
              <w:rPr>
                <w:sz w:val="20"/>
                <w:szCs w:val="20"/>
                <w:color w:val="auto"/>
              </w:rPr>
            </w:pPr>
            <w:r>
              <w:rPr>
                <w:rFonts w:ascii="Arial" w:cs="Arial" w:eastAsia="Arial" w:hAnsi="Arial"/>
                <w:sz w:val="16"/>
                <w:szCs w:val="16"/>
                <w:color w:val="auto"/>
              </w:rPr>
              <w:t>Alternative investments</w:t>
            </w:r>
          </w:p>
        </w:tc>
        <w:tc>
          <w:tcPr>
            <w:tcW w:w="16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20,892</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110,957</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(90,065)</w:t>
            </w:r>
          </w:p>
        </w:tc>
        <w:tc>
          <w:tcPr>
            <w:tcW w:w="1480" w:type="dxa"/>
            <w:vAlign w:val="bottom"/>
            <w:gridSpan w:val="2"/>
          </w:tcPr>
          <w:p>
            <w:pPr>
              <w:jc w:val="right"/>
              <w:spacing w:after="0"/>
              <w:rPr>
                <w:sz w:val="20"/>
                <w:szCs w:val="20"/>
                <w:color w:val="auto"/>
              </w:rPr>
            </w:pPr>
            <w:r>
              <w:rPr>
                <w:rFonts w:ascii="Arial" w:cs="Arial" w:eastAsia="Arial" w:hAnsi="Arial"/>
                <w:sz w:val="16"/>
                <w:szCs w:val="16"/>
                <w:color w:val="auto"/>
              </w:rPr>
              <w:t>(81.2)%</w:t>
            </w:r>
          </w:p>
        </w:tc>
      </w:tr>
      <w:tr>
        <w:trPr>
          <w:trHeight w:val="280"/>
        </w:trPr>
        <w:tc>
          <w:tcPr>
            <w:tcW w:w="55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Fixed annuities</w:t>
            </w:r>
          </w:p>
        </w:tc>
        <w:tc>
          <w:tcPr>
            <w:tcW w:w="16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142,962</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108,206</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34,756</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32.1 %</w:t>
            </w:r>
          </w:p>
        </w:tc>
      </w:tr>
      <w:tr>
        <w:trPr>
          <w:trHeight w:val="260"/>
        </w:trPr>
        <w:tc>
          <w:tcPr>
            <w:tcW w:w="5540" w:type="dxa"/>
            <w:vAlign w:val="bottom"/>
          </w:tcPr>
          <w:p>
            <w:pPr>
              <w:ind w:left="180"/>
              <w:spacing w:after="0"/>
              <w:rPr>
                <w:sz w:val="20"/>
                <w:szCs w:val="20"/>
                <w:color w:val="auto"/>
              </w:rPr>
            </w:pPr>
            <w:r>
              <w:rPr>
                <w:rFonts w:ascii="Arial" w:cs="Arial" w:eastAsia="Arial" w:hAnsi="Arial"/>
                <w:sz w:val="16"/>
                <w:szCs w:val="16"/>
                <w:color w:val="auto"/>
              </w:rPr>
              <w:t>Equities</w:t>
            </w:r>
          </w:p>
        </w:tc>
        <w:tc>
          <w:tcPr>
            <w:tcW w:w="16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61,588</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75,684</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(14,096)</w:t>
            </w:r>
          </w:p>
        </w:tc>
        <w:tc>
          <w:tcPr>
            <w:tcW w:w="1480" w:type="dxa"/>
            <w:vAlign w:val="bottom"/>
            <w:gridSpan w:val="2"/>
          </w:tcPr>
          <w:p>
            <w:pPr>
              <w:jc w:val="right"/>
              <w:spacing w:after="0"/>
              <w:rPr>
                <w:sz w:val="20"/>
                <w:szCs w:val="20"/>
                <w:color w:val="auto"/>
              </w:rPr>
            </w:pPr>
            <w:r>
              <w:rPr>
                <w:rFonts w:ascii="Arial" w:cs="Arial" w:eastAsia="Arial" w:hAnsi="Arial"/>
                <w:sz w:val="16"/>
                <w:szCs w:val="16"/>
                <w:color w:val="auto"/>
              </w:rPr>
              <w:t>(18.6)%</w:t>
            </w:r>
          </w:p>
        </w:tc>
      </w:tr>
      <w:tr>
        <w:trPr>
          <w:trHeight w:val="280"/>
        </w:trPr>
        <w:tc>
          <w:tcPr>
            <w:tcW w:w="55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Fixed income</w:t>
            </w:r>
          </w:p>
        </w:tc>
        <w:tc>
          <w:tcPr>
            <w:tcW w:w="16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48,648</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54,378</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(5,730)</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(10.5)%</w:t>
            </w:r>
          </w:p>
        </w:tc>
      </w:tr>
      <w:tr>
        <w:trPr>
          <w:trHeight w:val="260"/>
        </w:trPr>
        <w:tc>
          <w:tcPr>
            <w:tcW w:w="5540" w:type="dxa"/>
            <w:vAlign w:val="bottom"/>
          </w:tcPr>
          <w:p>
            <w:pPr>
              <w:ind w:left="180"/>
              <w:spacing w:after="0"/>
              <w:rPr>
                <w:sz w:val="20"/>
                <w:szCs w:val="20"/>
                <w:color w:val="auto"/>
              </w:rPr>
            </w:pPr>
            <w:r>
              <w:rPr>
                <w:rFonts w:ascii="Arial" w:cs="Arial" w:eastAsia="Arial" w:hAnsi="Arial"/>
                <w:sz w:val="16"/>
                <w:szCs w:val="16"/>
                <w:color w:val="auto"/>
              </w:rPr>
              <w:t>Insurance</w:t>
            </w:r>
          </w:p>
        </w:tc>
        <w:tc>
          <w:tcPr>
            <w:tcW w:w="16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52,047</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55,493</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(3,446)</w:t>
            </w:r>
          </w:p>
        </w:tc>
        <w:tc>
          <w:tcPr>
            <w:tcW w:w="1480" w:type="dxa"/>
            <w:vAlign w:val="bottom"/>
            <w:gridSpan w:val="2"/>
          </w:tcPr>
          <w:p>
            <w:pPr>
              <w:jc w:val="right"/>
              <w:spacing w:after="0"/>
              <w:rPr>
                <w:sz w:val="20"/>
                <w:szCs w:val="20"/>
                <w:color w:val="auto"/>
              </w:rPr>
            </w:pPr>
            <w:r>
              <w:rPr>
                <w:rFonts w:ascii="Arial" w:cs="Arial" w:eastAsia="Arial" w:hAnsi="Arial"/>
                <w:sz w:val="16"/>
                <w:szCs w:val="16"/>
                <w:color w:val="auto"/>
              </w:rPr>
              <w:t>(6.2)%</w:t>
            </w:r>
          </w:p>
        </w:tc>
      </w:tr>
      <w:tr>
        <w:trPr>
          <w:trHeight w:val="280"/>
        </w:trPr>
        <w:tc>
          <w:tcPr>
            <w:tcW w:w="55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Group annuities</w:t>
            </w:r>
          </w:p>
        </w:tc>
        <w:tc>
          <w:tcPr>
            <w:tcW w:w="16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4,222</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5,197</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(975)</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(18.8)%</w:t>
            </w:r>
          </w:p>
        </w:tc>
      </w:tr>
      <w:tr>
        <w:trPr>
          <w:trHeight w:val="264"/>
        </w:trPr>
        <w:tc>
          <w:tcPr>
            <w:tcW w:w="554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Other</w:t>
            </w:r>
          </w:p>
        </w:tc>
        <w:tc>
          <w:tcPr>
            <w:tcW w:w="1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573</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441</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132</w:t>
            </w:r>
          </w:p>
        </w:tc>
        <w:tc>
          <w:tcPr>
            <w:tcW w:w="148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29.9 %</w:t>
            </w:r>
          </w:p>
        </w:tc>
      </w:tr>
      <w:tr>
        <w:trPr>
          <w:trHeight w:val="257"/>
        </w:trPr>
        <w:tc>
          <w:tcPr>
            <w:tcW w:w="5540" w:type="dxa"/>
            <w:vAlign w:val="bottom"/>
            <w:shd w:val="clear" w:color="auto" w:fill="CCEEFF"/>
          </w:tcPr>
          <w:p>
            <w:pPr>
              <w:ind w:left="280"/>
              <w:spacing w:after="0"/>
              <w:rPr>
                <w:sz w:val="20"/>
                <w:szCs w:val="20"/>
                <w:color w:val="auto"/>
              </w:rPr>
            </w:pPr>
            <w:r>
              <w:rPr>
                <w:rFonts w:ascii="Arial" w:cs="Arial" w:eastAsia="Arial" w:hAnsi="Arial"/>
                <w:sz w:val="16"/>
                <w:szCs w:val="16"/>
                <w:b w:val="1"/>
                <w:bCs w:val="1"/>
                <w:color w:val="auto"/>
              </w:rPr>
              <w:t>Total sales-based revenue</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629,443</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790,300</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(160,857)</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(20.4)%</w:t>
            </w:r>
          </w:p>
        </w:tc>
      </w:tr>
      <w:tr>
        <w:trPr>
          <w:trHeight w:val="260"/>
        </w:trPr>
        <w:tc>
          <w:tcPr>
            <w:tcW w:w="5540" w:type="dxa"/>
            <w:vAlign w:val="bottom"/>
          </w:tcPr>
          <w:p>
            <w:pPr>
              <w:ind w:left="40"/>
              <w:spacing w:after="0"/>
              <w:rPr>
                <w:sz w:val="20"/>
                <w:szCs w:val="20"/>
                <w:color w:val="auto"/>
              </w:rPr>
            </w:pPr>
            <w:r>
              <w:rPr>
                <w:rFonts w:ascii="Arial" w:cs="Arial" w:eastAsia="Arial" w:hAnsi="Arial"/>
                <w:sz w:val="16"/>
                <w:szCs w:val="16"/>
                <w:b w:val="1"/>
                <w:bCs w:val="1"/>
                <w:color w:val="auto"/>
              </w:rPr>
              <w:t>Trailing</w:t>
            </w:r>
          </w:p>
        </w:tc>
        <w:tc>
          <w:tcPr>
            <w:tcW w:w="1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r>
      <w:tr>
        <w:trPr>
          <w:trHeight w:val="280"/>
        </w:trPr>
        <w:tc>
          <w:tcPr>
            <w:tcW w:w="55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Variable annuities</w:t>
            </w:r>
          </w:p>
        </w:tc>
        <w:tc>
          <w:tcPr>
            <w:tcW w:w="16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327,558</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341,798</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(14,240)</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(4.2)%</w:t>
            </w:r>
          </w:p>
        </w:tc>
      </w:tr>
      <w:tr>
        <w:trPr>
          <w:trHeight w:val="260"/>
        </w:trPr>
        <w:tc>
          <w:tcPr>
            <w:tcW w:w="5540" w:type="dxa"/>
            <w:vAlign w:val="bottom"/>
          </w:tcPr>
          <w:p>
            <w:pPr>
              <w:ind w:left="180"/>
              <w:spacing w:after="0"/>
              <w:rPr>
                <w:sz w:val="20"/>
                <w:szCs w:val="20"/>
                <w:color w:val="auto"/>
              </w:rPr>
            </w:pPr>
            <w:r>
              <w:rPr>
                <w:rFonts w:ascii="Arial" w:cs="Arial" w:eastAsia="Arial" w:hAnsi="Arial"/>
                <w:sz w:val="16"/>
                <w:szCs w:val="16"/>
                <w:color w:val="auto"/>
              </w:rPr>
              <w:t>Mutual funds</w:t>
            </w:r>
          </w:p>
        </w:tc>
        <w:tc>
          <w:tcPr>
            <w:tcW w:w="16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295,193</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317,270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(22,077)</w:t>
            </w:r>
          </w:p>
        </w:tc>
        <w:tc>
          <w:tcPr>
            <w:tcW w:w="1480" w:type="dxa"/>
            <w:vAlign w:val="bottom"/>
            <w:gridSpan w:val="2"/>
          </w:tcPr>
          <w:p>
            <w:pPr>
              <w:jc w:val="right"/>
              <w:spacing w:after="0"/>
              <w:rPr>
                <w:sz w:val="20"/>
                <w:szCs w:val="20"/>
                <w:color w:val="auto"/>
              </w:rPr>
            </w:pPr>
            <w:r>
              <w:rPr>
                <w:rFonts w:ascii="Arial" w:cs="Arial" w:eastAsia="Arial" w:hAnsi="Arial"/>
                <w:sz w:val="16"/>
                <w:szCs w:val="16"/>
                <w:color w:val="auto"/>
              </w:rPr>
              <w:t>(7.0)%</w:t>
            </w:r>
          </w:p>
        </w:tc>
      </w:tr>
      <w:tr>
        <w:trPr>
          <w:trHeight w:val="280"/>
        </w:trPr>
        <w:tc>
          <w:tcPr>
            <w:tcW w:w="55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Alternative investments</w:t>
            </w:r>
          </w:p>
        </w:tc>
        <w:tc>
          <w:tcPr>
            <w:tcW w:w="16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4,523</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5,836</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(1,313)</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(22.5)%</w:t>
            </w:r>
          </w:p>
        </w:tc>
      </w:tr>
      <w:tr>
        <w:trPr>
          <w:trHeight w:val="260"/>
        </w:trPr>
        <w:tc>
          <w:tcPr>
            <w:tcW w:w="5540" w:type="dxa"/>
            <w:vAlign w:val="bottom"/>
          </w:tcPr>
          <w:p>
            <w:pPr>
              <w:ind w:left="180"/>
              <w:spacing w:after="0"/>
              <w:rPr>
                <w:sz w:val="20"/>
                <w:szCs w:val="20"/>
                <w:color w:val="auto"/>
              </w:rPr>
            </w:pPr>
            <w:r>
              <w:rPr>
                <w:rFonts w:ascii="Arial" w:cs="Arial" w:eastAsia="Arial" w:hAnsi="Arial"/>
                <w:sz w:val="16"/>
                <w:szCs w:val="16"/>
                <w:color w:val="auto"/>
              </w:rPr>
              <w:t>Fixed annuities</w:t>
            </w:r>
          </w:p>
        </w:tc>
        <w:tc>
          <w:tcPr>
            <w:tcW w:w="16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7,660</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5,410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2,250</w:t>
            </w:r>
          </w:p>
        </w:tc>
        <w:tc>
          <w:tcPr>
            <w:tcW w:w="1480" w:type="dxa"/>
            <w:vAlign w:val="bottom"/>
            <w:gridSpan w:val="2"/>
          </w:tcPr>
          <w:p>
            <w:pPr>
              <w:jc w:val="right"/>
              <w:spacing w:after="0"/>
              <w:rPr>
                <w:sz w:val="20"/>
                <w:szCs w:val="20"/>
                <w:color w:val="auto"/>
              </w:rPr>
            </w:pPr>
            <w:r>
              <w:rPr>
                <w:rFonts w:ascii="Arial" w:cs="Arial" w:eastAsia="Arial" w:hAnsi="Arial"/>
                <w:sz w:val="16"/>
                <w:szCs w:val="16"/>
                <w:color w:val="auto"/>
              </w:rPr>
              <w:t>41.6 %</w:t>
            </w:r>
          </w:p>
        </w:tc>
      </w:tr>
      <w:tr>
        <w:trPr>
          <w:trHeight w:val="280"/>
        </w:trPr>
        <w:tc>
          <w:tcPr>
            <w:tcW w:w="55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Fixed income</w:t>
            </w:r>
          </w:p>
        </w:tc>
        <w:tc>
          <w:tcPr>
            <w:tcW w:w="16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15,055</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15,458</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(403)</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(2.6)%</w:t>
            </w:r>
          </w:p>
        </w:tc>
      </w:tr>
      <w:tr>
        <w:trPr>
          <w:trHeight w:val="260"/>
        </w:trPr>
        <w:tc>
          <w:tcPr>
            <w:tcW w:w="5540" w:type="dxa"/>
            <w:vAlign w:val="bottom"/>
          </w:tcPr>
          <w:p>
            <w:pPr>
              <w:ind w:left="180"/>
              <w:spacing w:after="0"/>
              <w:rPr>
                <w:sz w:val="20"/>
                <w:szCs w:val="20"/>
                <w:color w:val="auto"/>
              </w:rPr>
            </w:pPr>
            <w:r>
              <w:rPr>
                <w:rFonts w:ascii="Arial" w:cs="Arial" w:eastAsia="Arial" w:hAnsi="Arial"/>
                <w:sz w:val="16"/>
                <w:szCs w:val="16"/>
                <w:color w:val="auto"/>
              </w:rPr>
              <w:t>Insurance</w:t>
            </w:r>
          </w:p>
        </w:tc>
        <w:tc>
          <w:tcPr>
            <w:tcW w:w="16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4,250</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5,324</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(1,074)</w:t>
            </w:r>
          </w:p>
        </w:tc>
        <w:tc>
          <w:tcPr>
            <w:tcW w:w="1480" w:type="dxa"/>
            <w:vAlign w:val="bottom"/>
            <w:gridSpan w:val="2"/>
          </w:tcPr>
          <w:p>
            <w:pPr>
              <w:jc w:val="right"/>
              <w:spacing w:after="0"/>
              <w:rPr>
                <w:sz w:val="20"/>
                <w:szCs w:val="20"/>
                <w:color w:val="auto"/>
              </w:rPr>
            </w:pPr>
            <w:r>
              <w:rPr>
                <w:rFonts w:ascii="Arial" w:cs="Arial" w:eastAsia="Arial" w:hAnsi="Arial"/>
                <w:sz w:val="16"/>
                <w:szCs w:val="16"/>
                <w:color w:val="auto"/>
              </w:rPr>
              <w:t>(20.2)%</w:t>
            </w:r>
          </w:p>
        </w:tc>
      </w:tr>
      <w:tr>
        <w:trPr>
          <w:trHeight w:val="280"/>
        </w:trPr>
        <w:tc>
          <w:tcPr>
            <w:tcW w:w="55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Group annuities</w:t>
            </w:r>
          </w:p>
        </w:tc>
        <w:tc>
          <w:tcPr>
            <w:tcW w:w="160" w:type="dxa"/>
            <w:vAlign w:val="bottom"/>
            <w:tcBorders>
              <w:bottom w:val="single" w:sz="8" w:color="auto"/>
            </w:tcBorders>
            <w:shd w:val="clear" w:color="auto" w:fill="CCEEFF"/>
          </w:tcPr>
          <w:p>
            <w:pPr>
              <w:spacing w:after="0"/>
              <w:rPr>
                <w:sz w:val="24"/>
                <w:szCs w:val="24"/>
                <w:color w:val="auto"/>
              </w:rPr>
            </w:pPr>
          </w:p>
        </w:tc>
        <w:tc>
          <w:tcPr>
            <w:tcW w:w="13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30,486</w:t>
            </w:r>
          </w:p>
        </w:tc>
        <w:tc>
          <w:tcPr>
            <w:tcW w:w="120" w:type="dxa"/>
            <w:vAlign w:val="bottom"/>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31,963</w:t>
            </w:r>
          </w:p>
        </w:tc>
        <w:tc>
          <w:tcPr>
            <w:tcW w:w="12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(1,477)</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(4.6)%</w:t>
            </w:r>
          </w:p>
        </w:tc>
      </w:tr>
      <w:tr>
        <w:trPr>
          <w:trHeight w:val="244"/>
        </w:trPr>
        <w:tc>
          <w:tcPr>
            <w:tcW w:w="5540" w:type="dxa"/>
            <w:vAlign w:val="bottom"/>
            <w:tcBorders>
              <w:bottom w:val="single" w:sz="8" w:color="CCEEFF"/>
            </w:tcBorders>
          </w:tcPr>
          <w:p>
            <w:pPr>
              <w:ind w:left="280"/>
              <w:spacing w:after="0"/>
              <w:rPr>
                <w:sz w:val="20"/>
                <w:szCs w:val="20"/>
                <w:color w:val="auto"/>
              </w:rPr>
            </w:pPr>
            <w:r>
              <w:rPr>
                <w:rFonts w:ascii="Arial" w:cs="Arial" w:eastAsia="Arial" w:hAnsi="Arial"/>
                <w:sz w:val="16"/>
                <w:szCs w:val="16"/>
                <w:b w:val="1"/>
                <w:bCs w:val="1"/>
                <w:color w:val="auto"/>
              </w:rPr>
              <w:t>Total trailing revenue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684,725</w:t>
            </w: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723,059</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(38,334)</w:t>
            </w:r>
          </w:p>
        </w:tc>
        <w:tc>
          <w:tcPr>
            <w:tcW w:w="148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(5.3)%</w:t>
            </w:r>
          </w:p>
        </w:tc>
      </w:tr>
      <w:tr>
        <w:trPr>
          <w:trHeight w:val="240"/>
        </w:trPr>
        <w:tc>
          <w:tcPr>
            <w:tcW w:w="5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b w:val="1"/>
                <w:bCs w:val="1"/>
                <w:color w:val="auto"/>
              </w:rPr>
              <w:t>Total commission revenue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1,314,168</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1,513,359</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(199,191)</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(13.2)%</w:t>
            </w:r>
          </w:p>
        </w:tc>
      </w:tr>
      <w:tr>
        <w:trPr>
          <w:trHeight w:val="20"/>
        </w:trPr>
        <w:tc>
          <w:tcPr>
            <w:tcW w:w="5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bl>
    <w:p>
      <w:pPr>
        <w:spacing w:after="0" w:line="161" w:lineRule="exact"/>
        <w:rPr>
          <w:sz w:val="20"/>
          <w:szCs w:val="20"/>
          <w:color w:val="auto"/>
        </w:rPr>
      </w:pPr>
    </w:p>
    <w:p>
      <w:pPr>
        <w:ind w:right="100" w:firstLine="486"/>
        <w:spacing w:after="0" w:line="252" w:lineRule="auto"/>
        <w:rPr>
          <w:sz w:val="20"/>
          <w:szCs w:val="20"/>
          <w:color w:val="auto"/>
        </w:rPr>
      </w:pPr>
      <w:r>
        <w:rPr>
          <w:rFonts w:ascii="Arial" w:cs="Arial" w:eastAsia="Arial" w:hAnsi="Arial"/>
          <w:sz w:val="18"/>
          <w:szCs w:val="18"/>
          <w:color w:val="auto"/>
        </w:rPr>
        <w:t>The decrease in sales-based commission revenue for the nine months ended September 30, 2016, compared with the same period in 2015, was primarily due to a decrease in activity for alternative investments, variable annuities, and mutual funds. Alternative investment sales commissions were primarily challenged by marketplace uncertainties in response to regulatory changes. Significant market volatility and investor uncertainty in the low interest rate environment led to a decline in demand for variable annuities and mutual funds and shifted investors' focus from portfolio growth to income streams with minimal risk to principal. This led to the increase in sales of fixed annuities, which pay guaranteed rates of interest and can appeal to investors wary of market volatility.</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90" w:right="239" w:bottom="1440" w:gutter="0" w:footer="0" w:header="0"/>
        </w:sectPr>
      </w:pPr>
    </w:p>
    <w:bookmarkStart w:id="15" w:name="page16"/>
    <w:bookmarkEnd w:id="15"/>
    <w:p>
      <w:pPr>
        <w:ind w:right="640" w:firstLine="486"/>
        <w:spacing w:after="0" w:line="262" w:lineRule="auto"/>
        <w:rPr>
          <w:sz w:val="20"/>
          <w:szCs w:val="20"/>
          <w:color w:val="auto"/>
        </w:rPr>
      </w:pPr>
      <w:r>
        <w:rPr>
          <w:rFonts w:ascii="Arial" w:cs="Arial" w:eastAsia="Arial" w:hAnsi="Arial"/>
          <w:sz w:val="18"/>
          <w:szCs w:val="18"/>
          <w:color w:val="auto"/>
        </w:rPr>
        <w:t>Trailing revenues are recurring in nature and the decrease in revenue for the period reflects a decrease in the market value of the underlying assets.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Advisory Revenues</w:t>
      </w:r>
    </w:p>
    <w:p>
      <w:pPr>
        <w:spacing w:after="0" w:line="243" w:lineRule="exact"/>
        <w:rPr>
          <w:sz w:val="20"/>
          <w:szCs w:val="20"/>
          <w:color w:val="auto"/>
        </w:rPr>
      </w:pPr>
    </w:p>
    <w:p>
      <w:pPr>
        <w:ind w:right="100" w:firstLine="486"/>
        <w:spacing w:after="0" w:line="252" w:lineRule="auto"/>
        <w:rPr>
          <w:sz w:val="20"/>
          <w:szCs w:val="20"/>
          <w:color w:val="auto"/>
        </w:rPr>
      </w:pPr>
      <w:r>
        <w:rPr>
          <w:rFonts w:ascii="Arial" w:cs="Arial" w:eastAsia="Arial" w:hAnsi="Arial"/>
          <w:sz w:val="18"/>
          <w:szCs w:val="18"/>
          <w:color w:val="auto"/>
        </w:rPr>
        <w:t>Advisory revenues primarily represent fees charged on our corporate RIA platform provided through LPL Financial LLC (“LPL Financial”) to clients of our advisors based on the value of their advisory assets. Advisory fees are billed to clients on either a calendar quarter or non-calendar quarter basis, depending on their choice, at the beginning of that period, and are recognized as revenue ratably during the quarter. The value of the assets in an advisory account on the billing date determines the amount billed, and accordingly, the revenues earned in the following three month period. The majority of our accounts are billed in advance using values as of the last business day of each calendar quarter. Advisory revenues collected on our corporate RIA platform are proposed by the advisor and agreed to by the client and average 1.1% of the underlying assets, and can range anywhere from 0.5% to 3.0%.</w:t>
      </w:r>
    </w:p>
    <w:p>
      <w:pPr>
        <w:spacing w:after="0" w:line="207" w:lineRule="exact"/>
        <w:rPr>
          <w:sz w:val="20"/>
          <w:szCs w:val="20"/>
          <w:color w:val="auto"/>
        </w:rPr>
      </w:pPr>
    </w:p>
    <w:p>
      <w:pPr>
        <w:ind w:right="80" w:firstLine="486"/>
        <w:spacing w:after="0" w:line="252" w:lineRule="auto"/>
        <w:rPr>
          <w:sz w:val="20"/>
          <w:szCs w:val="20"/>
          <w:color w:val="auto"/>
        </w:rPr>
      </w:pPr>
      <w:r>
        <w:rPr>
          <w:rFonts w:ascii="Arial" w:cs="Arial" w:eastAsia="Arial" w:hAnsi="Arial"/>
          <w:sz w:val="18"/>
          <w:szCs w:val="18"/>
          <w:color w:val="auto"/>
        </w:rPr>
        <w:t>We also support Hybrid RIAs, through our Hybrid RIA platform, which allows advisors to engage us for technology, clearing, and custody services, as well as access to the capabilities of our investment platforms. Most financial advisors associated with Hybrid RIAs carry their brokerage license with LPL Financial and access our fully-integrated brokerage platform under standard terms, although some financial advisors associated with Hybrid RIAs do not carry a brokerage license with us. The assets held under a Hybrid RIA's investment advisory accounts custodied with LPL Financial are included in our brokerage and advisory assets, net new advisory assets, and advisory assets under custody metrics. However, the advisory revenue generated by a Hybrid RIA is earned by the Hybrid RIA, and accordingly is not included in our advisory revenue. We charge separate fees to Hybrid RIAs for technology, clearing, administrative, and custody services. The administrative fees collected on our Hybrid RIA platform vary and can reach a maximum of 0.6% of the underlying assets.</w:t>
      </w:r>
    </w:p>
    <w:p>
      <w:pPr>
        <w:spacing w:after="0" w:line="206" w:lineRule="exact"/>
        <w:rPr>
          <w:sz w:val="20"/>
          <w:szCs w:val="20"/>
          <w:color w:val="auto"/>
        </w:rPr>
      </w:pPr>
    </w:p>
    <w:p>
      <w:pPr>
        <w:ind w:right="40" w:firstLine="486"/>
        <w:spacing w:after="0" w:line="262" w:lineRule="auto"/>
        <w:rPr>
          <w:sz w:val="20"/>
          <w:szCs w:val="20"/>
          <w:color w:val="auto"/>
        </w:rPr>
      </w:pPr>
      <w:r>
        <w:rPr>
          <w:rFonts w:ascii="Arial" w:cs="Arial" w:eastAsia="Arial" w:hAnsi="Arial"/>
          <w:sz w:val="18"/>
          <w:szCs w:val="18"/>
          <w:color w:val="auto"/>
        </w:rPr>
        <w:t>Furthermore, we support certain financial advisors at broker-dealers affiliated with insurance companies through our customized advisory platforms and charge fees to these advisors based on the value of assets within these advisory accounts.</w:t>
      </w:r>
    </w:p>
    <w:p>
      <w:pPr>
        <w:spacing w:after="0" w:line="8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all activity in advisory assets under our custody (in billions):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620" w:type="dxa"/>
            <w:vAlign w:val="bottom"/>
          </w:tcPr>
          <w:p>
            <w:pPr>
              <w:spacing w:after="0"/>
              <w:rPr>
                <w:sz w:val="19"/>
                <w:szCs w:val="19"/>
                <w:color w:val="auto"/>
              </w:rPr>
            </w:pPr>
          </w:p>
        </w:tc>
        <w:tc>
          <w:tcPr>
            <w:tcW w:w="2960" w:type="dxa"/>
            <w:vAlign w:val="bottom"/>
            <w:gridSpan w:val="6"/>
          </w:tcPr>
          <w:p>
            <w:pPr>
              <w:ind w:left="60"/>
              <w:spacing w:after="0"/>
              <w:rPr>
                <w:sz w:val="20"/>
                <w:szCs w:val="20"/>
                <w:color w:val="auto"/>
              </w:rPr>
            </w:pPr>
            <w:r>
              <w:rPr>
                <w:rFonts w:ascii="Arial" w:cs="Arial" w:eastAsia="Arial" w:hAnsi="Arial"/>
                <w:sz w:val="16"/>
                <w:szCs w:val="16"/>
                <w:b w:val="1"/>
                <w:bCs w:val="1"/>
                <w:color w:val="auto"/>
              </w:rPr>
              <w:t>Three Months Ended September 30,</w:t>
            </w:r>
          </w:p>
        </w:tc>
        <w:tc>
          <w:tcPr>
            <w:tcW w:w="2840" w:type="dxa"/>
            <w:vAlign w:val="bottom"/>
            <w:gridSpan w:val="5"/>
          </w:tcPr>
          <w:p>
            <w:pPr>
              <w:jc w:val="right"/>
              <w:spacing w:after="0"/>
              <w:rPr>
                <w:sz w:val="20"/>
                <w:szCs w:val="20"/>
                <w:color w:val="auto"/>
              </w:rPr>
            </w:pPr>
            <w:r>
              <w:rPr>
                <w:rFonts w:ascii="Arial" w:cs="Arial" w:eastAsia="Arial" w:hAnsi="Arial"/>
                <w:sz w:val="16"/>
                <w:szCs w:val="16"/>
                <w:b w:val="1"/>
                <w:bCs w:val="1"/>
                <w:color w:val="auto"/>
              </w:rPr>
              <w:t>Nine Months Ended September 30,</w:t>
            </w:r>
          </w:p>
        </w:tc>
      </w:tr>
      <w:tr>
        <w:trPr>
          <w:trHeight w:val="264"/>
        </w:trPr>
        <w:tc>
          <w:tcPr>
            <w:tcW w:w="5620" w:type="dxa"/>
            <w:vAlign w:val="bottom"/>
            <w:tcBorders>
              <w:bottom w:val="single" w:sz="8" w:color="CCEEFF"/>
            </w:tcBorders>
          </w:tcPr>
          <w:p>
            <w:pPr>
              <w:spacing w:after="0"/>
              <w:rPr>
                <w:sz w:val="22"/>
                <w:szCs w:val="22"/>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2016</w:t>
            </w:r>
          </w:p>
        </w:tc>
        <w:tc>
          <w:tcPr>
            <w:tcW w:w="52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2016</w:t>
            </w:r>
          </w:p>
        </w:tc>
        <w:tc>
          <w:tcPr>
            <w:tcW w:w="12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2015</w:t>
            </w:r>
          </w:p>
        </w:tc>
      </w:tr>
      <w:tr>
        <w:trPr>
          <w:trHeight w:val="257"/>
        </w:trPr>
        <w:tc>
          <w:tcPr>
            <w:tcW w:w="5620" w:type="dxa"/>
            <w:vAlign w:val="bottom"/>
            <w:shd w:val="clear" w:color="auto" w:fill="CCEEFF"/>
          </w:tcPr>
          <w:p>
            <w:pPr>
              <w:ind w:left="40"/>
              <w:spacing w:after="0"/>
              <w:rPr>
                <w:sz w:val="20"/>
                <w:szCs w:val="20"/>
                <w:color w:val="auto"/>
              </w:rPr>
            </w:pPr>
            <w:r>
              <w:rPr>
                <w:rFonts w:ascii="Arial" w:cs="Arial" w:eastAsia="Arial" w:hAnsi="Arial"/>
                <w:sz w:val="16"/>
                <w:szCs w:val="16"/>
                <w:color w:val="auto"/>
              </w:rPr>
              <w:t>Balance - Beginning of period</w:t>
            </w:r>
          </w:p>
        </w:tc>
        <w:tc>
          <w:tcPr>
            <w:tcW w:w="860" w:type="dxa"/>
            <w:vAlign w:val="bottom"/>
            <w:shd w:val="clear" w:color="auto" w:fill="CCEEFF"/>
          </w:tcPr>
          <w:p>
            <w:pPr>
              <w:jc w:val="right"/>
              <w:ind w:right="679"/>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99"/>
              </w:rPr>
              <w:t>196.1</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186.8</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187.2</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175.8</w:t>
            </w:r>
          </w:p>
        </w:tc>
      </w:tr>
      <w:tr>
        <w:trPr>
          <w:trHeight w:val="260"/>
        </w:trPr>
        <w:tc>
          <w:tcPr>
            <w:tcW w:w="5620" w:type="dxa"/>
            <w:vAlign w:val="bottom"/>
          </w:tcPr>
          <w:p>
            <w:pPr>
              <w:ind w:left="40"/>
              <w:spacing w:after="0"/>
              <w:rPr>
                <w:sz w:val="20"/>
                <w:szCs w:val="20"/>
                <w:color w:val="auto"/>
              </w:rPr>
            </w:pPr>
            <w:r>
              <w:rPr>
                <w:rFonts w:ascii="Arial" w:cs="Arial" w:eastAsia="Arial" w:hAnsi="Arial"/>
                <w:sz w:val="16"/>
                <w:szCs w:val="16"/>
                <w:color w:val="auto"/>
              </w:rPr>
              <w:t>Net new advisory assets</w:t>
            </w:r>
          </w:p>
        </w:tc>
        <w:tc>
          <w:tcPr>
            <w:tcW w:w="860" w:type="dxa"/>
            <w:vAlign w:val="bottom"/>
          </w:tcPr>
          <w:p>
            <w:pPr>
              <w:spacing w:after="0"/>
              <w:rPr>
                <w:sz w:val="22"/>
                <w:szCs w:val="22"/>
                <w:color w:val="auto"/>
              </w:rPr>
            </w:pPr>
          </w:p>
        </w:tc>
        <w:tc>
          <w:tcPr>
            <w:tcW w:w="520" w:type="dxa"/>
            <w:vAlign w:val="bottom"/>
          </w:tcPr>
          <w:p>
            <w:pPr>
              <w:jc w:val="right"/>
              <w:ind w:right="19"/>
              <w:spacing w:after="0"/>
              <w:rPr>
                <w:sz w:val="20"/>
                <w:szCs w:val="20"/>
                <w:color w:val="auto"/>
              </w:rPr>
            </w:pPr>
            <w:r>
              <w:rPr>
                <w:rFonts w:ascii="Arial" w:cs="Arial" w:eastAsia="Arial" w:hAnsi="Arial"/>
                <w:sz w:val="16"/>
                <w:szCs w:val="16"/>
                <w:color w:val="auto"/>
              </w:rPr>
              <w:t>4.1</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4.2</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8.9</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13.7</w:t>
            </w:r>
          </w:p>
        </w:tc>
      </w:tr>
      <w:tr>
        <w:trPr>
          <w:trHeight w:val="273"/>
        </w:trPr>
        <w:tc>
          <w:tcPr>
            <w:tcW w:w="5620" w:type="dxa"/>
            <w:vAlign w:val="bottom"/>
            <w:shd w:val="clear" w:color="auto" w:fill="CCEEFF"/>
          </w:tcPr>
          <w:p>
            <w:pPr>
              <w:ind w:left="40"/>
              <w:spacing w:after="0"/>
              <w:rPr>
                <w:sz w:val="20"/>
                <w:szCs w:val="20"/>
                <w:color w:val="auto"/>
              </w:rPr>
            </w:pPr>
            <w:r>
              <w:rPr>
                <w:rFonts w:ascii="Arial" w:cs="Arial" w:eastAsia="Arial" w:hAnsi="Arial"/>
                <w:sz w:val="16"/>
                <w:szCs w:val="16"/>
                <w:color w:val="auto"/>
              </w:rPr>
              <w:t>Market impact</w:t>
            </w:r>
          </w:p>
        </w:tc>
        <w:tc>
          <w:tcPr>
            <w:tcW w:w="860" w:type="dxa"/>
            <w:vAlign w:val="bottom"/>
            <w:tcBorders>
              <w:bottom w:val="single" w:sz="8" w:color="auto"/>
            </w:tcBorders>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5.3</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(11.3)</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9.4</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w:t>
            </w:r>
          </w:p>
        </w:tc>
      </w:tr>
      <w:tr>
        <w:trPr>
          <w:trHeight w:val="240"/>
        </w:trPr>
        <w:tc>
          <w:tcPr>
            <w:tcW w:w="5620" w:type="dxa"/>
            <w:vAlign w:val="bottom"/>
          </w:tcPr>
          <w:p>
            <w:pPr>
              <w:ind w:left="40"/>
              <w:spacing w:after="0"/>
              <w:rPr>
                <w:sz w:val="20"/>
                <w:szCs w:val="20"/>
                <w:color w:val="auto"/>
              </w:rPr>
            </w:pPr>
            <w:r>
              <w:rPr>
                <w:rFonts w:ascii="Arial" w:cs="Arial" w:eastAsia="Arial" w:hAnsi="Arial"/>
                <w:sz w:val="16"/>
                <w:szCs w:val="16"/>
                <w:color w:val="auto"/>
              </w:rPr>
              <w:t>Balance - End of period</w:t>
            </w:r>
          </w:p>
        </w:tc>
        <w:tc>
          <w:tcPr>
            <w:tcW w:w="86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99"/>
              </w:rPr>
              <w:t>205.5</w:t>
            </w:r>
          </w:p>
        </w:tc>
        <w:tc>
          <w:tcPr>
            <w:tcW w:w="120" w:type="dxa"/>
            <w:vAlign w:val="bottom"/>
          </w:tcPr>
          <w:p>
            <w:pPr>
              <w:spacing w:after="0"/>
              <w:rPr>
                <w:sz w:val="20"/>
                <w:szCs w:val="20"/>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179.7</w:t>
            </w:r>
          </w:p>
        </w:tc>
        <w:tc>
          <w:tcPr>
            <w:tcW w:w="100" w:type="dxa"/>
            <w:vAlign w:val="bottom"/>
          </w:tcPr>
          <w:p>
            <w:pPr>
              <w:spacing w:after="0"/>
              <w:rPr>
                <w:sz w:val="20"/>
                <w:szCs w:val="20"/>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205.5</w:t>
            </w:r>
          </w:p>
        </w:tc>
        <w:tc>
          <w:tcPr>
            <w:tcW w:w="120" w:type="dxa"/>
            <w:vAlign w:val="bottom"/>
          </w:tcPr>
          <w:p>
            <w:pPr>
              <w:spacing w:after="0"/>
              <w:rPr>
                <w:sz w:val="20"/>
                <w:szCs w:val="20"/>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179.7</w:t>
            </w:r>
          </w:p>
        </w:tc>
      </w:tr>
      <w:tr>
        <w:trPr>
          <w:trHeight w:val="20"/>
        </w:trPr>
        <w:tc>
          <w:tcPr>
            <w:tcW w:w="56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ind w:right="200" w:firstLine="486"/>
        <w:spacing w:after="0" w:line="252" w:lineRule="auto"/>
        <w:rPr>
          <w:sz w:val="20"/>
          <w:szCs w:val="20"/>
          <w:color w:val="auto"/>
        </w:rPr>
      </w:pPr>
      <w:r>
        <w:rPr>
          <w:rFonts w:ascii="Arial" w:cs="Arial" w:eastAsia="Arial" w:hAnsi="Arial"/>
          <w:sz w:val="18"/>
          <w:szCs w:val="18"/>
          <w:color w:val="auto"/>
        </w:rPr>
        <w:t>Net new advisory assets for the three and nine months ended September 30, 2016 and 2015 had a limited impact on advisory fee revenue for those respective periods. Rather, net new advisory assets are a primary driver of future advisory fee revenue and have resulted primarily from recruiting of new advisors to our Hybrid RIA platform and the continued shift by our existing advisors from brokerage towards more advisory business. With advisory fees for the period calculated based on the ending market value of the immediately preceding period, revenues for any particular quarter are primarily driven by each of the prior quarter's month-end advisory assets under management. The decrease in advisory revenue for the three and nine months ended September 30, 2016, compared with the same periods in 2015 is due to a shift of advisors to our Hybrid RIA platform that more than offset the net new advisory assets.</w:t>
      </w:r>
    </w:p>
    <w:p>
      <w:pPr>
        <w:spacing w:after="0" w:line="207" w:lineRule="exact"/>
        <w:rPr>
          <w:sz w:val="20"/>
          <w:szCs w:val="20"/>
          <w:color w:val="auto"/>
        </w:rPr>
      </w:pPr>
    </w:p>
    <w:p>
      <w:pPr>
        <w:ind w:right="100" w:firstLine="486"/>
        <w:spacing w:after="0" w:line="254" w:lineRule="auto"/>
        <w:rPr>
          <w:sz w:val="20"/>
          <w:szCs w:val="20"/>
          <w:color w:val="auto"/>
        </w:rPr>
      </w:pPr>
      <w:r>
        <w:rPr>
          <w:rFonts w:ascii="Arial" w:cs="Arial" w:eastAsia="Arial" w:hAnsi="Arial"/>
          <w:sz w:val="18"/>
          <w:szCs w:val="18"/>
          <w:color w:val="auto"/>
        </w:rPr>
        <w:t>Assets on our Hybrid RIA platform have been growing rapidly through the recruiting of new advisors and the transition of existing advisors onto that platform. This continued shift of advisors to our Hybrid RIA platform has caused the growth in advisory revenue to appear to lag behind the rate of growth of advisory assets under custody, as we earn the administrative and other fees discussed above as opposed to earning advisory fees.</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90" w:right="239" w:bottom="1440" w:gutter="0" w:footer="0" w:header="0"/>
        </w:sectPr>
      </w:pPr>
    </w:p>
    <w:bookmarkStart w:id="16" w:name="page17"/>
    <w:bookmarkEnd w:id="16"/>
    <w:p>
      <w:pPr>
        <w:ind w:right="560" w:firstLine="486"/>
        <w:spacing w:after="0" w:line="262" w:lineRule="auto"/>
        <w:rPr>
          <w:sz w:val="20"/>
          <w:szCs w:val="20"/>
          <w:color w:val="auto"/>
        </w:rPr>
      </w:pPr>
      <w:r>
        <w:rPr>
          <w:rFonts w:ascii="Arial" w:cs="Arial" w:eastAsia="Arial" w:hAnsi="Arial"/>
          <w:sz w:val="18"/>
          <w:szCs w:val="18"/>
          <w:color w:val="auto"/>
        </w:rPr>
        <w:t>The following table summarizes the composition of total advisory assets under our custody as of September 30, 2016 and 2015 (in billions):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60" w:type="dxa"/>
            <w:vAlign w:val="bottom"/>
            <w:gridSpan w:val="5"/>
          </w:tcPr>
          <w:p>
            <w:pPr>
              <w:ind w:left="500"/>
              <w:spacing w:after="0"/>
              <w:rPr>
                <w:sz w:val="20"/>
                <w:szCs w:val="20"/>
                <w:color w:val="auto"/>
              </w:rPr>
            </w:pPr>
            <w:r>
              <w:rPr>
                <w:rFonts w:ascii="Arial" w:cs="Arial" w:eastAsia="Arial" w:hAnsi="Arial"/>
                <w:sz w:val="16"/>
                <w:szCs w:val="16"/>
                <w:b w:val="1"/>
                <w:bCs w:val="1"/>
                <w:color w:val="auto"/>
              </w:rPr>
              <w:t>September 30,</w:t>
            </w: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64"/>
        </w:trPr>
        <w:tc>
          <w:tcPr>
            <w:tcW w:w="624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2016</w:t>
            </w:r>
          </w:p>
        </w:tc>
        <w:tc>
          <w:tcPr>
            <w:tcW w:w="120" w:type="dxa"/>
            <w:vAlign w:val="bottom"/>
            <w:tcBorders>
              <w:top w:val="single" w:sz="8" w:color="auto"/>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2015</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 Change</w:t>
            </w:r>
          </w:p>
        </w:tc>
        <w:tc>
          <w:tcPr>
            <w:tcW w:w="120" w:type="dxa"/>
            <w:vAlign w:val="bottom"/>
            <w:tcBorders>
              <w:bottom w:val="single" w:sz="8" w:color="CCEEFF"/>
            </w:tcBorders>
          </w:tcPr>
          <w:p>
            <w:pPr>
              <w:spacing w:after="0"/>
              <w:rPr>
                <w:sz w:val="22"/>
                <w:szCs w:val="22"/>
                <w:color w:val="auto"/>
              </w:rPr>
            </w:pPr>
          </w:p>
        </w:tc>
        <w:tc>
          <w:tcPr>
            <w:tcW w:w="12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 Change</w:t>
            </w:r>
          </w:p>
        </w:tc>
      </w:tr>
      <w:tr>
        <w:trPr>
          <w:trHeight w:val="257"/>
        </w:trPr>
        <w:tc>
          <w:tcPr>
            <w:tcW w:w="6240" w:type="dxa"/>
            <w:vAlign w:val="bottom"/>
            <w:shd w:val="clear" w:color="auto" w:fill="CCEEFF"/>
          </w:tcPr>
          <w:p>
            <w:pPr>
              <w:ind w:left="40"/>
              <w:spacing w:after="0"/>
              <w:rPr>
                <w:sz w:val="20"/>
                <w:szCs w:val="20"/>
                <w:color w:val="auto"/>
              </w:rPr>
            </w:pPr>
            <w:r>
              <w:rPr>
                <w:rFonts w:ascii="Arial" w:cs="Arial" w:eastAsia="Arial" w:hAnsi="Arial"/>
                <w:sz w:val="16"/>
                <w:szCs w:val="16"/>
                <w:color w:val="auto"/>
              </w:rPr>
              <w:t>Advisory assets under management(1)</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124.9</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119.1</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5.8</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4.9%</w:t>
            </w:r>
          </w:p>
        </w:tc>
      </w:tr>
      <w:tr>
        <w:trPr>
          <w:trHeight w:val="264"/>
        </w:trPr>
        <w:tc>
          <w:tcPr>
            <w:tcW w:w="62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Hybrid RIA assets in advisory accounts custodied by LPL Financial</w:t>
            </w: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80.6</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60.6</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20.0</w:t>
            </w:r>
          </w:p>
        </w:tc>
        <w:tc>
          <w:tcPr>
            <w:tcW w:w="132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33.0%</w:t>
            </w:r>
          </w:p>
        </w:tc>
      </w:tr>
      <w:tr>
        <w:trPr>
          <w:trHeight w:val="240"/>
        </w:trPr>
        <w:tc>
          <w:tcPr>
            <w:tcW w:w="6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advisory assets under custody</w:t>
            </w: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205.5</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179.7</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25.8</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14.4%</w:t>
            </w:r>
          </w:p>
        </w:tc>
      </w:tr>
      <w:tr>
        <w:trPr>
          <w:trHeight w:val="20"/>
        </w:trPr>
        <w:tc>
          <w:tcPr>
            <w:tcW w:w="6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bl>
    <w:p>
      <w:pPr>
        <w:spacing w:after="0" w:line="70" w:lineRule="exact"/>
        <w:rPr>
          <w:sz w:val="20"/>
          <w:szCs w:val="20"/>
          <w:color w:val="auto"/>
        </w:rPr>
      </w:pPr>
    </w:p>
    <w:p>
      <w:pPr>
        <w:spacing w:after="0"/>
        <w:rPr>
          <w:sz w:val="20"/>
          <w:szCs w:val="20"/>
          <w:color w:val="auto"/>
        </w:rPr>
      </w:pPr>
      <w:r>
        <w:rPr>
          <w:rFonts w:ascii="Arial" w:cs="Arial" w:eastAsia="Arial" w:hAnsi="Arial"/>
          <w:sz w:val="7"/>
          <w:szCs w:val="7"/>
          <w:color w:val="auto"/>
        </w:rPr>
        <w:t>_______________________________</w:t>
      </w:r>
    </w:p>
    <w:p>
      <w:pPr>
        <w:spacing w:after="0" w:line="6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(1) Consists of advisory assets under management on our corporate advisory platform.</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Asset-Based Revenues</w:t>
      </w:r>
    </w:p>
    <w:p>
      <w:pPr>
        <w:spacing w:after="0" w:line="243" w:lineRule="exact"/>
        <w:rPr>
          <w:sz w:val="20"/>
          <w:szCs w:val="20"/>
          <w:color w:val="auto"/>
        </w:rPr>
      </w:pPr>
    </w:p>
    <w:p>
      <w:pPr>
        <w:ind w:right="160" w:firstLine="486"/>
        <w:spacing w:after="0" w:line="252" w:lineRule="auto"/>
        <w:rPr>
          <w:sz w:val="20"/>
          <w:szCs w:val="20"/>
          <w:color w:val="auto"/>
        </w:rPr>
      </w:pPr>
      <w:r>
        <w:rPr>
          <w:rFonts w:ascii="Arial" w:cs="Arial" w:eastAsia="Arial" w:hAnsi="Arial"/>
          <w:sz w:val="18"/>
          <w:szCs w:val="18"/>
          <w:color w:val="auto"/>
        </w:rPr>
        <w:t>Asset-based revenues are comprised of our sponsorship programs with financial product manufacturers, omnibus processing and networking services, and fees from our cash sweep program. We receive fees from certain financial product manufacturers in connection with sponsorship programs that support our marketing and sales education and training efforts. Omnibus processing revenues are paid to us by mutual fund product sponsors and are based on the value of custodied assets in advisory accounts and the number of brokerage accounts in which the related mutual fund positions are held. Networking revenues on brokerage assets are correlated to the number of positions we administer and are paid to us by mutual fund and annuity product manufacturers. Pursuant to contractual arrangements, uninvested cash balances in our advisors’ client accounts are swept into either insured cash accounts at various banks or third-party money market funds, for which we receive fees, including administrative and recordkeeping fees based on account type and the invested balances.</w:t>
      </w:r>
    </w:p>
    <w:p>
      <w:pPr>
        <w:spacing w:after="0" w:line="20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Asset-based revenues for the three months ended September 30, 2016, increased to $138.3 million, or 11.6% from $123.9 million for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three months ended September 30, 2015. The increase is due primarily to increased revenues from our cash sweep program. Cash sweep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revenue increased to $40.7 million for the three months ended September 30, 2016, from $24.0 million for the three months ended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2015, due to the impact of the increase in the target range for the federal funds effective rate and an increase in average assets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our cash sweep program as investors increased the balances of their assets held in cash in response to the volatility in the financial markets.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2016, our cash sweep balances had grown to $29.2 billion from $27.7 billion as of September 30, 2015, with average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cash sweep balances of $29.1 billion and $26.7 billion during the three months ended September 30, 2016 and 2015, respectively.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increase in cash sweep revenue was partially offset by a 2.3% decrease in other asset-based revenues, due in part to lower average billable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assets.</w:t>
      </w:r>
    </w:p>
    <w:p>
      <w:pPr>
        <w:spacing w:after="0" w:line="293" w:lineRule="exact"/>
        <w:rPr>
          <w:sz w:val="20"/>
          <w:szCs w:val="20"/>
          <w:color w:val="auto"/>
        </w:rPr>
      </w:pPr>
    </w:p>
    <w:p>
      <w:pPr>
        <w:ind w:right="40" w:firstLine="486"/>
        <w:spacing w:after="0" w:line="252" w:lineRule="auto"/>
        <w:rPr>
          <w:sz w:val="20"/>
          <w:szCs w:val="20"/>
          <w:color w:val="auto"/>
        </w:rPr>
      </w:pPr>
      <w:r>
        <w:rPr>
          <w:rFonts w:ascii="Arial" w:cs="Arial" w:eastAsia="Arial" w:hAnsi="Arial"/>
          <w:sz w:val="18"/>
          <w:szCs w:val="18"/>
          <w:color w:val="auto"/>
        </w:rPr>
        <w:t>Asset-based revenues for the nine months ended September 30, 2016, increased to $412.3 million, or 11.6%, from $369.6 million compared with the same period in 2015. The increase is due primarily to increased revenues from our cash sweep program. Cash sweep revenues increased to $125.0 million for the nine months ended September 30, 2016, from $68.1 million for the nine months ended September 30, 2015, due to the impact of the increase in the target range for the federal funds effective rate and an increase in average assets in our cash sweep program as investors increased the balances of their assets held in cash in response to the volatility in the financial markets. Our average assets in our cash sweep assets have grown to $29.7 billion from $25.2 billion an increase of 17.9% for the nine months ended September 30, 2016 and 2015, respectively. The increase in cash sweep revenue was partially offset by a 4.7% decrease in other asset-based revenues, due in part to lower average billable assets.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Transaction and Fee Revenues</w:t>
      </w:r>
    </w:p>
    <w:p>
      <w:pPr>
        <w:spacing w:after="0" w:line="243" w:lineRule="exact"/>
        <w:rPr>
          <w:sz w:val="20"/>
          <w:szCs w:val="20"/>
          <w:color w:val="auto"/>
        </w:rPr>
      </w:pPr>
    </w:p>
    <w:p>
      <w:pPr>
        <w:ind w:right="140" w:firstLine="486"/>
        <w:spacing w:after="0" w:line="254" w:lineRule="auto"/>
        <w:rPr>
          <w:sz w:val="20"/>
          <w:szCs w:val="20"/>
          <w:color w:val="auto"/>
        </w:rPr>
      </w:pPr>
      <w:r>
        <w:rPr>
          <w:rFonts w:ascii="Arial" w:cs="Arial" w:eastAsia="Arial" w:hAnsi="Arial"/>
          <w:sz w:val="18"/>
          <w:szCs w:val="18"/>
          <w:color w:val="auto"/>
        </w:rPr>
        <w:t>Transaction revenues primarily include fees we charge to our advisors and their clients for executing certain transactions in brokerage and fee-based advisory accounts. Fee revenues primarily include Individual Retirement Account (“IRA”) custodian fees, contract and licensing fees, and other client account fees. In addition, we host certain advisor conferences that serve as training, education, sales, and marketing events, for which we charge a fee for attendance.</w:t>
      </w:r>
    </w:p>
    <w:p>
      <w:pPr>
        <w:spacing w:after="0" w:line="204" w:lineRule="exact"/>
        <w:rPr>
          <w:sz w:val="20"/>
          <w:szCs w:val="20"/>
          <w:color w:val="auto"/>
        </w:rPr>
      </w:pPr>
    </w:p>
    <w:p>
      <w:pPr>
        <w:ind w:right="140" w:firstLine="486"/>
        <w:spacing w:after="0" w:line="256" w:lineRule="auto"/>
        <w:rPr>
          <w:sz w:val="20"/>
          <w:szCs w:val="20"/>
          <w:color w:val="auto"/>
        </w:rPr>
      </w:pPr>
      <w:r>
        <w:rPr>
          <w:rFonts w:ascii="Arial" w:cs="Arial" w:eastAsia="Arial" w:hAnsi="Arial"/>
          <w:sz w:val="18"/>
          <w:szCs w:val="18"/>
          <w:color w:val="auto"/>
        </w:rPr>
        <w:t>Transaction and fee revenues increased for the three and nine months ended September 30, 2016, compared to the same periods in 2015, primarily due to the increase in account termination fees which resulted from the departure of an institutional client due to an acquisition by a bank with its own broker-dealer.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 net of Interest Expense</w:t>
      </w:r>
    </w:p>
    <w:p>
      <w:pPr>
        <w:spacing w:after="0" w:line="243" w:lineRule="exact"/>
        <w:rPr>
          <w:sz w:val="20"/>
          <w:szCs w:val="20"/>
          <w:color w:val="auto"/>
        </w:rPr>
      </w:pPr>
    </w:p>
    <w:p>
      <w:pPr>
        <w:ind w:right="160" w:firstLine="486"/>
        <w:spacing w:after="0" w:line="262" w:lineRule="auto"/>
        <w:rPr>
          <w:sz w:val="20"/>
          <w:szCs w:val="20"/>
          <w:color w:val="auto"/>
        </w:rPr>
      </w:pPr>
      <w:r>
        <w:rPr>
          <w:rFonts w:ascii="Arial" w:cs="Arial" w:eastAsia="Arial" w:hAnsi="Arial"/>
          <w:sz w:val="18"/>
          <w:szCs w:val="18"/>
          <w:color w:val="auto"/>
        </w:rPr>
        <w:t>We earn interest income, net from client margin accounts and cash equivalents. Period-over-period variances correspond to changes in the average balances of assets in margin accounts and cash equivalents.</w:t>
      </w: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382"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i w:val="1"/>
          <w:iCs w:val="1"/>
          <w:color w:val="auto"/>
        </w:rPr>
        <w:t>Other Revenues</w:t>
      </w:r>
    </w:p>
    <w:p>
      <w:pPr>
        <w:spacing w:after="0" w:line="243" w:lineRule="exact"/>
        <w:rPr>
          <w:sz w:val="20"/>
          <w:szCs w:val="20"/>
          <w:color w:val="auto"/>
        </w:rPr>
      </w:pPr>
    </w:p>
    <w:p>
      <w:pPr>
        <w:ind w:right="200" w:firstLine="486"/>
        <w:spacing w:after="0" w:line="254" w:lineRule="auto"/>
        <w:rPr>
          <w:sz w:val="20"/>
          <w:szCs w:val="20"/>
          <w:color w:val="auto"/>
        </w:rPr>
      </w:pPr>
      <w:r>
        <w:rPr>
          <w:rFonts w:ascii="Arial" w:cs="Arial" w:eastAsia="Arial" w:hAnsi="Arial"/>
          <w:sz w:val="18"/>
          <w:szCs w:val="18"/>
          <w:color w:val="auto"/>
        </w:rPr>
        <w:t>Other revenues primarily include marketing allowances received from certain financial product manufacturers, primarily those who offer alternative investments, such as non-traded real estate investment trusts and business development companies, mark-to-market gains and losses on assets held by us for the advisor non-qualified deferred compensation plan and our model research portfolios, and other miscellaneous revenues.</w:t>
      </w:r>
    </w:p>
    <w:p>
      <w:pPr>
        <w:spacing w:after="0" w:line="204" w:lineRule="exact"/>
        <w:rPr>
          <w:sz w:val="20"/>
          <w:szCs w:val="20"/>
          <w:color w:val="auto"/>
        </w:rPr>
      </w:pPr>
    </w:p>
    <w:p>
      <w:pPr>
        <w:jc w:val="both"/>
        <w:ind w:right="260" w:firstLine="486"/>
        <w:spacing w:after="0" w:line="254" w:lineRule="auto"/>
        <w:rPr>
          <w:sz w:val="20"/>
          <w:szCs w:val="20"/>
          <w:color w:val="auto"/>
        </w:rPr>
      </w:pPr>
      <w:r>
        <w:rPr>
          <w:rFonts w:ascii="Arial" w:cs="Arial" w:eastAsia="Arial" w:hAnsi="Arial"/>
          <w:sz w:val="18"/>
          <w:szCs w:val="18"/>
          <w:color w:val="auto"/>
        </w:rPr>
        <w:t>Other revenues increased for the three months ended September 30, 2016, compared to the same period in 2015 primarily due to the increase in gains of $14.0 million in realized and unrealized gains on approximately $130.4 million of assets held in our advisor non-qualified deferred compensation plan, which are based on the market performance of the underlying investment allocations chosen by advisors in the plan.</w:t>
      </w:r>
    </w:p>
    <w:p>
      <w:pPr>
        <w:spacing w:after="0" w:line="204" w:lineRule="exact"/>
        <w:rPr>
          <w:sz w:val="20"/>
          <w:szCs w:val="20"/>
          <w:color w:val="auto"/>
        </w:rPr>
      </w:pPr>
    </w:p>
    <w:p>
      <w:pPr>
        <w:ind w:right="80" w:firstLine="486"/>
        <w:spacing w:after="0" w:line="253" w:lineRule="auto"/>
        <w:rPr>
          <w:sz w:val="20"/>
          <w:szCs w:val="20"/>
          <w:color w:val="auto"/>
        </w:rPr>
      </w:pPr>
      <w:r>
        <w:rPr>
          <w:rFonts w:ascii="Arial" w:cs="Arial" w:eastAsia="Arial" w:hAnsi="Arial"/>
          <w:sz w:val="18"/>
          <w:szCs w:val="18"/>
          <w:color w:val="auto"/>
        </w:rPr>
        <w:t>Other revenues decreased for the nine months ended September 30, 2016, compared to the same period in 2015 primarily due to decreases in alternative investment marketing allowances of $17.0 million associated with a decline in related sales due to marketplace uncertainties in response to regulatory changes, which were offset by the increase in gains of $14.2 million in realized and unrealized gains on assets held in our advisor non-qualified deferred compensation plan, which are based on the market performance of the underlying investment allocations chosen by advisors in the plan.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Commission and Advisory Expenses</w:t>
      </w:r>
    </w:p>
    <w:p>
      <w:pPr>
        <w:spacing w:after="0" w:line="243" w:lineRule="exact"/>
        <w:rPr>
          <w:sz w:val="20"/>
          <w:szCs w:val="20"/>
          <w:color w:val="auto"/>
        </w:rPr>
      </w:pPr>
    </w:p>
    <w:p>
      <w:pPr>
        <w:ind w:right="80" w:firstLine="486"/>
        <w:spacing w:after="0" w:line="252" w:lineRule="auto"/>
        <w:rPr>
          <w:sz w:val="20"/>
          <w:szCs w:val="20"/>
          <w:color w:val="auto"/>
        </w:rPr>
      </w:pPr>
      <w:r>
        <w:rPr>
          <w:rFonts w:ascii="Arial" w:cs="Arial" w:eastAsia="Arial" w:hAnsi="Arial"/>
          <w:sz w:val="18"/>
          <w:szCs w:val="18"/>
          <w:color w:val="auto"/>
        </w:rPr>
        <w:t>Commission and advisory expenses are comprised of the following: base payout amounts that are earned by and paid out to advisors and institutions based on commission and advisory revenues earned on each client's account (referred to as gross dealer concessions, or “GDC”); production bonuses earned by advisors and institutions based on the levels of commission and advisory revenues they produce; the recognition of share-based compensation expense from equity awards granted to advisors and financial institutions based on the fair value of the awards at each reporting period; and the deferred commissions and advisory fee expenses associated with mark-to-market gains or losses on the non-qualified deferred compensation plan offered to our advisors.</w:t>
      </w:r>
    </w:p>
    <w:p>
      <w:pPr>
        <w:spacing w:after="0" w:line="209" w:lineRule="exact"/>
        <w:rPr>
          <w:sz w:val="20"/>
          <w:szCs w:val="20"/>
          <w:color w:val="auto"/>
        </w:rPr>
      </w:pPr>
    </w:p>
    <w:p>
      <w:pPr>
        <w:jc w:val="both"/>
        <w:ind w:right="240" w:firstLine="486"/>
        <w:spacing w:after="0" w:line="256" w:lineRule="auto"/>
        <w:rPr>
          <w:sz w:val="20"/>
          <w:szCs w:val="20"/>
          <w:color w:val="auto"/>
        </w:rPr>
      </w:pPr>
      <w:r>
        <w:rPr>
          <w:rFonts w:ascii="Arial" w:cs="Arial" w:eastAsia="Arial" w:hAnsi="Arial"/>
          <w:sz w:val="18"/>
          <w:szCs w:val="18"/>
          <w:color w:val="auto"/>
        </w:rPr>
        <w:t>Our production payout ratio is calculated as commission and advisory expenses divided by GDC. We calculate GDC as the sum of our commission and advisory revenues, as set forth on our unaudited condensed consolidated statements of income. The following table shows the components of our production payout and total payout ratios, each of which is a statistical or operating measure:</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260" w:type="dxa"/>
            <w:vAlign w:val="bottom"/>
          </w:tcPr>
          <w:p>
            <w:pPr>
              <w:spacing w:after="0"/>
              <w:rPr>
                <w:sz w:val="16"/>
                <w:szCs w:val="16"/>
                <w:color w:val="auto"/>
              </w:rPr>
            </w:pPr>
          </w:p>
        </w:tc>
        <w:tc>
          <w:tcPr>
            <w:tcW w:w="2620" w:type="dxa"/>
            <w:vAlign w:val="bottom"/>
            <w:gridSpan w:val="5"/>
          </w:tcPr>
          <w:p>
            <w:pPr>
              <w:ind w:left="20"/>
              <w:spacing w:after="0"/>
              <w:rPr>
                <w:sz w:val="20"/>
                <w:szCs w:val="20"/>
                <w:color w:val="auto"/>
              </w:rPr>
            </w:pPr>
            <w:r>
              <w:rPr>
                <w:rFonts w:ascii="Arial" w:cs="Arial" w:eastAsia="Arial" w:hAnsi="Arial"/>
                <w:sz w:val="16"/>
                <w:szCs w:val="16"/>
                <w:b w:val="1"/>
                <w:bCs w:val="1"/>
                <w:color w:val="auto"/>
              </w:rPr>
              <w:t>Three Months Ended September</w:t>
            </w: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20" w:type="dxa"/>
            <w:vAlign w:val="bottom"/>
            <w:gridSpan w:val="5"/>
          </w:tcPr>
          <w:p>
            <w:pPr>
              <w:ind w:left="60"/>
              <w:spacing w:after="0"/>
              <w:rPr>
                <w:sz w:val="20"/>
                <w:szCs w:val="20"/>
                <w:color w:val="auto"/>
              </w:rPr>
            </w:pPr>
            <w:r>
              <w:rPr>
                <w:rFonts w:ascii="Arial" w:cs="Arial" w:eastAsia="Arial" w:hAnsi="Arial"/>
                <w:sz w:val="16"/>
                <w:szCs w:val="16"/>
                <w:b w:val="1"/>
                <w:bCs w:val="1"/>
                <w:color w:val="auto"/>
              </w:rPr>
              <w:t>Nine Months Ended September</w:t>
            </w:r>
          </w:p>
        </w:tc>
        <w:tc>
          <w:tcPr>
            <w:tcW w:w="900" w:type="dxa"/>
            <w:vAlign w:val="bottom"/>
          </w:tcPr>
          <w:p>
            <w:pPr>
              <w:spacing w:after="0"/>
              <w:rPr>
                <w:sz w:val="16"/>
                <w:szCs w:val="16"/>
                <w:color w:val="auto"/>
              </w:rPr>
            </w:pPr>
          </w:p>
        </w:tc>
      </w:tr>
      <w:tr>
        <w:trPr>
          <w:trHeight w:val="228"/>
        </w:trPr>
        <w:tc>
          <w:tcPr>
            <w:tcW w:w="4260" w:type="dxa"/>
            <w:vAlign w:val="bottom"/>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3"/>
          </w:tcPr>
          <w:p>
            <w:pPr>
              <w:jc w:val="right"/>
              <w:ind w:right="1059"/>
              <w:spacing w:after="0"/>
              <w:rPr>
                <w:sz w:val="20"/>
                <w:szCs w:val="20"/>
                <w:color w:val="auto"/>
              </w:rPr>
            </w:pPr>
            <w:r>
              <w:rPr>
                <w:rFonts w:ascii="Arial" w:cs="Arial" w:eastAsia="Arial" w:hAnsi="Arial"/>
                <w:sz w:val="16"/>
                <w:szCs w:val="16"/>
                <w:b w:val="1"/>
                <w:bCs w:val="1"/>
                <w:color w:val="auto"/>
                <w:w w:val="89"/>
              </w:rPr>
              <w:t>30,</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3"/>
          </w:tcPr>
          <w:p>
            <w:pPr>
              <w:jc w:val="right"/>
              <w:ind w:right="1039"/>
              <w:spacing w:after="0"/>
              <w:rPr>
                <w:sz w:val="20"/>
                <w:szCs w:val="20"/>
                <w:color w:val="auto"/>
              </w:rPr>
            </w:pPr>
            <w:r>
              <w:rPr>
                <w:rFonts w:ascii="Arial" w:cs="Arial" w:eastAsia="Arial" w:hAnsi="Arial"/>
                <w:sz w:val="16"/>
                <w:szCs w:val="16"/>
                <w:b w:val="1"/>
                <w:bCs w:val="1"/>
                <w:color w:val="auto"/>
                <w:w w:val="98"/>
              </w:rPr>
              <w:t>30,</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64"/>
        </w:trPr>
        <w:tc>
          <w:tcPr>
            <w:tcW w:w="4260" w:type="dxa"/>
            <w:vAlign w:val="bottom"/>
            <w:tcBorders>
              <w:bottom w:val="single" w:sz="8" w:color="CCEEFF"/>
            </w:tcBorders>
          </w:tcPr>
          <w:p>
            <w:pPr>
              <w:spacing w:after="0"/>
              <w:rPr>
                <w:sz w:val="22"/>
                <w:szCs w:val="22"/>
                <w:color w:val="auto"/>
              </w:rPr>
            </w:pPr>
          </w:p>
        </w:tc>
        <w:tc>
          <w:tcPr>
            <w:tcW w:w="116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2016</w:t>
            </w: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2015</w:t>
            </w:r>
          </w:p>
        </w:tc>
        <w:tc>
          <w:tcPr>
            <w:tcW w:w="10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Change</w:t>
            </w:r>
          </w:p>
        </w:tc>
        <w:tc>
          <w:tcPr>
            <w:tcW w:w="12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2016</w:t>
            </w: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2015</w:t>
            </w:r>
          </w:p>
        </w:tc>
        <w:tc>
          <w:tcPr>
            <w:tcW w:w="12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8"/>
              </w:rPr>
              <w:t>Change</w:t>
            </w:r>
          </w:p>
        </w:tc>
      </w:tr>
      <w:tr>
        <w:trPr>
          <w:trHeight w:val="257"/>
        </w:trPr>
        <w:tc>
          <w:tcPr>
            <w:tcW w:w="4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Base payout rate(1)</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83.10%</w:t>
            </w:r>
          </w:p>
        </w:tc>
        <w:tc>
          <w:tcPr>
            <w:tcW w:w="13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83.17 %</w:t>
            </w:r>
          </w:p>
        </w:tc>
        <w:tc>
          <w:tcPr>
            <w:tcW w:w="10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rPr>
              <w:t>(7 bps)</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82.93%</w:t>
            </w:r>
          </w:p>
        </w:tc>
        <w:tc>
          <w:tcPr>
            <w:tcW w:w="13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83.35 %</w:t>
            </w: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(42 bps)</w:t>
            </w:r>
          </w:p>
        </w:tc>
      </w:tr>
      <w:tr>
        <w:trPr>
          <w:trHeight w:val="264"/>
        </w:trPr>
        <w:tc>
          <w:tcPr>
            <w:tcW w:w="42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Production based bonuses</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3.04%</w:t>
            </w: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3.12 %</w:t>
            </w:r>
          </w:p>
        </w:tc>
        <w:tc>
          <w:tcPr>
            <w:tcW w:w="10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(8 bps)</w:t>
            </w:r>
          </w:p>
        </w:tc>
        <w:tc>
          <w:tcPr>
            <w:tcW w:w="12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2.39%</w:t>
            </w: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2.49 %</w:t>
            </w:r>
          </w:p>
        </w:tc>
        <w:tc>
          <w:tcPr>
            <w:tcW w:w="12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8"/>
              </w:rPr>
              <w:t>(10 bps)</w:t>
            </w:r>
          </w:p>
        </w:tc>
      </w:tr>
      <w:tr>
        <w:trPr>
          <w:trHeight w:val="257"/>
        </w:trPr>
        <w:tc>
          <w:tcPr>
            <w:tcW w:w="42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GDC sensitive payout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86.14%</w:t>
            </w:r>
          </w:p>
        </w:tc>
        <w:tc>
          <w:tcPr>
            <w:tcW w:w="13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86.29 %</w:t>
            </w:r>
          </w:p>
        </w:tc>
        <w:tc>
          <w:tcPr>
            <w:tcW w:w="10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rPr>
              <w:t>(15 bps)</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85.32%</w:t>
            </w:r>
          </w:p>
        </w:tc>
        <w:tc>
          <w:tcPr>
            <w:tcW w:w="13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85.84 %</w:t>
            </w: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(52 bps)</w:t>
            </w:r>
          </w:p>
        </w:tc>
      </w:tr>
      <w:tr>
        <w:trPr>
          <w:trHeight w:val="264"/>
        </w:trPr>
        <w:tc>
          <w:tcPr>
            <w:tcW w:w="42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Non-GDC sensitive payout(2)</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w:t>
            </w: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(0.89)%</w:t>
            </w:r>
          </w:p>
        </w:tc>
        <w:tc>
          <w:tcPr>
            <w:tcW w:w="10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199 bps</w:t>
            </w:r>
          </w:p>
        </w:tc>
        <w:tc>
          <w:tcPr>
            <w:tcW w:w="12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0.44%</w:t>
            </w: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(0.08)%</w:t>
            </w:r>
          </w:p>
        </w:tc>
        <w:tc>
          <w:tcPr>
            <w:tcW w:w="12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52 bps</w:t>
            </w:r>
          </w:p>
        </w:tc>
      </w:tr>
      <w:tr>
        <w:trPr>
          <w:trHeight w:val="240"/>
        </w:trPr>
        <w:tc>
          <w:tcPr>
            <w:tcW w:w="42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Total Payout Ratio</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87.24%</w:t>
            </w:r>
          </w:p>
        </w:tc>
        <w:tc>
          <w:tcPr>
            <w:tcW w:w="13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85.40 %</w:t>
            </w: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rPr>
              <w:t>184 bps</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85.76%</w:t>
            </w:r>
          </w:p>
        </w:tc>
        <w:tc>
          <w:tcPr>
            <w:tcW w:w="13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85.76 %</w:t>
            </w: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r>
      <w:tr>
        <w:trPr>
          <w:trHeight w:val="20"/>
        </w:trPr>
        <w:tc>
          <w:tcPr>
            <w:tcW w:w="42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70" w:lineRule="exact"/>
        <w:rPr>
          <w:sz w:val="20"/>
          <w:szCs w:val="20"/>
          <w:color w:val="auto"/>
        </w:rPr>
      </w:pPr>
    </w:p>
    <w:p>
      <w:pPr>
        <w:spacing w:after="0"/>
        <w:rPr>
          <w:sz w:val="20"/>
          <w:szCs w:val="20"/>
          <w:color w:val="auto"/>
        </w:rPr>
      </w:pPr>
      <w:r>
        <w:rPr>
          <w:rFonts w:ascii="Arial" w:cs="Arial" w:eastAsia="Arial" w:hAnsi="Arial"/>
          <w:sz w:val="7"/>
          <w:szCs w:val="7"/>
          <w:color w:val="auto"/>
        </w:rPr>
        <w:t>_______________________________</w:t>
      </w:r>
    </w:p>
    <w:p>
      <w:pPr>
        <w:spacing w:after="0" w:line="65"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production payout ratio is calculated as commission and advisory expenses, divided by GDC (see description above).</w:t>
      </w:r>
    </w:p>
    <w:p>
      <w:pPr>
        <w:spacing w:after="0" w:line="117" w:lineRule="exact"/>
        <w:rPr>
          <w:rFonts w:ascii="Arial" w:cs="Arial" w:eastAsia="Arial" w:hAnsi="Arial"/>
          <w:sz w:val="18"/>
          <w:szCs w:val="18"/>
          <w:color w:val="auto"/>
        </w:rPr>
      </w:pPr>
    </w:p>
    <w:p>
      <w:pPr>
        <w:ind w:left="820" w:right="700" w:hanging="488"/>
        <w:spacing w:after="0" w:line="262" w:lineRule="auto"/>
        <w:tabs>
          <w:tab w:leader="none" w:pos="658" w:val="left"/>
        </w:tabs>
        <w:numPr>
          <w:ilvl w:val="0"/>
          <w:numId w:val="7"/>
        </w:numPr>
        <w:rPr>
          <w:rFonts w:ascii="Arial" w:cs="Arial" w:eastAsia="Arial" w:hAnsi="Arial"/>
          <w:sz w:val="18"/>
          <w:szCs w:val="18"/>
          <w:color w:val="auto"/>
        </w:rPr>
      </w:pPr>
      <w:r>
        <w:rPr>
          <w:rFonts w:ascii="Arial" w:cs="Arial" w:eastAsia="Arial" w:hAnsi="Arial"/>
          <w:sz w:val="18"/>
          <w:szCs w:val="18"/>
          <w:color w:val="auto"/>
        </w:rPr>
        <w:t>Non-GDC Sensitive Payout includes share-based compensation expense from equity awards granted to advisors and financial institutions and mark-to-market gains or losses on amounts designated by advisors as deferred.</w:t>
      </w:r>
    </w:p>
    <w:p>
      <w:pPr>
        <w:spacing w:after="0" w:line="88" w:lineRule="exact"/>
        <w:rPr>
          <w:sz w:val="20"/>
          <w:szCs w:val="20"/>
          <w:color w:val="auto"/>
        </w:rPr>
      </w:pPr>
    </w:p>
    <w:p>
      <w:pPr>
        <w:ind w:right="200" w:firstLine="486"/>
        <w:spacing w:after="0" w:line="262" w:lineRule="auto"/>
        <w:rPr>
          <w:sz w:val="20"/>
          <w:szCs w:val="20"/>
          <w:color w:val="auto"/>
        </w:rPr>
      </w:pPr>
      <w:r>
        <w:rPr>
          <w:rFonts w:ascii="Arial" w:cs="Arial" w:eastAsia="Arial" w:hAnsi="Arial"/>
          <w:sz w:val="18"/>
          <w:szCs w:val="18"/>
          <w:color w:val="auto"/>
        </w:rPr>
        <w:t>The increase in our total payout ratio, a statistical or operating measure, for the three months ended September 30, 2016, compared to the same period in 2015 was primarily driven by higher advisor share-based compensation following an increase in our stock price.</w:t>
      </w:r>
    </w:p>
    <w:p>
      <w:pPr>
        <w:spacing w:after="0" w:line="196" w:lineRule="exact"/>
        <w:rPr>
          <w:sz w:val="20"/>
          <w:szCs w:val="20"/>
          <w:color w:val="auto"/>
        </w:rPr>
      </w:pPr>
    </w:p>
    <w:p>
      <w:pPr>
        <w:ind w:firstLine="486"/>
        <w:spacing w:after="0" w:line="253" w:lineRule="auto"/>
        <w:rPr>
          <w:sz w:val="20"/>
          <w:szCs w:val="20"/>
          <w:color w:val="auto"/>
        </w:rPr>
      </w:pPr>
      <w:r>
        <w:rPr>
          <w:rFonts w:ascii="Arial" w:cs="Arial" w:eastAsia="Arial" w:hAnsi="Arial"/>
          <w:sz w:val="18"/>
          <w:szCs w:val="18"/>
          <w:color w:val="auto"/>
        </w:rPr>
        <w:t>Our total payout ratio, a statistical or operating measure, for the nine months ended September 30, 2016, compared with the same period in 2015 remained unchanged but was primarily affected by the ongoing movement of advisors to our Hybrid RIA platform, a decrease in our production bonuses correlating to lower sales during the period, offset by higher advisor share-based compensation following increases in our stock price. Production based bonuses are based on qualified levels of commission and advisory revenues produced by advisors during a calendar year.</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72"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i w:val="1"/>
          <w:iCs w:val="1"/>
          <w:color w:val="auto"/>
        </w:rPr>
        <w:t>Compensation and Benefits Expense</w:t>
      </w:r>
    </w:p>
    <w:p>
      <w:pPr>
        <w:spacing w:after="0" w:line="243" w:lineRule="exact"/>
        <w:rPr>
          <w:sz w:val="20"/>
          <w:szCs w:val="20"/>
          <w:color w:val="auto"/>
        </w:rPr>
      </w:pPr>
    </w:p>
    <w:p>
      <w:pPr>
        <w:ind w:right="100" w:firstLine="486"/>
        <w:spacing w:after="0" w:line="262" w:lineRule="auto"/>
        <w:rPr>
          <w:sz w:val="20"/>
          <w:szCs w:val="20"/>
          <w:color w:val="auto"/>
        </w:rPr>
      </w:pPr>
      <w:r>
        <w:rPr>
          <w:rFonts w:ascii="Arial" w:cs="Arial" w:eastAsia="Arial" w:hAnsi="Arial"/>
          <w:sz w:val="18"/>
          <w:szCs w:val="18"/>
          <w:color w:val="auto"/>
        </w:rPr>
        <w:t>Compensation and benefits expense includes salaries and wages and related employee benefits and taxes for our employees (including share-based compensation), as well as compensation for temporary employees and consultants.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000" w:type="dxa"/>
            <w:vAlign w:val="bottom"/>
          </w:tcPr>
          <w:p>
            <w:pPr>
              <w:spacing w:after="0"/>
              <w:rPr>
                <w:sz w:val="16"/>
                <w:szCs w:val="16"/>
                <w:color w:val="auto"/>
              </w:rPr>
            </w:pPr>
          </w:p>
        </w:tc>
        <w:tc>
          <w:tcPr>
            <w:tcW w:w="2540" w:type="dxa"/>
            <w:vAlign w:val="bottom"/>
            <w:gridSpan w:val="4"/>
          </w:tcPr>
          <w:p>
            <w:pPr>
              <w:jc w:val="center"/>
              <w:ind w:right="100"/>
              <w:spacing w:after="0"/>
              <w:rPr>
                <w:sz w:val="20"/>
                <w:szCs w:val="20"/>
                <w:color w:val="auto"/>
              </w:rPr>
            </w:pPr>
            <w:r>
              <w:rPr>
                <w:rFonts w:ascii="Arial" w:cs="Arial" w:eastAsia="Arial" w:hAnsi="Arial"/>
                <w:sz w:val="16"/>
                <w:szCs w:val="16"/>
                <w:b w:val="1"/>
                <w:bCs w:val="1"/>
                <w:color w:val="auto"/>
              </w:rPr>
              <w:t>Three Months Ended</w:t>
            </w: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80" w:type="dxa"/>
            <w:vAlign w:val="bottom"/>
            <w:gridSpan w:val="4"/>
          </w:tcPr>
          <w:p>
            <w:pPr>
              <w:jc w:val="center"/>
              <w:ind w:right="100"/>
              <w:spacing w:after="0"/>
              <w:rPr>
                <w:sz w:val="20"/>
                <w:szCs w:val="20"/>
                <w:color w:val="auto"/>
              </w:rPr>
            </w:pPr>
            <w:r>
              <w:rPr>
                <w:rFonts w:ascii="Arial" w:cs="Arial" w:eastAsia="Arial" w:hAnsi="Arial"/>
                <w:sz w:val="16"/>
                <w:szCs w:val="16"/>
                <w:b w:val="1"/>
                <w:bCs w:val="1"/>
                <w:color w:val="auto"/>
              </w:rPr>
              <w:t>Nine Months Ended</w:t>
            </w:r>
          </w:p>
        </w:tc>
        <w:tc>
          <w:tcPr>
            <w:tcW w:w="1140" w:type="dxa"/>
            <w:vAlign w:val="bottom"/>
          </w:tcPr>
          <w:p>
            <w:pPr>
              <w:spacing w:after="0"/>
              <w:rPr>
                <w:sz w:val="16"/>
                <w:szCs w:val="16"/>
                <w:color w:val="auto"/>
              </w:rPr>
            </w:pPr>
          </w:p>
        </w:tc>
      </w:tr>
      <w:tr>
        <w:trPr>
          <w:trHeight w:val="228"/>
        </w:trPr>
        <w:tc>
          <w:tcPr>
            <w:tcW w:w="4000" w:type="dxa"/>
            <w:vAlign w:val="bottom"/>
          </w:tcPr>
          <w:p>
            <w:pPr>
              <w:spacing w:after="0"/>
              <w:rPr>
                <w:sz w:val="19"/>
                <w:szCs w:val="19"/>
                <w:color w:val="auto"/>
              </w:rPr>
            </w:pPr>
          </w:p>
        </w:tc>
        <w:tc>
          <w:tcPr>
            <w:tcW w:w="2540" w:type="dxa"/>
            <w:vAlign w:val="bottom"/>
            <w:gridSpan w:val="4"/>
          </w:tcPr>
          <w:p>
            <w:pPr>
              <w:jc w:val="center"/>
              <w:ind w:right="120"/>
              <w:spacing w:after="0"/>
              <w:rPr>
                <w:sz w:val="20"/>
                <w:szCs w:val="20"/>
                <w:color w:val="auto"/>
              </w:rPr>
            </w:pPr>
            <w:r>
              <w:rPr>
                <w:rFonts w:ascii="Arial" w:cs="Arial" w:eastAsia="Arial" w:hAnsi="Arial"/>
                <w:sz w:val="16"/>
                <w:szCs w:val="16"/>
                <w:b w:val="1"/>
                <w:bCs w:val="1"/>
                <w:color w:val="auto"/>
              </w:rPr>
              <w:t>September 30,</w:t>
            </w: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80" w:type="dxa"/>
            <w:vAlign w:val="bottom"/>
            <w:gridSpan w:val="4"/>
          </w:tcPr>
          <w:p>
            <w:pPr>
              <w:jc w:val="center"/>
              <w:ind w:right="100"/>
              <w:spacing w:after="0"/>
              <w:rPr>
                <w:sz w:val="20"/>
                <w:szCs w:val="20"/>
                <w:color w:val="auto"/>
              </w:rPr>
            </w:pPr>
            <w:r>
              <w:rPr>
                <w:rFonts w:ascii="Arial" w:cs="Arial" w:eastAsia="Arial" w:hAnsi="Arial"/>
                <w:sz w:val="16"/>
                <w:szCs w:val="16"/>
                <w:b w:val="1"/>
                <w:bCs w:val="1"/>
                <w:color w:val="auto"/>
              </w:rPr>
              <w:t>September 30,</w:t>
            </w:r>
          </w:p>
        </w:tc>
        <w:tc>
          <w:tcPr>
            <w:tcW w:w="1140" w:type="dxa"/>
            <w:vAlign w:val="bottom"/>
          </w:tcPr>
          <w:p>
            <w:pPr>
              <w:spacing w:after="0"/>
              <w:rPr>
                <w:sz w:val="19"/>
                <w:szCs w:val="19"/>
                <w:color w:val="auto"/>
              </w:rPr>
            </w:pPr>
          </w:p>
        </w:tc>
      </w:tr>
      <w:tr>
        <w:trPr>
          <w:trHeight w:val="264"/>
        </w:trPr>
        <w:tc>
          <w:tcPr>
            <w:tcW w:w="4000" w:type="dxa"/>
            <w:vAlign w:val="bottom"/>
          </w:tcPr>
          <w:p>
            <w:pPr>
              <w:spacing w:after="0"/>
              <w:rPr>
                <w:sz w:val="22"/>
                <w:szCs w:val="22"/>
                <w:color w:val="auto"/>
              </w:rPr>
            </w:pPr>
          </w:p>
        </w:tc>
        <w:tc>
          <w:tcPr>
            <w:tcW w:w="1160" w:type="dxa"/>
            <w:vAlign w:val="bottom"/>
            <w:tcBorders>
              <w:top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2016</w:t>
            </w:r>
          </w:p>
        </w:tc>
        <w:tc>
          <w:tcPr>
            <w:tcW w:w="12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22"/>
                <w:szCs w:val="22"/>
                <w:color w:val="auto"/>
              </w:rPr>
            </w:pPr>
          </w:p>
        </w:tc>
        <w:tc>
          <w:tcPr>
            <w:tcW w:w="12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Change</w:t>
            </w:r>
          </w:p>
        </w:tc>
        <w:tc>
          <w:tcPr>
            <w:tcW w:w="1140" w:type="dxa"/>
            <w:vAlign w:val="bottom"/>
            <w:tcBorders>
              <w:top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2016</w:t>
            </w:r>
          </w:p>
        </w:tc>
        <w:tc>
          <w:tcPr>
            <w:tcW w:w="10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22"/>
                <w:szCs w:val="22"/>
                <w:color w:val="auto"/>
              </w:rPr>
            </w:pPr>
          </w:p>
        </w:tc>
        <w:tc>
          <w:tcPr>
            <w:tcW w:w="1140" w:type="dxa"/>
            <w:vAlign w:val="bottom"/>
          </w:tcPr>
          <w:p>
            <w:pPr>
              <w:jc w:val="center"/>
              <w:spacing w:after="0"/>
              <w:rPr>
                <w:sz w:val="20"/>
                <w:szCs w:val="20"/>
                <w:color w:val="auto"/>
              </w:rPr>
            </w:pPr>
            <w:r>
              <w:rPr>
                <w:rFonts w:ascii="Arial" w:cs="Arial" w:eastAsia="Arial" w:hAnsi="Arial"/>
                <w:sz w:val="16"/>
                <w:szCs w:val="16"/>
                <w:b w:val="1"/>
                <w:bCs w:val="1"/>
                <w:color w:val="auto"/>
              </w:rPr>
              <w:t>Change</w:t>
            </w:r>
          </w:p>
        </w:tc>
      </w:tr>
      <w:tr>
        <w:trPr>
          <w:trHeight w:val="257"/>
        </w:trPr>
        <w:tc>
          <w:tcPr>
            <w:tcW w:w="40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Average Number of Employees</w:t>
            </w:r>
          </w:p>
        </w:tc>
        <w:tc>
          <w:tcPr>
            <w:tcW w:w="1160" w:type="dxa"/>
            <w:vAlign w:val="bottom"/>
            <w:tcBorders>
              <w:top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3,262</w:t>
            </w:r>
          </w:p>
        </w:tc>
        <w:tc>
          <w:tcPr>
            <w:tcW w:w="120" w:type="dxa"/>
            <w:vAlign w:val="bottom"/>
            <w:tcBorders>
              <w:top w:val="single" w:sz="8" w:color="CCEEFF"/>
            </w:tcBorders>
            <w:shd w:val="clear" w:color="auto" w:fill="CCEEFF"/>
          </w:tcPr>
          <w:p>
            <w:pPr>
              <w:spacing w:after="0"/>
              <w:rPr>
                <w:sz w:val="22"/>
                <w:szCs w:val="22"/>
                <w:color w:val="auto"/>
              </w:rPr>
            </w:pPr>
          </w:p>
        </w:tc>
        <w:tc>
          <w:tcPr>
            <w:tcW w:w="1140" w:type="dxa"/>
            <w:vAlign w:val="bottom"/>
            <w:tcBorders>
              <w:top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rPr>
              <w:t>3,394</w:t>
            </w:r>
          </w:p>
        </w:tc>
        <w:tc>
          <w:tcPr>
            <w:tcW w:w="120" w:type="dxa"/>
            <w:vAlign w:val="bottom"/>
            <w:tcBorders>
              <w:top w:val="single" w:sz="8" w:color="CCEEFF"/>
            </w:tcBorders>
            <w:shd w:val="clear" w:color="auto" w:fill="CCEEFF"/>
          </w:tcPr>
          <w:p>
            <w:pPr>
              <w:spacing w:after="0"/>
              <w:rPr>
                <w:sz w:val="22"/>
                <w:szCs w:val="22"/>
                <w:color w:val="auto"/>
              </w:rPr>
            </w:pPr>
          </w:p>
        </w:tc>
        <w:tc>
          <w:tcPr>
            <w:tcW w:w="1160" w:type="dxa"/>
            <w:vAlign w:val="bottom"/>
            <w:tcBorders>
              <w:top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rPr>
              <w:t>(3.9)%</w:t>
            </w:r>
          </w:p>
        </w:tc>
        <w:tc>
          <w:tcPr>
            <w:tcW w:w="100" w:type="dxa"/>
            <w:vAlign w:val="bottom"/>
            <w:tcBorders>
              <w:top w:val="single" w:sz="8" w:color="CCEEFF"/>
            </w:tcBorders>
            <w:shd w:val="clear" w:color="auto" w:fill="CCEEFF"/>
          </w:tcPr>
          <w:p>
            <w:pPr>
              <w:spacing w:after="0"/>
              <w:rPr>
                <w:sz w:val="22"/>
                <w:szCs w:val="22"/>
                <w:color w:val="auto"/>
              </w:rPr>
            </w:pPr>
          </w:p>
        </w:tc>
        <w:tc>
          <w:tcPr>
            <w:tcW w:w="1140" w:type="dxa"/>
            <w:vAlign w:val="bottom"/>
            <w:tcBorders>
              <w:top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rPr>
              <w:t>3,332</w:t>
            </w:r>
          </w:p>
        </w:tc>
        <w:tc>
          <w:tcPr>
            <w:tcW w:w="100" w:type="dxa"/>
            <w:vAlign w:val="bottom"/>
            <w:tcBorders>
              <w:top w:val="single" w:sz="8" w:color="CCEEFF"/>
            </w:tcBorders>
            <w:shd w:val="clear" w:color="auto" w:fill="CCEEFF"/>
          </w:tcPr>
          <w:p>
            <w:pPr>
              <w:spacing w:after="0"/>
              <w:rPr>
                <w:sz w:val="22"/>
                <w:szCs w:val="22"/>
                <w:color w:val="auto"/>
              </w:rPr>
            </w:pPr>
          </w:p>
        </w:tc>
        <w:tc>
          <w:tcPr>
            <w:tcW w:w="1140" w:type="dxa"/>
            <w:vAlign w:val="bottom"/>
            <w:tcBorders>
              <w:top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rPr>
              <w:t>3,369</w:t>
            </w:r>
          </w:p>
        </w:tc>
        <w:tc>
          <w:tcPr>
            <w:tcW w:w="100" w:type="dxa"/>
            <w:vAlign w:val="bottom"/>
            <w:tcBorders>
              <w:top w:val="single" w:sz="8" w:color="CCEEFF"/>
            </w:tcBorders>
            <w:shd w:val="clear" w:color="auto" w:fill="CCEEFF"/>
          </w:tcPr>
          <w:p>
            <w:pPr>
              <w:spacing w:after="0"/>
              <w:rPr>
                <w:sz w:val="22"/>
                <w:szCs w:val="22"/>
                <w:color w:val="auto"/>
              </w:rPr>
            </w:pPr>
          </w:p>
        </w:tc>
        <w:tc>
          <w:tcPr>
            <w:tcW w:w="1140" w:type="dxa"/>
            <w:vAlign w:val="bottom"/>
            <w:tcBorders>
              <w:top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(1.1)%</w:t>
            </w:r>
          </w:p>
        </w:tc>
      </w:tr>
    </w:tbl>
    <w:p>
      <w:pPr>
        <w:spacing w:after="0" w:line="10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decrease in compensation and benefits expense for the three months ended September 30, 2016, compared with the same period in</w:t>
      </w:r>
    </w:p>
    <w:p>
      <w:pPr>
        <w:spacing w:after="0" w:line="9" w:lineRule="exact"/>
        <w:rPr>
          <w:sz w:val="20"/>
          <w:szCs w:val="20"/>
          <w:color w:val="auto"/>
        </w:rPr>
      </w:pPr>
    </w:p>
    <w:p>
      <w:pPr>
        <w:ind w:right="380"/>
        <w:spacing w:after="0" w:line="262" w:lineRule="auto"/>
        <w:rPr>
          <w:sz w:val="20"/>
          <w:szCs w:val="20"/>
          <w:color w:val="auto"/>
        </w:rPr>
      </w:pPr>
      <w:r>
        <w:rPr>
          <w:rFonts w:ascii="Arial" w:cs="Arial" w:eastAsia="Arial" w:hAnsi="Arial"/>
          <w:sz w:val="18"/>
          <w:szCs w:val="18"/>
          <w:color w:val="auto"/>
        </w:rPr>
        <w:t>2015 was primarily driven by share-based compensation expense timing and an increase in capitalized salary and benefits associated with technology projects.</w:t>
      </w:r>
    </w:p>
    <w:p>
      <w:pPr>
        <w:spacing w:after="0" w:line="25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decrease in compensation and benefits expense for the nine months ended September 30, 2016, compared with the same period in</w:t>
      </w:r>
    </w:p>
    <w:p>
      <w:pPr>
        <w:spacing w:after="0" w:line="9" w:lineRule="exact"/>
        <w:rPr>
          <w:sz w:val="20"/>
          <w:szCs w:val="20"/>
          <w:color w:val="auto"/>
        </w:rPr>
      </w:pPr>
    </w:p>
    <w:p>
      <w:pPr>
        <w:ind w:right="380"/>
        <w:spacing w:after="0" w:line="262" w:lineRule="auto"/>
        <w:rPr>
          <w:sz w:val="20"/>
          <w:szCs w:val="20"/>
          <w:color w:val="auto"/>
        </w:rPr>
      </w:pPr>
      <w:r>
        <w:rPr>
          <w:rFonts w:ascii="Arial" w:cs="Arial" w:eastAsia="Arial" w:hAnsi="Arial"/>
          <w:sz w:val="18"/>
          <w:szCs w:val="18"/>
          <w:color w:val="auto"/>
        </w:rPr>
        <w:t>2015 was primarily driven by share-based compensation expense timing and an increase in capitalized salary and benefits associated with technology projects.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Promotional Expense</w:t>
      </w:r>
    </w:p>
    <w:p>
      <w:pPr>
        <w:spacing w:after="0" w:line="243" w:lineRule="exact"/>
        <w:rPr>
          <w:sz w:val="20"/>
          <w:szCs w:val="20"/>
          <w:color w:val="auto"/>
        </w:rPr>
      </w:pPr>
    </w:p>
    <w:p>
      <w:pPr>
        <w:ind w:right="200" w:firstLine="486"/>
        <w:spacing w:after="0" w:line="256" w:lineRule="auto"/>
        <w:rPr>
          <w:sz w:val="20"/>
          <w:szCs w:val="20"/>
          <w:color w:val="auto"/>
        </w:rPr>
      </w:pPr>
      <w:r>
        <w:rPr>
          <w:rFonts w:ascii="Arial" w:cs="Arial" w:eastAsia="Arial" w:hAnsi="Arial"/>
          <w:sz w:val="18"/>
          <w:szCs w:val="18"/>
          <w:color w:val="auto"/>
        </w:rPr>
        <w:t>Promotional expenses include costs related to our hosting of certain advisor conferences that serve as training, sales, and marketing events, as well as business development costs related to recruiting, such as transition assistance and amortization related to forgivable loans issued to advisors.</w:t>
      </w:r>
    </w:p>
    <w:p>
      <w:pPr>
        <w:spacing w:after="0" w:line="202" w:lineRule="exact"/>
        <w:rPr>
          <w:sz w:val="20"/>
          <w:szCs w:val="20"/>
          <w:color w:val="auto"/>
        </w:rPr>
      </w:pPr>
    </w:p>
    <w:p>
      <w:pPr>
        <w:jc w:val="both"/>
        <w:ind w:right="460" w:firstLine="486"/>
        <w:spacing w:after="0" w:line="256" w:lineRule="auto"/>
        <w:rPr>
          <w:sz w:val="20"/>
          <w:szCs w:val="20"/>
          <w:color w:val="auto"/>
        </w:rPr>
      </w:pPr>
      <w:r>
        <w:rPr>
          <w:rFonts w:ascii="Arial" w:cs="Arial" w:eastAsia="Arial" w:hAnsi="Arial"/>
          <w:sz w:val="18"/>
          <w:szCs w:val="18"/>
          <w:color w:val="auto"/>
        </w:rPr>
        <w:t>The increase in promotional expense for the three months ended September 30, 2016, compared with the same period in 2015 was primarily driven by increases in business development associated with advisor transition assistance, partially offset by reduced expenses related to our annual national advisor conference.</w:t>
      </w:r>
    </w:p>
    <w:p>
      <w:pPr>
        <w:spacing w:after="0" w:line="256" w:lineRule="exact"/>
        <w:rPr>
          <w:sz w:val="20"/>
          <w:szCs w:val="20"/>
          <w:color w:val="auto"/>
        </w:rPr>
      </w:pPr>
    </w:p>
    <w:p>
      <w:pPr>
        <w:ind w:right="540" w:firstLine="486"/>
        <w:spacing w:after="0" w:line="262" w:lineRule="auto"/>
        <w:rPr>
          <w:sz w:val="20"/>
          <w:szCs w:val="20"/>
          <w:color w:val="auto"/>
        </w:rPr>
      </w:pPr>
      <w:r>
        <w:rPr>
          <w:rFonts w:ascii="Arial" w:cs="Arial" w:eastAsia="Arial" w:hAnsi="Arial"/>
          <w:sz w:val="18"/>
          <w:szCs w:val="18"/>
          <w:color w:val="auto"/>
        </w:rPr>
        <w:t>The increase in promotional expense for the nine months ended September 30, 2016, compared with the same period in 2015 was primarily driven by increases in business development associated with advisor transition assistance and advisor referral bonuses.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 Expense</w:t>
      </w:r>
    </w:p>
    <w:p>
      <w:pPr>
        <w:spacing w:after="0" w:line="243" w:lineRule="exact"/>
        <w:rPr>
          <w:sz w:val="20"/>
          <w:szCs w:val="20"/>
          <w:color w:val="auto"/>
        </w:rPr>
      </w:pPr>
    </w:p>
    <w:p>
      <w:pPr>
        <w:ind w:right="20" w:firstLine="486"/>
        <w:spacing w:after="0" w:line="262" w:lineRule="auto"/>
        <w:rPr>
          <w:sz w:val="20"/>
          <w:szCs w:val="20"/>
          <w:color w:val="auto"/>
        </w:rPr>
      </w:pPr>
      <w:r>
        <w:rPr>
          <w:rFonts w:ascii="Arial" w:cs="Arial" w:eastAsia="Arial" w:hAnsi="Arial"/>
          <w:sz w:val="18"/>
          <w:szCs w:val="18"/>
          <w:color w:val="auto"/>
        </w:rPr>
        <w:t>Depreciation and amortization expense represents the benefits received for using long-lived assets. Those assets consist of fixed assets, which include internally developed software, hardware, leasehold improvements, and other equipment.</w:t>
      </w:r>
    </w:p>
    <w:p>
      <w:pPr>
        <w:spacing w:after="0" w:line="196" w:lineRule="exact"/>
        <w:rPr>
          <w:sz w:val="20"/>
          <w:szCs w:val="20"/>
          <w:color w:val="auto"/>
        </w:rPr>
      </w:pPr>
    </w:p>
    <w:p>
      <w:pPr>
        <w:ind w:right="120" w:firstLine="486"/>
        <w:spacing w:after="0" w:line="256" w:lineRule="auto"/>
        <w:rPr>
          <w:sz w:val="20"/>
          <w:szCs w:val="20"/>
          <w:color w:val="auto"/>
        </w:rPr>
      </w:pPr>
      <w:r>
        <w:rPr>
          <w:rFonts w:ascii="Arial" w:cs="Arial" w:eastAsia="Arial" w:hAnsi="Arial"/>
          <w:sz w:val="18"/>
          <w:szCs w:val="18"/>
          <w:color w:val="auto"/>
        </w:rPr>
        <w:t>The increase in depreciation and amortization of $1.2 million and $ 5.3 million for the three and nine months ended September 30, 2016, compared with the same periods in 2015, respectively, was primarily due to increases in internally developed software and purchased hardware and software.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Amortization of Intangible assets</w:t>
      </w:r>
    </w:p>
    <w:p>
      <w:pPr>
        <w:spacing w:after="0" w:line="243" w:lineRule="exact"/>
        <w:rPr>
          <w:sz w:val="20"/>
          <w:szCs w:val="20"/>
          <w:color w:val="auto"/>
        </w:rPr>
      </w:pPr>
    </w:p>
    <w:p>
      <w:pPr>
        <w:ind w:right="200" w:firstLine="486"/>
        <w:spacing w:after="0" w:line="262" w:lineRule="auto"/>
        <w:rPr>
          <w:sz w:val="20"/>
          <w:szCs w:val="20"/>
          <w:color w:val="auto"/>
        </w:rPr>
      </w:pPr>
      <w:r>
        <w:rPr>
          <w:rFonts w:ascii="Arial" w:cs="Arial" w:eastAsia="Arial" w:hAnsi="Arial"/>
          <w:sz w:val="18"/>
          <w:szCs w:val="18"/>
          <w:color w:val="auto"/>
        </w:rPr>
        <w:t>Amortization of intangible assets is consistent over prior periods and represents the benefits received for using long-lived assets, which consist of intangible assets established through our acquisitions.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Occupancy and Equipment Expense</w:t>
      </w:r>
    </w:p>
    <w:p>
      <w:pPr>
        <w:spacing w:after="0" w:line="243" w:lineRule="exact"/>
        <w:rPr>
          <w:sz w:val="20"/>
          <w:szCs w:val="20"/>
          <w:color w:val="auto"/>
        </w:rPr>
      </w:pPr>
    </w:p>
    <w:p>
      <w:pPr>
        <w:ind w:right="60" w:firstLine="486"/>
        <w:spacing w:after="0" w:line="262" w:lineRule="auto"/>
        <w:rPr>
          <w:sz w:val="20"/>
          <w:szCs w:val="20"/>
          <w:color w:val="auto"/>
        </w:rPr>
      </w:pPr>
      <w:r>
        <w:rPr>
          <w:rFonts w:ascii="Arial" w:cs="Arial" w:eastAsia="Arial" w:hAnsi="Arial"/>
          <w:sz w:val="18"/>
          <w:szCs w:val="18"/>
          <w:color w:val="auto"/>
        </w:rPr>
        <w:t>Occupancy and equipment expense includes the costs of leasing and maintaining our office spaces, software licensing and maintenance costs, and maintenance expenses on computer hardware and other equipment.</w:t>
      </w:r>
    </w:p>
    <w:p>
      <w:pPr>
        <w:spacing w:after="0" w:line="196" w:lineRule="exact"/>
        <w:rPr>
          <w:sz w:val="20"/>
          <w:szCs w:val="20"/>
          <w:color w:val="auto"/>
        </w:rPr>
      </w:pPr>
    </w:p>
    <w:p>
      <w:pPr>
        <w:ind w:right="160" w:firstLine="486"/>
        <w:spacing w:after="0" w:line="256" w:lineRule="auto"/>
        <w:rPr>
          <w:sz w:val="20"/>
          <w:szCs w:val="20"/>
          <w:color w:val="auto"/>
        </w:rPr>
      </w:pPr>
      <w:r>
        <w:rPr>
          <w:rFonts w:ascii="Arial" w:cs="Arial" w:eastAsia="Arial" w:hAnsi="Arial"/>
          <w:sz w:val="18"/>
          <w:szCs w:val="18"/>
          <w:color w:val="auto"/>
        </w:rPr>
        <w:t>The increase in occupancy and equipment expense of $3.8 million and $5.4 million for the three and nine months ended September 30, 2016, compared with the same periods in 2015, respectively, was primarily due to an increase in costs related to repairs and maintenance of computer hardware and equipment as well as an increase in software licensing fees.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Professional Services</w:t>
      </w:r>
    </w:p>
    <w:p>
      <w:pPr>
        <w:spacing w:after="0" w:line="243" w:lineRule="exact"/>
        <w:rPr>
          <w:sz w:val="20"/>
          <w:szCs w:val="20"/>
          <w:color w:val="auto"/>
        </w:rPr>
      </w:pPr>
    </w:p>
    <w:p>
      <w:pPr>
        <w:ind w:right="320" w:firstLine="486"/>
        <w:spacing w:after="0" w:line="262" w:lineRule="auto"/>
        <w:rPr>
          <w:sz w:val="20"/>
          <w:szCs w:val="20"/>
          <w:color w:val="auto"/>
        </w:rPr>
      </w:pPr>
      <w:r>
        <w:rPr>
          <w:rFonts w:ascii="Arial" w:cs="Arial" w:eastAsia="Arial" w:hAnsi="Arial"/>
          <w:sz w:val="18"/>
          <w:szCs w:val="18"/>
          <w:color w:val="auto"/>
        </w:rPr>
        <w:t>Professional services includes costs paid to outside firms for assistance with legal, accounting, technology, regulatory, marketing, and general corporate matters, as well as non-capitalized costs related to service and technology enhancements.</w:t>
      </w:r>
    </w:p>
    <w:p>
      <w:pPr>
        <w:sectPr>
          <w:pgSz w:w="11900" w:h="16838" w:orient="portrait"/>
          <w:cols w:equalWidth="0" w:num="1">
            <w:col w:w="11420"/>
          </w:cols>
          <w:pgMar w:left="240" w:top="472" w:right="239" w:bottom="1440" w:gutter="0" w:footer="0" w:header="0"/>
        </w:sect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w:t>
      </w:r>
    </w:p>
    <w:p>
      <w:pPr>
        <w:sectPr>
          <w:pgSz w:w="11900" w:h="16838" w:orient="portrait"/>
          <w:cols w:equalWidth="0" w:num="1">
            <w:col w:w="11420"/>
          </w:cols>
          <w:pgMar w:left="240" w:top="472" w:right="239" w:bottom="1440" w:gutter="0" w:footer="0" w:header="0"/>
          <w:type w:val="continuous"/>
        </w:sectPr>
      </w:pPr>
    </w:p>
    <w:bookmarkStart w:id="19" w:name="page20"/>
    <w:bookmarkEnd w:id="19"/>
    <w:p>
      <w:pPr>
        <w:jc w:val="both"/>
        <w:ind w:right="720" w:firstLine="486"/>
        <w:spacing w:after="0" w:line="256" w:lineRule="auto"/>
        <w:rPr>
          <w:sz w:val="20"/>
          <w:szCs w:val="20"/>
          <w:color w:val="auto"/>
        </w:rPr>
      </w:pPr>
      <w:r>
        <w:rPr>
          <w:rFonts w:ascii="Arial" w:cs="Arial" w:eastAsia="Arial" w:hAnsi="Arial"/>
          <w:sz w:val="18"/>
          <w:szCs w:val="18"/>
          <w:color w:val="auto"/>
        </w:rPr>
        <w:t>The increase in professional services of $1.7 million and $5.3 million for the three and nine months ended September 30, 2016, compared with the same periods in 2015, respectively, was primarily due to an increase in non-capitalized costs related to service and technology enhancements and an increase in costs associated with legal matters.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Brokerage, Clearing, and Exchange Fees</w:t>
      </w:r>
    </w:p>
    <w:p>
      <w:pPr>
        <w:spacing w:after="0" w:line="135" w:lineRule="exact"/>
        <w:rPr>
          <w:sz w:val="20"/>
          <w:szCs w:val="20"/>
          <w:color w:val="auto"/>
        </w:rPr>
      </w:pPr>
    </w:p>
    <w:p>
      <w:pPr>
        <w:ind w:right="420" w:firstLine="486"/>
        <w:spacing w:after="0" w:line="262" w:lineRule="auto"/>
        <w:rPr>
          <w:sz w:val="20"/>
          <w:szCs w:val="20"/>
          <w:color w:val="auto"/>
        </w:rPr>
      </w:pPr>
      <w:r>
        <w:rPr>
          <w:rFonts w:ascii="Arial" w:cs="Arial" w:eastAsia="Arial" w:hAnsi="Arial"/>
          <w:sz w:val="18"/>
          <w:szCs w:val="18"/>
          <w:color w:val="auto"/>
        </w:rPr>
        <w:t>Brokerage, clearing, and exchange fees include expenses originating from trading or clearing operations as well as any exchange membership fees. Changes in brokerage, clearing and exchange fees fluctuate largely in line with the volume of sales and trading activity.</w:t>
      </w:r>
    </w:p>
    <w:p>
      <w:pPr>
        <w:spacing w:after="0" w:line="88" w:lineRule="exact"/>
        <w:rPr>
          <w:sz w:val="20"/>
          <w:szCs w:val="20"/>
          <w:color w:val="auto"/>
        </w:rPr>
      </w:pPr>
    </w:p>
    <w:p>
      <w:pPr>
        <w:ind w:right="120" w:firstLine="486"/>
        <w:spacing w:after="0" w:line="262" w:lineRule="auto"/>
        <w:rPr>
          <w:sz w:val="20"/>
          <w:szCs w:val="20"/>
          <w:color w:val="auto"/>
        </w:rPr>
      </w:pPr>
      <w:r>
        <w:rPr>
          <w:rFonts w:ascii="Arial" w:cs="Arial" w:eastAsia="Arial" w:hAnsi="Arial"/>
          <w:sz w:val="18"/>
          <w:szCs w:val="18"/>
          <w:color w:val="auto"/>
        </w:rPr>
        <w:t>Brokerage, clearing, and exchange fees have remained relatively flat and consistent with the volume of sales and trading activity for the three and nine months ended September 30, 2016, compared with the same periods in 2015.</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Communications and Data Processing</w:t>
      </w:r>
    </w:p>
    <w:p>
      <w:pPr>
        <w:spacing w:after="0" w:line="243" w:lineRule="exact"/>
        <w:rPr>
          <w:sz w:val="20"/>
          <w:szCs w:val="20"/>
          <w:color w:val="auto"/>
        </w:rPr>
      </w:pPr>
    </w:p>
    <w:p>
      <w:pPr>
        <w:ind w:right="340" w:firstLine="486"/>
        <w:spacing w:after="0" w:line="256" w:lineRule="auto"/>
        <w:rPr>
          <w:sz w:val="20"/>
          <w:szCs w:val="20"/>
          <w:color w:val="auto"/>
        </w:rPr>
      </w:pPr>
      <w:r>
        <w:rPr>
          <w:rFonts w:ascii="Arial" w:cs="Arial" w:eastAsia="Arial" w:hAnsi="Arial"/>
          <w:sz w:val="18"/>
          <w:szCs w:val="18"/>
          <w:color w:val="auto"/>
        </w:rPr>
        <w:t>Communications expense consists primarily of the cost of voice and data telecommunication lines supporting our business, including connectivity to data centers, exchanges, and markets. Data processing expense consists primarily of customer statement processing and postage costs.</w:t>
      </w:r>
    </w:p>
    <w:p>
      <w:pPr>
        <w:spacing w:after="0" w:line="202" w:lineRule="exact"/>
        <w:rPr>
          <w:sz w:val="20"/>
          <w:szCs w:val="20"/>
          <w:color w:val="auto"/>
        </w:rPr>
      </w:pPr>
    </w:p>
    <w:p>
      <w:pPr>
        <w:jc w:val="both"/>
        <w:ind w:right="320" w:firstLine="486"/>
        <w:spacing w:after="0" w:line="262" w:lineRule="auto"/>
        <w:rPr>
          <w:sz w:val="20"/>
          <w:szCs w:val="20"/>
          <w:color w:val="auto"/>
        </w:rPr>
      </w:pPr>
      <w:r>
        <w:rPr>
          <w:rFonts w:ascii="Arial" w:cs="Arial" w:eastAsia="Arial" w:hAnsi="Arial"/>
          <w:sz w:val="18"/>
          <w:szCs w:val="18"/>
          <w:color w:val="auto"/>
        </w:rPr>
        <w:t>The decrease in communications and data processing expenses of $0.9 million and $2.2 million for the three and nine months ended September 30, 2016, compared with the same periods in 2015, respectively, was primarily due to reduced data and conferencing services.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Restructuring Charges</w:t>
      </w:r>
    </w:p>
    <w:p>
      <w:pPr>
        <w:spacing w:after="0" w:line="243" w:lineRule="exact"/>
        <w:rPr>
          <w:sz w:val="20"/>
          <w:szCs w:val="20"/>
          <w:color w:val="auto"/>
        </w:rPr>
      </w:pPr>
    </w:p>
    <w:p>
      <w:pPr>
        <w:ind w:firstLine="486"/>
        <w:spacing w:after="0" w:line="253" w:lineRule="auto"/>
        <w:rPr>
          <w:sz w:val="20"/>
          <w:szCs w:val="20"/>
          <w:color w:val="auto"/>
        </w:rPr>
      </w:pPr>
      <w:r>
        <w:rPr>
          <w:rFonts w:ascii="Arial" w:cs="Arial" w:eastAsia="Arial" w:hAnsi="Arial"/>
          <w:sz w:val="18"/>
          <w:szCs w:val="18"/>
          <w:color w:val="auto"/>
        </w:rPr>
        <w:t>The restructuring charges for the three and nine months ended September 30, 2015, primarily represent expenses incurred as a result of our Service Value Commitment initiative, which was completed in 2015. These charges relate primarily to consulting fees paid to support our technology transformation as well as employee severance obligations and other related costs and non-cash charges for impairment. Also included in the 2015 restructuring charges are expenses incurred as part of the restructuring of our subsidiary, Fortigent Holdings Company, Inc. (together with its subsidiaries, "Fortigent"), which was completed in 2015.</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Expenses</w:t>
      </w:r>
    </w:p>
    <w:p>
      <w:pPr>
        <w:spacing w:after="0" w:line="243" w:lineRule="exact"/>
        <w:rPr>
          <w:sz w:val="20"/>
          <w:szCs w:val="20"/>
          <w:color w:val="auto"/>
        </w:rPr>
      </w:pPr>
    </w:p>
    <w:p>
      <w:pPr>
        <w:ind w:right="740" w:firstLine="486"/>
        <w:spacing w:after="0" w:line="262" w:lineRule="auto"/>
        <w:rPr>
          <w:sz w:val="20"/>
          <w:szCs w:val="20"/>
          <w:color w:val="auto"/>
        </w:rPr>
      </w:pPr>
      <w:r>
        <w:rPr>
          <w:rFonts w:ascii="Arial" w:cs="Arial" w:eastAsia="Arial" w:hAnsi="Arial"/>
          <w:sz w:val="18"/>
          <w:szCs w:val="18"/>
          <w:color w:val="auto"/>
        </w:rPr>
        <w:t>Other expenses include the estimated costs of the investigation, settlement, and resolution of regulatory matters, licensing fees, insurance, broker-dealer regulator fees, and other miscellaneous expenses.</w:t>
      </w:r>
    </w:p>
    <w:p>
      <w:pPr>
        <w:spacing w:after="0" w:line="196" w:lineRule="exact"/>
        <w:rPr>
          <w:sz w:val="20"/>
          <w:szCs w:val="20"/>
          <w:color w:val="auto"/>
        </w:rPr>
      </w:pPr>
    </w:p>
    <w:p>
      <w:pPr>
        <w:jc w:val="both"/>
        <w:ind w:right="200" w:firstLine="486"/>
        <w:spacing w:after="0" w:line="256" w:lineRule="auto"/>
        <w:rPr>
          <w:sz w:val="20"/>
          <w:szCs w:val="20"/>
          <w:color w:val="auto"/>
        </w:rPr>
      </w:pPr>
      <w:r>
        <w:rPr>
          <w:rFonts w:ascii="Arial" w:cs="Arial" w:eastAsia="Arial" w:hAnsi="Arial"/>
          <w:sz w:val="18"/>
          <w:szCs w:val="18"/>
          <w:color w:val="auto"/>
        </w:rPr>
        <w:t>The decrease in other expenses of $3.5 million and $17.3 million for the three and nine months ended September 30, 2016, compared with the same periods in 2015, respectively, was primarily driven by lower costs of the investigation, settlement, and resolution of regulatory matters as well as reduced travel expenses.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Non-Operating Interest Expense</w:t>
      </w:r>
    </w:p>
    <w:p>
      <w:pPr>
        <w:spacing w:after="0" w:line="243" w:lineRule="exact"/>
        <w:rPr>
          <w:sz w:val="20"/>
          <w:szCs w:val="20"/>
          <w:color w:val="auto"/>
        </w:rPr>
      </w:pPr>
    </w:p>
    <w:p>
      <w:pPr>
        <w:ind w:right="120" w:firstLine="486"/>
        <w:spacing w:after="0" w:line="262" w:lineRule="auto"/>
        <w:rPr>
          <w:sz w:val="20"/>
          <w:szCs w:val="20"/>
          <w:color w:val="auto"/>
        </w:rPr>
      </w:pPr>
      <w:r>
        <w:rPr>
          <w:rFonts w:ascii="Arial" w:cs="Arial" w:eastAsia="Arial" w:hAnsi="Arial"/>
          <w:sz w:val="18"/>
          <w:szCs w:val="18"/>
          <w:color w:val="auto"/>
        </w:rPr>
        <w:t>Non-operating interest expense results from our senior secured credit facilities. Period-over-period variances correspond to an increase in interest rate and changes in the level of outstanding indebtedness relating to these facilities.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Income Taxes</w:t>
      </w:r>
    </w:p>
    <w:p>
      <w:pPr>
        <w:spacing w:after="0" w:line="243" w:lineRule="exact"/>
        <w:rPr>
          <w:sz w:val="20"/>
          <w:szCs w:val="20"/>
          <w:color w:val="auto"/>
        </w:rPr>
      </w:pPr>
    </w:p>
    <w:p>
      <w:pPr>
        <w:ind w:right="140" w:firstLine="486"/>
        <w:spacing w:after="0" w:line="254" w:lineRule="auto"/>
        <w:rPr>
          <w:sz w:val="20"/>
          <w:szCs w:val="20"/>
          <w:color w:val="auto"/>
        </w:rPr>
      </w:pPr>
      <w:r>
        <w:rPr>
          <w:rFonts w:ascii="Arial" w:cs="Arial" w:eastAsia="Arial" w:hAnsi="Arial"/>
          <w:sz w:val="18"/>
          <w:szCs w:val="18"/>
          <w:color w:val="auto"/>
        </w:rPr>
        <w:t>We estimate our full-year effective income tax rate at the end of each reporting period. This estimate is used in providing for income taxes on a year-to-date basis and may change in subsequent interim periods. The tax rate in any quarter can be affected positively and negatively by adjustments that are required to be reported in the quarter in which resolution of the item occurs. The effective income tax rates reflect the impact of state taxes, settlement contingencies, tax credits, and expenses that are not deductible for tax purposes.</w:t>
      </w:r>
    </w:p>
    <w:p>
      <w:pPr>
        <w:spacing w:after="0" w:line="20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Our effective tax rate was 23.8% and 40.2% for the three months ended September 30, 2016 and 2015, respectively.</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Our effective tax rate was 35.4% and 40.2% for the nine months ended September 30, 2016 and 2015, respectively.</w:t>
      </w:r>
    </w:p>
    <w:p>
      <w:pPr>
        <w:spacing w:after="0" w:line="225" w:lineRule="exact"/>
        <w:rPr>
          <w:sz w:val="20"/>
          <w:szCs w:val="20"/>
          <w:color w:val="auto"/>
        </w:rPr>
      </w:pPr>
    </w:p>
    <w:p>
      <w:pPr>
        <w:jc w:val="both"/>
        <w:ind w:right="80" w:firstLine="486"/>
        <w:spacing w:after="0" w:line="262" w:lineRule="auto"/>
        <w:rPr>
          <w:sz w:val="20"/>
          <w:szCs w:val="20"/>
          <w:color w:val="auto"/>
        </w:rPr>
      </w:pPr>
      <w:r>
        <w:rPr>
          <w:rFonts w:ascii="Arial" w:cs="Arial" w:eastAsia="Arial" w:hAnsi="Arial"/>
          <w:sz w:val="18"/>
          <w:szCs w:val="18"/>
          <w:color w:val="auto"/>
        </w:rPr>
        <w:t>During the third quarter of 2016, we updated our calculation of the tax benefits that we could obtain associated with internally developed software. The total additional tax benefit recorded during the third quarter, net of potential tax contingencies, was approximately $11.7 million.</w:t>
      </w:r>
    </w:p>
    <w:p>
      <w:pPr>
        <w:spacing w:after="0" w:line="3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40" w:top="490" w:right="27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47" w:lineRule="exact"/>
        <w:rPr>
          <w:sz w:val="20"/>
          <w:szCs w:val="20"/>
          <w:color w:val="auto"/>
        </w:rPr>
      </w:pPr>
    </w:p>
    <w:p>
      <w:pPr>
        <w:ind w:right="100" w:firstLine="486"/>
        <w:spacing w:after="0" w:line="252" w:lineRule="auto"/>
        <w:rPr>
          <w:sz w:val="20"/>
          <w:szCs w:val="20"/>
          <w:color w:val="auto"/>
        </w:rPr>
      </w:pPr>
      <w:r>
        <w:rPr>
          <w:rFonts w:ascii="Arial" w:cs="Arial" w:eastAsia="Arial" w:hAnsi="Arial"/>
          <w:sz w:val="18"/>
          <w:szCs w:val="18"/>
          <w:color w:val="auto"/>
        </w:rPr>
        <w:t>Senior management establishes our liquidity and capital policies. These policies include senior management’s review of short- and long-term cash flow forecasts, review of capital expenditures, and daily monitoring of liquidity for our subsidiaries. Decisions on the allocation of capital are based upon, among other things, projected profitability and cash flow, risks of the business, regulatory capital requirements, and future liquidity needs for strategic activities. Our Treasury Department assists in evaluating, monitoring, and controlling the business activities that impact our financial condition, liquidity, and capital structure and maintains relationships with various lenders. The objectives of these policies are to support the executive business strategies while ensuring ongoing and sufficient liquidity.</w:t>
      </w:r>
    </w:p>
    <w:p>
      <w:pPr>
        <w:spacing w:after="0" w:line="20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 summary of changes in our cash flow is provided as follows (in thousands):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3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920" w:type="dxa"/>
            <w:vAlign w:val="bottom"/>
            <w:tcBorders>
              <w:bottom w:val="single" w:sz="8" w:color="auto"/>
            </w:tcBorders>
            <w:gridSpan w:val="4"/>
          </w:tcPr>
          <w:p>
            <w:pPr>
              <w:jc w:val="right"/>
              <w:ind w:right="119"/>
              <w:spacing w:after="0"/>
              <w:rPr>
                <w:sz w:val="20"/>
                <w:szCs w:val="20"/>
                <w:color w:val="auto"/>
              </w:rPr>
            </w:pPr>
            <w:r>
              <w:rPr>
                <w:rFonts w:ascii="Arial" w:cs="Arial" w:eastAsia="Arial" w:hAnsi="Arial"/>
                <w:sz w:val="16"/>
                <w:szCs w:val="16"/>
                <w:b w:val="1"/>
                <w:bCs w:val="1"/>
                <w:color w:val="auto"/>
              </w:rPr>
              <w:t>Nine Months Ended September 30,</w:t>
            </w:r>
          </w:p>
        </w:tc>
      </w:tr>
      <w:tr>
        <w:trPr>
          <w:trHeight w:val="264"/>
        </w:trPr>
        <w:tc>
          <w:tcPr>
            <w:tcW w:w="834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2015</w:t>
            </w:r>
          </w:p>
        </w:tc>
      </w:tr>
      <w:tr>
        <w:trPr>
          <w:trHeight w:val="260"/>
        </w:trPr>
        <w:tc>
          <w:tcPr>
            <w:tcW w:w="8340" w:type="dxa"/>
            <w:vAlign w:val="bottom"/>
          </w:tcPr>
          <w:p>
            <w:pPr>
              <w:ind w:left="80"/>
              <w:spacing w:after="0"/>
              <w:rPr>
                <w:sz w:val="20"/>
                <w:szCs w:val="20"/>
                <w:color w:val="auto"/>
              </w:rPr>
            </w:pPr>
            <w:r>
              <w:rPr>
                <w:rFonts w:ascii="Arial" w:cs="Arial" w:eastAsia="Arial" w:hAnsi="Arial"/>
                <w:sz w:val="16"/>
                <w:szCs w:val="16"/>
                <w:color w:val="auto"/>
              </w:rPr>
              <w:t>Net cash flows provided by (used in):</w:t>
            </w:r>
          </w:p>
        </w:tc>
        <w:tc>
          <w:tcPr>
            <w:tcW w:w="16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80"/>
        </w:trPr>
        <w:tc>
          <w:tcPr>
            <w:tcW w:w="8340" w:type="dxa"/>
            <w:vAlign w:val="bottom"/>
            <w:shd w:val="clear" w:color="auto" w:fill="CCEEFF"/>
          </w:tcPr>
          <w:p>
            <w:pPr>
              <w:ind w:left="260"/>
              <w:spacing w:after="0"/>
              <w:rPr>
                <w:sz w:val="20"/>
                <w:szCs w:val="20"/>
                <w:color w:val="auto"/>
              </w:rPr>
            </w:pPr>
            <w:r>
              <w:rPr>
                <w:rFonts w:ascii="Arial" w:cs="Arial" w:eastAsia="Arial" w:hAnsi="Arial"/>
                <w:sz w:val="16"/>
                <w:szCs w:val="16"/>
                <w:color w:val="auto"/>
              </w:rPr>
              <w:t>Operating activities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262,085</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208,467</w:t>
            </w:r>
          </w:p>
        </w:tc>
      </w:tr>
      <w:tr>
        <w:trPr>
          <w:trHeight w:val="260"/>
        </w:trPr>
        <w:tc>
          <w:tcPr>
            <w:tcW w:w="8340" w:type="dxa"/>
            <w:vAlign w:val="bottom"/>
          </w:tcPr>
          <w:p>
            <w:pPr>
              <w:ind w:left="260"/>
              <w:spacing w:after="0"/>
              <w:rPr>
                <w:sz w:val="20"/>
                <w:szCs w:val="20"/>
                <w:color w:val="auto"/>
              </w:rPr>
            </w:pPr>
            <w:r>
              <w:rPr>
                <w:rFonts w:ascii="Arial" w:cs="Arial" w:eastAsia="Arial" w:hAnsi="Arial"/>
                <w:sz w:val="16"/>
                <w:szCs w:val="16"/>
                <w:color w:val="auto"/>
              </w:rPr>
              <w:t>Investing activities</w:t>
            </w:r>
          </w:p>
        </w:tc>
        <w:tc>
          <w:tcPr>
            <w:tcW w:w="16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(96,025)</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(53,196)</w:t>
            </w:r>
          </w:p>
        </w:tc>
      </w:tr>
      <w:tr>
        <w:trPr>
          <w:trHeight w:val="273"/>
        </w:trPr>
        <w:tc>
          <w:tcPr>
            <w:tcW w:w="8340" w:type="dxa"/>
            <w:vAlign w:val="bottom"/>
            <w:shd w:val="clear" w:color="auto" w:fill="CCEEFF"/>
          </w:tcPr>
          <w:p>
            <w:pPr>
              <w:ind w:left="260"/>
              <w:spacing w:after="0"/>
              <w:rPr>
                <w:sz w:val="20"/>
                <w:szCs w:val="20"/>
                <w:color w:val="auto"/>
              </w:rPr>
            </w:pPr>
            <w:r>
              <w:rPr>
                <w:rFonts w:ascii="Arial" w:cs="Arial" w:eastAsia="Arial" w:hAnsi="Arial"/>
                <w:sz w:val="16"/>
                <w:szCs w:val="16"/>
                <w:color w:val="auto"/>
              </w:rPr>
              <w:t>Financing activities</w:t>
            </w:r>
          </w:p>
        </w:tc>
        <w:tc>
          <w:tcPr>
            <w:tcW w:w="16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(103,225)</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(157,567)</w:t>
            </w:r>
          </w:p>
        </w:tc>
      </w:tr>
      <w:tr>
        <w:trPr>
          <w:trHeight w:val="247"/>
        </w:trPr>
        <w:tc>
          <w:tcPr>
            <w:tcW w:w="8340" w:type="dxa"/>
            <w:vAlign w:val="bottom"/>
          </w:tcPr>
          <w:p>
            <w:pPr>
              <w:ind w:left="20"/>
              <w:spacing w:after="0"/>
              <w:rPr>
                <w:sz w:val="20"/>
                <w:szCs w:val="20"/>
                <w:color w:val="auto"/>
              </w:rPr>
            </w:pPr>
            <w:r>
              <w:rPr>
                <w:rFonts w:ascii="Arial" w:cs="Arial" w:eastAsia="Arial" w:hAnsi="Arial"/>
                <w:sz w:val="16"/>
                <w:szCs w:val="16"/>
                <w:color w:val="auto"/>
              </w:rPr>
              <w:t>Net increase (decrease) in cash and cash equivalents</w:t>
            </w:r>
          </w:p>
        </w:tc>
        <w:tc>
          <w:tcPr>
            <w:tcW w:w="160" w:type="dxa"/>
            <w:vAlign w:val="bottom"/>
          </w:tcPr>
          <w:p>
            <w:pPr>
              <w:spacing w:after="0"/>
              <w:rPr>
                <w:sz w:val="21"/>
                <w:szCs w:val="21"/>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62,835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(2,296)</w:t>
            </w:r>
          </w:p>
        </w:tc>
      </w:tr>
      <w:tr>
        <w:trPr>
          <w:trHeight w:val="273"/>
        </w:trPr>
        <w:tc>
          <w:tcPr>
            <w:tcW w:w="8340" w:type="dxa"/>
            <w:vAlign w:val="bottom"/>
            <w:shd w:val="clear" w:color="auto" w:fill="CCEEFF"/>
          </w:tcPr>
          <w:p>
            <w:pPr>
              <w:ind w:left="80"/>
              <w:spacing w:after="0"/>
              <w:rPr>
                <w:sz w:val="20"/>
                <w:szCs w:val="20"/>
                <w:color w:val="auto"/>
              </w:rPr>
            </w:pPr>
            <w:r>
              <w:rPr>
                <w:rFonts w:ascii="Arial" w:cs="Arial" w:eastAsia="Arial" w:hAnsi="Arial"/>
                <w:sz w:val="16"/>
                <w:szCs w:val="16"/>
                <w:color w:val="auto"/>
              </w:rPr>
              <w:t>Cash and cash equivalents — beginning of period</w:t>
            </w:r>
          </w:p>
        </w:tc>
        <w:tc>
          <w:tcPr>
            <w:tcW w:w="16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724,529</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412,332</w:t>
            </w:r>
          </w:p>
        </w:tc>
      </w:tr>
      <w:tr>
        <w:trPr>
          <w:trHeight w:val="240"/>
        </w:trPr>
        <w:tc>
          <w:tcPr>
            <w:tcW w:w="8340" w:type="dxa"/>
            <w:vAlign w:val="bottom"/>
          </w:tcPr>
          <w:p>
            <w:pPr>
              <w:ind w:left="80"/>
              <w:spacing w:after="0"/>
              <w:rPr>
                <w:sz w:val="20"/>
                <w:szCs w:val="20"/>
                <w:color w:val="auto"/>
              </w:rPr>
            </w:pPr>
            <w:r>
              <w:rPr>
                <w:rFonts w:ascii="Arial" w:cs="Arial" w:eastAsia="Arial" w:hAnsi="Arial"/>
                <w:sz w:val="16"/>
                <w:szCs w:val="16"/>
                <w:color w:val="auto"/>
              </w:rPr>
              <w:t>Cash and cash equivalents — end of period</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787,364</w:t>
            </w:r>
          </w:p>
        </w:tc>
        <w:tc>
          <w:tcPr>
            <w:tcW w:w="100" w:type="dxa"/>
            <w:vAlign w:val="bottom"/>
          </w:tcPr>
          <w:p>
            <w:pPr>
              <w:spacing w:after="0"/>
              <w:rPr>
                <w:sz w:val="20"/>
                <w:szCs w:val="20"/>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410,036</w:t>
            </w:r>
          </w:p>
        </w:tc>
      </w:tr>
      <w:tr>
        <w:trPr>
          <w:trHeight w:val="20"/>
        </w:trPr>
        <w:tc>
          <w:tcPr>
            <w:tcW w:w="8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right="700" w:firstLine="486"/>
        <w:spacing w:after="0" w:line="262" w:lineRule="auto"/>
        <w:rPr>
          <w:sz w:val="20"/>
          <w:szCs w:val="20"/>
          <w:color w:val="auto"/>
        </w:rPr>
      </w:pPr>
      <w:r>
        <w:rPr>
          <w:rFonts w:ascii="Arial" w:cs="Arial" w:eastAsia="Arial" w:hAnsi="Arial"/>
          <w:sz w:val="18"/>
          <w:szCs w:val="18"/>
          <w:color w:val="auto"/>
        </w:rPr>
        <w:t>Cash requirements and liquidity needs are primarily funded through our cash flow from operations and our capacity for additional borrowing.</w:t>
      </w:r>
    </w:p>
    <w:p>
      <w:pPr>
        <w:spacing w:after="0" w:line="196" w:lineRule="exact"/>
        <w:rPr>
          <w:sz w:val="20"/>
          <w:szCs w:val="20"/>
          <w:color w:val="auto"/>
        </w:rPr>
      </w:pPr>
    </w:p>
    <w:p>
      <w:pPr>
        <w:ind w:right="100" w:firstLine="486"/>
        <w:spacing w:after="0" w:line="253" w:lineRule="auto"/>
        <w:rPr>
          <w:sz w:val="20"/>
          <w:szCs w:val="20"/>
          <w:color w:val="auto"/>
        </w:rPr>
      </w:pPr>
      <w:r>
        <w:rPr>
          <w:rFonts w:ascii="Arial" w:cs="Arial" w:eastAsia="Arial" w:hAnsi="Arial"/>
          <w:sz w:val="18"/>
          <w:szCs w:val="18"/>
          <w:color w:val="auto"/>
        </w:rPr>
        <w:t>Net cash provided by operating activities includes changes in operating asset and liability balances related to settlement and funding of client transactions, receivables from product sponsors, and accrued commission and advisory expenses due to our advisors. Operating assets and liabilities that arise from the settlement and funding of transactions by our advisors’ clients are the principal drivers of changes to our net cash from operating activities and can fluctuate significantly from day-to-day and period-to-period depending on overall trends and clients' behaviors.</w:t>
      </w:r>
    </w:p>
    <w:p>
      <w:pPr>
        <w:spacing w:after="0" w:line="206" w:lineRule="exact"/>
        <w:rPr>
          <w:sz w:val="20"/>
          <w:szCs w:val="20"/>
          <w:color w:val="auto"/>
        </w:rPr>
      </w:pPr>
    </w:p>
    <w:p>
      <w:pPr>
        <w:ind w:right="120" w:firstLine="486"/>
        <w:spacing w:after="0" w:line="274" w:lineRule="auto"/>
        <w:rPr>
          <w:sz w:val="20"/>
          <w:szCs w:val="20"/>
          <w:color w:val="auto"/>
        </w:rPr>
      </w:pPr>
      <w:r>
        <w:rPr>
          <w:rFonts w:ascii="Arial" w:cs="Arial" w:eastAsia="Arial" w:hAnsi="Arial"/>
          <w:sz w:val="17"/>
          <w:szCs w:val="17"/>
          <w:color w:val="auto"/>
        </w:rPr>
        <w:t>The change in cash flows provided by operating activities for the nine months ended September 30, 2016, compared to the same period in 2015 was primarily attributable to an increase in cash provided by client receivables, an increase in cash provided by accounts payable and accrued liabilities, a decrease in cash used in drafts payable and payable to clients, partially offset by a decrease in cash provided by cash segregated under federal and other regulations, an increase in cash used in receivables from product sponsors and advisor loans.</w:t>
      </w:r>
    </w:p>
    <w:p>
      <w:pPr>
        <w:spacing w:after="0" w:line="18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change in cash flows used in investing activities for the nine months ended September 30, 2016, as compared to the same period in</w:t>
      </w:r>
    </w:p>
    <w:p>
      <w:pPr>
        <w:spacing w:after="0" w:line="9" w:lineRule="exact"/>
        <w:rPr>
          <w:sz w:val="20"/>
          <w:szCs w:val="20"/>
          <w:color w:val="auto"/>
        </w:rPr>
      </w:pPr>
    </w:p>
    <w:p>
      <w:pPr>
        <w:ind w:right="400"/>
        <w:spacing w:after="0" w:line="262" w:lineRule="auto"/>
        <w:rPr>
          <w:sz w:val="20"/>
          <w:szCs w:val="20"/>
          <w:color w:val="auto"/>
        </w:rPr>
      </w:pPr>
      <w:r>
        <w:rPr>
          <w:rFonts w:ascii="Arial" w:cs="Arial" w:eastAsia="Arial" w:hAnsi="Arial"/>
          <w:sz w:val="18"/>
          <w:szCs w:val="18"/>
          <w:color w:val="auto"/>
        </w:rPr>
        <w:t>2015 was primarily attributable to an increase in capital expenditures related to the construction of the Company's new campus in Fort Mill, South Carolina and an increase in capital expenditures for technology to support growth.</w:t>
      </w:r>
    </w:p>
    <w:p>
      <w:pPr>
        <w:spacing w:after="0" w:line="196" w:lineRule="exact"/>
        <w:rPr>
          <w:sz w:val="20"/>
          <w:szCs w:val="20"/>
          <w:color w:val="auto"/>
        </w:rPr>
      </w:pPr>
    </w:p>
    <w:p>
      <w:pPr>
        <w:ind w:right="40" w:firstLine="486"/>
        <w:spacing w:after="0" w:line="253" w:lineRule="auto"/>
        <w:rPr>
          <w:sz w:val="20"/>
          <w:szCs w:val="20"/>
          <w:color w:val="auto"/>
        </w:rPr>
      </w:pPr>
      <w:r>
        <w:rPr>
          <w:rFonts w:ascii="Arial" w:cs="Arial" w:eastAsia="Arial" w:hAnsi="Arial"/>
          <w:sz w:val="18"/>
          <w:szCs w:val="18"/>
          <w:color w:val="auto"/>
        </w:rPr>
        <w:t>The change in the cash flows used in financing activities for the nine months ended September 30, 2016, compared to the same period in 2015 was primarily attributable to a decrease in repurchases of our common stock under our repurchase programs approved by our board of directors (the "Board of Directors" or "Board"), and a decrease in dividends due to a lower number of shares outstanding in the current period compared to the prior period, partially offset by decreases in proceeds from our revolving credit facility, a decrease in proceeds from stock option exercises, and an increase in our repayment of senior secured term loans.</w:t>
      </w:r>
    </w:p>
    <w:p>
      <w:pPr>
        <w:spacing w:after="0" w:line="206" w:lineRule="exact"/>
        <w:rPr>
          <w:sz w:val="20"/>
          <w:szCs w:val="20"/>
          <w:color w:val="auto"/>
        </w:rPr>
      </w:pPr>
    </w:p>
    <w:p>
      <w:pPr>
        <w:ind w:right="80" w:firstLine="486"/>
        <w:spacing w:after="0" w:line="252" w:lineRule="auto"/>
        <w:rPr>
          <w:sz w:val="20"/>
          <w:szCs w:val="20"/>
          <w:color w:val="auto"/>
        </w:rPr>
      </w:pPr>
      <w:r>
        <w:rPr>
          <w:rFonts w:ascii="Arial" w:cs="Arial" w:eastAsia="Arial" w:hAnsi="Arial"/>
          <w:sz w:val="18"/>
          <w:szCs w:val="18"/>
          <w:color w:val="auto"/>
        </w:rPr>
        <w:t>We believe that based on current levels of operations and anticipated growth, cash flow from operations, together with other available sources of funds, which include three uncommitted lines of credit available and the revolving credit facility established through our senior secured credit agreement, will be adequate to satisfy our working capital needs, the payment of all of our obligations, and the funding of anticipated capital expenditures for the foreseeable future. In addition, we have certain capital adequacy requirements related to our registered broker-dealer subsidiary and bank trust subsidiary and have met all such requirements and expect to continue to do so for the foreseeable future. We regularly evaluate our existing indebtedness, including refinancing thereof, based on a number of factors, including our capital requirements, future prospects, contractual restrictions, the availability of refinancing on attractive terms, and general market conditions. See the Risks Related to our Debt section within</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522" w:right="239" w:bottom="1440" w:gutter="0" w:footer="0" w:header="0"/>
        </w:sectPr>
      </w:pPr>
    </w:p>
    <w:bookmarkStart w:id="21" w:name="page22"/>
    <w:bookmarkEnd w:id="21"/>
    <w:p>
      <w:pPr>
        <w:ind w:right="860"/>
        <w:spacing w:after="0" w:line="262" w:lineRule="auto"/>
        <w:rPr>
          <w:sz w:val="20"/>
          <w:szCs w:val="20"/>
          <w:color w:val="auto"/>
        </w:rPr>
      </w:pPr>
      <w:r>
        <w:rPr>
          <w:rFonts w:ascii="Arial" w:cs="Arial" w:eastAsia="Arial" w:hAnsi="Arial"/>
          <w:sz w:val="18"/>
          <w:szCs w:val="18"/>
          <w:color w:val="auto"/>
        </w:rPr>
        <w:t>Part I, “Item 1A. Risk Factors” in our 2015 Annual Report on Form 10-K for more information about the risks associated with our debt obligations and their potential effect on our liquidity.</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Repurchases</w:t>
      </w:r>
    </w:p>
    <w:p>
      <w:pPr>
        <w:spacing w:after="0" w:line="247" w:lineRule="exact"/>
        <w:rPr>
          <w:sz w:val="20"/>
          <w:szCs w:val="20"/>
          <w:color w:val="auto"/>
        </w:rPr>
      </w:pPr>
    </w:p>
    <w:p>
      <w:pPr>
        <w:ind w:right="100" w:firstLine="486"/>
        <w:spacing w:after="0" w:line="253" w:lineRule="auto"/>
        <w:rPr>
          <w:sz w:val="20"/>
          <w:szCs w:val="20"/>
          <w:color w:val="auto"/>
        </w:rPr>
      </w:pPr>
      <w:r>
        <w:rPr>
          <w:rFonts w:ascii="Arial" w:cs="Arial" w:eastAsia="Arial" w:hAnsi="Arial"/>
          <w:sz w:val="18"/>
          <w:szCs w:val="18"/>
          <w:color w:val="auto"/>
        </w:rPr>
        <w:t xml:space="preserve">The Board of Directors has approved several share repurchase programs pursuant to which we may repurchase issued and outstanding shares of our common stock. Purchases may be effected in open market or privately negotiated transactions, including transactions with our affiliates, with the timing of purchases and the amount of stock purchased generally determined at our discretion within the constraints of our senior secured credit agreement and general operating needs. See Note 9. </w:t>
      </w:r>
      <w:r>
        <w:rPr>
          <w:rFonts w:ascii="Arial" w:cs="Arial" w:eastAsia="Arial" w:hAnsi="Arial"/>
          <w:sz w:val="18"/>
          <w:szCs w:val="18"/>
          <w:i w:val="1"/>
          <w:iCs w:val="1"/>
          <w:color w:val="auto"/>
        </w:rPr>
        <w:t>Stockholders' Equity</w:t>
      </w:r>
      <w:r>
        <w:rPr>
          <w:rFonts w:ascii="Arial" w:cs="Arial" w:eastAsia="Arial" w:hAnsi="Arial"/>
          <w:sz w:val="18"/>
          <w:szCs w:val="18"/>
          <w:color w:val="auto"/>
        </w:rPr>
        <w:t>, within the notes to the unaudited condensed consolidated financial statements for additional information regarding our share repurchases.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247" w:lineRule="exact"/>
        <w:rPr>
          <w:sz w:val="20"/>
          <w:szCs w:val="20"/>
          <w:color w:val="auto"/>
        </w:rPr>
      </w:pPr>
    </w:p>
    <w:p>
      <w:pPr>
        <w:ind w:firstLine="486"/>
        <w:spacing w:after="0" w:line="256" w:lineRule="auto"/>
        <w:rPr>
          <w:sz w:val="20"/>
          <w:szCs w:val="20"/>
          <w:color w:val="auto"/>
        </w:rPr>
      </w:pPr>
      <w:r>
        <w:rPr>
          <w:rFonts w:ascii="Arial" w:cs="Arial" w:eastAsia="Arial" w:hAnsi="Arial"/>
          <w:sz w:val="18"/>
          <w:szCs w:val="18"/>
          <w:color w:val="auto"/>
        </w:rPr>
        <w:t xml:space="preserve">The payment, timing, and amount of any dividends are subject to approval by our Board as well as certain limits under our credit facilities. See Note 9. </w:t>
      </w:r>
      <w:r>
        <w:rPr>
          <w:rFonts w:ascii="Arial" w:cs="Arial" w:eastAsia="Arial" w:hAnsi="Arial"/>
          <w:sz w:val="18"/>
          <w:szCs w:val="18"/>
          <w:i w:val="1"/>
          <w:iCs w:val="1"/>
          <w:color w:val="auto"/>
        </w:rPr>
        <w:t>Stockholders' Equity</w:t>
      </w:r>
      <w:r>
        <w:rPr>
          <w:rFonts w:ascii="Arial" w:cs="Arial" w:eastAsia="Arial" w:hAnsi="Arial"/>
          <w:sz w:val="18"/>
          <w:szCs w:val="18"/>
          <w:color w:val="auto"/>
        </w:rPr>
        <w:t>, within the notes to the unaudited condensed consolidated financial statements for additional information regarding our dividends.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Capital Requirements</w:t>
      </w:r>
    </w:p>
    <w:p>
      <w:pPr>
        <w:spacing w:after="0" w:line="247" w:lineRule="exact"/>
        <w:rPr>
          <w:sz w:val="20"/>
          <w:szCs w:val="20"/>
          <w:color w:val="auto"/>
        </w:rPr>
      </w:pPr>
    </w:p>
    <w:p>
      <w:pPr>
        <w:ind w:right="60" w:firstLine="486"/>
        <w:spacing w:after="0" w:line="251" w:lineRule="auto"/>
        <w:rPr>
          <w:sz w:val="20"/>
          <w:szCs w:val="20"/>
          <w:color w:val="auto"/>
        </w:rPr>
      </w:pPr>
      <w:r>
        <w:rPr>
          <w:rFonts w:ascii="Arial" w:cs="Arial" w:eastAsia="Arial" w:hAnsi="Arial"/>
          <w:sz w:val="18"/>
          <w:szCs w:val="18"/>
          <w:color w:val="auto"/>
        </w:rPr>
        <w:t>Our primary requirement for working capital relates to funds we loan to our advisors’ clients for trading conducted on margin and funds we are required to maintain for regulatory capital and reserves based on the requirements of our regulators and clearing organizations, which also consider client balances and trading activities. We have several sources of funds that enable us to meet increases in working capital requirements that relate to increases in client margin activities and balances. These sources include cash and cash equivalents on hand, cash and securities segregated under federal and other regulations, and proceeds from re-pledging or selling client securities in margin accounts. When an advisor's client purchases securities on margin or uses securities as collateral to borrow from us on margin, we are permitted, pursuant to the applicable securities industry regulations, to repledge, loan, or sell securities, up to 140% of the client's margin loan balance, that collateralize those margin accounts. As of September 30, 2016, we had approximately $202.9 million of client margin loans, collateralized with securities having a fair value of approximately $284.0 million that we can re-pledge, loan, or sell. Of these securities, approximately $35.6 million were client-owned securities pledged to the Options Clearing Corporation as collateral to secure client obligations related to options positions. As of September 30, 2016, there were no restrictions that materially limited our ability to re-pledge, loan, or sell the remaining $248.4 million of client collateral.</w:t>
      </w:r>
    </w:p>
    <w:p>
      <w:pPr>
        <w:spacing w:after="0" w:line="211" w:lineRule="exact"/>
        <w:rPr>
          <w:sz w:val="20"/>
          <w:szCs w:val="20"/>
          <w:color w:val="auto"/>
        </w:rPr>
      </w:pPr>
    </w:p>
    <w:p>
      <w:pPr>
        <w:ind w:right="360" w:firstLine="486"/>
        <w:spacing w:after="0" w:line="262" w:lineRule="auto"/>
        <w:rPr>
          <w:sz w:val="20"/>
          <w:szCs w:val="20"/>
          <w:color w:val="auto"/>
        </w:rPr>
      </w:pPr>
      <w:r>
        <w:rPr>
          <w:rFonts w:ascii="Arial" w:cs="Arial" w:eastAsia="Arial" w:hAnsi="Arial"/>
          <w:sz w:val="18"/>
          <w:szCs w:val="18"/>
          <w:color w:val="auto"/>
        </w:rPr>
        <w:t>Our other working capital needs are primarily related to advisor loans and timing associated with receivables and payables, which we have satisfied in the past from internally generated cash flows.</w:t>
      </w:r>
    </w:p>
    <w:p>
      <w:pPr>
        <w:spacing w:after="0" w:line="196" w:lineRule="exact"/>
        <w:rPr>
          <w:sz w:val="20"/>
          <w:szCs w:val="20"/>
          <w:color w:val="auto"/>
        </w:rPr>
      </w:pPr>
    </w:p>
    <w:p>
      <w:pPr>
        <w:ind w:right="60" w:firstLine="486"/>
        <w:spacing w:after="0" w:line="254" w:lineRule="auto"/>
        <w:rPr>
          <w:sz w:val="20"/>
          <w:szCs w:val="20"/>
          <w:color w:val="auto"/>
        </w:rPr>
      </w:pPr>
      <w:r>
        <w:rPr>
          <w:rFonts w:ascii="Arial" w:cs="Arial" w:eastAsia="Arial" w:hAnsi="Arial"/>
          <w:sz w:val="18"/>
          <w:szCs w:val="18"/>
          <w:color w:val="auto"/>
        </w:rPr>
        <w:t>Notwithstanding the self-funding nature of our operations, we may sometimes be required to fund timing differences arising from the delayed receipt of client funds associated with the settlement of client transactions in securities markets. These timing differences are funded either with internally generated cash flow or, if needed, with funds drawn on our uncommitted lines of credit at our broker-dealer subsidiary LPL Financial, or under our revolving credit facility.</w:t>
      </w:r>
    </w:p>
    <w:p>
      <w:pPr>
        <w:spacing w:after="0" w:line="204" w:lineRule="exact"/>
        <w:rPr>
          <w:sz w:val="20"/>
          <w:szCs w:val="20"/>
          <w:color w:val="auto"/>
        </w:rPr>
      </w:pPr>
    </w:p>
    <w:p>
      <w:pPr>
        <w:ind w:right="60" w:firstLine="486"/>
        <w:spacing w:after="0" w:line="254" w:lineRule="auto"/>
        <w:rPr>
          <w:sz w:val="20"/>
          <w:szCs w:val="20"/>
          <w:color w:val="auto"/>
        </w:rPr>
      </w:pPr>
      <w:r>
        <w:rPr>
          <w:rFonts w:ascii="Arial" w:cs="Arial" w:eastAsia="Arial" w:hAnsi="Arial"/>
          <w:sz w:val="18"/>
          <w:szCs w:val="18"/>
          <w:color w:val="auto"/>
        </w:rPr>
        <w:t>Our registered broker-dealer, LPL Financial, is subject to the SEC’s Uniform Net Capital Rule, which requires the maintenance of minimum net capital. LPL Financial computes net capital requirements under the alternative method, which requires firms to maintain minimum net capital, as defined, equal to the greater of $250,000 or 2.0% of aggregate debit balances arising from client transactions. At September 30, 2016, LPL Financial's excess net capital was $87.1 million.</w:t>
      </w:r>
    </w:p>
    <w:p>
      <w:pPr>
        <w:spacing w:after="0" w:line="204" w:lineRule="exact"/>
        <w:rPr>
          <w:sz w:val="20"/>
          <w:szCs w:val="20"/>
          <w:color w:val="auto"/>
        </w:rPr>
      </w:pPr>
    </w:p>
    <w:p>
      <w:pPr>
        <w:jc w:val="both"/>
        <w:ind w:right="60" w:firstLine="486"/>
        <w:spacing w:after="0" w:line="256" w:lineRule="auto"/>
        <w:rPr>
          <w:sz w:val="20"/>
          <w:szCs w:val="20"/>
          <w:color w:val="auto"/>
        </w:rPr>
      </w:pPr>
      <w:r>
        <w:rPr>
          <w:rFonts w:ascii="Arial" w:cs="Arial" w:eastAsia="Arial" w:hAnsi="Arial"/>
          <w:sz w:val="18"/>
          <w:szCs w:val="18"/>
          <w:color w:val="auto"/>
        </w:rPr>
        <w:t>LPL Financial's ability to pay dividends greater than 10% of its excess net capital during any 35 day rolling period requires approval from the Financial Industry Regulatory Authority ("FINRA"). In addition, payment of dividends is restricted if LPL Financial's net capital would be less than 5.0% of aggregate customer debit balances.</w:t>
      </w:r>
    </w:p>
    <w:p>
      <w:pPr>
        <w:spacing w:after="0" w:line="202" w:lineRule="exact"/>
        <w:rPr>
          <w:sz w:val="20"/>
          <w:szCs w:val="20"/>
          <w:color w:val="auto"/>
        </w:rPr>
      </w:pPr>
    </w:p>
    <w:p>
      <w:pPr>
        <w:ind w:right="40" w:firstLine="486"/>
        <w:spacing w:after="0" w:line="253" w:lineRule="auto"/>
        <w:rPr>
          <w:sz w:val="20"/>
          <w:szCs w:val="20"/>
          <w:color w:val="auto"/>
        </w:rPr>
      </w:pPr>
      <w:r>
        <w:rPr>
          <w:rFonts w:ascii="Arial" w:cs="Arial" w:eastAsia="Arial" w:hAnsi="Arial"/>
          <w:sz w:val="18"/>
          <w:szCs w:val="18"/>
          <w:color w:val="auto"/>
        </w:rPr>
        <w:t>LPL Financial also acts as an introducing broker for commodities and futures. Accordingly, its trading activities are subject to the National Futures Association's (“NFA”) financial requirements and it is required to maintain net capital that is in excess of or equal to the greatest of NFA's minimum financial requirements. The NFA was designated by the Commodity Futures Trading Commission as LPL Financial's primary regulator for such activities. Currently, the highest NFA requirement is the minimum net capital calculated and required pursuant to the SEC's Uniform Net Capital Rule.</w:t>
      </w:r>
    </w:p>
    <w:p>
      <w:pPr>
        <w:spacing w:after="0" w:line="206" w:lineRule="exact"/>
        <w:rPr>
          <w:sz w:val="20"/>
          <w:szCs w:val="20"/>
          <w:color w:val="auto"/>
        </w:rPr>
      </w:pPr>
    </w:p>
    <w:p>
      <w:pPr>
        <w:ind w:right="220" w:firstLine="486"/>
        <w:spacing w:after="0" w:line="262" w:lineRule="auto"/>
        <w:rPr>
          <w:sz w:val="20"/>
          <w:szCs w:val="20"/>
          <w:color w:val="auto"/>
        </w:rPr>
      </w:pPr>
      <w:r>
        <w:rPr>
          <w:rFonts w:ascii="Arial" w:cs="Arial" w:eastAsia="Arial" w:hAnsi="Arial"/>
          <w:sz w:val="18"/>
          <w:szCs w:val="18"/>
          <w:color w:val="auto"/>
        </w:rPr>
        <w:t>Our subsidiary, The Private Trust Company, N.A. (“PTC”), is also subject to various regulatory capital requirements. Failure to meet the respective minimum capital requirements can initiate certain mandatory and</w:t>
      </w:r>
    </w:p>
    <w:p>
      <w:pPr>
        <w:sectPr>
          <w:pgSz w:w="11900" w:h="16838" w:orient="portrait"/>
          <w:cols w:equalWidth="0" w:num="1">
            <w:col w:w="11420"/>
          </w:cols>
          <w:pgMar w:left="240" w:top="490" w:right="239" w:bottom="1440" w:gutter="0" w:footer="0" w:header="0"/>
        </w:sect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18</w:t>
      </w:r>
    </w:p>
    <w:p>
      <w:pPr>
        <w:sectPr>
          <w:pgSz w:w="11900" w:h="16838" w:orient="portrait"/>
          <w:cols w:equalWidth="0" w:num="1">
            <w:col w:w="11420"/>
          </w:cols>
          <w:pgMar w:left="240" w:top="490" w:right="239" w:bottom="1440" w:gutter="0" w:footer="0" w:header="0"/>
          <w:type w:val="continuous"/>
        </w:sectPr>
      </w:pPr>
    </w:p>
    <w:bookmarkStart w:id="22" w:name="page23"/>
    <w:bookmarkEnd w:id="22"/>
    <w:p>
      <w:pPr>
        <w:ind w:right="20"/>
        <w:spacing w:after="0" w:line="262" w:lineRule="auto"/>
        <w:rPr>
          <w:sz w:val="20"/>
          <w:szCs w:val="20"/>
          <w:color w:val="auto"/>
        </w:rPr>
      </w:pPr>
      <w:r>
        <w:rPr>
          <w:rFonts w:ascii="Arial" w:cs="Arial" w:eastAsia="Arial" w:hAnsi="Arial"/>
          <w:sz w:val="18"/>
          <w:szCs w:val="18"/>
          <w:color w:val="auto"/>
        </w:rPr>
        <w:t>possible additional discretionary actions by regulators that, if undertaken, could have substantial monetary and non-monetary impacts on PTC's operations.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and Related Covenants</w:t>
      </w:r>
    </w:p>
    <w:p>
      <w:pPr>
        <w:spacing w:after="0" w:line="301" w:lineRule="exact"/>
        <w:rPr>
          <w:sz w:val="20"/>
          <w:szCs w:val="20"/>
          <w:color w:val="auto"/>
        </w:rPr>
      </w:pPr>
    </w:p>
    <w:p>
      <w:pPr>
        <w:ind w:right="1000" w:firstLine="486"/>
        <w:spacing w:after="0" w:line="291" w:lineRule="auto"/>
        <w:rPr>
          <w:sz w:val="20"/>
          <w:szCs w:val="20"/>
          <w:color w:val="auto"/>
        </w:rPr>
      </w:pPr>
      <w:r>
        <w:rPr>
          <w:rFonts w:ascii="Arial" w:cs="Arial" w:eastAsia="Arial" w:hAnsi="Arial"/>
          <w:sz w:val="17"/>
          <w:szCs w:val="17"/>
          <w:color w:val="auto"/>
        </w:rPr>
        <w:t>We are party to a debt agreement with our wholly-owned subsidiary, LPL Holdings, Inc., and other parties thereto (the "Credit Agreement"). See Note 7</w:t>
      </w:r>
      <w:r>
        <w:rPr>
          <w:rFonts w:ascii="Arial" w:cs="Arial" w:eastAsia="Arial" w:hAnsi="Arial"/>
          <w:sz w:val="17"/>
          <w:szCs w:val="17"/>
          <w:i w:val="1"/>
          <w:iCs w:val="1"/>
          <w:color w:val="auto"/>
        </w:rPr>
        <w:t>. Debt,</w:t>
      </w:r>
      <w:r>
        <w:rPr>
          <w:rFonts w:ascii="Arial" w:cs="Arial" w:eastAsia="Arial" w:hAnsi="Arial"/>
          <w:sz w:val="17"/>
          <w:szCs w:val="17"/>
          <w:color w:val="auto"/>
        </w:rPr>
        <w:t xml:space="preserve"> within the notes to the unaudited condensed consolidated financial statements for further detail.</w:t>
      </w:r>
    </w:p>
    <w:p>
      <w:pPr>
        <w:spacing w:after="0" w:line="17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Credit Agreement contains a number of covenants that, among other things, restrict, subject to certain exceptions, our ability to:</w:t>
      </w:r>
    </w:p>
    <w:p>
      <w:pPr>
        <w:spacing w:after="0" w:line="63"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incur additional indebtedness;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create liens;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enter into sale and leaseback transactions;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engage in mergers or consolidations;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sell or transfer assets;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pay dividends and distributions or repurchase our capital stock;</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make investments, loans or advances;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prepay certain subordinated indebtedness;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engage in certain transactions with affiliates;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amend material agreements governing certain subordinated indebtedness;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 our lines of business.</w:t>
      </w:r>
    </w:p>
    <w:p>
      <w:pPr>
        <w:spacing w:after="0" w:line="171" w:lineRule="exact"/>
        <w:rPr>
          <w:sz w:val="20"/>
          <w:szCs w:val="20"/>
          <w:color w:val="auto"/>
        </w:rPr>
      </w:pPr>
    </w:p>
    <w:p>
      <w:pPr>
        <w:ind w:right="120" w:firstLine="486"/>
        <w:spacing w:after="0" w:line="251" w:lineRule="auto"/>
        <w:rPr>
          <w:sz w:val="20"/>
          <w:szCs w:val="20"/>
          <w:color w:val="auto"/>
        </w:rPr>
      </w:pPr>
      <w:r>
        <w:rPr>
          <w:rFonts w:ascii="Arial" w:cs="Arial" w:eastAsia="Arial" w:hAnsi="Arial"/>
          <w:sz w:val="18"/>
          <w:szCs w:val="18"/>
          <w:color w:val="auto"/>
        </w:rPr>
        <w:t>Credit Agreement EBITDA, a non-GAAP measure, is defined in, and calculated by management in accordance with, the Credit Agreement as “Consolidated EBITDA”, which is Consolidated Net Income (as defined in the Credit Agreement) plus interest expense, tax expense, depreciation and amortization, and adjusted to exclude certain non-cash charges and other adjustments and gains. We present Credit Agreement EBITDA because we believe that it can be a useful financial metric in understanding our debt capacity and covenant compliance. However, Credit Agreement EBITDA is not a measure of our financial performance under GAAP and should not be considered as an alternative to net income or any other performance measure derived in accordance with GAAP, or as an alternative to cash flows from operating activities as a measure of profitability or liquidity. In addition, our Credit Agreement-defined EBITDA measure can differ significantly from adjusted EBITDA calculated by other companies, depending on long-term strategic decisions regarding capital structure, the tax jurisdictions in which companies operate, and capital investments.</w:t>
      </w:r>
    </w:p>
    <w:p>
      <w:pPr>
        <w:spacing w:after="0" w:line="213" w:lineRule="exact"/>
        <w:rPr>
          <w:sz w:val="20"/>
          <w:szCs w:val="20"/>
          <w:color w:val="auto"/>
        </w:rPr>
      </w:pPr>
    </w:p>
    <w:p>
      <w:pPr>
        <w:ind w:right="140" w:firstLine="486"/>
        <w:spacing w:after="0" w:line="262" w:lineRule="auto"/>
        <w:rPr>
          <w:sz w:val="20"/>
          <w:szCs w:val="20"/>
          <w:color w:val="auto"/>
        </w:rPr>
      </w:pPr>
      <w:r>
        <w:rPr>
          <w:rFonts w:ascii="Arial" w:cs="Arial" w:eastAsia="Arial" w:hAnsi="Arial"/>
          <w:sz w:val="18"/>
          <w:szCs w:val="18"/>
          <w:color w:val="auto"/>
        </w:rPr>
        <w:t>Set forth below is a reconciliation from our net income to Credit Agreement EBITDA for the three months ended September 30, 2016 (in thousands):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9600" w:type="dxa"/>
            <w:vAlign w:val="bottom"/>
            <w:shd w:val="clear" w:color="auto" w:fill="CCEEFF"/>
          </w:tcPr>
          <w:p>
            <w:pPr>
              <w:ind w:left="80"/>
              <w:spacing w:after="0"/>
              <w:rPr>
                <w:sz w:val="20"/>
                <w:szCs w:val="20"/>
                <w:color w:val="auto"/>
              </w:rPr>
            </w:pPr>
            <w:r>
              <w:rPr>
                <w:rFonts w:ascii="Arial" w:cs="Arial" w:eastAsia="Arial" w:hAnsi="Arial"/>
                <w:sz w:val="16"/>
                <w:szCs w:val="16"/>
                <w:color w:val="auto"/>
              </w:rPr>
              <w:t>Net income</w:t>
            </w:r>
          </w:p>
        </w:tc>
        <w:tc>
          <w:tcPr>
            <w:tcW w:w="62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51,954</w:t>
            </w:r>
          </w:p>
        </w:tc>
      </w:tr>
      <w:tr>
        <w:trPr>
          <w:trHeight w:val="233"/>
        </w:trPr>
        <w:tc>
          <w:tcPr>
            <w:tcW w:w="9600" w:type="dxa"/>
            <w:vAlign w:val="bottom"/>
          </w:tcPr>
          <w:p>
            <w:pPr>
              <w:ind w:left="80"/>
              <w:spacing w:after="0"/>
              <w:rPr>
                <w:sz w:val="20"/>
                <w:szCs w:val="20"/>
                <w:color w:val="auto"/>
              </w:rPr>
            </w:pPr>
            <w:r>
              <w:rPr>
                <w:rFonts w:ascii="Arial" w:cs="Arial" w:eastAsia="Arial" w:hAnsi="Arial"/>
                <w:sz w:val="16"/>
                <w:szCs w:val="16"/>
                <w:color w:val="auto"/>
              </w:rPr>
              <w:t>Non-operating interest expense</w:t>
            </w:r>
          </w:p>
        </w:tc>
        <w:tc>
          <w:tcPr>
            <w:tcW w:w="62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23,889</w:t>
            </w:r>
          </w:p>
        </w:tc>
      </w:tr>
      <w:tr>
        <w:trPr>
          <w:trHeight w:val="253"/>
        </w:trPr>
        <w:tc>
          <w:tcPr>
            <w:tcW w:w="9600" w:type="dxa"/>
            <w:vAlign w:val="bottom"/>
            <w:shd w:val="clear" w:color="auto" w:fill="CCEEFF"/>
          </w:tcPr>
          <w:p>
            <w:pPr>
              <w:ind w:left="80"/>
              <w:spacing w:after="0"/>
              <w:rPr>
                <w:sz w:val="20"/>
                <w:szCs w:val="20"/>
                <w:color w:val="auto"/>
              </w:rPr>
            </w:pPr>
            <w:r>
              <w:rPr>
                <w:rFonts w:ascii="Arial" w:cs="Arial" w:eastAsia="Arial" w:hAnsi="Arial"/>
                <w:sz w:val="16"/>
                <w:szCs w:val="16"/>
                <w:color w:val="auto"/>
              </w:rPr>
              <w:t>Provision for income taxes</w:t>
            </w:r>
          </w:p>
        </w:tc>
        <w:tc>
          <w:tcPr>
            <w:tcW w:w="62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16,270</w:t>
            </w:r>
          </w:p>
        </w:tc>
      </w:tr>
      <w:tr>
        <w:trPr>
          <w:trHeight w:val="233"/>
        </w:trPr>
        <w:tc>
          <w:tcPr>
            <w:tcW w:w="9600" w:type="dxa"/>
            <w:vAlign w:val="bottom"/>
          </w:tcPr>
          <w:p>
            <w:pPr>
              <w:ind w:left="80"/>
              <w:spacing w:after="0"/>
              <w:rPr>
                <w:sz w:val="20"/>
                <w:szCs w:val="20"/>
                <w:color w:val="auto"/>
              </w:rPr>
            </w:pPr>
            <w:r>
              <w:rPr>
                <w:rFonts w:ascii="Arial" w:cs="Arial" w:eastAsia="Arial" w:hAnsi="Arial"/>
                <w:sz w:val="16"/>
                <w:szCs w:val="16"/>
                <w:color w:val="auto"/>
              </w:rPr>
              <w:t>Depreciation and amortization</w:t>
            </w:r>
          </w:p>
        </w:tc>
        <w:tc>
          <w:tcPr>
            <w:tcW w:w="62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18,434</w:t>
            </w:r>
          </w:p>
        </w:tc>
      </w:tr>
      <w:tr>
        <w:trPr>
          <w:trHeight w:val="246"/>
        </w:trPr>
        <w:tc>
          <w:tcPr>
            <w:tcW w:w="9600" w:type="dxa"/>
            <w:vAlign w:val="bottom"/>
            <w:shd w:val="clear" w:color="auto" w:fill="CCEEFF"/>
          </w:tcPr>
          <w:p>
            <w:pPr>
              <w:ind w:left="80"/>
              <w:spacing w:after="0"/>
              <w:rPr>
                <w:sz w:val="20"/>
                <w:szCs w:val="20"/>
                <w:color w:val="auto"/>
              </w:rPr>
            </w:pPr>
            <w:r>
              <w:rPr>
                <w:rFonts w:ascii="Arial" w:cs="Arial" w:eastAsia="Arial" w:hAnsi="Arial"/>
                <w:sz w:val="16"/>
                <w:szCs w:val="16"/>
                <w:color w:val="auto"/>
              </w:rPr>
              <w:t>Amortization of intangible assets</w:t>
            </w:r>
          </w:p>
        </w:tc>
        <w:tc>
          <w:tcPr>
            <w:tcW w:w="62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9,502</w:t>
            </w:r>
          </w:p>
        </w:tc>
      </w:tr>
      <w:tr>
        <w:trPr>
          <w:trHeight w:val="237"/>
        </w:trPr>
        <w:tc>
          <w:tcPr>
            <w:tcW w:w="9600" w:type="dxa"/>
            <w:vAlign w:val="bottom"/>
            <w:tcBorders>
              <w:bottom w:val="single" w:sz="8" w:color="CCEEFF"/>
            </w:tcBorders>
          </w:tcPr>
          <w:p>
            <w:pPr>
              <w:ind w:left="80"/>
              <w:spacing w:after="0"/>
              <w:rPr>
                <w:sz w:val="20"/>
                <w:szCs w:val="20"/>
                <w:color w:val="auto"/>
              </w:rPr>
            </w:pPr>
            <w:r>
              <w:rPr>
                <w:rFonts w:ascii="Arial" w:cs="Arial" w:eastAsia="Arial" w:hAnsi="Arial"/>
                <w:sz w:val="16"/>
                <w:szCs w:val="16"/>
                <w:color w:val="auto"/>
              </w:rPr>
              <w:t>EBITDA</w:t>
            </w:r>
          </w:p>
        </w:tc>
        <w:tc>
          <w:tcPr>
            <w:tcW w:w="6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120,049</w:t>
            </w:r>
          </w:p>
        </w:tc>
      </w:tr>
      <w:tr>
        <w:trPr>
          <w:trHeight w:val="270"/>
        </w:trPr>
        <w:tc>
          <w:tcPr>
            <w:tcW w:w="9600" w:type="dxa"/>
            <w:vAlign w:val="bottom"/>
            <w:shd w:val="clear" w:color="auto" w:fill="CCEEFF"/>
          </w:tcPr>
          <w:p>
            <w:pPr>
              <w:ind w:left="80"/>
              <w:spacing w:after="0"/>
              <w:rPr>
                <w:sz w:val="20"/>
                <w:szCs w:val="20"/>
                <w:color w:val="auto"/>
              </w:rPr>
            </w:pPr>
            <w:r>
              <w:rPr>
                <w:rFonts w:ascii="Arial" w:cs="Arial" w:eastAsia="Arial" w:hAnsi="Arial"/>
                <w:sz w:val="16"/>
                <w:szCs w:val="16"/>
                <w:color w:val="auto"/>
              </w:rPr>
              <w:t>Credit Agreement Adjustments:</w:t>
            </w:r>
          </w:p>
        </w:tc>
        <w:tc>
          <w:tcPr>
            <w:tcW w:w="62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r>
      <w:tr>
        <w:trPr>
          <w:trHeight w:val="233"/>
        </w:trPr>
        <w:tc>
          <w:tcPr>
            <w:tcW w:w="9600" w:type="dxa"/>
            <w:vAlign w:val="bottom"/>
          </w:tcPr>
          <w:p>
            <w:pPr>
              <w:ind w:left="260"/>
              <w:spacing w:after="0"/>
              <w:rPr>
                <w:sz w:val="20"/>
                <w:szCs w:val="20"/>
                <w:color w:val="auto"/>
              </w:rPr>
            </w:pPr>
            <w:r>
              <w:rPr>
                <w:rFonts w:ascii="Arial" w:cs="Arial" w:eastAsia="Arial" w:hAnsi="Arial"/>
                <w:sz w:val="16"/>
                <w:szCs w:val="16"/>
                <w:color w:val="auto"/>
              </w:rPr>
              <w:t>Employee share-based compensation expense(1)</w:t>
            </w:r>
          </w:p>
        </w:tc>
        <w:tc>
          <w:tcPr>
            <w:tcW w:w="62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4,431</w:t>
            </w:r>
          </w:p>
        </w:tc>
      </w:tr>
      <w:tr>
        <w:trPr>
          <w:trHeight w:val="253"/>
        </w:trPr>
        <w:tc>
          <w:tcPr>
            <w:tcW w:w="9600" w:type="dxa"/>
            <w:vAlign w:val="bottom"/>
            <w:shd w:val="clear" w:color="auto" w:fill="CCEEFF"/>
          </w:tcPr>
          <w:p>
            <w:pPr>
              <w:ind w:left="260"/>
              <w:spacing w:after="0"/>
              <w:rPr>
                <w:sz w:val="20"/>
                <w:szCs w:val="20"/>
                <w:color w:val="auto"/>
              </w:rPr>
            </w:pPr>
            <w:r>
              <w:rPr>
                <w:rFonts w:ascii="Arial" w:cs="Arial" w:eastAsia="Arial" w:hAnsi="Arial"/>
                <w:sz w:val="16"/>
                <w:szCs w:val="16"/>
                <w:color w:val="auto"/>
              </w:rPr>
              <w:t>Advisor share-based compensation expense(2)</w:t>
            </w:r>
          </w:p>
        </w:tc>
        <w:tc>
          <w:tcPr>
            <w:tcW w:w="62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2,327</w:t>
            </w:r>
          </w:p>
        </w:tc>
      </w:tr>
      <w:tr>
        <w:trPr>
          <w:trHeight w:val="237"/>
        </w:trPr>
        <w:tc>
          <w:tcPr>
            <w:tcW w:w="9600" w:type="dxa"/>
            <w:vAlign w:val="bottom"/>
            <w:tcBorders>
              <w:bottom w:val="single" w:sz="8" w:color="CCEEFF"/>
            </w:tcBorders>
          </w:tcPr>
          <w:p>
            <w:pPr>
              <w:ind w:left="260"/>
              <w:spacing w:after="0"/>
              <w:rPr>
                <w:sz w:val="20"/>
                <w:szCs w:val="20"/>
                <w:color w:val="auto"/>
              </w:rPr>
            </w:pPr>
            <w:r>
              <w:rPr>
                <w:rFonts w:ascii="Arial" w:cs="Arial" w:eastAsia="Arial" w:hAnsi="Arial"/>
                <w:sz w:val="16"/>
                <w:szCs w:val="16"/>
                <w:color w:val="auto"/>
              </w:rPr>
              <w:t>Other(3)</w:t>
            </w:r>
          </w:p>
        </w:tc>
        <w:tc>
          <w:tcPr>
            <w:tcW w:w="6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5,727</w:t>
            </w:r>
          </w:p>
        </w:tc>
      </w:tr>
      <w:tr>
        <w:trPr>
          <w:trHeight w:val="240"/>
        </w:trPr>
        <w:tc>
          <w:tcPr>
            <w:tcW w:w="96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Credit Agreement EBITDA</w:t>
            </w:r>
          </w:p>
        </w:tc>
        <w:tc>
          <w:tcPr>
            <w:tcW w:w="620" w:type="dxa"/>
            <w:vAlign w:val="bottom"/>
            <w:tcBorders>
              <w:bottom w:val="single" w:sz="8" w:color="auto"/>
            </w:tcBorders>
            <w:shd w:val="clear" w:color="auto" w:fill="CCEEFF"/>
          </w:tcPr>
          <w:p>
            <w:pPr>
              <w:jc w:val="right"/>
              <w:ind w:right="41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132,534</w:t>
            </w:r>
          </w:p>
        </w:tc>
      </w:tr>
      <w:tr>
        <w:trPr>
          <w:trHeight w:val="20"/>
        </w:trPr>
        <w:tc>
          <w:tcPr>
            <w:tcW w:w="96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70" w:lineRule="exact"/>
        <w:rPr>
          <w:sz w:val="20"/>
          <w:szCs w:val="20"/>
          <w:color w:val="auto"/>
        </w:rPr>
      </w:pPr>
    </w:p>
    <w:p>
      <w:pPr>
        <w:spacing w:after="0"/>
        <w:rPr>
          <w:sz w:val="20"/>
          <w:szCs w:val="20"/>
          <w:color w:val="auto"/>
        </w:rPr>
      </w:pPr>
      <w:r>
        <w:rPr>
          <w:rFonts w:ascii="Arial" w:cs="Arial" w:eastAsia="Arial" w:hAnsi="Arial"/>
          <w:sz w:val="7"/>
          <w:szCs w:val="7"/>
          <w:color w:val="auto"/>
        </w:rPr>
        <w:t>_______________________________</w:t>
      </w:r>
    </w:p>
    <w:p>
      <w:pPr>
        <w:spacing w:after="0" w:line="227" w:lineRule="exact"/>
        <w:rPr>
          <w:sz w:val="20"/>
          <w:szCs w:val="20"/>
          <w:color w:val="auto"/>
        </w:rPr>
      </w:pPr>
    </w:p>
    <w:p>
      <w:pPr>
        <w:ind w:left="660" w:right="40" w:hanging="328"/>
        <w:spacing w:after="0" w:line="256"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Represents share-based compensation for equity awards granted to employees, officers, and directors. Such awards are measured based on the grant-date fair value and recognized over the requisite service period of the individual awards, which generally equals the vesting period.</w:t>
      </w:r>
    </w:p>
    <w:p>
      <w:pPr>
        <w:spacing w:after="0" w:line="147" w:lineRule="exact"/>
        <w:rPr>
          <w:rFonts w:ascii="Arial" w:cs="Arial" w:eastAsia="Arial" w:hAnsi="Arial"/>
          <w:sz w:val="18"/>
          <w:szCs w:val="18"/>
          <w:color w:val="auto"/>
        </w:rPr>
      </w:pPr>
    </w:p>
    <w:p>
      <w:pPr>
        <w:ind w:left="660" w:right="260" w:hanging="328"/>
        <w:spacing w:after="0" w:line="262"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Represents share-based compensation for stock options and warrants awarded to advisors and to financial institutions based on the fair value of the awards at each reporting period.</w:t>
      </w:r>
    </w:p>
    <w:p>
      <w:pPr>
        <w:sectPr>
          <w:pgSz w:w="11900" w:h="16838" w:orient="portrait"/>
          <w:cols w:equalWidth="0" w:num="1">
            <w:col w:w="11420"/>
          </w:cols>
          <w:pgMar w:left="240" w:top="490" w:right="239" w:bottom="1440" w:gutter="0" w:footer="0" w:header="0"/>
        </w:sect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19</w:t>
      </w:r>
    </w:p>
    <w:p>
      <w:pPr>
        <w:sectPr>
          <w:pgSz w:w="11900" w:h="16838" w:orient="portrait"/>
          <w:cols w:equalWidth="0" w:num="1">
            <w:col w:w="11420"/>
          </w:cols>
          <w:pgMar w:left="240" w:top="490" w:right="239" w:bottom="1440" w:gutter="0" w:footer="0" w:header="0"/>
          <w:type w:val="continuous"/>
        </w:sectPr>
      </w:pPr>
    </w:p>
    <w:bookmarkStart w:id="23" w:name="page24"/>
    <w:bookmarkEnd w:id="23"/>
    <w:p>
      <w:pPr>
        <w:ind w:left="660" w:right="240" w:hanging="328"/>
        <w:spacing w:after="0" w:line="291" w:lineRule="auto"/>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Represents other items that are adjustable in accordance with our Credit Agreement to arrive at Credit Agreement EBITDA including employee severance costs, employee signing costs, employee retention or completion bonuses, and other non-recurring costs.</w:t>
      </w:r>
    </w:p>
    <w:p>
      <w:pPr>
        <w:spacing w:after="0" w:line="174" w:lineRule="exact"/>
        <w:rPr>
          <w:sz w:val="20"/>
          <w:szCs w:val="20"/>
          <w:color w:val="auto"/>
        </w:rPr>
      </w:pPr>
    </w:p>
    <w:p>
      <w:pPr>
        <w:ind w:left="60" w:right="80" w:firstLine="486"/>
        <w:spacing w:after="0" w:line="252" w:lineRule="auto"/>
        <w:rPr>
          <w:sz w:val="20"/>
          <w:szCs w:val="20"/>
          <w:color w:val="auto"/>
        </w:rPr>
      </w:pPr>
      <w:r>
        <w:rPr>
          <w:rFonts w:ascii="Arial" w:cs="Arial" w:eastAsia="Arial" w:hAnsi="Arial"/>
          <w:sz w:val="18"/>
          <w:szCs w:val="18"/>
          <w:color w:val="auto"/>
        </w:rPr>
        <w:t>Our Credit Agreement prohibits us from paying dividends and distributions or repurchasing our capital stock except for limited purposes. In addition, our financial covenant requirements include a total leverage ratio test and an interest coverage ratio test. Under our total leverage ratio test, we covenant not to allow the ratio of our consolidated total debt (as defined) to Credit Agreement EBITDA reflecting financial covenants in our Credit Agreement to exceed certain prescribed levels set forth in the Credit Agreement. Under our interest coverage ratio test, we covenant not to allow the ratio of our Credit Agreement EBITDA to our consolidated interest expense (as defined in the Credit Agreement) to be less than certain prescribed levels set forth in the Credit Agreement. Each of our financial ratios is measured at the end of each fiscal quarter.</w:t>
      </w:r>
    </w:p>
    <w:p>
      <w:pPr>
        <w:spacing w:after="0" w:line="207" w:lineRule="exact"/>
        <w:rPr>
          <w:sz w:val="20"/>
          <w:szCs w:val="20"/>
          <w:color w:val="auto"/>
        </w:rPr>
      </w:pPr>
    </w:p>
    <w:p>
      <w:pPr>
        <w:ind w:right="280" w:firstLine="486"/>
        <w:spacing w:after="0" w:line="262" w:lineRule="auto"/>
        <w:rPr>
          <w:sz w:val="20"/>
          <w:szCs w:val="20"/>
          <w:color w:val="auto"/>
        </w:rPr>
      </w:pPr>
      <w:r>
        <w:rPr>
          <w:rFonts w:ascii="Arial" w:cs="Arial" w:eastAsia="Arial" w:hAnsi="Arial"/>
          <w:sz w:val="18"/>
          <w:szCs w:val="18"/>
          <w:color w:val="auto"/>
        </w:rPr>
        <w:t>As of September 30, 2016, we were in compliance with all of our covenant requirements. Our covenant requirements and actual ratios were as follows: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740" w:type="dxa"/>
            <w:vAlign w:val="bottom"/>
          </w:tcPr>
          <w:p>
            <w:pPr>
              <w:spacing w:after="0"/>
              <w:rPr>
                <w:sz w:val="16"/>
                <w:szCs w:val="16"/>
                <w:color w:val="auto"/>
              </w:rPr>
            </w:pPr>
          </w:p>
        </w:tc>
        <w:tc>
          <w:tcPr>
            <w:tcW w:w="4900" w:type="dxa"/>
            <w:vAlign w:val="bottom"/>
            <w:gridSpan w:val="2"/>
          </w:tcPr>
          <w:p>
            <w:pPr>
              <w:jc w:val="center"/>
              <w:ind w:left="3219"/>
              <w:spacing w:after="0"/>
              <w:rPr>
                <w:sz w:val="20"/>
                <w:szCs w:val="20"/>
                <w:color w:val="auto"/>
              </w:rPr>
            </w:pPr>
            <w:r>
              <w:rPr>
                <w:rFonts w:ascii="Arial" w:cs="Arial" w:eastAsia="Arial" w:hAnsi="Arial"/>
                <w:sz w:val="16"/>
                <w:szCs w:val="16"/>
                <w:b w:val="1"/>
                <w:bCs w:val="1"/>
                <w:color w:val="auto"/>
                <w:w w:val="98"/>
              </w:rPr>
              <w:t>Covenant</w:t>
            </w:r>
          </w:p>
        </w:tc>
        <w:tc>
          <w:tcPr>
            <w:tcW w:w="780" w:type="dxa"/>
            <w:vAlign w:val="bottom"/>
          </w:tcPr>
          <w:p>
            <w:pPr>
              <w:jc w:val="right"/>
              <w:ind w:right="59"/>
              <w:spacing w:after="0"/>
              <w:rPr>
                <w:sz w:val="20"/>
                <w:szCs w:val="20"/>
                <w:color w:val="auto"/>
              </w:rPr>
            </w:pPr>
            <w:r>
              <w:rPr>
                <w:rFonts w:ascii="Arial" w:cs="Arial" w:eastAsia="Arial" w:hAnsi="Arial"/>
                <w:sz w:val="16"/>
                <w:szCs w:val="16"/>
                <w:b w:val="1"/>
                <w:bCs w:val="1"/>
                <w:color w:val="auto"/>
              </w:rPr>
              <w:t>Actual</w:t>
            </w:r>
          </w:p>
        </w:tc>
      </w:tr>
      <w:tr>
        <w:trPr>
          <w:trHeight w:val="228"/>
        </w:trPr>
        <w:tc>
          <w:tcPr>
            <w:tcW w:w="5740" w:type="dxa"/>
            <w:vAlign w:val="bottom"/>
          </w:tcPr>
          <w:p>
            <w:pPr>
              <w:ind w:left="40"/>
              <w:spacing w:after="0"/>
              <w:rPr>
                <w:sz w:val="20"/>
                <w:szCs w:val="20"/>
                <w:color w:val="auto"/>
              </w:rPr>
            </w:pPr>
            <w:r>
              <w:rPr>
                <w:rFonts w:ascii="Arial" w:cs="Arial" w:eastAsia="Arial" w:hAnsi="Arial"/>
                <w:sz w:val="16"/>
                <w:szCs w:val="16"/>
                <w:b w:val="1"/>
                <w:bCs w:val="1"/>
                <w:color w:val="auto"/>
              </w:rPr>
              <w:t>Financial Ratio</w:t>
            </w:r>
          </w:p>
        </w:tc>
        <w:tc>
          <w:tcPr>
            <w:tcW w:w="4900" w:type="dxa"/>
            <w:vAlign w:val="bottom"/>
            <w:gridSpan w:val="2"/>
          </w:tcPr>
          <w:p>
            <w:pPr>
              <w:jc w:val="center"/>
              <w:ind w:left="3219"/>
              <w:spacing w:after="0"/>
              <w:rPr>
                <w:sz w:val="20"/>
                <w:szCs w:val="20"/>
                <w:color w:val="auto"/>
              </w:rPr>
            </w:pPr>
            <w:r>
              <w:rPr>
                <w:rFonts w:ascii="Arial" w:cs="Arial" w:eastAsia="Arial" w:hAnsi="Arial"/>
                <w:sz w:val="16"/>
                <w:szCs w:val="16"/>
                <w:b w:val="1"/>
                <w:bCs w:val="1"/>
                <w:color w:val="auto"/>
              </w:rPr>
              <w:t>Requirement</w:t>
            </w:r>
          </w:p>
        </w:tc>
        <w:tc>
          <w:tcPr>
            <w:tcW w:w="780" w:type="dxa"/>
            <w:vAlign w:val="bottom"/>
          </w:tcPr>
          <w:p>
            <w:pPr>
              <w:jc w:val="right"/>
              <w:ind w:right="99"/>
              <w:spacing w:after="0"/>
              <w:rPr>
                <w:sz w:val="20"/>
                <w:szCs w:val="20"/>
                <w:color w:val="auto"/>
              </w:rPr>
            </w:pPr>
            <w:r>
              <w:rPr>
                <w:rFonts w:ascii="Arial" w:cs="Arial" w:eastAsia="Arial" w:hAnsi="Arial"/>
                <w:sz w:val="16"/>
                <w:szCs w:val="16"/>
                <w:b w:val="1"/>
                <w:bCs w:val="1"/>
                <w:color w:val="auto"/>
              </w:rPr>
              <w:t>Ratio</w:t>
            </w:r>
          </w:p>
        </w:tc>
      </w:tr>
      <w:tr>
        <w:trPr>
          <w:trHeight w:val="257"/>
        </w:trPr>
        <w:tc>
          <w:tcPr>
            <w:tcW w:w="574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Leverage Test (Maximum)</w:t>
            </w:r>
          </w:p>
        </w:tc>
        <w:tc>
          <w:tcPr>
            <w:tcW w:w="4780" w:type="dxa"/>
            <w:vAlign w:val="bottom"/>
            <w:tcBorders>
              <w:top w:val="single" w:sz="8" w:color="auto"/>
            </w:tcBorders>
            <w:shd w:val="clear" w:color="auto" w:fill="CCEEFF"/>
          </w:tcPr>
          <w:p>
            <w:pPr>
              <w:jc w:val="center"/>
              <w:ind w:left="3339"/>
              <w:spacing w:after="0"/>
              <w:rPr>
                <w:sz w:val="20"/>
                <w:szCs w:val="20"/>
                <w:color w:val="auto"/>
              </w:rPr>
            </w:pPr>
            <w:r>
              <w:rPr>
                <w:rFonts w:ascii="Arial" w:cs="Arial" w:eastAsia="Arial" w:hAnsi="Arial"/>
                <w:sz w:val="16"/>
                <w:szCs w:val="16"/>
                <w:color w:val="auto"/>
              </w:rPr>
              <w:t>5.0</w:t>
            </w:r>
          </w:p>
        </w:tc>
        <w:tc>
          <w:tcPr>
            <w:tcW w:w="120" w:type="dxa"/>
            <w:vAlign w:val="bottom"/>
            <w:tcBorders>
              <w:top w:val="single" w:sz="8" w:color="CCEEFF"/>
            </w:tcBorders>
            <w:shd w:val="clear" w:color="auto" w:fill="CCEEFF"/>
          </w:tcPr>
          <w:p>
            <w:pPr>
              <w:spacing w:after="0"/>
              <w:rPr>
                <w:sz w:val="22"/>
                <w:szCs w:val="22"/>
                <w:color w:val="auto"/>
              </w:rPr>
            </w:pPr>
          </w:p>
        </w:tc>
        <w:tc>
          <w:tcPr>
            <w:tcW w:w="78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3.57</w:t>
            </w:r>
          </w:p>
        </w:tc>
      </w:tr>
      <w:tr>
        <w:trPr>
          <w:trHeight w:val="251"/>
        </w:trPr>
        <w:tc>
          <w:tcPr>
            <w:tcW w:w="5740" w:type="dxa"/>
            <w:vAlign w:val="bottom"/>
          </w:tcPr>
          <w:p>
            <w:pPr>
              <w:ind w:left="40"/>
              <w:spacing w:after="0"/>
              <w:rPr>
                <w:sz w:val="20"/>
                <w:szCs w:val="20"/>
                <w:color w:val="auto"/>
              </w:rPr>
            </w:pPr>
            <w:r>
              <w:rPr>
                <w:rFonts w:ascii="Arial" w:cs="Arial" w:eastAsia="Arial" w:hAnsi="Arial"/>
                <w:sz w:val="16"/>
                <w:szCs w:val="16"/>
                <w:color w:val="auto"/>
              </w:rPr>
              <w:t>Interest Coverage (Minimum)</w:t>
            </w:r>
          </w:p>
        </w:tc>
        <w:tc>
          <w:tcPr>
            <w:tcW w:w="4780" w:type="dxa"/>
            <w:vAlign w:val="bottom"/>
          </w:tcPr>
          <w:p>
            <w:pPr>
              <w:jc w:val="center"/>
              <w:ind w:left="3339"/>
              <w:spacing w:after="0"/>
              <w:rPr>
                <w:sz w:val="20"/>
                <w:szCs w:val="20"/>
                <w:color w:val="auto"/>
              </w:rPr>
            </w:pPr>
            <w:r>
              <w:rPr>
                <w:rFonts w:ascii="Arial" w:cs="Arial" w:eastAsia="Arial" w:hAnsi="Arial"/>
                <w:sz w:val="16"/>
                <w:szCs w:val="16"/>
                <w:color w:val="auto"/>
              </w:rPr>
              <w:t>3.0</w:t>
            </w:r>
          </w:p>
        </w:tc>
        <w:tc>
          <w:tcPr>
            <w:tcW w:w="120" w:type="dxa"/>
            <w:vAlign w:val="bottom"/>
          </w:tcPr>
          <w:p>
            <w:pPr>
              <w:spacing w:after="0"/>
              <w:rPr>
                <w:sz w:val="21"/>
                <w:szCs w:val="21"/>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6.20</w:t>
            </w:r>
          </w:p>
        </w:tc>
      </w:tr>
    </w:tbl>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47"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 xml:space="preserve">We enter into various off-balance-sheet arrangements in the ordinary course of business, primarily to meet the needs of our advisors’ clients. These arrangements include firm commitments to extend credit. For information on these arrangements, see Note 8. </w:t>
      </w:r>
      <w:r>
        <w:rPr>
          <w:rFonts w:ascii="Arial" w:cs="Arial" w:eastAsia="Arial" w:hAnsi="Arial"/>
          <w:sz w:val="18"/>
          <w:szCs w:val="18"/>
          <w:i w:val="1"/>
          <w:iCs w:val="1"/>
          <w:color w:val="auto"/>
        </w:rPr>
        <w:t>Commitments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Contingencies </w:t>
      </w:r>
      <w:r>
        <w:rPr>
          <w:rFonts w:ascii="Arial" w:cs="Arial" w:eastAsia="Arial" w:hAnsi="Arial"/>
          <w:sz w:val="18"/>
          <w:szCs w:val="18"/>
          <w:color w:val="auto"/>
        </w:rPr>
        <w:t>and Note 15.</w:t>
      </w:r>
      <w:r>
        <w:rPr>
          <w:rFonts w:ascii="Arial" w:cs="Arial" w:eastAsia="Arial" w:hAnsi="Arial"/>
          <w:sz w:val="18"/>
          <w:szCs w:val="18"/>
          <w:i w:val="1"/>
          <w:iCs w:val="1"/>
          <w:color w:val="auto"/>
        </w:rPr>
        <w:t xml:space="preserve"> Financial Instruments with Off-Balance-Sheet Credit Risk and Concentrations of Credit Risk</w:t>
      </w:r>
      <w:r>
        <w:rPr>
          <w:rFonts w:ascii="Arial" w:cs="Arial" w:eastAsia="Arial" w:hAnsi="Arial"/>
          <w:sz w:val="18"/>
          <w:szCs w:val="18"/>
          <w:color w:val="auto"/>
        </w:rPr>
        <w:t>, within the notes to the</w:t>
      </w:r>
      <w:r>
        <w:rPr>
          <w:rFonts w:ascii="Arial" w:cs="Arial" w:eastAsia="Arial" w:hAnsi="Arial"/>
          <w:sz w:val="18"/>
          <w:szCs w:val="18"/>
          <w:i w:val="1"/>
          <w:iCs w:val="1"/>
          <w:color w:val="auto"/>
        </w:rPr>
        <w:t xml:space="preserve"> </w:t>
      </w:r>
      <w:r>
        <w:rPr>
          <w:rFonts w:ascii="Arial" w:cs="Arial" w:eastAsia="Arial" w:hAnsi="Arial"/>
          <w:sz w:val="18"/>
          <w:szCs w:val="18"/>
          <w:color w:val="auto"/>
        </w:rPr>
        <w:t>unaudited condensed consolidated financial statements.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47" w:lineRule="exact"/>
        <w:rPr>
          <w:sz w:val="20"/>
          <w:szCs w:val="20"/>
          <w:color w:val="auto"/>
        </w:rPr>
      </w:pPr>
    </w:p>
    <w:p>
      <w:pPr>
        <w:ind w:firstLine="486"/>
        <w:spacing w:after="0" w:line="251" w:lineRule="auto"/>
        <w:rPr>
          <w:sz w:val="20"/>
          <w:szCs w:val="20"/>
          <w:color w:val="auto"/>
        </w:rPr>
      </w:pPr>
      <w:r>
        <w:rPr>
          <w:rFonts w:ascii="Arial" w:cs="Arial" w:eastAsia="Arial" w:hAnsi="Arial"/>
          <w:sz w:val="18"/>
          <w:szCs w:val="18"/>
          <w:color w:val="auto"/>
        </w:rPr>
        <w:t>We are involved in a build-to-suit lease arrangement in Fort Mill, South Carolina, under which we serve as the construction agent on behalf of the landlord. Under such arrangement, we have obligations to fund cost over-runs in our capacity as the construction agent, and accordingly have determined that under lease accounting standards we bear substantially all of the risks and rewards of ownership as measured under GAAP. We are therefore required to report the landlord's costs of construction on our balance sheet as a fixed asset during the construction period as if we owned such asset. As of September 30, 2016, we have recorded $105.9 million in fixed assets in connection with this arrangement and an equal and off-setting leasehold financing obligation on the unaudited condensed consolidated statement of financial condition. Once construction is complete, if it is determined that the asset does not qualify for sale-leaseback accounting treatment, we will amortize the obligation over the lease term and depreciate the asset over the life of the lease. We will not report rent expense for the lease; rather, lease payments will be recognized as a reduction of the financing obligation and interest expense. See Note 2</w:t>
      </w:r>
      <w:r>
        <w:rPr>
          <w:rFonts w:ascii="Arial" w:cs="Arial" w:eastAsia="Arial" w:hAnsi="Arial"/>
          <w:sz w:val="18"/>
          <w:szCs w:val="18"/>
          <w:i w:val="1"/>
          <w:iCs w:val="1"/>
          <w:color w:val="auto"/>
        </w:rPr>
        <w:t>. Summary of Significant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Accounting Policies </w:t>
      </w:r>
      <w:r>
        <w:rPr>
          <w:rFonts w:ascii="Arial" w:cs="Arial" w:eastAsia="Arial" w:hAnsi="Arial"/>
          <w:sz w:val="18"/>
          <w:szCs w:val="18"/>
          <w:color w:val="auto"/>
        </w:rPr>
        <w:t>within the notes to the unaudited condensed consolidated financial statements for further detail as well as Risks Related to</w:t>
      </w:r>
      <w:r>
        <w:rPr>
          <w:rFonts w:ascii="Arial" w:cs="Arial" w:eastAsia="Arial" w:hAnsi="Arial"/>
          <w:sz w:val="18"/>
          <w:szCs w:val="18"/>
          <w:i w:val="1"/>
          <w:iCs w:val="1"/>
          <w:color w:val="auto"/>
        </w:rPr>
        <w:t xml:space="preserve"> </w:t>
      </w:r>
      <w:r>
        <w:rPr>
          <w:rFonts w:ascii="Arial" w:cs="Arial" w:eastAsia="Arial" w:hAnsi="Arial"/>
          <w:sz w:val="18"/>
          <w:szCs w:val="18"/>
          <w:color w:val="auto"/>
        </w:rPr>
        <w:t>Our Business Generally section within Part I, "Item 1A. Risk Factors" in our 2015 Annual Report on Form 10-K for more information about the risks associated with this real estate development project.</w:t>
      </w:r>
    </w:p>
    <w:p>
      <w:pPr>
        <w:spacing w:after="0" w:line="265" w:lineRule="exact"/>
        <w:rPr>
          <w:sz w:val="20"/>
          <w:szCs w:val="20"/>
          <w:color w:val="auto"/>
        </w:rPr>
      </w:pPr>
    </w:p>
    <w:p>
      <w:pPr>
        <w:ind w:right="20" w:firstLine="486"/>
        <w:spacing w:after="0" w:line="253" w:lineRule="auto"/>
        <w:rPr>
          <w:sz w:val="20"/>
          <w:szCs w:val="20"/>
          <w:color w:val="auto"/>
        </w:rPr>
      </w:pPr>
      <w:r>
        <w:rPr>
          <w:rFonts w:ascii="Arial" w:cs="Arial" w:eastAsia="Arial" w:hAnsi="Arial"/>
          <w:sz w:val="18"/>
          <w:szCs w:val="18"/>
          <w:color w:val="auto"/>
        </w:rPr>
        <w:t xml:space="preserve">During the nine months ended September 30, 2016, there have been no material changes in our contractual obligations, other than in the ordinary course of business or as noted above, from those disclosed in our 2015 Annual Report on Form 10-K. See Note 7. </w:t>
      </w:r>
      <w:r>
        <w:rPr>
          <w:rFonts w:ascii="Arial" w:cs="Arial" w:eastAsia="Arial" w:hAnsi="Arial"/>
          <w:sz w:val="18"/>
          <w:szCs w:val="18"/>
          <w:i w:val="1"/>
          <w:iCs w:val="1"/>
          <w:color w:val="auto"/>
        </w:rPr>
        <w:t>Debt</w:t>
      </w:r>
      <w:r>
        <w:rPr>
          <w:rFonts w:ascii="Arial" w:cs="Arial" w:eastAsia="Arial" w:hAnsi="Arial"/>
          <w:sz w:val="18"/>
          <w:szCs w:val="18"/>
          <w:color w:val="auto"/>
        </w:rPr>
        <w:t xml:space="preserve"> and Note 8. </w:t>
      </w:r>
      <w:r>
        <w:rPr>
          <w:rFonts w:ascii="Arial" w:cs="Arial" w:eastAsia="Arial" w:hAnsi="Arial"/>
          <w:sz w:val="18"/>
          <w:szCs w:val="18"/>
          <w:i w:val="1"/>
          <w:iCs w:val="1"/>
          <w:color w:val="auto"/>
        </w:rPr>
        <w:t xml:space="preserve">Commitments and Contingencies, </w:t>
      </w:r>
      <w:r>
        <w:rPr>
          <w:rFonts w:ascii="Arial" w:cs="Arial" w:eastAsia="Arial" w:hAnsi="Arial"/>
          <w:sz w:val="18"/>
          <w:szCs w:val="18"/>
          <w:color w:val="auto"/>
        </w:rPr>
        <w:t>within the notes to the unaudited condensed consolidated financial statements, as well as the Contractual</w:t>
      </w:r>
      <w:r>
        <w:rPr>
          <w:rFonts w:ascii="Arial" w:cs="Arial" w:eastAsia="Arial" w:hAnsi="Arial"/>
          <w:sz w:val="18"/>
          <w:szCs w:val="18"/>
          <w:i w:val="1"/>
          <w:iCs w:val="1"/>
          <w:color w:val="auto"/>
        </w:rPr>
        <w:t xml:space="preserve"> </w:t>
      </w:r>
      <w:r>
        <w:rPr>
          <w:rFonts w:ascii="Arial" w:cs="Arial" w:eastAsia="Arial" w:hAnsi="Arial"/>
          <w:sz w:val="18"/>
          <w:szCs w:val="18"/>
          <w:color w:val="auto"/>
        </w:rPr>
        <w:t>Obligations section within Part II, “Item 7. Management’s Discussion and Analysis of Financial Condition and Results of Operations” in our 2015 Annual Report on Form 10-K, for further detail on operating lease obligations and obligations under noncancelable service contracts.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Instruments</w:t>
      </w:r>
    </w:p>
    <w:p>
      <w:pPr>
        <w:spacing w:after="0" w:line="247" w:lineRule="exact"/>
        <w:rPr>
          <w:sz w:val="20"/>
          <w:szCs w:val="20"/>
          <w:color w:val="auto"/>
        </w:rPr>
      </w:pPr>
    </w:p>
    <w:p>
      <w:pPr>
        <w:ind w:right="60" w:firstLine="486"/>
        <w:spacing w:after="0" w:line="256" w:lineRule="auto"/>
        <w:rPr>
          <w:sz w:val="20"/>
          <w:szCs w:val="20"/>
          <w:color w:val="auto"/>
        </w:rPr>
      </w:pPr>
      <w:r>
        <w:rPr>
          <w:rFonts w:ascii="Arial" w:cs="Arial" w:eastAsia="Arial" w:hAnsi="Arial"/>
          <w:sz w:val="18"/>
          <w:szCs w:val="18"/>
          <w:color w:val="auto"/>
        </w:rPr>
        <w:t>We use fair value measurements to record certain financial assets and liabilities at fair value and to determine fair value disclosures. See Note 3</w:t>
      </w:r>
      <w:r>
        <w:rPr>
          <w:rFonts w:ascii="Arial" w:cs="Arial" w:eastAsia="Arial" w:hAnsi="Arial"/>
          <w:sz w:val="18"/>
          <w:szCs w:val="18"/>
          <w:i w:val="1"/>
          <w:iCs w:val="1"/>
          <w:color w:val="auto"/>
        </w:rPr>
        <w:t>. Fair Value Measurements,</w:t>
      </w:r>
      <w:r>
        <w:rPr>
          <w:rFonts w:ascii="Arial" w:cs="Arial" w:eastAsia="Arial" w:hAnsi="Arial"/>
          <w:sz w:val="18"/>
          <w:szCs w:val="18"/>
          <w:color w:val="auto"/>
        </w:rPr>
        <w:t xml:space="preserve"> within the notes to the unaudited condensed consolidated financial statements for a detailed discussion regarding our fair value measurements.</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90"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47" w:lineRule="exact"/>
        <w:rPr>
          <w:sz w:val="20"/>
          <w:szCs w:val="20"/>
          <w:color w:val="auto"/>
        </w:rPr>
      </w:pPr>
    </w:p>
    <w:p>
      <w:pPr>
        <w:ind w:firstLine="486"/>
        <w:spacing w:after="0" w:line="253" w:lineRule="auto"/>
        <w:rPr>
          <w:sz w:val="20"/>
          <w:szCs w:val="20"/>
          <w:color w:val="auto"/>
        </w:rPr>
      </w:pPr>
      <w:r>
        <w:rPr>
          <w:rFonts w:ascii="Arial" w:cs="Arial" w:eastAsia="Arial" w:hAnsi="Arial"/>
          <w:sz w:val="18"/>
          <w:szCs w:val="18"/>
          <w:color w:val="auto"/>
        </w:rPr>
        <w:t>In the notes to our consolidated financial statements and in “Item 7-Management’s Discussion and Analysis of Financial Condition and Results of Operations” included in our 2015 Annual Report on Form 10-K, we have disclosed those accounting policies that we consider to be significant in determining our results of operations and financial condition. There have been no material changes to those policies that we consider to be significant since the filing of our 2015 Annual Report on Form 10-K. The accounting principles used in preparing our unaudited condensed consolidated financial statements conform in all material respects to GAAP.</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229" w:lineRule="exact"/>
        <w:rPr>
          <w:sz w:val="20"/>
          <w:szCs w:val="20"/>
          <w:color w:val="auto"/>
        </w:rPr>
      </w:pPr>
    </w:p>
    <w:p>
      <w:pPr>
        <w:ind w:right="460" w:firstLine="486"/>
        <w:spacing w:after="0" w:line="266" w:lineRule="auto"/>
        <w:rPr>
          <w:sz w:val="20"/>
          <w:szCs w:val="20"/>
          <w:color w:val="auto"/>
        </w:rPr>
      </w:pPr>
      <w:r>
        <w:rPr>
          <w:rFonts w:ascii="Arial" w:cs="Arial" w:eastAsia="Arial" w:hAnsi="Arial"/>
          <w:sz w:val="18"/>
          <w:szCs w:val="18"/>
          <w:color w:val="auto"/>
        </w:rPr>
        <w:t>Refer to Note 2</w:t>
      </w:r>
      <w:r>
        <w:rPr>
          <w:rFonts w:ascii="Arial" w:cs="Arial" w:eastAsia="Arial" w:hAnsi="Arial"/>
          <w:sz w:val="18"/>
          <w:szCs w:val="18"/>
          <w:i w:val="1"/>
          <w:iCs w:val="1"/>
          <w:color w:val="auto"/>
        </w:rPr>
        <w:t>. Summary of Significant Accounting Policies,</w:t>
      </w:r>
      <w:r>
        <w:rPr>
          <w:rFonts w:ascii="Arial" w:cs="Arial" w:eastAsia="Arial" w:hAnsi="Arial"/>
          <w:sz w:val="18"/>
          <w:szCs w:val="18"/>
          <w:color w:val="auto"/>
        </w:rPr>
        <w:t xml:space="preserve"> within the notes to the unaudited condensed consolidated financial statements for a discussion of recent accounting pronouncements or changes in accounting pronouncements that are of significance, or potential significance, to us.</w:t>
      </w:r>
    </w:p>
    <w:p>
      <w:pPr>
        <w:spacing w:after="0" w:line="32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60"/>
          </w:cols>
          <w:pgMar w:left="240" w:top="522" w:right="39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Item 1. Financial Statements (unaudited)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120" w:type="dxa"/>
            <w:vAlign w:val="bottom"/>
          </w:tcPr>
          <w:p>
            <w:pPr>
              <w:spacing w:after="0"/>
              <w:rPr>
                <w:sz w:val="16"/>
                <w:szCs w:val="16"/>
                <w:color w:val="auto"/>
              </w:rPr>
            </w:pPr>
          </w:p>
        </w:tc>
        <w:tc>
          <w:tcPr>
            <w:tcW w:w="2700" w:type="dxa"/>
            <w:vAlign w:val="bottom"/>
            <w:gridSpan w:val="7"/>
          </w:tcPr>
          <w:p>
            <w:pPr>
              <w:ind w:left="80"/>
              <w:spacing w:after="0"/>
              <w:rPr>
                <w:sz w:val="20"/>
                <w:szCs w:val="20"/>
                <w:color w:val="auto"/>
              </w:rPr>
            </w:pPr>
            <w:r>
              <w:rPr>
                <w:rFonts w:ascii="Arial" w:cs="Arial" w:eastAsia="Arial" w:hAnsi="Arial"/>
                <w:sz w:val="16"/>
                <w:szCs w:val="16"/>
                <w:b w:val="1"/>
                <w:bCs w:val="1"/>
                <w:color w:val="auto"/>
              </w:rPr>
              <w:t>Three Months Ended September</w:t>
            </w:r>
          </w:p>
        </w:tc>
        <w:tc>
          <w:tcPr>
            <w:tcW w:w="2600" w:type="dxa"/>
            <w:vAlign w:val="bottom"/>
            <w:gridSpan w:val="6"/>
          </w:tcPr>
          <w:p>
            <w:pPr>
              <w:jc w:val="right"/>
              <w:spacing w:after="0"/>
              <w:rPr>
                <w:sz w:val="20"/>
                <w:szCs w:val="20"/>
                <w:color w:val="auto"/>
              </w:rPr>
            </w:pPr>
            <w:r>
              <w:rPr>
                <w:rFonts w:ascii="Arial" w:cs="Arial" w:eastAsia="Arial" w:hAnsi="Arial"/>
                <w:sz w:val="16"/>
                <w:szCs w:val="16"/>
                <w:b w:val="1"/>
                <w:bCs w:val="1"/>
                <w:color w:val="auto"/>
              </w:rPr>
              <w:t>Nine Months Ended September</w:t>
            </w:r>
          </w:p>
        </w:tc>
        <w:tc>
          <w:tcPr>
            <w:tcW w:w="0" w:type="dxa"/>
            <w:vAlign w:val="bottom"/>
          </w:tcPr>
          <w:p>
            <w:pPr>
              <w:spacing w:after="0"/>
              <w:rPr>
                <w:sz w:val="1"/>
                <w:szCs w:val="1"/>
                <w:color w:val="auto"/>
              </w:rPr>
            </w:pPr>
          </w:p>
        </w:tc>
      </w:tr>
      <w:tr>
        <w:trPr>
          <w:trHeight w:val="228"/>
        </w:trPr>
        <w:tc>
          <w:tcPr>
            <w:tcW w:w="6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gridSpan w:val="3"/>
          </w:tcPr>
          <w:p>
            <w:pPr>
              <w:jc w:val="right"/>
              <w:ind w:right="119"/>
              <w:spacing w:after="0"/>
              <w:rPr>
                <w:sz w:val="20"/>
                <w:szCs w:val="20"/>
                <w:color w:val="auto"/>
              </w:rPr>
            </w:pPr>
            <w:r>
              <w:rPr>
                <w:rFonts w:ascii="Arial" w:cs="Arial" w:eastAsia="Arial" w:hAnsi="Arial"/>
                <w:sz w:val="16"/>
                <w:szCs w:val="16"/>
                <w:b w:val="1"/>
                <w:bCs w:val="1"/>
                <w:color w:val="auto"/>
                <w:w w:val="98"/>
              </w:rPr>
              <w:t>30,</w:t>
            </w:r>
          </w:p>
        </w:tc>
        <w:tc>
          <w:tcPr>
            <w:tcW w:w="9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gridSpan w:val="3"/>
          </w:tcPr>
          <w:p>
            <w:pPr>
              <w:jc w:val="right"/>
              <w:ind w:right="119"/>
              <w:spacing w:after="0"/>
              <w:rPr>
                <w:sz w:val="20"/>
                <w:szCs w:val="20"/>
                <w:color w:val="auto"/>
              </w:rPr>
            </w:pPr>
            <w:r>
              <w:rPr>
                <w:rFonts w:ascii="Arial" w:cs="Arial" w:eastAsia="Arial" w:hAnsi="Arial"/>
                <w:sz w:val="16"/>
                <w:szCs w:val="16"/>
                <w:b w:val="1"/>
                <w:bCs w:val="1"/>
                <w:color w:val="auto"/>
                <w:w w:val="98"/>
              </w:rPr>
              <w:t>30,</w:t>
            </w:r>
          </w:p>
        </w:tc>
        <w:tc>
          <w:tcPr>
            <w:tcW w:w="9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61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2016</w:t>
            </w:r>
          </w:p>
        </w:tc>
        <w:tc>
          <w:tcPr>
            <w:tcW w:w="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2016</w:t>
            </w:r>
          </w:p>
        </w:tc>
        <w:tc>
          <w:tcPr>
            <w:tcW w:w="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2015</w:t>
            </w:r>
          </w:p>
        </w:tc>
        <w:tc>
          <w:tcPr>
            <w:tcW w:w="0" w:type="dxa"/>
            <w:vAlign w:val="bottom"/>
          </w:tcPr>
          <w:p>
            <w:pPr>
              <w:spacing w:after="0"/>
              <w:rPr>
                <w:sz w:val="1"/>
                <w:szCs w:val="1"/>
                <w:color w:val="auto"/>
              </w:rPr>
            </w:pPr>
          </w:p>
        </w:tc>
      </w:tr>
      <w:tr>
        <w:trPr>
          <w:trHeight w:val="260"/>
        </w:trPr>
        <w:tc>
          <w:tcPr>
            <w:tcW w:w="6120" w:type="dxa"/>
            <w:vAlign w:val="bottom"/>
          </w:tcPr>
          <w:p>
            <w:pPr>
              <w:ind w:left="40"/>
              <w:spacing w:after="0"/>
              <w:rPr>
                <w:sz w:val="20"/>
                <w:szCs w:val="20"/>
                <w:color w:val="auto"/>
              </w:rPr>
            </w:pPr>
            <w:r>
              <w:rPr>
                <w:rFonts w:ascii="Arial" w:cs="Arial" w:eastAsia="Arial" w:hAnsi="Arial"/>
                <w:sz w:val="16"/>
                <w:szCs w:val="16"/>
                <w:color w:val="auto"/>
              </w:rPr>
              <w:t>REVENUES</w:t>
            </w:r>
          </w:p>
        </w:tc>
        <w:tc>
          <w:tcPr>
            <w:tcW w:w="2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61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Commission</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431,686</w:t>
            </w:r>
          </w:p>
        </w:tc>
        <w:tc>
          <w:tcPr>
            <w:tcW w:w="440" w:type="dxa"/>
            <w:vAlign w:val="bottom"/>
            <w:gridSpan w:val="3"/>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480,271</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1,314,168</w:t>
            </w:r>
          </w:p>
        </w:tc>
        <w:tc>
          <w:tcPr>
            <w:tcW w:w="440" w:type="dxa"/>
            <w:vAlign w:val="bottom"/>
            <w:gridSpan w:val="3"/>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1,513,359</w:t>
            </w:r>
          </w:p>
        </w:tc>
        <w:tc>
          <w:tcPr>
            <w:tcW w:w="0" w:type="dxa"/>
            <w:vAlign w:val="bottom"/>
          </w:tcPr>
          <w:p>
            <w:pPr>
              <w:spacing w:after="0"/>
              <w:rPr>
                <w:sz w:val="1"/>
                <w:szCs w:val="1"/>
                <w:color w:val="auto"/>
              </w:rPr>
            </w:pPr>
          </w:p>
        </w:tc>
      </w:tr>
      <w:tr>
        <w:trPr>
          <w:trHeight w:val="260"/>
        </w:trPr>
        <w:tc>
          <w:tcPr>
            <w:tcW w:w="6120" w:type="dxa"/>
            <w:vAlign w:val="bottom"/>
          </w:tcPr>
          <w:p>
            <w:pPr>
              <w:ind w:left="360"/>
              <w:spacing w:after="0"/>
              <w:rPr>
                <w:sz w:val="20"/>
                <w:szCs w:val="20"/>
                <w:color w:val="auto"/>
              </w:rPr>
            </w:pPr>
            <w:r>
              <w:rPr>
                <w:rFonts w:ascii="Arial" w:cs="Arial" w:eastAsia="Arial" w:hAnsi="Arial"/>
                <w:sz w:val="16"/>
                <w:szCs w:val="16"/>
                <w:color w:val="auto"/>
              </w:rPr>
              <w:t>Advisory</w:t>
            </w:r>
          </w:p>
        </w:tc>
        <w:tc>
          <w:tcPr>
            <w:tcW w:w="2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321,911</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341,217</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964,298</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1,028,213</w:t>
            </w:r>
          </w:p>
        </w:tc>
        <w:tc>
          <w:tcPr>
            <w:tcW w:w="0" w:type="dxa"/>
            <w:vAlign w:val="bottom"/>
          </w:tcPr>
          <w:p>
            <w:pPr>
              <w:spacing w:after="0"/>
              <w:rPr>
                <w:sz w:val="1"/>
                <w:szCs w:val="1"/>
                <w:color w:val="auto"/>
              </w:rPr>
            </w:pPr>
          </w:p>
        </w:tc>
      </w:tr>
      <w:tr>
        <w:trPr>
          <w:trHeight w:val="280"/>
        </w:trPr>
        <w:tc>
          <w:tcPr>
            <w:tcW w:w="61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Asset-based</w:t>
            </w:r>
          </w:p>
        </w:tc>
        <w:tc>
          <w:tcPr>
            <w:tcW w:w="28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138,291</w:t>
            </w: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123,921</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412,339</w:t>
            </w: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369,625</w:t>
            </w:r>
          </w:p>
        </w:tc>
        <w:tc>
          <w:tcPr>
            <w:tcW w:w="0" w:type="dxa"/>
            <w:vAlign w:val="bottom"/>
          </w:tcPr>
          <w:p>
            <w:pPr>
              <w:spacing w:after="0"/>
              <w:rPr>
                <w:sz w:val="1"/>
                <w:szCs w:val="1"/>
                <w:color w:val="auto"/>
              </w:rPr>
            </w:pPr>
          </w:p>
        </w:tc>
      </w:tr>
      <w:tr>
        <w:trPr>
          <w:trHeight w:val="260"/>
        </w:trPr>
        <w:tc>
          <w:tcPr>
            <w:tcW w:w="6120" w:type="dxa"/>
            <w:vAlign w:val="bottom"/>
          </w:tcPr>
          <w:p>
            <w:pPr>
              <w:ind w:left="360"/>
              <w:spacing w:after="0"/>
              <w:rPr>
                <w:sz w:val="20"/>
                <w:szCs w:val="20"/>
                <w:color w:val="auto"/>
              </w:rPr>
            </w:pPr>
            <w:r>
              <w:rPr>
                <w:rFonts w:ascii="Arial" w:cs="Arial" w:eastAsia="Arial" w:hAnsi="Arial"/>
                <w:sz w:val="16"/>
                <w:szCs w:val="16"/>
                <w:color w:val="auto"/>
              </w:rPr>
              <w:t>Transaction and fee</w:t>
            </w:r>
          </w:p>
        </w:tc>
        <w:tc>
          <w:tcPr>
            <w:tcW w:w="2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108,413</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105,593</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312,927</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305,099</w:t>
            </w:r>
          </w:p>
        </w:tc>
        <w:tc>
          <w:tcPr>
            <w:tcW w:w="0" w:type="dxa"/>
            <w:vAlign w:val="bottom"/>
          </w:tcPr>
          <w:p>
            <w:pPr>
              <w:spacing w:after="0"/>
              <w:rPr>
                <w:sz w:val="1"/>
                <w:szCs w:val="1"/>
                <w:color w:val="auto"/>
              </w:rPr>
            </w:pPr>
          </w:p>
        </w:tc>
      </w:tr>
      <w:tr>
        <w:trPr>
          <w:trHeight w:val="280"/>
        </w:trPr>
        <w:tc>
          <w:tcPr>
            <w:tcW w:w="61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Interest income, net of interest expense</w:t>
            </w:r>
          </w:p>
        </w:tc>
        <w:tc>
          <w:tcPr>
            <w:tcW w:w="28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5,372</w:t>
            </w: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5,221</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15,940</w:t>
            </w: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14,976</w:t>
            </w:r>
          </w:p>
        </w:tc>
        <w:tc>
          <w:tcPr>
            <w:tcW w:w="0" w:type="dxa"/>
            <w:vAlign w:val="bottom"/>
          </w:tcPr>
          <w:p>
            <w:pPr>
              <w:spacing w:after="0"/>
              <w:rPr>
                <w:sz w:val="1"/>
                <w:szCs w:val="1"/>
                <w:color w:val="auto"/>
              </w:rPr>
            </w:pPr>
          </w:p>
        </w:tc>
      </w:tr>
      <w:tr>
        <w:trPr>
          <w:trHeight w:val="264"/>
        </w:trPr>
        <w:tc>
          <w:tcPr>
            <w:tcW w:w="612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Other</w:t>
            </w: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11,767</w:t>
            </w:r>
          </w:p>
        </w:tc>
        <w:tc>
          <w:tcPr>
            <w:tcW w:w="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(1,478)</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22,254</w:t>
            </w:r>
          </w:p>
        </w:tc>
        <w:tc>
          <w:tcPr>
            <w:tcW w:w="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23,436</w:t>
            </w:r>
          </w:p>
        </w:tc>
        <w:tc>
          <w:tcPr>
            <w:tcW w:w="0" w:type="dxa"/>
            <w:vAlign w:val="bottom"/>
          </w:tcPr>
          <w:p>
            <w:pPr>
              <w:spacing w:after="0"/>
              <w:rPr>
                <w:sz w:val="1"/>
                <w:szCs w:val="1"/>
                <w:color w:val="auto"/>
              </w:rPr>
            </w:pPr>
          </w:p>
        </w:tc>
      </w:tr>
      <w:tr>
        <w:trPr>
          <w:trHeight w:val="257"/>
        </w:trPr>
        <w:tc>
          <w:tcPr>
            <w:tcW w:w="6120" w:type="dxa"/>
            <w:vAlign w:val="bottom"/>
            <w:shd w:val="clear" w:color="auto" w:fill="CCEEFF"/>
          </w:tcPr>
          <w:p>
            <w:pPr>
              <w:ind w:left="520"/>
              <w:spacing w:after="0"/>
              <w:rPr>
                <w:sz w:val="20"/>
                <w:szCs w:val="20"/>
                <w:color w:val="auto"/>
              </w:rPr>
            </w:pPr>
            <w:r>
              <w:rPr>
                <w:rFonts w:ascii="Arial" w:cs="Arial" w:eastAsia="Arial" w:hAnsi="Arial"/>
                <w:sz w:val="16"/>
                <w:szCs w:val="16"/>
                <w:color w:val="auto"/>
              </w:rPr>
              <w:t>Total net revenues</w:t>
            </w:r>
          </w:p>
        </w:tc>
        <w:tc>
          <w:tcPr>
            <w:tcW w:w="28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1,017,440</w:t>
            </w:r>
          </w:p>
        </w:tc>
        <w:tc>
          <w:tcPr>
            <w:tcW w:w="60" w:type="dxa"/>
            <w:vAlign w:val="bottom"/>
            <w:tcBorders>
              <w:bottom w:val="single" w:sz="8" w:color="auto"/>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1,054,745</w:t>
            </w:r>
          </w:p>
        </w:tc>
        <w:tc>
          <w:tcPr>
            <w:tcW w:w="1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3,041,926</w:t>
            </w:r>
          </w:p>
        </w:tc>
        <w:tc>
          <w:tcPr>
            <w:tcW w:w="60" w:type="dxa"/>
            <w:vAlign w:val="bottom"/>
            <w:tcBorders>
              <w:bottom w:val="single" w:sz="8" w:color="auto"/>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3,254,708</w:t>
            </w:r>
          </w:p>
        </w:tc>
        <w:tc>
          <w:tcPr>
            <w:tcW w:w="0" w:type="dxa"/>
            <w:vAlign w:val="bottom"/>
          </w:tcPr>
          <w:p>
            <w:pPr>
              <w:spacing w:after="0"/>
              <w:rPr>
                <w:sz w:val="1"/>
                <w:szCs w:val="1"/>
                <w:color w:val="auto"/>
              </w:rPr>
            </w:pPr>
          </w:p>
        </w:tc>
      </w:tr>
      <w:tr>
        <w:trPr>
          <w:trHeight w:val="254"/>
        </w:trPr>
        <w:tc>
          <w:tcPr>
            <w:tcW w:w="6120" w:type="dxa"/>
            <w:vAlign w:val="bottom"/>
          </w:tcPr>
          <w:p>
            <w:pPr>
              <w:ind w:left="40"/>
              <w:spacing w:after="0"/>
              <w:rPr>
                <w:sz w:val="20"/>
                <w:szCs w:val="20"/>
                <w:color w:val="auto"/>
              </w:rPr>
            </w:pPr>
            <w:r>
              <w:rPr>
                <w:rFonts w:ascii="Arial" w:cs="Arial" w:eastAsia="Arial" w:hAnsi="Arial"/>
                <w:sz w:val="16"/>
                <w:szCs w:val="16"/>
                <w:color w:val="auto"/>
              </w:rPr>
              <w:t>EXPENSES</w:t>
            </w:r>
          </w:p>
        </w:tc>
        <w:tc>
          <w:tcPr>
            <w:tcW w:w="2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61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Commission and advisory</w:t>
            </w:r>
          </w:p>
        </w:tc>
        <w:tc>
          <w:tcPr>
            <w:tcW w:w="28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657,432</w:t>
            </w: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701,585</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1,954,123</w:t>
            </w: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2,179,686</w:t>
            </w:r>
          </w:p>
        </w:tc>
        <w:tc>
          <w:tcPr>
            <w:tcW w:w="0" w:type="dxa"/>
            <w:vAlign w:val="bottom"/>
          </w:tcPr>
          <w:p>
            <w:pPr>
              <w:spacing w:after="0"/>
              <w:rPr>
                <w:sz w:val="1"/>
                <w:szCs w:val="1"/>
                <w:color w:val="auto"/>
              </w:rPr>
            </w:pPr>
          </w:p>
        </w:tc>
      </w:tr>
      <w:tr>
        <w:trPr>
          <w:trHeight w:val="260"/>
        </w:trPr>
        <w:tc>
          <w:tcPr>
            <w:tcW w:w="6120" w:type="dxa"/>
            <w:vAlign w:val="bottom"/>
          </w:tcPr>
          <w:p>
            <w:pPr>
              <w:ind w:left="360"/>
              <w:spacing w:after="0"/>
              <w:rPr>
                <w:sz w:val="20"/>
                <w:szCs w:val="20"/>
                <w:color w:val="auto"/>
              </w:rPr>
            </w:pPr>
            <w:r>
              <w:rPr>
                <w:rFonts w:ascii="Arial" w:cs="Arial" w:eastAsia="Arial" w:hAnsi="Arial"/>
                <w:sz w:val="16"/>
                <w:szCs w:val="16"/>
                <w:color w:val="auto"/>
              </w:rPr>
              <w:t>Compensation and benefits</w:t>
            </w:r>
          </w:p>
        </w:tc>
        <w:tc>
          <w:tcPr>
            <w:tcW w:w="2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107,988</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110,494</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327,816</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335,111</w:t>
            </w:r>
          </w:p>
        </w:tc>
        <w:tc>
          <w:tcPr>
            <w:tcW w:w="0" w:type="dxa"/>
            <w:vAlign w:val="bottom"/>
          </w:tcPr>
          <w:p>
            <w:pPr>
              <w:spacing w:after="0"/>
              <w:rPr>
                <w:sz w:val="1"/>
                <w:szCs w:val="1"/>
                <w:color w:val="auto"/>
              </w:rPr>
            </w:pPr>
          </w:p>
        </w:tc>
      </w:tr>
      <w:tr>
        <w:trPr>
          <w:trHeight w:val="280"/>
        </w:trPr>
        <w:tc>
          <w:tcPr>
            <w:tcW w:w="61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Promotional</w:t>
            </w:r>
          </w:p>
        </w:tc>
        <w:tc>
          <w:tcPr>
            <w:tcW w:w="28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42,609</w:t>
            </w: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42,040</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113,010</w:t>
            </w: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104,416</w:t>
            </w:r>
          </w:p>
        </w:tc>
        <w:tc>
          <w:tcPr>
            <w:tcW w:w="0" w:type="dxa"/>
            <w:vAlign w:val="bottom"/>
          </w:tcPr>
          <w:p>
            <w:pPr>
              <w:spacing w:after="0"/>
              <w:rPr>
                <w:sz w:val="1"/>
                <w:szCs w:val="1"/>
                <w:color w:val="auto"/>
              </w:rPr>
            </w:pPr>
          </w:p>
        </w:tc>
      </w:tr>
      <w:tr>
        <w:trPr>
          <w:trHeight w:val="260"/>
        </w:trPr>
        <w:tc>
          <w:tcPr>
            <w:tcW w:w="6120" w:type="dxa"/>
            <w:vAlign w:val="bottom"/>
          </w:tcPr>
          <w:p>
            <w:pPr>
              <w:ind w:left="360"/>
              <w:spacing w:after="0"/>
              <w:rPr>
                <w:sz w:val="20"/>
                <w:szCs w:val="20"/>
                <w:color w:val="auto"/>
              </w:rPr>
            </w:pPr>
            <w:r>
              <w:rPr>
                <w:rFonts w:ascii="Arial" w:cs="Arial" w:eastAsia="Arial" w:hAnsi="Arial"/>
                <w:sz w:val="16"/>
                <w:szCs w:val="16"/>
                <w:color w:val="auto"/>
              </w:rPr>
              <w:t>Depreciation and amortization</w:t>
            </w:r>
          </w:p>
        </w:tc>
        <w:tc>
          <w:tcPr>
            <w:tcW w:w="2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18,434</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17,231</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56,145</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50,856</w:t>
            </w:r>
          </w:p>
        </w:tc>
        <w:tc>
          <w:tcPr>
            <w:tcW w:w="0" w:type="dxa"/>
            <w:vAlign w:val="bottom"/>
          </w:tcPr>
          <w:p>
            <w:pPr>
              <w:spacing w:after="0"/>
              <w:rPr>
                <w:sz w:val="1"/>
                <w:szCs w:val="1"/>
                <w:color w:val="auto"/>
              </w:rPr>
            </w:pPr>
          </w:p>
        </w:tc>
      </w:tr>
      <w:tr>
        <w:trPr>
          <w:trHeight w:val="280"/>
        </w:trPr>
        <w:tc>
          <w:tcPr>
            <w:tcW w:w="61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Amortization of intangible assets</w:t>
            </w:r>
          </w:p>
        </w:tc>
        <w:tc>
          <w:tcPr>
            <w:tcW w:w="28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9,502</w:t>
            </w: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9,535</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28,536</w:t>
            </w: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28,708</w:t>
            </w:r>
          </w:p>
        </w:tc>
        <w:tc>
          <w:tcPr>
            <w:tcW w:w="0" w:type="dxa"/>
            <w:vAlign w:val="bottom"/>
          </w:tcPr>
          <w:p>
            <w:pPr>
              <w:spacing w:after="0"/>
              <w:rPr>
                <w:sz w:val="1"/>
                <w:szCs w:val="1"/>
                <w:color w:val="auto"/>
              </w:rPr>
            </w:pPr>
          </w:p>
        </w:tc>
      </w:tr>
      <w:tr>
        <w:trPr>
          <w:trHeight w:val="260"/>
        </w:trPr>
        <w:tc>
          <w:tcPr>
            <w:tcW w:w="6120" w:type="dxa"/>
            <w:vAlign w:val="bottom"/>
          </w:tcPr>
          <w:p>
            <w:pPr>
              <w:ind w:left="360"/>
              <w:spacing w:after="0"/>
              <w:rPr>
                <w:sz w:val="20"/>
                <w:szCs w:val="20"/>
                <w:color w:val="auto"/>
              </w:rPr>
            </w:pPr>
            <w:r>
              <w:rPr>
                <w:rFonts w:ascii="Arial" w:cs="Arial" w:eastAsia="Arial" w:hAnsi="Arial"/>
                <w:sz w:val="16"/>
                <w:szCs w:val="16"/>
                <w:color w:val="auto"/>
              </w:rPr>
              <w:t>Occupancy and equipment</w:t>
            </w:r>
          </w:p>
        </w:tc>
        <w:tc>
          <w:tcPr>
            <w:tcW w:w="2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23,530</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19,760</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67,347</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61,957</w:t>
            </w:r>
          </w:p>
        </w:tc>
        <w:tc>
          <w:tcPr>
            <w:tcW w:w="0" w:type="dxa"/>
            <w:vAlign w:val="bottom"/>
          </w:tcPr>
          <w:p>
            <w:pPr>
              <w:spacing w:after="0"/>
              <w:rPr>
                <w:sz w:val="1"/>
                <w:szCs w:val="1"/>
                <w:color w:val="auto"/>
              </w:rPr>
            </w:pPr>
          </w:p>
        </w:tc>
      </w:tr>
      <w:tr>
        <w:trPr>
          <w:trHeight w:val="280"/>
        </w:trPr>
        <w:tc>
          <w:tcPr>
            <w:tcW w:w="61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Professional services</w:t>
            </w:r>
          </w:p>
        </w:tc>
        <w:tc>
          <w:tcPr>
            <w:tcW w:w="28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17,045</w:t>
            </w: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15,341</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49,184</w:t>
            </w: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43,914</w:t>
            </w:r>
          </w:p>
        </w:tc>
        <w:tc>
          <w:tcPr>
            <w:tcW w:w="0" w:type="dxa"/>
            <w:vAlign w:val="bottom"/>
          </w:tcPr>
          <w:p>
            <w:pPr>
              <w:spacing w:after="0"/>
              <w:rPr>
                <w:sz w:val="1"/>
                <w:szCs w:val="1"/>
                <w:color w:val="auto"/>
              </w:rPr>
            </w:pPr>
          </w:p>
        </w:tc>
      </w:tr>
      <w:tr>
        <w:trPr>
          <w:trHeight w:val="260"/>
        </w:trPr>
        <w:tc>
          <w:tcPr>
            <w:tcW w:w="6120" w:type="dxa"/>
            <w:vAlign w:val="bottom"/>
          </w:tcPr>
          <w:p>
            <w:pPr>
              <w:ind w:left="360"/>
              <w:spacing w:after="0"/>
              <w:rPr>
                <w:sz w:val="20"/>
                <w:szCs w:val="20"/>
                <w:color w:val="auto"/>
              </w:rPr>
            </w:pPr>
            <w:r>
              <w:rPr>
                <w:rFonts w:ascii="Arial" w:cs="Arial" w:eastAsia="Arial" w:hAnsi="Arial"/>
                <w:sz w:val="16"/>
                <w:szCs w:val="16"/>
                <w:color w:val="auto"/>
              </w:rPr>
              <w:t>Brokerage, clearing, and exchange</w:t>
            </w:r>
          </w:p>
        </w:tc>
        <w:tc>
          <w:tcPr>
            <w:tcW w:w="2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13,098</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13,403</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40,296</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39,680</w:t>
            </w:r>
          </w:p>
        </w:tc>
        <w:tc>
          <w:tcPr>
            <w:tcW w:w="0" w:type="dxa"/>
            <w:vAlign w:val="bottom"/>
          </w:tcPr>
          <w:p>
            <w:pPr>
              <w:spacing w:after="0"/>
              <w:rPr>
                <w:sz w:val="1"/>
                <w:szCs w:val="1"/>
                <w:color w:val="auto"/>
              </w:rPr>
            </w:pPr>
          </w:p>
        </w:tc>
      </w:tr>
      <w:tr>
        <w:trPr>
          <w:trHeight w:val="280"/>
        </w:trPr>
        <w:tc>
          <w:tcPr>
            <w:tcW w:w="61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Communications and data processing</w:t>
            </w:r>
          </w:p>
        </w:tc>
        <w:tc>
          <w:tcPr>
            <w:tcW w:w="28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10,333</w:t>
            </w: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11,253</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31,801</w:t>
            </w: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33,974</w:t>
            </w:r>
          </w:p>
        </w:tc>
        <w:tc>
          <w:tcPr>
            <w:tcW w:w="0" w:type="dxa"/>
            <w:vAlign w:val="bottom"/>
          </w:tcPr>
          <w:p>
            <w:pPr>
              <w:spacing w:after="0"/>
              <w:rPr>
                <w:sz w:val="1"/>
                <w:szCs w:val="1"/>
                <w:color w:val="auto"/>
              </w:rPr>
            </w:pPr>
          </w:p>
        </w:tc>
      </w:tr>
      <w:tr>
        <w:trPr>
          <w:trHeight w:val="260"/>
        </w:trPr>
        <w:tc>
          <w:tcPr>
            <w:tcW w:w="6120" w:type="dxa"/>
            <w:vAlign w:val="bottom"/>
          </w:tcPr>
          <w:p>
            <w:pPr>
              <w:ind w:left="360"/>
              <w:spacing w:after="0"/>
              <w:rPr>
                <w:sz w:val="20"/>
                <w:szCs w:val="20"/>
                <w:color w:val="auto"/>
              </w:rPr>
            </w:pPr>
            <w:r>
              <w:rPr>
                <w:rFonts w:ascii="Arial" w:cs="Arial" w:eastAsia="Arial" w:hAnsi="Arial"/>
                <w:sz w:val="16"/>
                <w:szCs w:val="16"/>
                <w:color w:val="auto"/>
              </w:rPr>
              <w:t>Restructuring charges</w:t>
            </w:r>
          </w:p>
        </w:tc>
        <w:tc>
          <w:tcPr>
            <w:tcW w:w="2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3,071</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11,487</w:t>
            </w:r>
          </w:p>
        </w:tc>
        <w:tc>
          <w:tcPr>
            <w:tcW w:w="0" w:type="dxa"/>
            <w:vAlign w:val="bottom"/>
          </w:tcPr>
          <w:p>
            <w:pPr>
              <w:spacing w:after="0"/>
              <w:rPr>
                <w:sz w:val="1"/>
                <w:szCs w:val="1"/>
                <w:color w:val="auto"/>
              </w:rPr>
            </w:pPr>
          </w:p>
        </w:tc>
      </w:tr>
      <w:tr>
        <w:trPr>
          <w:trHeight w:val="273"/>
        </w:trPr>
        <w:tc>
          <w:tcPr>
            <w:tcW w:w="61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w:t>
            </w:r>
          </w:p>
        </w:tc>
        <w:tc>
          <w:tcPr>
            <w:tcW w:w="28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25,356</w:t>
            </w:r>
          </w:p>
        </w:tc>
        <w:tc>
          <w:tcPr>
            <w:tcW w:w="6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28,852</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69,512</w:t>
            </w:r>
          </w:p>
        </w:tc>
        <w:tc>
          <w:tcPr>
            <w:tcW w:w="6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86,796</w:t>
            </w:r>
          </w:p>
        </w:tc>
        <w:tc>
          <w:tcPr>
            <w:tcW w:w="0" w:type="dxa"/>
            <w:vAlign w:val="bottom"/>
          </w:tcPr>
          <w:p>
            <w:pPr>
              <w:spacing w:after="0"/>
              <w:rPr>
                <w:sz w:val="1"/>
                <w:szCs w:val="1"/>
                <w:color w:val="auto"/>
              </w:rPr>
            </w:pPr>
          </w:p>
        </w:tc>
      </w:tr>
      <w:tr>
        <w:trPr>
          <w:trHeight w:val="250"/>
        </w:trPr>
        <w:tc>
          <w:tcPr>
            <w:tcW w:w="6120" w:type="dxa"/>
            <w:vAlign w:val="bottom"/>
            <w:tcBorders>
              <w:bottom w:val="single" w:sz="8" w:color="CCEEFF"/>
            </w:tcBorders>
          </w:tcPr>
          <w:p>
            <w:pPr>
              <w:ind w:left="520"/>
              <w:spacing w:after="0"/>
              <w:rPr>
                <w:sz w:val="20"/>
                <w:szCs w:val="20"/>
                <w:color w:val="auto"/>
              </w:rPr>
            </w:pPr>
            <w:r>
              <w:rPr>
                <w:rFonts w:ascii="Arial" w:cs="Arial" w:eastAsia="Arial" w:hAnsi="Arial"/>
                <w:sz w:val="16"/>
                <w:szCs w:val="16"/>
                <w:color w:val="auto"/>
              </w:rPr>
              <w:t>Total operating expenses</w:t>
            </w:r>
          </w:p>
        </w:tc>
        <w:tc>
          <w:tcPr>
            <w:tcW w:w="2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925,327</w:t>
            </w:r>
          </w:p>
        </w:tc>
        <w:tc>
          <w:tcPr>
            <w:tcW w:w="6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972,565</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2,737,770</w:t>
            </w:r>
          </w:p>
        </w:tc>
        <w:tc>
          <w:tcPr>
            <w:tcW w:w="6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2,976,585</w:t>
            </w:r>
          </w:p>
        </w:tc>
        <w:tc>
          <w:tcPr>
            <w:tcW w:w="0" w:type="dxa"/>
            <w:vAlign w:val="bottom"/>
          </w:tcPr>
          <w:p>
            <w:pPr>
              <w:spacing w:after="0"/>
              <w:rPr>
                <w:sz w:val="1"/>
                <w:szCs w:val="1"/>
                <w:color w:val="auto"/>
              </w:rPr>
            </w:pPr>
          </w:p>
        </w:tc>
      </w:tr>
      <w:tr>
        <w:trPr>
          <w:trHeight w:val="250"/>
        </w:trPr>
        <w:tc>
          <w:tcPr>
            <w:tcW w:w="61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Non-operating interest expense</w:t>
            </w:r>
          </w:p>
        </w:tc>
        <w:tc>
          <w:tcPr>
            <w:tcW w:w="28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23,889</w:t>
            </w:r>
          </w:p>
        </w:tc>
        <w:tc>
          <w:tcPr>
            <w:tcW w:w="60" w:type="dxa"/>
            <w:vAlign w:val="bottom"/>
            <w:tcBorders>
              <w:bottom w:val="single" w:sz="8" w:color="auto"/>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13,493</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71,583</w:t>
            </w:r>
          </w:p>
        </w:tc>
        <w:tc>
          <w:tcPr>
            <w:tcW w:w="60" w:type="dxa"/>
            <w:vAlign w:val="bottom"/>
            <w:tcBorders>
              <w:bottom w:val="single" w:sz="8" w:color="auto"/>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40,671</w:t>
            </w:r>
          </w:p>
        </w:tc>
        <w:tc>
          <w:tcPr>
            <w:tcW w:w="0" w:type="dxa"/>
            <w:vAlign w:val="bottom"/>
          </w:tcPr>
          <w:p>
            <w:pPr>
              <w:spacing w:after="0"/>
              <w:rPr>
                <w:sz w:val="1"/>
                <w:szCs w:val="1"/>
                <w:color w:val="auto"/>
              </w:rPr>
            </w:pPr>
          </w:p>
        </w:tc>
      </w:tr>
      <w:tr>
        <w:trPr>
          <w:trHeight w:val="247"/>
        </w:trPr>
        <w:tc>
          <w:tcPr>
            <w:tcW w:w="6120" w:type="dxa"/>
            <w:vAlign w:val="bottom"/>
          </w:tcPr>
          <w:p>
            <w:pPr>
              <w:ind w:left="80"/>
              <w:spacing w:after="0"/>
              <w:rPr>
                <w:sz w:val="20"/>
                <w:szCs w:val="20"/>
                <w:color w:val="auto"/>
              </w:rPr>
            </w:pPr>
            <w:r>
              <w:rPr>
                <w:rFonts w:ascii="Arial" w:cs="Arial" w:eastAsia="Arial" w:hAnsi="Arial"/>
                <w:sz w:val="16"/>
                <w:szCs w:val="16"/>
                <w:color w:val="auto"/>
              </w:rPr>
              <w:t>INCOME BEFORE PROVISION FOR INCOME TAXES</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68,224</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68,687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232,573</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237,452</w:t>
            </w:r>
          </w:p>
        </w:tc>
        <w:tc>
          <w:tcPr>
            <w:tcW w:w="0" w:type="dxa"/>
            <w:vAlign w:val="bottom"/>
          </w:tcPr>
          <w:p>
            <w:pPr>
              <w:spacing w:after="0"/>
              <w:rPr>
                <w:sz w:val="1"/>
                <w:szCs w:val="1"/>
                <w:color w:val="auto"/>
              </w:rPr>
            </w:pPr>
          </w:p>
        </w:tc>
      </w:tr>
      <w:tr>
        <w:trPr>
          <w:trHeight w:val="273"/>
        </w:trPr>
        <w:tc>
          <w:tcPr>
            <w:tcW w:w="6120" w:type="dxa"/>
            <w:vAlign w:val="bottom"/>
            <w:shd w:val="clear" w:color="auto" w:fill="CCEEFF"/>
          </w:tcPr>
          <w:p>
            <w:pPr>
              <w:ind w:left="80"/>
              <w:spacing w:after="0"/>
              <w:rPr>
                <w:sz w:val="20"/>
                <w:szCs w:val="20"/>
                <w:color w:val="auto"/>
              </w:rPr>
            </w:pPr>
            <w:r>
              <w:rPr>
                <w:rFonts w:ascii="Arial" w:cs="Arial" w:eastAsia="Arial" w:hAnsi="Arial"/>
                <w:sz w:val="16"/>
                <w:szCs w:val="16"/>
                <w:color w:val="auto"/>
              </w:rPr>
              <w:t>PROVISION FOR INCOME TAXES</w:t>
            </w:r>
          </w:p>
        </w:tc>
        <w:tc>
          <w:tcPr>
            <w:tcW w:w="28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16,270</w:t>
            </w:r>
          </w:p>
        </w:tc>
        <w:tc>
          <w:tcPr>
            <w:tcW w:w="6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27,635</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82,378</w:t>
            </w:r>
          </w:p>
        </w:tc>
        <w:tc>
          <w:tcPr>
            <w:tcW w:w="6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95,480</w:t>
            </w:r>
          </w:p>
        </w:tc>
        <w:tc>
          <w:tcPr>
            <w:tcW w:w="0" w:type="dxa"/>
            <w:vAlign w:val="bottom"/>
          </w:tcPr>
          <w:p>
            <w:pPr>
              <w:spacing w:after="0"/>
              <w:rPr>
                <w:sz w:val="1"/>
                <w:szCs w:val="1"/>
                <w:color w:val="auto"/>
              </w:rPr>
            </w:pPr>
          </w:p>
        </w:tc>
      </w:tr>
      <w:tr>
        <w:trPr>
          <w:trHeight w:val="264"/>
        </w:trPr>
        <w:tc>
          <w:tcPr>
            <w:tcW w:w="6120" w:type="dxa"/>
            <w:vAlign w:val="bottom"/>
          </w:tcPr>
          <w:p>
            <w:pPr>
              <w:ind w:left="80"/>
              <w:spacing w:after="0"/>
              <w:rPr>
                <w:sz w:val="20"/>
                <w:szCs w:val="20"/>
                <w:color w:val="auto"/>
              </w:rPr>
            </w:pPr>
            <w:r>
              <w:rPr>
                <w:rFonts w:ascii="Arial" w:cs="Arial" w:eastAsia="Arial" w:hAnsi="Arial"/>
                <w:sz w:val="16"/>
                <w:szCs w:val="16"/>
                <w:color w:val="auto"/>
              </w:rPr>
              <w:t>NET INCOME</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51,954</w:t>
            </w:r>
          </w:p>
        </w:tc>
        <w:tc>
          <w:tcPr>
            <w:tcW w:w="440" w:type="dxa"/>
            <w:vAlign w:val="bottom"/>
            <w:gridSpan w:val="3"/>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41,052</w:t>
            </w:r>
          </w:p>
        </w:tc>
        <w:tc>
          <w:tcPr>
            <w:tcW w:w="100" w:type="dxa"/>
            <w:vAlign w:val="bottom"/>
          </w:tcPr>
          <w:p>
            <w:pPr>
              <w:spacing w:after="0"/>
              <w:rPr>
                <w:sz w:val="22"/>
                <w:szCs w:val="22"/>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150,195</w:t>
            </w:r>
          </w:p>
        </w:tc>
        <w:tc>
          <w:tcPr>
            <w:tcW w:w="440" w:type="dxa"/>
            <w:vAlign w:val="bottom"/>
            <w:gridSpan w:val="3"/>
          </w:tcPr>
          <w:p>
            <w:pPr>
              <w:jc w:val="right"/>
              <w:ind w:right="5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141,972</w:t>
            </w:r>
          </w:p>
        </w:tc>
        <w:tc>
          <w:tcPr>
            <w:tcW w:w="0" w:type="dxa"/>
            <w:vAlign w:val="bottom"/>
          </w:tcPr>
          <w:p>
            <w:pPr>
              <w:spacing w:after="0"/>
              <w:rPr>
                <w:sz w:val="1"/>
                <w:szCs w:val="1"/>
                <w:color w:val="auto"/>
              </w:rPr>
            </w:pPr>
          </w:p>
        </w:tc>
      </w:tr>
      <w:tr>
        <w:trPr>
          <w:trHeight w:val="20"/>
        </w:trPr>
        <w:tc>
          <w:tcPr>
            <w:tcW w:w="6120" w:type="dxa"/>
            <w:vAlign w:val="bottom"/>
            <w:vMerge w:val="restart"/>
          </w:tcPr>
          <w:p>
            <w:pPr>
              <w:ind w:left="80"/>
              <w:spacing w:after="0"/>
              <w:rPr>
                <w:sz w:val="20"/>
                <w:szCs w:val="20"/>
                <w:color w:val="auto"/>
              </w:rPr>
            </w:pPr>
            <w:r>
              <w:rPr>
                <w:rFonts w:ascii="Arial" w:cs="Arial" w:eastAsia="Arial" w:hAnsi="Arial"/>
                <w:sz w:val="16"/>
                <w:szCs w:val="16"/>
                <w:color w:val="auto"/>
              </w:rPr>
              <w:t>EARNINGS PER SHARE (NOTE 11)</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6120" w:type="dxa"/>
            <w:vAlign w:val="bottom"/>
            <w:vMerge w:val="continue"/>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61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Earnings per share, basic</w:t>
            </w: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0.58</w:t>
            </w:r>
          </w:p>
        </w:tc>
        <w:tc>
          <w:tcPr>
            <w:tcW w:w="6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0.43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1.69</w:t>
            </w:r>
          </w:p>
        </w:tc>
        <w:tc>
          <w:tcPr>
            <w:tcW w:w="6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1.48</w:t>
            </w:r>
          </w:p>
        </w:tc>
        <w:tc>
          <w:tcPr>
            <w:tcW w:w="0" w:type="dxa"/>
            <w:vAlign w:val="bottom"/>
          </w:tcPr>
          <w:p>
            <w:pPr>
              <w:spacing w:after="0"/>
              <w:rPr>
                <w:sz w:val="1"/>
                <w:szCs w:val="1"/>
                <w:color w:val="auto"/>
              </w:rPr>
            </w:pPr>
          </w:p>
        </w:tc>
      </w:tr>
      <w:tr>
        <w:trPr>
          <w:trHeight w:val="20"/>
        </w:trPr>
        <w:tc>
          <w:tcPr>
            <w:tcW w:w="6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6120" w:type="dxa"/>
            <w:vAlign w:val="bottom"/>
          </w:tcPr>
          <w:p>
            <w:pPr>
              <w:ind w:left="360"/>
              <w:spacing w:after="0"/>
              <w:rPr>
                <w:sz w:val="20"/>
                <w:szCs w:val="20"/>
                <w:color w:val="auto"/>
              </w:rPr>
            </w:pPr>
            <w:r>
              <w:rPr>
                <w:rFonts w:ascii="Arial" w:cs="Arial" w:eastAsia="Arial" w:hAnsi="Arial"/>
                <w:sz w:val="16"/>
                <w:szCs w:val="16"/>
                <w:color w:val="auto"/>
              </w:rPr>
              <w:t>Earnings per share, diluted</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0.58</w:t>
            </w:r>
          </w:p>
        </w:tc>
        <w:tc>
          <w:tcPr>
            <w:tcW w:w="440" w:type="dxa"/>
            <w:vAlign w:val="bottom"/>
            <w:gridSpan w:val="3"/>
          </w:tcPr>
          <w:p>
            <w:pPr>
              <w:jc w:val="right"/>
              <w:ind w:right="5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0.43</w:t>
            </w:r>
          </w:p>
        </w:tc>
        <w:tc>
          <w:tcPr>
            <w:tcW w:w="100" w:type="dxa"/>
            <w:vAlign w:val="bottom"/>
          </w:tcPr>
          <w:p>
            <w:pPr>
              <w:spacing w:after="0"/>
              <w:rPr>
                <w:sz w:val="22"/>
                <w:szCs w:val="22"/>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1.67</w:t>
            </w:r>
          </w:p>
        </w:tc>
        <w:tc>
          <w:tcPr>
            <w:tcW w:w="440" w:type="dxa"/>
            <w:vAlign w:val="bottom"/>
            <w:gridSpan w:val="3"/>
          </w:tcPr>
          <w:p>
            <w:pPr>
              <w:jc w:val="right"/>
              <w:ind w:right="5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1.46</w:t>
            </w:r>
          </w:p>
        </w:tc>
        <w:tc>
          <w:tcPr>
            <w:tcW w:w="0" w:type="dxa"/>
            <w:vAlign w:val="bottom"/>
          </w:tcPr>
          <w:p>
            <w:pPr>
              <w:spacing w:after="0"/>
              <w:rPr>
                <w:sz w:val="1"/>
                <w:szCs w:val="1"/>
                <w:color w:val="auto"/>
              </w:rPr>
            </w:pPr>
          </w:p>
        </w:tc>
      </w:tr>
      <w:tr>
        <w:trPr>
          <w:trHeight w:val="224"/>
        </w:trPr>
        <w:tc>
          <w:tcPr>
            <w:tcW w:w="612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Weighted-average shares outstanding, basic</w:t>
            </w: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89,092</w:t>
            </w:r>
          </w:p>
        </w:tc>
        <w:tc>
          <w:tcPr>
            <w:tcW w:w="60" w:type="dxa"/>
            <w:vAlign w:val="bottom"/>
            <w:tcBorders>
              <w:top w:val="single" w:sz="8" w:color="auto"/>
              <w:bottom w:val="single" w:sz="8" w:color="auto"/>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94,972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89,025</w:t>
            </w:r>
          </w:p>
        </w:tc>
        <w:tc>
          <w:tcPr>
            <w:tcW w:w="60" w:type="dxa"/>
            <w:vAlign w:val="bottom"/>
            <w:tcBorders>
              <w:top w:val="single" w:sz="8" w:color="auto"/>
              <w:bottom w:val="single" w:sz="8" w:color="auto"/>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95,744</w:t>
            </w:r>
          </w:p>
        </w:tc>
        <w:tc>
          <w:tcPr>
            <w:tcW w:w="0" w:type="dxa"/>
            <w:vAlign w:val="bottom"/>
          </w:tcPr>
          <w:p>
            <w:pPr>
              <w:spacing w:after="0"/>
              <w:rPr>
                <w:sz w:val="1"/>
                <w:szCs w:val="1"/>
                <w:color w:val="auto"/>
              </w:rPr>
            </w:pPr>
          </w:p>
        </w:tc>
      </w:tr>
      <w:tr>
        <w:trPr>
          <w:trHeight w:val="20"/>
        </w:trPr>
        <w:tc>
          <w:tcPr>
            <w:tcW w:w="6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120" w:type="dxa"/>
            <w:vAlign w:val="bottom"/>
          </w:tcPr>
          <w:p>
            <w:pPr>
              <w:ind w:left="360"/>
              <w:spacing w:after="0"/>
              <w:rPr>
                <w:sz w:val="20"/>
                <w:szCs w:val="20"/>
                <w:color w:val="auto"/>
              </w:rPr>
            </w:pPr>
            <w:r>
              <w:rPr>
                <w:rFonts w:ascii="Arial" w:cs="Arial" w:eastAsia="Arial" w:hAnsi="Arial"/>
                <w:sz w:val="16"/>
                <w:szCs w:val="16"/>
                <w:color w:val="auto"/>
              </w:rPr>
              <w:t>Weighted-average shares outstanding, diluted</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89,951</w:t>
            </w:r>
          </w:p>
        </w:tc>
        <w:tc>
          <w:tcPr>
            <w:tcW w:w="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96,472</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89,732</w:t>
            </w:r>
          </w:p>
        </w:tc>
        <w:tc>
          <w:tcPr>
            <w:tcW w:w="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97,303</w:t>
            </w:r>
          </w:p>
        </w:tc>
        <w:tc>
          <w:tcPr>
            <w:tcW w:w="0" w:type="dxa"/>
            <w:vAlign w:val="bottom"/>
          </w:tcPr>
          <w:p>
            <w:pPr>
              <w:spacing w:after="0"/>
              <w:rPr>
                <w:sz w:val="1"/>
                <w:szCs w:val="1"/>
                <w:color w:val="auto"/>
              </w:rPr>
            </w:pPr>
          </w:p>
        </w:tc>
      </w:tr>
      <w:tr>
        <w:trPr>
          <w:trHeight w:val="20"/>
        </w:trPr>
        <w:tc>
          <w:tcPr>
            <w:tcW w:w="6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notes to unaudited condensed consolidated financial statements.</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360" w:right="239" w:bottom="144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080" w:type="dxa"/>
            <w:vAlign w:val="bottom"/>
          </w:tcPr>
          <w:p>
            <w:pPr>
              <w:spacing w:after="0"/>
              <w:rPr>
                <w:sz w:val="16"/>
                <w:szCs w:val="16"/>
                <w:color w:val="auto"/>
              </w:rPr>
            </w:pPr>
          </w:p>
        </w:tc>
        <w:tc>
          <w:tcPr>
            <w:tcW w:w="2720" w:type="dxa"/>
            <w:vAlign w:val="bottom"/>
            <w:gridSpan w:val="7"/>
          </w:tcPr>
          <w:p>
            <w:pPr>
              <w:ind w:left="80"/>
              <w:spacing w:after="0"/>
              <w:rPr>
                <w:sz w:val="20"/>
                <w:szCs w:val="20"/>
                <w:color w:val="auto"/>
              </w:rPr>
            </w:pPr>
            <w:r>
              <w:rPr>
                <w:rFonts w:ascii="Arial" w:cs="Arial" w:eastAsia="Arial" w:hAnsi="Arial"/>
                <w:sz w:val="16"/>
                <w:szCs w:val="16"/>
                <w:b w:val="1"/>
                <w:bCs w:val="1"/>
                <w:color w:val="auto"/>
              </w:rPr>
              <w:t>Three Months Ended September</w:t>
            </w:r>
          </w:p>
        </w:tc>
        <w:tc>
          <w:tcPr>
            <w:tcW w:w="120" w:type="dxa"/>
            <w:vAlign w:val="bottom"/>
          </w:tcPr>
          <w:p>
            <w:pPr>
              <w:spacing w:after="0"/>
              <w:rPr>
                <w:sz w:val="16"/>
                <w:szCs w:val="16"/>
                <w:color w:val="auto"/>
              </w:rPr>
            </w:pPr>
          </w:p>
        </w:tc>
        <w:tc>
          <w:tcPr>
            <w:tcW w:w="2500" w:type="dxa"/>
            <w:vAlign w:val="bottom"/>
            <w:gridSpan w:val="5"/>
          </w:tcPr>
          <w:p>
            <w:pPr>
              <w:jc w:val="right"/>
              <w:ind w:right="19"/>
              <w:spacing w:after="0"/>
              <w:rPr>
                <w:sz w:val="20"/>
                <w:szCs w:val="20"/>
                <w:color w:val="auto"/>
              </w:rPr>
            </w:pPr>
            <w:r>
              <w:rPr>
                <w:rFonts w:ascii="Arial" w:cs="Arial" w:eastAsia="Arial" w:hAnsi="Arial"/>
                <w:sz w:val="16"/>
                <w:szCs w:val="16"/>
                <w:b w:val="1"/>
                <w:bCs w:val="1"/>
                <w:color w:val="auto"/>
              </w:rPr>
              <w:t>Nine Months Ended September</w:t>
            </w:r>
          </w:p>
        </w:tc>
      </w:tr>
      <w:tr>
        <w:trPr>
          <w:trHeight w:val="228"/>
        </w:trPr>
        <w:tc>
          <w:tcPr>
            <w:tcW w:w="60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6"/>
                <w:szCs w:val="16"/>
                <w:b w:val="1"/>
                <w:bCs w:val="1"/>
                <w:color w:val="auto"/>
                <w:w w:val="89"/>
              </w:rPr>
              <w:t>30,</w:t>
            </w:r>
          </w:p>
        </w:tc>
        <w:tc>
          <w:tcPr>
            <w:tcW w:w="9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6"/>
                <w:szCs w:val="16"/>
                <w:b w:val="1"/>
                <w:bCs w:val="1"/>
                <w:color w:val="auto"/>
                <w:w w:val="98"/>
              </w:rPr>
              <w:t>30,</w:t>
            </w:r>
          </w:p>
        </w:tc>
        <w:tc>
          <w:tcPr>
            <w:tcW w:w="980" w:type="dxa"/>
            <w:vAlign w:val="bottom"/>
            <w:tcBorders>
              <w:bottom w:val="single" w:sz="8" w:color="auto"/>
            </w:tcBorders>
          </w:tcPr>
          <w:p>
            <w:pPr>
              <w:spacing w:after="0"/>
              <w:rPr>
                <w:sz w:val="19"/>
                <w:szCs w:val="19"/>
                <w:color w:val="auto"/>
              </w:rPr>
            </w:pPr>
          </w:p>
        </w:tc>
      </w:tr>
      <w:tr>
        <w:trPr>
          <w:trHeight w:val="264"/>
        </w:trPr>
        <w:tc>
          <w:tcPr>
            <w:tcW w:w="608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2016</w:t>
            </w:r>
          </w:p>
        </w:tc>
        <w:tc>
          <w:tcPr>
            <w:tcW w:w="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2015</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2016</w:t>
            </w: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2015</w:t>
            </w:r>
          </w:p>
        </w:tc>
      </w:tr>
      <w:tr>
        <w:trPr>
          <w:trHeight w:val="257"/>
        </w:trPr>
        <w:tc>
          <w:tcPr>
            <w:tcW w:w="6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51,954</w:t>
            </w:r>
          </w:p>
        </w:tc>
        <w:tc>
          <w:tcPr>
            <w:tcW w:w="44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41,052</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150,195</w:t>
            </w:r>
          </w:p>
        </w:tc>
        <w:tc>
          <w:tcPr>
            <w:tcW w:w="44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141,972</w:t>
            </w:r>
          </w:p>
        </w:tc>
      </w:tr>
      <w:tr>
        <w:trPr>
          <w:trHeight w:val="224"/>
        </w:trPr>
        <w:tc>
          <w:tcPr>
            <w:tcW w:w="6080" w:type="dxa"/>
            <w:vAlign w:val="bottom"/>
          </w:tcPr>
          <w:p>
            <w:pPr>
              <w:ind w:left="40"/>
              <w:spacing w:after="0"/>
              <w:rPr>
                <w:sz w:val="20"/>
                <w:szCs w:val="20"/>
                <w:color w:val="auto"/>
              </w:rPr>
            </w:pPr>
            <w:r>
              <w:rPr>
                <w:rFonts w:ascii="Arial" w:cs="Arial" w:eastAsia="Arial" w:hAnsi="Arial"/>
                <w:sz w:val="16"/>
                <w:szCs w:val="16"/>
                <w:color w:val="auto"/>
              </w:rPr>
              <w:t>Other comprehensive income (loss), net of tax:</w:t>
            </w: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47"/>
        </w:trPr>
        <w:tc>
          <w:tcPr>
            <w:tcW w:w="6080" w:type="dxa"/>
            <w:vAlign w:val="bottom"/>
          </w:tcPr>
          <w:p>
            <w:pPr>
              <w:spacing w:after="0"/>
              <w:rPr>
                <w:sz w:val="4"/>
                <w:szCs w:val="4"/>
                <w:color w:val="auto"/>
              </w:rPr>
            </w:pPr>
          </w:p>
        </w:tc>
        <w:tc>
          <w:tcPr>
            <w:tcW w:w="280" w:type="dxa"/>
            <w:vAlign w:val="bottom"/>
          </w:tcPr>
          <w:p>
            <w:pPr>
              <w:spacing w:after="0"/>
              <w:rPr>
                <w:sz w:val="4"/>
                <w:szCs w:val="4"/>
                <w:color w:val="auto"/>
              </w:rPr>
            </w:pPr>
          </w:p>
        </w:tc>
        <w:tc>
          <w:tcPr>
            <w:tcW w:w="92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980" w:type="dxa"/>
            <w:vAlign w:val="bottom"/>
          </w:tcPr>
          <w:p>
            <w:pPr>
              <w:spacing w:after="0"/>
              <w:rPr>
                <w:sz w:val="4"/>
                <w:szCs w:val="4"/>
                <w:color w:val="auto"/>
              </w:rPr>
            </w:pPr>
          </w:p>
        </w:tc>
      </w:tr>
      <w:tr>
        <w:trPr>
          <w:trHeight w:val="218"/>
        </w:trPr>
        <w:tc>
          <w:tcPr>
            <w:tcW w:w="60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Unrealized gain (loss) on cash flow hedges, net of tax expense (benefit) of</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121</w:t>
            </w:r>
          </w:p>
        </w:tc>
      </w:tr>
      <w:tr>
        <w:trPr>
          <w:trHeight w:val="189"/>
        </w:trPr>
        <w:tc>
          <w:tcPr>
            <w:tcW w:w="6080" w:type="dxa"/>
            <w:vAlign w:val="bottom"/>
            <w:shd w:val="clear" w:color="auto" w:fill="CCEEFF"/>
          </w:tcPr>
          <w:p>
            <w:pPr>
              <w:ind w:left="520"/>
              <w:spacing w:after="0"/>
              <w:rPr>
                <w:sz w:val="20"/>
                <w:szCs w:val="20"/>
                <w:color w:val="auto"/>
              </w:rPr>
            </w:pPr>
            <w:r>
              <w:rPr>
                <w:rFonts w:ascii="Arial" w:cs="Arial" w:eastAsia="Arial" w:hAnsi="Arial"/>
                <w:sz w:val="16"/>
                <w:szCs w:val="16"/>
                <w:color w:val="auto"/>
              </w:rPr>
              <w:t>$85, ($98), $133, and $96 for the three and nine months ended</w:t>
            </w: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r>
      <w:tr>
        <w:trPr>
          <w:trHeight w:val="214"/>
        </w:trPr>
        <w:tc>
          <w:tcPr>
            <w:tcW w:w="6080" w:type="dxa"/>
            <w:vAlign w:val="bottom"/>
            <w:shd w:val="clear" w:color="auto" w:fill="CCEEFF"/>
          </w:tcPr>
          <w:p>
            <w:pPr>
              <w:ind w:left="520"/>
              <w:spacing w:after="0"/>
              <w:rPr>
                <w:sz w:val="20"/>
                <w:szCs w:val="20"/>
                <w:color w:val="auto"/>
              </w:rPr>
            </w:pPr>
            <w:r>
              <w:rPr>
                <w:rFonts w:ascii="Arial" w:cs="Arial" w:eastAsia="Arial" w:hAnsi="Arial"/>
                <w:sz w:val="16"/>
                <w:szCs w:val="16"/>
                <w:color w:val="auto"/>
              </w:rPr>
              <w:t>September 30, 2016 and 2015, respectively</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8"/>
        </w:trPr>
        <w:tc>
          <w:tcPr>
            <w:tcW w:w="6080" w:type="dxa"/>
            <w:vAlign w:val="bottom"/>
          </w:tcPr>
          <w:p>
            <w:pPr>
              <w:ind w:left="360"/>
              <w:spacing w:after="0"/>
              <w:rPr>
                <w:sz w:val="20"/>
                <w:szCs w:val="20"/>
                <w:color w:val="auto"/>
              </w:rPr>
            </w:pPr>
            <w:r>
              <w:rPr>
                <w:rFonts w:ascii="Arial" w:cs="Arial" w:eastAsia="Arial" w:hAnsi="Arial"/>
                <w:sz w:val="16"/>
                <w:szCs w:val="16"/>
                <w:color w:val="auto"/>
              </w:rPr>
              <w:t>Reclassification adjustment for realized gain on cash flow hedges included in</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(70)</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(318)</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(463)</w:t>
            </w:r>
          </w:p>
        </w:tc>
      </w:tr>
      <w:tr>
        <w:trPr>
          <w:trHeight w:val="189"/>
        </w:trPr>
        <w:tc>
          <w:tcPr>
            <w:tcW w:w="6080" w:type="dxa"/>
            <w:vAlign w:val="bottom"/>
          </w:tcPr>
          <w:p>
            <w:pPr>
              <w:ind w:left="520"/>
              <w:spacing w:after="0"/>
              <w:rPr>
                <w:sz w:val="20"/>
                <w:szCs w:val="20"/>
                <w:color w:val="auto"/>
              </w:rPr>
            </w:pPr>
            <w:r>
              <w:rPr>
                <w:rFonts w:ascii="Arial" w:cs="Arial" w:eastAsia="Arial" w:hAnsi="Arial"/>
                <w:sz w:val="16"/>
                <w:szCs w:val="16"/>
                <w:color w:val="auto"/>
              </w:rPr>
              <w:t>professional services in the condensed consolidated statements of</w:t>
            </w: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89"/>
        </w:trPr>
        <w:tc>
          <w:tcPr>
            <w:tcW w:w="6080" w:type="dxa"/>
            <w:vAlign w:val="bottom"/>
          </w:tcPr>
          <w:p>
            <w:pPr>
              <w:ind w:left="520"/>
              <w:spacing w:after="0"/>
              <w:rPr>
                <w:sz w:val="20"/>
                <w:szCs w:val="20"/>
                <w:color w:val="auto"/>
              </w:rPr>
            </w:pPr>
            <w:r>
              <w:rPr>
                <w:rFonts w:ascii="Arial" w:cs="Arial" w:eastAsia="Arial" w:hAnsi="Arial"/>
                <w:sz w:val="16"/>
                <w:szCs w:val="16"/>
                <w:color w:val="auto"/>
              </w:rPr>
              <w:t>income, net of tax expense of $48, $62, $204, and $290 for the three and</w:t>
            </w: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08"/>
        </w:trPr>
        <w:tc>
          <w:tcPr>
            <w:tcW w:w="6080" w:type="dxa"/>
            <w:vAlign w:val="bottom"/>
            <w:tcBorders>
              <w:bottom w:val="single" w:sz="8" w:color="CCEEFF"/>
            </w:tcBorders>
          </w:tcPr>
          <w:p>
            <w:pPr>
              <w:ind w:left="520"/>
              <w:spacing w:after="0"/>
              <w:rPr>
                <w:sz w:val="20"/>
                <w:szCs w:val="20"/>
                <w:color w:val="auto"/>
              </w:rPr>
            </w:pPr>
            <w:r>
              <w:rPr>
                <w:rFonts w:ascii="Arial" w:cs="Arial" w:eastAsia="Arial" w:hAnsi="Arial"/>
                <w:sz w:val="16"/>
                <w:szCs w:val="16"/>
                <w:color w:val="auto"/>
              </w:rPr>
              <w:t>nine months ended September 30, 2016 and 2015, respectively</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r>
      <w:tr>
        <w:trPr>
          <w:trHeight w:val="257"/>
        </w:trPr>
        <w:tc>
          <w:tcPr>
            <w:tcW w:w="6080" w:type="dxa"/>
            <w:vAlign w:val="bottom"/>
            <w:shd w:val="clear" w:color="auto" w:fill="CCEEFF"/>
          </w:tcPr>
          <w:p>
            <w:pPr>
              <w:ind w:left="760"/>
              <w:spacing w:after="0"/>
              <w:rPr>
                <w:sz w:val="20"/>
                <w:szCs w:val="20"/>
                <w:color w:val="auto"/>
              </w:rPr>
            </w:pPr>
            <w:r>
              <w:rPr>
                <w:rFonts w:ascii="Arial" w:cs="Arial" w:eastAsia="Arial" w:hAnsi="Arial"/>
                <w:sz w:val="16"/>
                <w:szCs w:val="16"/>
                <w:color w:val="auto"/>
              </w:rPr>
              <w:t>Total other comprehensive income (loss), net of tax</w:t>
            </w:r>
          </w:p>
        </w:tc>
        <w:tc>
          <w:tcPr>
            <w:tcW w:w="28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40" w:type="dxa"/>
            <w:vAlign w:val="bottom"/>
            <w:tcBorders>
              <w:bottom w:val="single" w:sz="8" w:color="auto"/>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(256)</w:t>
            </w:r>
          </w:p>
        </w:tc>
        <w:tc>
          <w:tcPr>
            <w:tcW w:w="10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w:t>
            </w:r>
          </w:p>
        </w:tc>
        <w:tc>
          <w:tcPr>
            <w:tcW w:w="6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(342)</w:t>
            </w:r>
          </w:p>
        </w:tc>
      </w:tr>
      <w:tr>
        <w:trPr>
          <w:trHeight w:val="230"/>
        </w:trPr>
        <w:tc>
          <w:tcPr>
            <w:tcW w:w="6080" w:type="dxa"/>
            <w:vAlign w:val="bottom"/>
          </w:tcPr>
          <w:p>
            <w:pPr>
              <w:ind w:left="40"/>
              <w:spacing w:after="0"/>
              <w:rPr>
                <w:sz w:val="20"/>
                <w:szCs w:val="20"/>
                <w:color w:val="auto"/>
              </w:rPr>
            </w:pPr>
            <w:r>
              <w:rPr>
                <w:rFonts w:ascii="Arial" w:cs="Arial" w:eastAsia="Arial" w:hAnsi="Arial"/>
                <w:sz w:val="16"/>
                <w:szCs w:val="16"/>
                <w:color w:val="auto"/>
              </w:rPr>
              <w:t>TOTAL COMPREHENSIVE INCOME</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52,019</w:t>
            </w:r>
          </w:p>
        </w:tc>
        <w:tc>
          <w:tcPr>
            <w:tcW w:w="44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40,796</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150,086</w:t>
            </w:r>
          </w:p>
        </w:tc>
        <w:tc>
          <w:tcPr>
            <w:tcW w:w="44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141,630</w:t>
            </w:r>
          </w:p>
        </w:tc>
      </w:tr>
      <w:tr>
        <w:trPr>
          <w:trHeight w:val="20"/>
        </w:trPr>
        <w:tc>
          <w:tcPr>
            <w:tcW w:w="60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notes to unaudited condensed consolidated financial statements.</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18" w:right="239" w:bottom="144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Financial Condition</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2"/>
          </w:tcPr>
          <w:p>
            <w:pPr>
              <w:ind w:left="20"/>
              <w:spacing w:after="0"/>
              <w:rPr>
                <w:sz w:val="20"/>
                <w:szCs w:val="20"/>
                <w:color w:val="auto"/>
              </w:rPr>
            </w:pPr>
            <w:r>
              <w:rPr>
                <w:rFonts w:ascii="Arial" w:cs="Arial" w:eastAsia="Arial" w:hAnsi="Arial"/>
                <w:sz w:val="16"/>
                <w:szCs w:val="16"/>
                <w:b w:val="1"/>
                <w:bCs w:val="1"/>
                <w:color w:val="auto"/>
              </w:rPr>
              <w:t>September 30,</w:t>
            </w: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83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19"/>
                <w:szCs w:val="19"/>
                <w:color w:val="auto"/>
              </w:rPr>
            </w:pPr>
          </w:p>
        </w:tc>
        <w:tc>
          <w:tcPr>
            <w:tcW w:w="148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w w:val="99"/>
              </w:rPr>
              <w:t>December 31, 2015</w:t>
            </w:r>
          </w:p>
        </w:tc>
        <w:tc>
          <w:tcPr>
            <w:tcW w:w="0" w:type="dxa"/>
            <w:vAlign w:val="bottom"/>
          </w:tcPr>
          <w:p>
            <w:pPr>
              <w:spacing w:after="0"/>
              <w:rPr>
                <w:sz w:val="1"/>
                <w:szCs w:val="1"/>
                <w:color w:val="auto"/>
              </w:rPr>
            </w:pPr>
          </w:p>
        </w:tc>
      </w:tr>
      <w:tr>
        <w:trPr>
          <w:trHeight w:val="260"/>
        </w:trPr>
        <w:tc>
          <w:tcPr>
            <w:tcW w:w="8360" w:type="dxa"/>
            <w:vAlign w:val="bottom"/>
          </w:tcPr>
          <w:p>
            <w:pPr>
              <w:ind w:left="3800"/>
              <w:spacing w:after="0"/>
              <w:rPr>
                <w:sz w:val="20"/>
                <w:szCs w:val="20"/>
                <w:color w:val="auto"/>
              </w:rPr>
            </w:pPr>
            <w:r>
              <w:rPr>
                <w:rFonts w:ascii="Arial" w:cs="Arial" w:eastAsia="Arial" w:hAnsi="Arial"/>
                <w:sz w:val="16"/>
                <w:szCs w:val="16"/>
                <w:b w:val="1"/>
                <w:bCs w:val="1"/>
                <w:color w:val="auto"/>
              </w:rPr>
              <w:t>ASSETS</w:t>
            </w:r>
          </w:p>
        </w:tc>
        <w:tc>
          <w:tcPr>
            <w:tcW w:w="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787,364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724,529</w:t>
            </w:r>
          </w:p>
        </w:tc>
        <w:tc>
          <w:tcPr>
            <w:tcW w:w="0" w:type="dxa"/>
            <w:vAlign w:val="bottom"/>
          </w:tcPr>
          <w:p>
            <w:pPr>
              <w:spacing w:after="0"/>
              <w:rPr>
                <w:sz w:val="1"/>
                <w:szCs w:val="1"/>
                <w:color w:val="auto"/>
              </w:rPr>
            </w:pPr>
          </w:p>
        </w:tc>
      </w:tr>
      <w:tr>
        <w:trPr>
          <w:trHeight w:val="224"/>
        </w:trPr>
        <w:tc>
          <w:tcPr>
            <w:tcW w:w="8360" w:type="dxa"/>
            <w:vAlign w:val="bottom"/>
          </w:tcPr>
          <w:p>
            <w:pPr>
              <w:ind w:left="40"/>
              <w:spacing w:after="0"/>
              <w:rPr>
                <w:sz w:val="20"/>
                <w:szCs w:val="20"/>
                <w:color w:val="auto"/>
              </w:rPr>
            </w:pPr>
            <w:r>
              <w:rPr>
                <w:rFonts w:ascii="Arial" w:cs="Arial" w:eastAsia="Arial" w:hAnsi="Arial"/>
                <w:sz w:val="16"/>
                <w:szCs w:val="16"/>
                <w:color w:val="auto"/>
              </w:rPr>
              <w:t>Cash and securities segregated under federal and other regulations</w:t>
            </w:r>
          </w:p>
        </w:tc>
        <w:tc>
          <w:tcPr>
            <w:tcW w:w="140" w:type="dxa"/>
            <w:vAlign w:val="bottom"/>
          </w:tcPr>
          <w:p>
            <w:pPr>
              <w:spacing w:after="0"/>
              <w:rPr>
                <w:sz w:val="19"/>
                <w:szCs w:val="19"/>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597,114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671,339</w:t>
            </w:r>
          </w:p>
        </w:tc>
        <w:tc>
          <w:tcPr>
            <w:tcW w:w="0" w:type="dxa"/>
            <w:vAlign w:val="bottom"/>
          </w:tcPr>
          <w:p>
            <w:pPr>
              <w:spacing w:after="0"/>
              <w:rPr>
                <w:sz w:val="1"/>
                <w:szCs w:val="1"/>
                <w:color w:val="auto"/>
              </w:rPr>
            </w:pPr>
          </w:p>
        </w:tc>
      </w:tr>
      <w:tr>
        <w:trPr>
          <w:trHeight w:val="47"/>
        </w:trPr>
        <w:tc>
          <w:tcPr>
            <w:tcW w:w="83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Restricted cash</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38,471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27,839</w:t>
            </w:r>
          </w:p>
        </w:tc>
        <w:tc>
          <w:tcPr>
            <w:tcW w:w="0" w:type="dxa"/>
            <w:vAlign w:val="bottom"/>
          </w:tcPr>
          <w:p>
            <w:pPr>
              <w:spacing w:after="0"/>
              <w:rPr>
                <w:sz w:val="1"/>
                <w:szCs w:val="1"/>
                <w:color w:val="auto"/>
              </w:rPr>
            </w:pPr>
          </w:p>
        </w:tc>
      </w:tr>
      <w:tr>
        <w:trPr>
          <w:trHeight w:val="224"/>
        </w:trPr>
        <w:tc>
          <w:tcPr>
            <w:tcW w:w="8360" w:type="dxa"/>
            <w:vAlign w:val="bottom"/>
          </w:tcPr>
          <w:p>
            <w:pPr>
              <w:ind w:left="40"/>
              <w:spacing w:after="0"/>
              <w:rPr>
                <w:sz w:val="20"/>
                <w:szCs w:val="20"/>
                <w:color w:val="auto"/>
              </w:rPr>
            </w:pPr>
            <w:r>
              <w:rPr>
                <w:rFonts w:ascii="Arial" w:cs="Arial" w:eastAsia="Arial" w:hAnsi="Arial"/>
                <w:sz w:val="16"/>
                <w:szCs w:val="16"/>
                <w:color w:val="auto"/>
              </w:rPr>
              <w:t>Receivables from:</w:t>
            </w: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83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3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Clients, net of allowance of $1,629 at September 30, 2016 and $1,464 at December 31, 2015</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292,549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339,089</w:t>
            </w:r>
          </w:p>
        </w:tc>
        <w:tc>
          <w:tcPr>
            <w:tcW w:w="0" w:type="dxa"/>
            <w:vAlign w:val="bottom"/>
          </w:tcPr>
          <w:p>
            <w:pPr>
              <w:spacing w:after="0"/>
              <w:rPr>
                <w:sz w:val="1"/>
                <w:szCs w:val="1"/>
                <w:color w:val="auto"/>
              </w:rPr>
            </w:pPr>
          </w:p>
        </w:tc>
      </w:tr>
      <w:tr>
        <w:trPr>
          <w:trHeight w:val="224"/>
        </w:trPr>
        <w:tc>
          <w:tcPr>
            <w:tcW w:w="8360" w:type="dxa"/>
            <w:vAlign w:val="bottom"/>
          </w:tcPr>
          <w:p>
            <w:pPr>
              <w:ind w:left="120"/>
              <w:spacing w:after="0"/>
              <w:rPr>
                <w:sz w:val="20"/>
                <w:szCs w:val="20"/>
                <w:color w:val="auto"/>
              </w:rPr>
            </w:pPr>
            <w:r>
              <w:rPr>
                <w:rFonts w:ascii="Arial" w:cs="Arial" w:eastAsia="Arial" w:hAnsi="Arial"/>
                <w:sz w:val="16"/>
                <w:szCs w:val="16"/>
                <w:color w:val="auto"/>
              </w:rPr>
              <w:t>Product sponsors, broker-dealers, and clearing organizations</w:t>
            </w:r>
          </w:p>
        </w:tc>
        <w:tc>
          <w:tcPr>
            <w:tcW w:w="140" w:type="dxa"/>
            <w:vAlign w:val="bottom"/>
          </w:tcPr>
          <w:p>
            <w:pPr>
              <w:spacing w:after="0"/>
              <w:rPr>
                <w:sz w:val="19"/>
                <w:szCs w:val="19"/>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176,741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161,224</w:t>
            </w:r>
          </w:p>
        </w:tc>
        <w:tc>
          <w:tcPr>
            <w:tcW w:w="0" w:type="dxa"/>
            <w:vAlign w:val="bottom"/>
          </w:tcPr>
          <w:p>
            <w:pPr>
              <w:spacing w:after="0"/>
              <w:rPr>
                <w:sz w:val="1"/>
                <w:szCs w:val="1"/>
                <w:color w:val="auto"/>
              </w:rPr>
            </w:pPr>
          </w:p>
        </w:tc>
      </w:tr>
      <w:tr>
        <w:trPr>
          <w:trHeight w:val="47"/>
        </w:trPr>
        <w:tc>
          <w:tcPr>
            <w:tcW w:w="83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3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Advisor loans, net of allowance of $697 at September 30, 2016 and $697 at December 31, 2015</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178,924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148,978</w:t>
            </w:r>
          </w:p>
        </w:tc>
        <w:tc>
          <w:tcPr>
            <w:tcW w:w="0" w:type="dxa"/>
            <w:vAlign w:val="bottom"/>
          </w:tcPr>
          <w:p>
            <w:pPr>
              <w:spacing w:after="0"/>
              <w:rPr>
                <w:sz w:val="1"/>
                <w:szCs w:val="1"/>
                <w:color w:val="auto"/>
              </w:rPr>
            </w:pPr>
          </w:p>
        </w:tc>
      </w:tr>
      <w:tr>
        <w:trPr>
          <w:trHeight w:val="224"/>
        </w:trPr>
        <w:tc>
          <w:tcPr>
            <w:tcW w:w="8360" w:type="dxa"/>
            <w:vAlign w:val="bottom"/>
          </w:tcPr>
          <w:p>
            <w:pPr>
              <w:ind w:left="120"/>
              <w:spacing w:after="0"/>
              <w:rPr>
                <w:sz w:val="20"/>
                <w:szCs w:val="20"/>
                <w:color w:val="auto"/>
              </w:rPr>
            </w:pPr>
            <w:r>
              <w:rPr>
                <w:rFonts w:ascii="Arial" w:cs="Arial" w:eastAsia="Arial" w:hAnsi="Arial"/>
                <w:sz w:val="16"/>
                <w:szCs w:val="16"/>
                <w:color w:val="auto"/>
              </w:rPr>
              <w:t>Others, net of allowance of $12,486 at September 30, 2016 and $9,856 at December 31, 2015</w:t>
            </w:r>
          </w:p>
        </w:tc>
        <w:tc>
          <w:tcPr>
            <w:tcW w:w="140" w:type="dxa"/>
            <w:vAlign w:val="bottom"/>
          </w:tcPr>
          <w:p>
            <w:pPr>
              <w:spacing w:after="0"/>
              <w:rPr>
                <w:sz w:val="19"/>
                <w:szCs w:val="19"/>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191,874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180,161</w:t>
            </w:r>
          </w:p>
        </w:tc>
        <w:tc>
          <w:tcPr>
            <w:tcW w:w="0" w:type="dxa"/>
            <w:vAlign w:val="bottom"/>
          </w:tcPr>
          <w:p>
            <w:pPr>
              <w:spacing w:after="0"/>
              <w:rPr>
                <w:sz w:val="1"/>
                <w:szCs w:val="1"/>
                <w:color w:val="auto"/>
              </w:rPr>
            </w:pPr>
          </w:p>
        </w:tc>
      </w:tr>
      <w:tr>
        <w:trPr>
          <w:trHeight w:val="47"/>
        </w:trPr>
        <w:tc>
          <w:tcPr>
            <w:tcW w:w="83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Securities owned:</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8360" w:type="dxa"/>
            <w:vAlign w:val="bottom"/>
          </w:tcPr>
          <w:p>
            <w:pPr>
              <w:ind w:left="180"/>
              <w:spacing w:after="0"/>
              <w:rPr>
                <w:sz w:val="20"/>
                <w:szCs w:val="20"/>
                <w:color w:val="auto"/>
              </w:rPr>
            </w:pPr>
            <w:r>
              <w:rPr>
                <w:rFonts w:ascii="Arial" w:cs="Arial" w:eastAsia="Arial" w:hAnsi="Arial"/>
                <w:sz w:val="16"/>
                <w:szCs w:val="16"/>
                <w:color w:val="auto"/>
              </w:rPr>
              <w:t>Trading — at fair value</w:t>
            </w:r>
          </w:p>
        </w:tc>
        <w:tc>
          <w:tcPr>
            <w:tcW w:w="140" w:type="dxa"/>
            <w:vAlign w:val="bottom"/>
          </w:tcPr>
          <w:p>
            <w:pPr>
              <w:spacing w:after="0"/>
              <w:rPr>
                <w:sz w:val="19"/>
                <w:szCs w:val="19"/>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11,835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11,995</w:t>
            </w:r>
          </w:p>
        </w:tc>
        <w:tc>
          <w:tcPr>
            <w:tcW w:w="0" w:type="dxa"/>
            <w:vAlign w:val="bottom"/>
          </w:tcPr>
          <w:p>
            <w:pPr>
              <w:spacing w:after="0"/>
              <w:rPr>
                <w:sz w:val="1"/>
                <w:szCs w:val="1"/>
                <w:color w:val="auto"/>
              </w:rPr>
            </w:pPr>
          </w:p>
        </w:tc>
      </w:tr>
      <w:tr>
        <w:trPr>
          <w:trHeight w:val="47"/>
        </w:trPr>
        <w:tc>
          <w:tcPr>
            <w:tcW w:w="83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Held-to-maturity — at amortized cost</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9,864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9,847</w:t>
            </w:r>
          </w:p>
        </w:tc>
        <w:tc>
          <w:tcPr>
            <w:tcW w:w="0" w:type="dxa"/>
            <w:vAlign w:val="bottom"/>
          </w:tcPr>
          <w:p>
            <w:pPr>
              <w:spacing w:after="0"/>
              <w:rPr>
                <w:sz w:val="1"/>
                <w:szCs w:val="1"/>
                <w:color w:val="auto"/>
              </w:rPr>
            </w:pPr>
          </w:p>
        </w:tc>
      </w:tr>
      <w:tr>
        <w:trPr>
          <w:trHeight w:val="224"/>
        </w:trPr>
        <w:tc>
          <w:tcPr>
            <w:tcW w:w="8360" w:type="dxa"/>
            <w:vAlign w:val="bottom"/>
          </w:tcPr>
          <w:p>
            <w:pPr>
              <w:ind w:left="40"/>
              <w:spacing w:after="0"/>
              <w:rPr>
                <w:sz w:val="20"/>
                <w:szCs w:val="20"/>
                <w:color w:val="auto"/>
              </w:rPr>
            </w:pPr>
            <w:r>
              <w:rPr>
                <w:rFonts w:ascii="Arial" w:cs="Arial" w:eastAsia="Arial" w:hAnsi="Arial"/>
                <w:sz w:val="16"/>
                <w:szCs w:val="16"/>
                <w:color w:val="auto"/>
              </w:rPr>
              <w:t>Securities borrowed</w:t>
            </w:r>
          </w:p>
        </w:tc>
        <w:tc>
          <w:tcPr>
            <w:tcW w:w="140" w:type="dxa"/>
            <w:vAlign w:val="bottom"/>
          </w:tcPr>
          <w:p>
            <w:pPr>
              <w:spacing w:after="0"/>
              <w:rPr>
                <w:sz w:val="19"/>
                <w:szCs w:val="19"/>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10,446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6,001</w:t>
            </w:r>
          </w:p>
        </w:tc>
        <w:tc>
          <w:tcPr>
            <w:tcW w:w="0" w:type="dxa"/>
            <w:vAlign w:val="bottom"/>
          </w:tcPr>
          <w:p>
            <w:pPr>
              <w:spacing w:after="0"/>
              <w:rPr>
                <w:sz w:val="1"/>
                <w:szCs w:val="1"/>
                <w:color w:val="auto"/>
              </w:rPr>
            </w:pPr>
          </w:p>
        </w:tc>
      </w:tr>
      <w:tr>
        <w:trPr>
          <w:trHeight w:val="47"/>
        </w:trPr>
        <w:tc>
          <w:tcPr>
            <w:tcW w:w="83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taxes receivable</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2,305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8"/>
        </w:trPr>
        <w:tc>
          <w:tcPr>
            <w:tcW w:w="8360" w:type="dxa"/>
            <w:vAlign w:val="bottom"/>
          </w:tcPr>
          <w:p>
            <w:pPr>
              <w:ind w:left="40"/>
              <w:spacing w:after="0"/>
              <w:rPr>
                <w:sz w:val="20"/>
                <w:szCs w:val="20"/>
                <w:color w:val="auto"/>
              </w:rPr>
            </w:pPr>
            <w:r>
              <w:rPr>
                <w:rFonts w:ascii="Arial" w:cs="Arial" w:eastAsia="Arial" w:hAnsi="Arial"/>
                <w:sz w:val="16"/>
                <w:szCs w:val="16"/>
                <w:color w:val="auto"/>
              </w:rPr>
              <w:t>Fixed assets, net of accumulated depreciation and amortization of $378,764 at September 30, 2016 and</w:t>
            </w:r>
          </w:p>
        </w:tc>
        <w:tc>
          <w:tcPr>
            <w:tcW w:w="140" w:type="dxa"/>
            <w:vAlign w:val="bottom"/>
          </w:tcPr>
          <w:p>
            <w:pPr>
              <w:spacing w:after="0"/>
              <w:rPr>
                <w:sz w:val="18"/>
                <w:szCs w:val="18"/>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373,098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275,419</w:t>
            </w:r>
          </w:p>
        </w:tc>
        <w:tc>
          <w:tcPr>
            <w:tcW w:w="0" w:type="dxa"/>
            <w:vAlign w:val="bottom"/>
          </w:tcPr>
          <w:p>
            <w:pPr>
              <w:spacing w:after="0"/>
              <w:rPr>
                <w:sz w:val="1"/>
                <w:szCs w:val="1"/>
                <w:color w:val="auto"/>
              </w:rPr>
            </w:pPr>
          </w:p>
        </w:tc>
      </w:tr>
      <w:tr>
        <w:trPr>
          <w:trHeight w:val="204"/>
        </w:trPr>
        <w:tc>
          <w:tcPr>
            <w:tcW w:w="8360" w:type="dxa"/>
            <w:vAlign w:val="bottom"/>
          </w:tcPr>
          <w:p>
            <w:pPr>
              <w:ind w:left="200"/>
              <w:spacing w:after="0"/>
              <w:rPr>
                <w:sz w:val="20"/>
                <w:szCs w:val="20"/>
                <w:color w:val="auto"/>
              </w:rPr>
            </w:pPr>
            <w:r>
              <w:rPr>
                <w:rFonts w:ascii="Arial" w:cs="Arial" w:eastAsia="Arial" w:hAnsi="Arial"/>
                <w:sz w:val="16"/>
                <w:szCs w:val="16"/>
                <w:color w:val="auto"/>
              </w:rPr>
              <w:t>$328,880 at December 31, 2015</w:t>
            </w: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Goodwill</w:t>
            </w: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1,365,838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1,365,838</w:t>
            </w:r>
          </w:p>
        </w:tc>
        <w:tc>
          <w:tcPr>
            <w:tcW w:w="0" w:type="dxa"/>
            <w:vAlign w:val="bottom"/>
          </w:tcPr>
          <w:p>
            <w:pPr>
              <w:spacing w:after="0"/>
              <w:rPr>
                <w:sz w:val="1"/>
                <w:szCs w:val="1"/>
                <w:color w:val="auto"/>
              </w:rPr>
            </w:pPr>
          </w:p>
        </w:tc>
      </w:tr>
      <w:tr>
        <w:trPr>
          <w:trHeight w:val="218"/>
        </w:trPr>
        <w:tc>
          <w:tcPr>
            <w:tcW w:w="8360" w:type="dxa"/>
            <w:vAlign w:val="bottom"/>
          </w:tcPr>
          <w:p>
            <w:pPr>
              <w:ind w:left="40"/>
              <w:spacing w:after="0"/>
              <w:rPr>
                <w:sz w:val="20"/>
                <w:szCs w:val="20"/>
                <w:color w:val="auto"/>
              </w:rPr>
            </w:pPr>
            <w:r>
              <w:rPr>
                <w:rFonts w:ascii="Arial" w:cs="Arial" w:eastAsia="Arial" w:hAnsi="Arial"/>
                <w:sz w:val="16"/>
                <w:szCs w:val="16"/>
                <w:color w:val="auto"/>
              </w:rPr>
              <w:t>Intangible assets, net of accumulated amortization of $371,276 at September 30, 2016 and $342,740 at</w:t>
            </w:r>
          </w:p>
        </w:tc>
        <w:tc>
          <w:tcPr>
            <w:tcW w:w="140" w:type="dxa"/>
            <w:vAlign w:val="bottom"/>
          </w:tcPr>
          <w:p>
            <w:pPr>
              <w:spacing w:after="0"/>
              <w:rPr>
                <w:sz w:val="18"/>
                <w:szCs w:val="18"/>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363,495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392,031</w:t>
            </w:r>
          </w:p>
        </w:tc>
        <w:tc>
          <w:tcPr>
            <w:tcW w:w="0" w:type="dxa"/>
            <w:vAlign w:val="bottom"/>
          </w:tcPr>
          <w:p>
            <w:pPr>
              <w:spacing w:after="0"/>
              <w:rPr>
                <w:sz w:val="1"/>
                <w:szCs w:val="1"/>
                <w:color w:val="auto"/>
              </w:rPr>
            </w:pPr>
          </w:p>
        </w:tc>
      </w:tr>
      <w:tr>
        <w:trPr>
          <w:trHeight w:val="204"/>
        </w:trPr>
        <w:tc>
          <w:tcPr>
            <w:tcW w:w="8360" w:type="dxa"/>
            <w:vAlign w:val="bottom"/>
          </w:tcPr>
          <w:p>
            <w:pPr>
              <w:ind w:left="200"/>
              <w:spacing w:after="0"/>
              <w:rPr>
                <w:sz w:val="20"/>
                <w:szCs w:val="20"/>
                <w:color w:val="auto"/>
              </w:rPr>
            </w:pPr>
            <w:r>
              <w:rPr>
                <w:rFonts w:ascii="Arial" w:cs="Arial" w:eastAsia="Arial" w:hAnsi="Arial"/>
                <w:sz w:val="16"/>
                <w:szCs w:val="16"/>
                <w:color w:val="auto"/>
              </w:rPr>
              <w:t>December 31, 2015</w:t>
            </w: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assets</w:t>
            </w:r>
          </w:p>
        </w:tc>
        <w:tc>
          <w:tcPr>
            <w:tcW w:w="140" w:type="dxa"/>
            <w:vAlign w:val="bottom"/>
            <w:tcBorders>
              <w:bottom w:val="single" w:sz="8" w:color="CCEEFF"/>
            </w:tcBorders>
            <w:shd w:val="clear" w:color="auto" w:fill="CCEEFF"/>
          </w:tcPr>
          <w:p>
            <w:pPr>
              <w:spacing w:after="0"/>
              <w:rPr>
                <w:sz w:val="24"/>
                <w:szCs w:val="24"/>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209,838</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206,771</w:t>
            </w:r>
          </w:p>
        </w:tc>
        <w:tc>
          <w:tcPr>
            <w:tcW w:w="0" w:type="dxa"/>
            <w:vAlign w:val="bottom"/>
          </w:tcPr>
          <w:p>
            <w:pPr>
              <w:spacing w:after="0"/>
              <w:rPr>
                <w:sz w:val="1"/>
                <w:szCs w:val="1"/>
                <w:color w:val="auto"/>
              </w:rPr>
            </w:pPr>
          </w:p>
        </w:tc>
      </w:tr>
      <w:tr>
        <w:trPr>
          <w:trHeight w:val="270"/>
        </w:trPr>
        <w:tc>
          <w:tcPr>
            <w:tcW w:w="83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Total assets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4,609,756</w:t>
            </w:r>
          </w:p>
        </w:tc>
        <w:tc>
          <w:tcPr>
            <w:tcW w:w="100" w:type="dxa"/>
            <w:vAlign w:val="bottom"/>
            <w:tcBorders>
              <w:bottom w:val="single" w:sz="8" w:color="CCEEFF"/>
            </w:tcBorders>
          </w:tcPr>
          <w:p>
            <w:pPr>
              <w:spacing w:after="0"/>
              <w:rPr>
                <w:sz w:val="23"/>
                <w:szCs w:val="23"/>
                <w:color w:val="auto"/>
              </w:rPr>
            </w:pPr>
          </w:p>
        </w:tc>
        <w:tc>
          <w:tcPr>
            <w:tcW w:w="36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4,521,061</w:t>
            </w:r>
          </w:p>
        </w:tc>
        <w:tc>
          <w:tcPr>
            <w:tcW w:w="0" w:type="dxa"/>
            <w:vAlign w:val="bottom"/>
          </w:tcPr>
          <w:p>
            <w:pPr>
              <w:spacing w:after="0"/>
              <w:rPr>
                <w:sz w:val="1"/>
                <w:szCs w:val="1"/>
                <w:color w:val="auto"/>
              </w:rPr>
            </w:pPr>
          </w:p>
        </w:tc>
      </w:tr>
      <w:tr>
        <w:trPr>
          <w:trHeight w:val="203"/>
        </w:trPr>
        <w:tc>
          <w:tcPr>
            <w:tcW w:w="8360" w:type="dxa"/>
            <w:vAlign w:val="bottom"/>
            <w:shd w:val="clear" w:color="auto" w:fill="CCEEFF"/>
          </w:tcPr>
          <w:p>
            <w:pPr>
              <w:ind w:left="4000"/>
              <w:spacing w:after="0"/>
              <w:rPr>
                <w:sz w:val="20"/>
                <w:szCs w:val="20"/>
                <w:color w:val="auto"/>
              </w:rPr>
            </w:pPr>
            <w:r>
              <w:rPr>
                <w:rFonts w:ascii="Arial" w:cs="Arial" w:eastAsia="Arial" w:hAnsi="Arial"/>
                <w:sz w:val="16"/>
                <w:szCs w:val="16"/>
                <w:b w:val="1"/>
                <w:bCs w:val="1"/>
                <w:color w:val="auto"/>
              </w:rPr>
              <w:t>LIABILITIES AND STOCKHOLDERS’ EQUITY</w:t>
            </w: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8360" w:type="dxa"/>
            <w:vAlign w:val="bottom"/>
          </w:tcPr>
          <w:p>
            <w:pPr>
              <w:ind w:left="40"/>
              <w:spacing w:after="0"/>
              <w:rPr>
                <w:sz w:val="20"/>
                <w:szCs w:val="20"/>
                <w:color w:val="auto"/>
              </w:rPr>
            </w:pPr>
            <w:r>
              <w:rPr>
                <w:rFonts w:ascii="Arial" w:cs="Arial" w:eastAsia="Arial" w:hAnsi="Arial"/>
                <w:sz w:val="16"/>
                <w:szCs w:val="16"/>
                <w:color w:val="auto"/>
              </w:rPr>
              <w:t>LIABILITIES:</w:t>
            </w: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0"/>
        </w:trPr>
        <w:tc>
          <w:tcPr>
            <w:tcW w:w="8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Drafts payable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161,444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189,083</w:t>
            </w:r>
          </w:p>
        </w:tc>
        <w:tc>
          <w:tcPr>
            <w:tcW w:w="0" w:type="dxa"/>
            <w:vAlign w:val="bottom"/>
          </w:tcPr>
          <w:p>
            <w:pPr>
              <w:spacing w:after="0"/>
              <w:rPr>
                <w:sz w:val="1"/>
                <w:szCs w:val="1"/>
                <w:color w:val="auto"/>
              </w:rPr>
            </w:pPr>
          </w:p>
        </w:tc>
      </w:tr>
      <w:tr>
        <w:trPr>
          <w:trHeight w:val="224"/>
        </w:trPr>
        <w:tc>
          <w:tcPr>
            <w:tcW w:w="8360" w:type="dxa"/>
            <w:vAlign w:val="bottom"/>
          </w:tcPr>
          <w:p>
            <w:pPr>
              <w:ind w:left="180"/>
              <w:spacing w:after="0"/>
              <w:rPr>
                <w:sz w:val="20"/>
                <w:szCs w:val="20"/>
                <w:color w:val="auto"/>
              </w:rPr>
            </w:pPr>
            <w:r>
              <w:rPr>
                <w:rFonts w:ascii="Arial" w:cs="Arial" w:eastAsia="Arial" w:hAnsi="Arial"/>
                <w:sz w:val="16"/>
                <w:szCs w:val="16"/>
                <w:color w:val="auto"/>
              </w:rPr>
              <w:t>Payables to clients</w:t>
            </w:r>
          </w:p>
        </w:tc>
        <w:tc>
          <w:tcPr>
            <w:tcW w:w="140" w:type="dxa"/>
            <w:vAlign w:val="bottom"/>
          </w:tcPr>
          <w:p>
            <w:pPr>
              <w:spacing w:after="0"/>
              <w:rPr>
                <w:sz w:val="19"/>
                <w:szCs w:val="19"/>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715,289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747,421</w:t>
            </w:r>
          </w:p>
        </w:tc>
        <w:tc>
          <w:tcPr>
            <w:tcW w:w="0" w:type="dxa"/>
            <w:vAlign w:val="bottom"/>
          </w:tcPr>
          <w:p>
            <w:pPr>
              <w:spacing w:after="0"/>
              <w:rPr>
                <w:sz w:val="1"/>
                <w:szCs w:val="1"/>
                <w:color w:val="auto"/>
              </w:rPr>
            </w:pPr>
          </w:p>
        </w:tc>
      </w:tr>
      <w:tr>
        <w:trPr>
          <w:trHeight w:val="47"/>
        </w:trPr>
        <w:tc>
          <w:tcPr>
            <w:tcW w:w="83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Payables to broker-dealers and clearing organizations</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51,890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48,032</w:t>
            </w:r>
          </w:p>
        </w:tc>
        <w:tc>
          <w:tcPr>
            <w:tcW w:w="0" w:type="dxa"/>
            <w:vAlign w:val="bottom"/>
          </w:tcPr>
          <w:p>
            <w:pPr>
              <w:spacing w:after="0"/>
              <w:rPr>
                <w:sz w:val="1"/>
                <w:szCs w:val="1"/>
                <w:color w:val="auto"/>
              </w:rPr>
            </w:pPr>
          </w:p>
        </w:tc>
      </w:tr>
      <w:tr>
        <w:trPr>
          <w:trHeight w:val="224"/>
        </w:trPr>
        <w:tc>
          <w:tcPr>
            <w:tcW w:w="8360" w:type="dxa"/>
            <w:vAlign w:val="bottom"/>
          </w:tcPr>
          <w:p>
            <w:pPr>
              <w:ind w:left="180"/>
              <w:spacing w:after="0"/>
              <w:rPr>
                <w:sz w:val="20"/>
                <w:szCs w:val="20"/>
                <w:color w:val="auto"/>
              </w:rPr>
            </w:pPr>
            <w:r>
              <w:rPr>
                <w:rFonts w:ascii="Arial" w:cs="Arial" w:eastAsia="Arial" w:hAnsi="Arial"/>
                <w:sz w:val="16"/>
                <w:szCs w:val="16"/>
                <w:color w:val="auto"/>
              </w:rPr>
              <w:t>Accrued commission and advisory expenses payable</w:t>
            </w:r>
          </w:p>
        </w:tc>
        <w:tc>
          <w:tcPr>
            <w:tcW w:w="140" w:type="dxa"/>
            <w:vAlign w:val="bottom"/>
          </w:tcPr>
          <w:p>
            <w:pPr>
              <w:spacing w:after="0"/>
              <w:rPr>
                <w:sz w:val="19"/>
                <w:szCs w:val="19"/>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129,249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129,512</w:t>
            </w:r>
          </w:p>
        </w:tc>
        <w:tc>
          <w:tcPr>
            <w:tcW w:w="0" w:type="dxa"/>
            <w:vAlign w:val="bottom"/>
          </w:tcPr>
          <w:p>
            <w:pPr>
              <w:spacing w:after="0"/>
              <w:rPr>
                <w:sz w:val="1"/>
                <w:szCs w:val="1"/>
                <w:color w:val="auto"/>
              </w:rPr>
            </w:pPr>
          </w:p>
        </w:tc>
      </w:tr>
      <w:tr>
        <w:trPr>
          <w:trHeight w:val="47"/>
        </w:trPr>
        <w:tc>
          <w:tcPr>
            <w:tcW w:w="83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Accounts payable and accrued 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367,096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332,492</w:t>
            </w:r>
          </w:p>
        </w:tc>
        <w:tc>
          <w:tcPr>
            <w:tcW w:w="0" w:type="dxa"/>
            <w:vAlign w:val="bottom"/>
          </w:tcPr>
          <w:p>
            <w:pPr>
              <w:spacing w:after="0"/>
              <w:rPr>
                <w:sz w:val="1"/>
                <w:szCs w:val="1"/>
                <w:color w:val="auto"/>
              </w:rPr>
            </w:pPr>
          </w:p>
        </w:tc>
      </w:tr>
      <w:tr>
        <w:trPr>
          <w:trHeight w:val="224"/>
        </w:trPr>
        <w:tc>
          <w:tcPr>
            <w:tcW w:w="8360" w:type="dxa"/>
            <w:vAlign w:val="bottom"/>
          </w:tcPr>
          <w:p>
            <w:pPr>
              <w:ind w:left="180"/>
              <w:spacing w:after="0"/>
              <w:rPr>
                <w:sz w:val="20"/>
                <w:szCs w:val="20"/>
                <w:color w:val="auto"/>
              </w:rPr>
            </w:pPr>
            <w:r>
              <w:rPr>
                <w:rFonts w:ascii="Arial" w:cs="Arial" w:eastAsia="Arial" w:hAnsi="Arial"/>
                <w:sz w:val="16"/>
                <w:szCs w:val="16"/>
                <w:color w:val="auto"/>
              </w:rPr>
              <w:t>Income taxes payable</w:t>
            </w:r>
          </w:p>
        </w:tc>
        <w:tc>
          <w:tcPr>
            <w:tcW w:w="140" w:type="dxa"/>
            <w:vAlign w:val="bottom"/>
          </w:tcPr>
          <w:p>
            <w:pPr>
              <w:spacing w:after="0"/>
              <w:rPr>
                <w:sz w:val="19"/>
                <w:szCs w:val="19"/>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9"/>
                <w:szCs w:val="19"/>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8,680</w:t>
            </w:r>
          </w:p>
        </w:tc>
        <w:tc>
          <w:tcPr>
            <w:tcW w:w="0" w:type="dxa"/>
            <w:vAlign w:val="bottom"/>
          </w:tcPr>
          <w:p>
            <w:pPr>
              <w:spacing w:after="0"/>
              <w:rPr>
                <w:sz w:val="1"/>
                <w:szCs w:val="1"/>
                <w:color w:val="auto"/>
              </w:rPr>
            </w:pPr>
          </w:p>
        </w:tc>
      </w:tr>
      <w:tr>
        <w:trPr>
          <w:trHeight w:val="47"/>
        </w:trPr>
        <w:tc>
          <w:tcPr>
            <w:tcW w:w="83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Unearned revenue</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72,959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65,480</w:t>
            </w:r>
          </w:p>
        </w:tc>
        <w:tc>
          <w:tcPr>
            <w:tcW w:w="0" w:type="dxa"/>
            <w:vAlign w:val="bottom"/>
          </w:tcPr>
          <w:p>
            <w:pPr>
              <w:spacing w:after="0"/>
              <w:rPr>
                <w:sz w:val="1"/>
                <w:szCs w:val="1"/>
                <w:color w:val="auto"/>
              </w:rPr>
            </w:pPr>
          </w:p>
        </w:tc>
      </w:tr>
      <w:tr>
        <w:trPr>
          <w:trHeight w:val="224"/>
        </w:trPr>
        <w:tc>
          <w:tcPr>
            <w:tcW w:w="8360" w:type="dxa"/>
            <w:vAlign w:val="bottom"/>
          </w:tcPr>
          <w:p>
            <w:pPr>
              <w:ind w:left="180"/>
              <w:spacing w:after="0"/>
              <w:rPr>
                <w:sz w:val="20"/>
                <w:szCs w:val="20"/>
                <w:color w:val="auto"/>
              </w:rPr>
            </w:pPr>
            <w:r>
              <w:rPr>
                <w:rFonts w:ascii="Arial" w:cs="Arial" w:eastAsia="Arial" w:hAnsi="Arial"/>
                <w:sz w:val="16"/>
                <w:szCs w:val="16"/>
                <w:color w:val="auto"/>
              </w:rPr>
              <w:t>Securities sold, but not yet purchased — at fair value</w:t>
            </w:r>
          </w:p>
        </w:tc>
        <w:tc>
          <w:tcPr>
            <w:tcW w:w="140" w:type="dxa"/>
            <w:vAlign w:val="bottom"/>
          </w:tcPr>
          <w:p>
            <w:pPr>
              <w:spacing w:after="0"/>
              <w:rPr>
                <w:sz w:val="19"/>
                <w:szCs w:val="19"/>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85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268</w:t>
            </w:r>
          </w:p>
        </w:tc>
        <w:tc>
          <w:tcPr>
            <w:tcW w:w="0" w:type="dxa"/>
            <w:vAlign w:val="bottom"/>
          </w:tcPr>
          <w:p>
            <w:pPr>
              <w:spacing w:after="0"/>
              <w:rPr>
                <w:sz w:val="1"/>
                <w:szCs w:val="1"/>
                <w:color w:val="auto"/>
              </w:rPr>
            </w:pPr>
          </w:p>
        </w:tc>
      </w:tr>
      <w:tr>
        <w:trPr>
          <w:trHeight w:val="47"/>
        </w:trPr>
        <w:tc>
          <w:tcPr>
            <w:tcW w:w="83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8"/>
        </w:trPr>
        <w:tc>
          <w:tcPr>
            <w:tcW w:w="83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Senior secured credit facilities, net of unamortized debt issuance cost of $23,139 at September 30, 2016 and</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2,178,641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2,188,240</w:t>
            </w:r>
          </w:p>
        </w:tc>
        <w:tc>
          <w:tcPr>
            <w:tcW w:w="0" w:type="dxa"/>
            <w:vAlign w:val="bottom"/>
          </w:tcPr>
          <w:p>
            <w:pPr>
              <w:spacing w:after="0"/>
              <w:rPr>
                <w:sz w:val="1"/>
                <w:szCs w:val="1"/>
                <w:color w:val="auto"/>
              </w:rPr>
            </w:pPr>
          </w:p>
        </w:tc>
      </w:tr>
      <w:tr>
        <w:trPr>
          <w:trHeight w:val="214"/>
        </w:trPr>
        <w:tc>
          <w:tcPr>
            <w:tcW w:w="8360" w:type="dxa"/>
            <w:vAlign w:val="bottom"/>
            <w:shd w:val="clear" w:color="auto" w:fill="CCEEFF"/>
          </w:tcPr>
          <w:p>
            <w:pPr>
              <w:ind w:left="420"/>
              <w:spacing w:after="0"/>
              <w:rPr>
                <w:sz w:val="20"/>
                <w:szCs w:val="20"/>
                <w:color w:val="auto"/>
              </w:rPr>
            </w:pPr>
            <w:r>
              <w:rPr>
                <w:rFonts w:ascii="Arial" w:cs="Arial" w:eastAsia="Arial" w:hAnsi="Arial"/>
                <w:sz w:val="16"/>
                <w:szCs w:val="16"/>
                <w:color w:val="auto"/>
              </w:rPr>
              <w:t>$26,797 at December 31, 2015</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8360" w:type="dxa"/>
            <w:vAlign w:val="bottom"/>
          </w:tcPr>
          <w:p>
            <w:pPr>
              <w:ind w:left="180"/>
              <w:spacing w:after="0"/>
              <w:rPr>
                <w:sz w:val="20"/>
                <w:szCs w:val="20"/>
                <w:color w:val="auto"/>
              </w:rPr>
            </w:pPr>
            <w:r>
              <w:rPr>
                <w:rFonts w:ascii="Arial" w:cs="Arial" w:eastAsia="Arial" w:hAnsi="Arial"/>
                <w:sz w:val="16"/>
                <w:szCs w:val="16"/>
                <w:color w:val="auto"/>
              </w:rPr>
              <w:t>Leasehold financing obligation</w:t>
            </w:r>
          </w:p>
        </w:tc>
        <w:tc>
          <w:tcPr>
            <w:tcW w:w="140" w:type="dxa"/>
            <w:vAlign w:val="bottom"/>
          </w:tcPr>
          <w:p>
            <w:pPr>
              <w:spacing w:after="0"/>
              <w:rPr>
                <w:sz w:val="19"/>
                <w:szCs w:val="19"/>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105,939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59,940</w:t>
            </w:r>
          </w:p>
        </w:tc>
        <w:tc>
          <w:tcPr>
            <w:tcW w:w="0" w:type="dxa"/>
            <w:vAlign w:val="bottom"/>
          </w:tcPr>
          <w:p>
            <w:pPr>
              <w:spacing w:after="0"/>
              <w:rPr>
                <w:sz w:val="1"/>
                <w:szCs w:val="1"/>
                <w:color w:val="auto"/>
              </w:rPr>
            </w:pPr>
          </w:p>
        </w:tc>
      </w:tr>
      <w:tr>
        <w:trPr>
          <w:trHeight w:val="47"/>
        </w:trPr>
        <w:tc>
          <w:tcPr>
            <w:tcW w:w="83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8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Deferred income taxes, net</w:t>
            </w: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36,038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36,303</w:t>
            </w:r>
          </w:p>
        </w:tc>
        <w:tc>
          <w:tcPr>
            <w:tcW w:w="0" w:type="dxa"/>
            <w:vAlign w:val="bottom"/>
          </w:tcPr>
          <w:p>
            <w:pPr>
              <w:spacing w:after="0"/>
              <w:rPr>
                <w:sz w:val="1"/>
                <w:szCs w:val="1"/>
                <w:color w:val="auto"/>
              </w:rPr>
            </w:pPr>
          </w:p>
        </w:tc>
      </w:tr>
      <w:tr>
        <w:trPr>
          <w:trHeight w:val="217"/>
        </w:trPr>
        <w:tc>
          <w:tcPr>
            <w:tcW w:w="8360" w:type="dxa"/>
            <w:vAlign w:val="bottom"/>
          </w:tcPr>
          <w:p>
            <w:pPr>
              <w:ind w:left="380"/>
              <w:spacing w:after="0"/>
              <w:rPr>
                <w:sz w:val="20"/>
                <w:szCs w:val="20"/>
                <w:color w:val="auto"/>
              </w:rPr>
            </w:pPr>
            <w:r>
              <w:rPr>
                <w:rFonts w:ascii="Arial" w:cs="Arial" w:eastAsia="Arial" w:hAnsi="Arial"/>
                <w:sz w:val="16"/>
                <w:szCs w:val="16"/>
                <w:color w:val="auto"/>
              </w:rPr>
              <w:t>Total liabilities</w:t>
            </w:r>
          </w:p>
        </w:tc>
        <w:tc>
          <w:tcPr>
            <w:tcW w:w="1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3,818,630</w:t>
            </w: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3,805,451</w:t>
            </w:r>
          </w:p>
        </w:tc>
        <w:tc>
          <w:tcPr>
            <w:tcW w:w="0" w:type="dxa"/>
            <w:vAlign w:val="bottom"/>
          </w:tcPr>
          <w:p>
            <w:pPr>
              <w:spacing w:after="0"/>
              <w:rPr>
                <w:sz w:val="1"/>
                <w:szCs w:val="1"/>
                <w:color w:val="auto"/>
              </w:rPr>
            </w:pPr>
          </w:p>
        </w:tc>
      </w:tr>
      <w:tr>
        <w:trPr>
          <w:trHeight w:val="33"/>
        </w:trPr>
        <w:tc>
          <w:tcPr>
            <w:tcW w:w="83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83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Commitments and contingencies (Note 8)</w:t>
            </w: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836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3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8360" w:type="dxa"/>
            <w:vAlign w:val="bottom"/>
          </w:tcPr>
          <w:p>
            <w:pPr>
              <w:ind w:left="40"/>
              <w:spacing w:after="0"/>
              <w:rPr>
                <w:sz w:val="20"/>
                <w:szCs w:val="20"/>
                <w:color w:val="auto"/>
              </w:rPr>
            </w:pPr>
            <w:r>
              <w:rPr>
                <w:rFonts w:ascii="Arial" w:cs="Arial" w:eastAsia="Arial" w:hAnsi="Arial"/>
                <w:sz w:val="16"/>
                <w:szCs w:val="16"/>
                <w:color w:val="auto"/>
              </w:rPr>
              <w:t>STOCKHOLDERS’ EQUITY:</w:t>
            </w: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83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8"/>
        </w:trPr>
        <w:tc>
          <w:tcPr>
            <w:tcW w:w="83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Common stock, $.001 par value; 600,000,000 shares authorized; 119,766,574 shares issued at September 30,</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119</w:t>
            </w:r>
          </w:p>
        </w:tc>
        <w:tc>
          <w:tcPr>
            <w:tcW w:w="0" w:type="dxa"/>
            <w:vAlign w:val="bottom"/>
          </w:tcPr>
          <w:p>
            <w:pPr>
              <w:spacing w:after="0"/>
              <w:rPr>
                <w:sz w:val="1"/>
                <w:szCs w:val="1"/>
                <w:color w:val="auto"/>
              </w:rPr>
            </w:pPr>
          </w:p>
        </w:tc>
      </w:tr>
      <w:tr>
        <w:trPr>
          <w:trHeight w:val="214"/>
        </w:trPr>
        <w:tc>
          <w:tcPr>
            <w:tcW w:w="83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2016 and 119,572,352 shares issued at December 31, 2015</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8360" w:type="dxa"/>
            <w:vAlign w:val="bottom"/>
          </w:tcPr>
          <w:p>
            <w:pPr>
              <w:ind w:left="260"/>
              <w:spacing w:after="0"/>
              <w:rPr>
                <w:sz w:val="20"/>
                <w:szCs w:val="20"/>
                <w:color w:val="auto"/>
              </w:rPr>
            </w:pPr>
            <w:r>
              <w:rPr>
                <w:rFonts w:ascii="Arial" w:cs="Arial" w:eastAsia="Arial" w:hAnsi="Arial"/>
                <w:sz w:val="16"/>
                <w:szCs w:val="16"/>
                <w:color w:val="auto"/>
              </w:rPr>
              <w:t>Additional paid-in capital</w:t>
            </w:r>
          </w:p>
        </w:tc>
        <w:tc>
          <w:tcPr>
            <w:tcW w:w="140" w:type="dxa"/>
            <w:vAlign w:val="bottom"/>
          </w:tcPr>
          <w:p>
            <w:pPr>
              <w:spacing w:after="0"/>
              <w:rPr>
                <w:sz w:val="19"/>
                <w:szCs w:val="19"/>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1,435,037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1,418,298</w:t>
            </w:r>
          </w:p>
        </w:tc>
        <w:tc>
          <w:tcPr>
            <w:tcW w:w="0" w:type="dxa"/>
            <w:vAlign w:val="bottom"/>
          </w:tcPr>
          <w:p>
            <w:pPr>
              <w:spacing w:after="0"/>
              <w:rPr>
                <w:sz w:val="1"/>
                <w:szCs w:val="1"/>
                <w:color w:val="auto"/>
              </w:rPr>
            </w:pPr>
          </w:p>
        </w:tc>
      </w:tr>
      <w:tr>
        <w:trPr>
          <w:trHeight w:val="47"/>
        </w:trPr>
        <w:tc>
          <w:tcPr>
            <w:tcW w:w="83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8"/>
        </w:trPr>
        <w:tc>
          <w:tcPr>
            <w:tcW w:w="83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Treasury stock, at cost — 30,638,748 shares at September 30, 2016 and 30,048,027 shares at December 31,</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(1,195,282)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(1,172,490)</w:t>
            </w:r>
          </w:p>
        </w:tc>
        <w:tc>
          <w:tcPr>
            <w:tcW w:w="0" w:type="dxa"/>
            <w:vAlign w:val="bottom"/>
          </w:tcPr>
          <w:p>
            <w:pPr>
              <w:spacing w:after="0"/>
              <w:rPr>
                <w:sz w:val="1"/>
                <w:szCs w:val="1"/>
                <w:color w:val="auto"/>
              </w:rPr>
            </w:pPr>
          </w:p>
        </w:tc>
      </w:tr>
      <w:tr>
        <w:trPr>
          <w:trHeight w:val="214"/>
        </w:trPr>
        <w:tc>
          <w:tcPr>
            <w:tcW w:w="83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2015</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8360" w:type="dxa"/>
            <w:vAlign w:val="bottom"/>
          </w:tcPr>
          <w:p>
            <w:pPr>
              <w:ind w:left="260"/>
              <w:spacing w:after="0"/>
              <w:rPr>
                <w:sz w:val="20"/>
                <w:szCs w:val="20"/>
                <w:color w:val="auto"/>
              </w:rPr>
            </w:pPr>
            <w:r>
              <w:rPr>
                <w:rFonts w:ascii="Arial" w:cs="Arial" w:eastAsia="Arial" w:hAnsi="Arial"/>
                <w:sz w:val="16"/>
                <w:szCs w:val="16"/>
                <w:color w:val="auto"/>
              </w:rPr>
              <w:t>Accumulated other comprehensive income</w:t>
            </w:r>
          </w:p>
        </w:tc>
        <w:tc>
          <w:tcPr>
            <w:tcW w:w="140" w:type="dxa"/>
            <w:vAlign w:val="bottom"/>
          </w:tcPr>
          <w:p>
            <w:pPr>
              <w:spacing w:after="0"/>
              <w:rPr>
                <w:sz w:val="19"/>
                <w:szCs w:val="19"/>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444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553</w:t>
            </w:r>
          </w:p>
        </w:tc>
        <w:tc>
          <w:tcPr>
            <w:tcW w:w="0" w:type="dxa"/>
            <w:vAlign w:val="bottom"/>
          </w:tcPr>
          <w:p>
            <w:pPr>
              <w:spacing w:after="0"/>
              <w:rPr>
                <w:sz w:val="1"/>
                <w:szCs w:val="1"/>
                <w:color w:val="auto"/>
              </w:rPr>
            </w:pPr>
          </w:p>
        </w:tc>
      </w:tr>
      <w:tr>
        <w:trPr>
          <w:trHeight w:val="47"/>
        </w:trPr>
        <w:tc>
          <w:tcPr>
            <w:tcW w:w="83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83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Retained earnings</w:t>
            </w: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550,807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469,130</w:t>
            </w:r>
          </w:p>
        </w:tc>
        <w:tc>
          <w:tcPr>
            <w:tcW w:w="0" w:type="dxa"/>
            <w:vAlign w:val="bottom"/>
          </w:tcPr>
          <w:p>
            <w:pPr>
              <w:spacing w:after="0"/>
              <w:rPr>
                <w:sz w:val="1"/>
                <w:szCs w:val="1"/>
                <w:color w:val="auto"/>
              </w:rPr>
            </w:pPr>
          </w:p>
        </w:tc>
      </w:tr>
      <w:tr>
        <w:trPr>
          <w:trHeight w:val="217"/>
        </w:trPr>
        <w:tc>
          <w:tcPr>
            <w:tcW w:w="8360" w:type="dxa"/>
            <w:vAlign w:val="bottom"/>
          </w:tcPr>
          <w:p>
            <w:pPr>
              <w:ind w:left="380"/>
              <w:spacing w:after="0"/>
              <w:rPr>
                <w:sz w:val="20"/>
                <w:szCs w:val="20"/>
                <w:color w:val="auto"/>
              </w:rPr>
            </w:pPr>
            <w:r>
              <w:rPr>
                <w:rFonts w:ascii="Arial" w:cs="Arial" w:eastAsia="Arial" w:hAnsi="Arial"/>
                <w:sz w:val="16"/>
                <w:szCs w:val="16"/>
                <w:color w:val="auto"/>
              </w:rPr>
              <w:t>Total stockholders’ equity</w:t>
            </w:r>
          </w:p>
        </w:tc>
        <w:tc>
          <w:tcPr>
            <w:tcW w:w="1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791,126</w:t>
            </w: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715,610</w:t>
            </w:r>
          </w:p>
        </w:tc>
        <w:tc>
          <w:tcPr>
            <w:tcW w:w="0" w:type="dxa"/>
            <w:vAlign w:val="bottom"/>
          </w:tcPr>
          <w:p>
            <w:pPr>
              <w:spacing w:after="0"/>
              <w:rPr>
                <w:sz w:val="1"/>
                <w:szCs w:val="1"/>
                <w:color w:val="auto"/>
              </w:rPr>
            </w:pPr>
          </w:p>
        </w:tc>
      </w:tr>
      <w:tr>
        <w:trPr>
          <w:trHeight w:val="33"/>
        </w:trPr>
        <w:tc>
          <w:tcPr>
            <w:tcW w:w="83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liabilities and stockholders’ equity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4,609,756</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4,521,061</w:t>
            </w:r>
          </w:p>
        </w:tc>
        <w:tc>
          <w:tcPr>
            <w:tcW w:w="0" w:type="dxa"/>
            <w:vAlign w:val="bottom"/>
          </w:tcPr>
          <w:p>
            <w:pPr>
              <w:spacing w:after="0"/>
              <w:rPr>
                <w:sz w:val="1"/>
                <w:szCs w:val="1"/>
                <w:color w:val="auto"/>
              </w:rPr>
            </w:pPr>
          </w:p>
        </w:tc>
      </w:tr>
      <w:tr>
        <w:trPr>
          <w:trHeight w:val="20"/>
        </w:trPr>
        <w:tc>
          <w:tcPr>
            <w:tcW w:w="8360" w:type="dxa"/>
            <w:vAlign w:val="bottom"/>
            <w:vMerge w:val="restart"/>
          </w:tcPr>
          <w:p>
            <w:pPr>
              <w:ind w:left="3220"/>
              <w:spacing w:after="0"/>
              <w:rPr>
                <w:sz w:val="20"/>
                <w:szCs w:val="20"/>
                <w:color w:val="auto"/>
              </w:rPr>
            </w:pPr>
            <w:r>
              <w:rPr>
                <w:rFonts w:ascii="Arial" w:cs="Arial" w:eastAsia="Arial" w:hAnsi="Arial"/>
                <w:sz w:val="16"/>
                <w:szCs w:val="16"/>
                <w:color w:val="auto"/>
              </w:rPr>
              <w:t>See notes to unaudited condensed consolidated financial statements.</w:t>
            </w: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36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71" w:right="239" w:bottom="1440" w:gutter="0" w:footer="0" w:header="0"/>
        </w:sectPr>
      </w:pPr>
    </w:p>
    <w:p>
      <w:pPr>
        <w:spacing w:after="0" w:line="4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24</w:t>
      </w:r>
    </w:p>
    <w:p>
      <w:pPr>
        <w:sectPr>
          <w:pgSz w:w="11900" w:h="16838" w:orient="portrait"/>
          <w:cols w:equalWidth="0" w:num="1">
            <w:col w:w="11420"/>
          </w:cols>
          <w:pgMar w:left="240" w:top="171" w:right="239" w:bottom="1440" w:gutter="0" w:footer="0" w:header="0"/>
          <w:type w:val="continuous"/>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640" w:type="dxa"/>
            <w:vAlign w:val="bottom"/>
          </w:tcPr>
          <w:p>
            <w:pPr>
              <w:spacing w:after="0"/>
              <w:rPr>
                <w:sz w:val="16"/>
                <w:szCs w:val="16"/>
                <w:color w:val="auto"/>
              </w:rPr>
            </w:pPr>
          </w:p>
        </w:tc>
        <w:tc>
          <w:tcPr>
            <w:tcW w:w="1880" w:type="dxa"/>
            <w:vAlign w:val="bottom"/>
            <w:gridSpan w:val="5"/>
          </w:tcPr>
          <w:p>
            <w:pPr>
              <w:ind w:left="360"/>
              <w:spacing w:after="0"/>
              <w:rPr>
                <w:sz w:val="20"/>
                <w:szCs w:val="20"/>
                <w:color w:val="auto"/>
              </w:rPr>
            </w:pPr>
            <w:r>
              <w:rPr>
                <w:rFonts w:ascii="Arial" w:cs="Arial" w:eastAsia="Arial" w:hAnsi="Arial"/>
                <w:sz w:val="14"/>
                <w:szCs w:val="14"/>
                <w:b w:val="1"/>
                <w:bCs w:val="1"/>
                <w:color w:val="auto"/>
              </w:rPr>
              <w:t>Common Stock</w:t>
            </w:r>
          </w:p>
        </w:tc>
        <w:tc>
          <w:tcPr>
            <w:tcW w:w="140" w:type="dxa"/>
            <w:vAlign w:val="bottom"/>
          </w:tcPr>
          <w:p>
            <w:pPr>
              <w:spacing w:after="0"/>
              <w:rPr>
                <w:sz w:val="16"/>
                <w:szCs w:val="16"/>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Additional</w:t>
            </w:r>
          </w:p>
        </w:tc>
        <w:tc>
          <w:tcPr>
            <w:tcW w:w="202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rPr>
              <w:t>Treasury Stock</w:t>
            </w:r>
          </w:p>
        </w:tc>
        <w:tc>
          <w:tcPr>
            <w:tcW w:w="120" w:type="dxa"/>
            <w:vAlign w:val="bottom"/>
          </w:tcPr>
          <w:p>
            <w:pPr>
              <w:spacing w:after="0"/>
              <w:rPr>
                <w:sz w:val="16"/>
                <w:szCs w:val="16"/>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Other</w:t>
            </w: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center"/>
              <w:ind w:right="48"/>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54"/>
        </w:trPr>
        <w:tc>
          <w:tcPr>
            <w:tcW w:w="2640" w:type="dxa"/>
            <w:vAlign w:val="bottom"/>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gridSpan w:val="2"/>
            <w:vMerge w:val="restart"/>
          </w:tcPr>
          <w:p>
            <w:pPr>
              <w:jc w:val="center"/>
              <w:ind w:right="280"/>
              <w:spacing w:after="0" w:line="135" w:lineRule="exact"/>
              <w:rPr>
                <w:sz w:val="20"/>
                <w:szCs w:val="20"/>
                <w:color w:val="auto"/>
              </w:rPr>
            </w:pPr>
            <w:r>
              <w:rPr>
                <w:rFonts w:ascii="Arial" w:cs="Arial" w:eastAsia="Arial" w:hAnsi="Arial"/>
                <w:sz w:val="14"/>
                <w:szCs w:val="14"/>
                <w:b w:val="1"/>
                <w:bCs w:val="1"/>
                <w:color w:val="auto"/>
              </w:rPr>
              <w:t>Paid-In</w:t>
            </w:r>
          </w:p>
        </w:tc>
        <w:tc>
          <w:tcPr>
            <w:tcW w:w="8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40" w:type="dxa"/>
            <w:vAlign w:val="bottom"/>
            <w:gridSpan w:val="2"/>
            <w:vMerge w:val="restart"/>
          </w:tcPr>
          <w:p>
            <w:pPr>
              <w:jc w:val="center"/>
              <w:ind w:right="220"/>
              <w:spacing w:after="0" w:line="135" w:lineRule="exact"/>
              <w:rPr>
                <w:sz w:val="20"/>
                <w:szCs w:val="20"/>
                <w:color w:val="auto"/>
              </w:rPr>
            </w:pPr>
            <w:r>
              <w:rPr>
                <w:rFonts w:ascii="Arial" w:cs="Arial" w:eastAsia="Arial" w:hAnsi="Arial"/>
                <w:sz w:val="14"/>
                <w:szCs w:val="14"/>
                <w:b w:val="1"/>
                <w:bCs w:val="1"/>
                <w:color w:val="auto"/>
              </w:rPr>
              <w:t>Comprehensive</w:t>
            </w:r>
          </w:p>
        </w:tc>
        <w:tc>
          <w:tcPr>
            <w:tcW w:w="120" w:type="dxa"/>
            <w:vAlign w:val="bottom"/>
          </w:tcPr>
          <w:p>
            <w:pPr>
              <w:spacing w:after="0"/>
              <w:rPr>
                <w:sz w:val="4"/>
                <w:szCs w:val="4"/>
                <w:color w:val="auto"/>
              </w:rPr>
            </w:pPr>
          </w:p>
        </w:tc>
        <w:tc>
          <w:tcPr>
            <w:tcW w:w="880" w:type="dxa"/>
            <w:vAlign w:val="bottom"/>
            <w:gridSpan w:val="2"/>
            <w:vMerge w:val="restart"/>
          </w:tcPr>
          <w:p>
            <w:pPr>
              <w:ind w:left="20"/>
              <w:spacing w:after="0" w:line="135" w:lineRule="exact"/>
              <w:rPr>
                <w:sz w:val="20"/>
                <w:szCs w:val="20"/>
                <w:color w:val="auto"/>
              </w:rPr>
            </w:pPr>
            <w:r>
              <w:rPr>
                <w:rFonts w:ascii="Arial" w:cs="Arial" w:eastAsia="Arial" w:hAnsi="Arial"/>
                <w:sz w:val="14"/>
                <w:szCs w:val="14"/>
                <w:b w:val="1"/>
                <w:bCs w:val="1"/>
                <w:color w:val="auto"/>
              </w:rPr>
              <w:t>Retained</w:t>
            </w:r>
          </w:p>
        </w:tc>
        <w:tc>
          <w:tcPr>
            <w:tcW w:w="120" w:type="dxa"/>
            <w:vAlign w:val="bottom"/>
          </w:tcPr>
          <w:p>
            <w:pPr>
              <w:spacing w:after="0"/>
              <w:rPr>
                <w:sz w:val="4"/>
                <w:szCs w:val="4"/>
                <w:color w:val="auto"/>
              </w:rPr>
            </w:pPr>
          </w:p>
        </w:tc>
        <w:tc>
          <w:tcPr>
            <w:tcW w:w="1120" w:type="dxa"/>
            <w:vAlign w:val="bottom"/>
            <w:vMerge w:val="restart"/>
          </w:tcPr>
          <w:p>
            <w:pPr>
              <w:jc w:val="center"/>
              <w:ind w:right="48"/>
              <w:spacing w:after="0" w:line="135" w:lineRule="exact"/>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61"/>
        </w:trPr>
        <w:tc>
          <w:tcPr>
            <w:tcW w:w="26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gridSpan w:val="2"/>
            <w:vMerge w:val="continue"/>
          </w:tcPr>
          <w:p>
            <w:pPr>
              <w:spacing w:after="0"/>
              <w:rPr>
                <w:sz w:val="5"/>
                <w:szCs w:val="5"/>
                <w:color w:val="auto"/>
              </w:rPr>
            </w:pPr>
          </w:p>
        </w:tc>
        <w:tc>
          <w:tcPr>
            <w:tcW w:w="8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34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2640" w:type="dxa"/>
            <w:vAlign w:val="bottom"/>
          </w:tcPr>
          <w:p>
            <w:pPr>
              <w:spacing w:after="0"/>
              <w:rPr>
                <w:sz w:val="17"/>
                <w:szCs w:val="17"/>
                <w:color w:val="auto"/>
              </w:rPr>
            </w:pPr>
          </w:p>
        </w:tc>
        <w:tc>
          <w:tcPr>
            <w:tcW w:w="940" w:type="dxa"/>
            <w:vAlign w:val="bottom"/>
            <w:gridSpan w:val="2"/>
          </w:tcPr>
          <w:p>
            <w:pPr>
              <w:ind w:left="16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7"/>
                <w:szCs w:val="17"/>
                <w:color w:val="auto"/>
              </w:rPr>
            </w:pPr>
          </w:p>
        </w:tc>
        <w:tc>
          <w:tcPr>
            <w:tcW w:w="820" w:type="dxa"/>
            <w:vAlign w:val="bottom"/>
            <w:gridSpan w:val="2"/>
          </w:tcPr>
          <w:p>
            <w:pPr>
              <w:ind w:left="20"/>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7"/>
                <w:szCs w:val="17"/>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Capital</w:t>
            </w:r>
          </w:p>
        </w:tc>
        <w:tc>
          <w:tcPr>
            <w:tcW w:w="900" w:type="dxa"/>
            <w:vAlign w:val="bottom"/>
            <w:gridSpan w:val="2"/>
          </w:tcPr>
          <w:p>
            <w:pPr>
              <w:ind w:left="160"/>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7"/>
                <w:szCs w:val="17"/>
                <w:color w:val="auto"/>
              </w:rPr>
            </w:pPr>
          </w:p>
        </w:tc>
        <w:tc>
          <w:tcPr>
            <w:tcW w:w="960" w:type="dxa"/>
            <w:vAlign w:val="bottom"/>
            <w:gridSpan w:val="2"/>
          </w:tcPr>
          <w:p>
            <w:pPr>
              <w:ind w:left="8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7"/>
                <w:szCs w:val="17"/>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Income</w:t>
            </w:r>
          </w:p>
        </w:tc>
        <w:tc>
          <w:tcPr>
            <w:tcW w:w="120" w:type="dxa"/>
            <w:vAlign w:val="bottom"/>
          </w:tcPr>
          <w:p>
            <w:pPr>
              <w:spacing w:after="0"/>
              <w:rPr>
                <w:sz w:val="17"/>
                <w:szCs w:val="17"/>
                <w:color w:val="auto"/>
              </w:rPr>
            </w:pPr>
          </w:p>
        </w:tc>
        <w:tc>
          <w:tcPr>
            <w:tcW w:w="880" w:type="dxa"/>
            <w:vAlign w:val="bottom"/>
            <w:gridSpan w:val="2"/>
          </w:tcPr>
          <w:p>
            <w:pPr>
              <w:ind w:left="20"/>
              <w:spacing w:after="0"/>
              <w:rPr>
                <w:sz w:val="20"/>
                <w:szCs w:val="20"/>
                <w:color w:val="auto"/>
              </w:rPr>
            </w:pPr>
            <w:r>
              <w:rPr>
                <w:rFonts w:ascii="Arial" w:cs="Arial" w:eastAsia="Arial" w:hAnsi="Arial"/>
                <w:sz w:val="14"/>
                <w:szCs w:val="14"/>
                <w:b w:val="1"/>
                <w:bCs w:val="1"/>
                <w:color w:val="auto"/>
              </w:rPr>
              <w:t>Earnings</w:t>
            </w:r>
          </w:p>
        </w:tc>
        <w:tc>
          <w:tcPr>
            <w:tcW w:w="120" w:type="dxa"/>
            <w:vAlign w:val="bottom"/>
          </w:tcPr>
          <w:p>
            <w:pPr>
              <w:spacing w:after="0"/>
              <w:rPr>
                <w:sz w:val="17"/>
                <w:szCs w:val="17"/>
                <w:color w:val="auto"/>
              </w:rPr>
            </w:pPr>
          </w:p>
        </w:tc>
        <w:tc>
          <w:tcPr>
            <w:tcW w:w="1120" w:type="dxa"/>
            <w:vAlign w:val="bottom"/>
          </w:tcPr>
          <w:p>
            <w:pPr>
              <w:jc w:val="center"/>
              <w:ind w:right="4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36"/>
        </w:trPr>
        <w:tc>
          <w:tcPr>
            <w:tcW w:w="26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BALANCE — December 31, 2014</w:t>
            </w:r>
          </w:p>
        </w:tc>
        <w:tc>
          <w:tcPr>
            <w:tcW w:w="820" w:type="dxa"/>
            <w:vAlign w:val="bottom"/>
            <w:tcBorders>
              <w:top w:val="single" w:sz="8" w:color="auto"/>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118,235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118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1,355,085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800" w:type="dxa"/>
            <w:vAlign w:val="bottom"/>
            <w:tcBorders>
              <w:top w:val="single" w:sz="8" w:color="auto"/>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21,090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(780,661)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top w:val="single" w:sz="8" w:color="auto"/>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937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396,121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971,600</w:t>
            </w:r>
          </w:p>
        </w:tc>
        <w:tc>
          <w:tcPr>
            <w:tcW w:w="0" w:type="dxa"/>
            <w:vAlign w:val="bottom"/>
          </w:tcPr>
          <w:p>
            <w:pPr>
              <w:spacing w:after="0"/>
              <w:rPr>
                <w:sz w:val="1"/>
                <w:szCs w:val="1"/>
                <w:color w:val="auto"/>
              </w:rPr>
            </w:pPr>
          </w:p>
        </w:tc>
      </w:tr>
      <w:tr>
        <w:trPr>
          <w:trHeight w:val="194"/>
        </w:trPr>
        <w:tc>
          <w:tcPr>
            <w:tcW w:w="2640" w:type="dxa"/>
            <w:vAlign w:val="bottom"/>
          </w:tcPr>
          <w:p>
            <w:pPr>
              <w:ind w:left="180"/>
              <w:spacing w:after="0"/>
              <w:rPr>
                <w:sz w:val="20"/>
                <w:szCs w:val="20"/>
                <w:color w:val="auto"/>
              </w:rPr>
            </w:pPr>
            <w:r>
              <w:rPr>
                <w:rFonts w:ascii="Arial" w:cs="Arial" w:eastAsia="Arial" w:hAnsi="Arial"/>
                <w:sz w:val="14"/>
                <w:szCs w:val="14"/>
                <w:color w:val="auto"/>
              </w:rPr>
              <w:t>Net income and other comprehensive</w:t>
            </w: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(342)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141,972</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141,630</w:t>
            </w:r>
          </w:p>
        </w:tc>
        <w:tc>
          <w:tcPr>
            <w:tcW w:w="0" w:type="dxa"/>
            <w:vAlign w:val="bottom"/>
          </w:tcPr>
          <w:p>
            <w:pPr>
              <w:spacing w:after="0"/>
              <w:rPr>
                <w:sz w:val="1"/>
                <w:szCs w:val="1"/>
                <w:color w:val="auto"/>
              </w:rPr>
            </w:pPr>
          </w:p>
        </w:tc>
      </w:tr>
      <w:tr>
        <w:trPr>
          <w:trHeight w:val="178"/>
        </w:trPr>
        <w:tc>
          <w:tcPr>
            <w:tcW w:w="2640" w:type="dxa"/>
            <w:vAlign w:val="bottom"/>
          </w:tcPr>
          <w:p>
            <w:pPr>
              <w:ind w:left="260"/>
              <w:spacing w:after="0"/>
              <w:rPr>
                <w:sz w:val="20"/>
                <w:szCs w:val="20"/>
                <w:color w:val="auto"/>
              </w:rPr>
            </w:pPr>
            <w:r>
              <w:rPr>
                <w:rFonts w:ascii="Arial" w:cs="Arial" w:eastAsia="Arial" w:hAnsi="Arial"/>
                <w:sz w:val="14"/>
                <w:szCs w:val="14"/>
                <w:color w:val="auto"/>
              </w:rPr>
              <w:t>income (loss), net of tax expense</w:t>
            </w: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26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Issuance of common stock to settle</w:t>
            </w: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172</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64</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(2,868)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(2,867)</w:t>
            </w:r>
          </w:p>
        </w:tc>
        <w:tc>
          <w:tcPr>
            <w:tcW w:w="0" w:type="dxa"/>
            <w:vAlign w:val="bottom"/>
          </w:tcPr>
          <w:p>
            <w:pPr>
              <w:spacing w:after="0"/>
              <w:rPr>
                <w:sz w:val="1"/>
                <w:szCs w:val="1"/>
                <w:color w:val="auto"/>
              </w:rPr>
            </w:pPr>
          </w:p>
        </w:tc>
      </w:tr>
      <w:tr>
        <w:trPr>
          <w:trHeight w:val="184"/>
        </w:trPr>
        <w:tc>
          <w:tcPr>
            <w:tcW w:w="2640" w:type="dxa"/>
            <w:vAlign w:val="bottom"/>
            <w:shd w:val="clear" w:color="auto" w:fill="CCEEFF"/>
          </w:tcPr>
          <w:p>
            <w:pPr>
              <w:ind w:left="260"/>
              <w:spacing w:after="0"/>
              <w:rPr>
                <w:sz w:val="20"/>
                <w:szCs w:val="20"/>
                <w:color w:val="auto"/>
              </w:rPr>
            </w:pPr>
            <w:r>
              <w:rPr>
                <w:rFonts w:ascii="Arial" w:cs="Arial" w:eastAsia="Arial" w:hAnsi="Arial"/>
                <w:sz w:val="14"/>
                <w:szCs w:val="14"/>
                <w:color w:val="auto"/>
              </w:rPr>
              <w:t>restricted stock units, net</w:t>
            </w: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640" w:type="dxa"/>
            <w:vAlign w:val="bottom"/>
          </w:tcPr>
          <w:p>
            <w:pPr>
              <w:ind w:left="180"/>
              <w:spacing w:after="0"/>
              <w:rPr>
                <w:sz w:val="20"/>
                <w:szCs w:val="20"/>
                <w:color w:val="auto"/>
              </w:rPr>
            </w:pPr>
            <w:r>
              <w:rPr>
                <w:rFonts w:ascii="Arial" w:cs="Arial" w:eastAsia="Arial" w:hAnsi="Arial"/>
                <w:sz w:val="14"/>
                <w:szCs w:val="14"/>
                <w:color w:val="auto"/>
              </w:rPr>
              <w:t>Treasury stock purchases</w:t>
            </w: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3,325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(140,835)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(140,835)</w:t>
            </w:r>
          </w:p>
        </w:tc>
        <w:tc>
          <w:tcPr>
            <w:tcW w:w="0" w:type="dxa"/>
            <w:vAlign w:val="bottom"/>
          </w:tcPr>
          <w:p>
            <w:pPr>
              <w:spacing w:after="0"/>
              <w:rPr>
                <w:sz w:val="1"/>
                <w:szCs w:val="1"/>
                <w:color w:val="auto"/>
              </w:rPr>
            </w:pPr>
          </w:p>
        </w:tc>
      </w:tr>
      <w:tr>
        <w:trPr>
          <w:trHeight w:val="66"/>
        </w:trPr>
        <w:tc>
          <w:tcPr>
            <w:tcW w:w="26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9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26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Cash dividends on common stock</w:t>
            </w: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(72,056)</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(72,056)</w:t>
            </w:r>
          </w:p>
        </w:tc>
        <w:tc>
          <w:tcPr>
            <w:tcW w:w="0" w:type="dxa"/>
            <w:vAlign w:val="bottom"/>
          </w:tcPr>
          <w:p>
            <w:pPr>
              <w:spacing w:after="0"/>
              <w:rPr>
                <w:sz w:val="1"/>
                <w:szCs w:val="1"/>
                <w:color w:val="auto"/>
              </w:rPr>
            </w:pPr>
          </w:p>
        </w:tc>
      </w:tr>
      <w:tr>
        <w:trPr>
          <w:trHeight w:val="66"/>
        </w:trPr>
        <w:tc>
          <w:tcPr>
            <w:tcW w:w="2640" w:type="dxa"/>
            <w:vAlign w:val="bottom"/>
            <w:shd w:val="clear" w:color="auto" w:fill="CCEEFF"/>
          </w:tcPr>
          <w:p>
            <w:pPr>
              <w:spacing w:after="0"/>
              <w:rPr>
                <w:sz w:val="5"/>
                <w:szCs w:val="5"/>
                <w:color w:val="auto"/>
              </w:rPr>
            </w:pPr>
          </w:p>
        </w:tc>
        <w:tc>
          <w:tcPr>
            <w:tcW w:w="8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7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9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8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8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2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7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2640" w:type="dxa"/>
            <w:vAlign w:val="bottom"/>
          </w:tcPr>
          <w:p>
            <w:pPr>
              <w:ind w:left="180"/>
              <w:spacing w:after="0"/>
              <w:rPr>
                <w:sz w:val="20"/>
                <w:szCs w:val="20"/>
                <w:color w:val="auto"/>
              </w:rPr>
            </w:pPr>
            <w:r>
              <w:rPr>
                <w:rFonts w:ascii="Arial" w:cs="Arial" w:eastAsia="Arial" w:hAnsi="Arial"/>
                <w:sz w:val="14"/>
                <w:szCs w:val="14"/>
                <w:color w:val="auto"/>
              </w:rPr>
              <w:t>Stock option exercises and other</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832</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22,331</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1,547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22</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23,900</w:t>
            </w:r>
          </w:p>
        </w:tc>
        <w:tc>
          <w:tcPr>
            <w:tcW w:w="0" w:type="dxa"/>
            <w:vAlign w:val="bottom"/>
          </w:tcPr>
          <w:p>
            <w:pPr>
              <w:spacing w:after="0"/>
              <w:rPr>
                <w:sz w:val="1"/>
                <w:szCs w:val="1"/>
                <w:color w:val="auto"/>
              </w:rPr>
            </w:pPr>
          </w:p>
        </w:tc>
      </w:tr>
      <w:tr>
        <w:trPr>
          <w:trHeight w:val="66"/>
        </w:trPr>
        <w:tc>
          <w:tcPr>
            <w:tcW w:w="26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9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26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Share-based compensation</w:t>
            </w: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22,577</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22,577</w:t>
            </w:r>
          </w:p>
        </w:tc>
        <w:tc>
          <w:tcPr>
            <w:tcW w:w="0" w:type="dxa"/>
            <w:vAlign w:val="bottom"/>
          </w:tcPr>
          <w:p>
            <w:pPr>
              <w:spacing w:after="0"/>
              <w:rPr>
                <w:sz w:val="1"/>
                <w:szCs w:val="1"/>
                <w:color w:val="auto"/>
              </w:rPr>
            </w:pPr>
          </w:p>
        </w:tc>
      </w:tr>
      <w:tr>
        <w:trPr>
          <w:trHeight w:val="66"/>
        </w:trPr>
        <w:tc>
          <w:tcPr>
            <w:tcW w:w="2640" w:type="dxa"/>
            <w:vAlign w:val="bottom"/>
            <w:shd w:val="clear" w:color="auto" w:fill="CCEEFF"/>
          </w:tcPr>
          <w:p>
            <w:pPr>
              <w:spacing w:after="0"/>
              <w:rPr>
                <w:sz w:val="5"/>
                <w:szCs w:val="5"/>
                <w:color w:val="auto"/>
              </w:rPr>
            </w:pPr>
          </w:p>
        </w:tc>
        <w:tc>
          <w:tcPr>
            <w:tcW w:w="8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7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9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8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8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2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7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94"/>
        </w:trPr>
        <w:tc>
          <w:tcPr>
            <w:tcW w:w="2640" w:type="dxa"/>
            <w:vAlign w:val="bottom"/>
          </w:tcPr>
          <w:p>
            <w:pPr>
              <w:ind w:left="180"/>
              <w:spacing w:after="0"/>
              <w:rPr>
                <w:sz w:val="20"/>
                <w:szCs w:val="20"/>
                <w:color w:val="auto"/>
              </w:rPr>
            </w:pPr>
            <w:r>
              <w:rPr>
                <w:rFonts w:ascii="Arial" w:cs="Arial" w:eastAsia="Arial" w:hAnsi="Arial"/>
                <w:sz w:val="14"/>
                <w:szCs w:val="14"/>
                <w:color w:val="auto"/>
              </w:rPr>
              <w:t>Excess tax benefits (tax deficiency)</w:t>
            </w: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1,448</w:t>
            </w: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1,448</w:t>
            </w:r>
          </w:p>
        </w:tc>
        <w:tc>
          <w:tcPr>
            <w:tcW w:w="0" w:type="dxa"/>
            <w:vAlign w:val="bottom"/>
          </w:tcPr>
          <w:p>
            <w:pPr>
              <w:spacing w:after="0"/>
              <w:rPr>
                <w:sz w:val="1"/>
                <w:szCs w:val="1"/>
                <w:color w:val="auto"/>
              </w:rPr>
            </w:pPr>
          </w:p>
        </w:tc>
      </w:tr>
      <w:tr>
        <w:trPr>
          <w:trHeight w:val="178"/>
        </w:trPr>
        <w:tc>
          <w:tcPr>
            <w:tcW w:w="2640" w:type="dxa"/>
            <w:vAlign w:val="bottom"/>
            <w:tcBorders>
              <w:bottom w:val="single" w:sz="8" w:color="CCEEFF"/>
            </w:tcBorders>
          </w:tcPr>
          <w:p>
            <w:pPr>
              <w:ind w:left="260"/>
              <w:spacing w:after="0"/>
              <w:rPr>
                <w:sz w:val="20"/>
                <w:szCs w:val="20"/>
                <w:color w:val="auto"/>
              </w:rPr>
            </w:pPr>
            <w:r>
              <w:rPr>
                <w:rFonts w:ascii="Arial" w:cs="Arial" w:eastAsia="Arial" w:hAnsi="Arial"/>
                <w:sz w:val="14"/>
                <w:szCs w:val="14"/>
                <w:color w:val="auto"/>
              </w:rPr>
              <w:t>from share-based compensation</w:t>
            </w:r>
          </w:p>
        </w:tc>
        <w:tc>
          <w:tcPr>
            <w:tcW w:w="82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48"/>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BALANCE — September 30, 2015</w:t>
            </w:r>
          </w:p>
        </w:tc>
        <w:tc>
          <w:tcPr>
            <w:tcW w:w="8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119,239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119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1,401,441</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24,435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(922,817)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595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466,059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945,397</w:t>
            </w:r>
          </w:p>
        </w:tc>
        <w:tc>
          <w:tcPr>
            <w:tcW w:w="0" w:type="dxa"/>
            <w:vAlign w:val="bottom"/>
          </w:tcPr>
          <w:p>
            <w:pPr>
              <w:spacing w:after="0"/>
              <w:rPr>
                <w:sz w:val="1"/>
                <w:szCs w:val="1"/>
                <w:color w:val="auto"/>
              </w:rPr>
            </w:pPr>
          </w:p>
        </w:tc>
      </w:tr>
      <w:tr>
        <w:trPr>
          <w:trHeight w:val="20"/>
        </w:trPr>
        <w:tc>
          <w:tcPr>
            <w:tcW w:w="26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2640" w:type="dxa"/>
            <w:vAlign w:val="bottom"/>
          </w:tcPr>
          <w:p>
            <w:pPr>
              <w:ind w:left="40"/>
              <w:spacing w:after="0"/>
              <w:rPr>
                <w:sz w:val="20"/>
                <w:szCs w:val="20"/>
                <w:color w:val="auto"/>
              </w:rPr>
            </w:pPr>
            <w:r>
              <w:rPr>
                <w:rFonts w:ascii="Arial" w:cs="Arial" w:eastAsia="Arial" w:hAnsi="Arial"/>
                <w:sz w:val="14"/>
                <w:szCs w:val="14"/>
                <w:color w:val="auto"/>
              </w:rPr>
              <w:t>BALANCE — December 31, 2015</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119,572</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119</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1,418,298</w:t>
            </w:r>
          </w:p>
        </w:tc>
        <w:tc>
          <w:tcPr>
            <w:tcW w:w="120" w:type="dxa"/>
            <w:vAlign w:val="bottom"/>
          </w:tcPr>
          <w:p>
            <w:pPr>
              <w:spacing w:after="0"/>
              <w:rPr>
                <w:sz w:val="18"/>
                <w:szCs w:val="18"/>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30,048</w:t>
            </w:r>
          </w:p>
        </w:tc>
        <w:tc>
          <w:tcPr>
            <w:tcW w:w="100" w:type="dxa"/>
            <w:vAlign w:val="bottom"/>
          </w:tcPr>
          <w:p>
            <w:pPr>
              <w:spacing w:after="0"/>
              <w:rPr>
                <w:sz w:val="18"/>
                <w:szCs w:val="18"/>
                <w:color w:val="auto"/>
              </w:rPr>
            </w:pPr>
          </w:p>
        </w:tc>
        <w:tc>
          <w:tcPr>
            <w:tcW w:w="160" w:type="dxa"/>
            <w:vAlign w:val="bottom"/>
          </w:tcPr>
          <w:p>
            <w:pPr>
              <w:jc w:val="center"/>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(1,172,490)</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553</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469,130</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715,610</w:t>
            </w:r>
          </w:p>
        </w:tc>
        <w:tc>
          <w:tcPr>
            <w:tcW w:w="0" w:type="dxa"/>
            <w:vAlign w:val="bottom"/>
          </w:tcPr>
          <w:p>
            <w:pPr>
              <w:spacing w:after="0"/>
              <w:rPr>
                <w:sz w:val="1"/>
                <w:szCs w:val="1"/>
                <w:color w:val="auto"/>
              </w:rPr>
            </w:pPr>
          </w:p>
        </w:tc>
      </w:tr>
      <w:tr>
        <w:trPr>
          <w:trHeight w:val="200"/>
        </w:trPr>
        <w:tc>
          <w:tcPr>
            <w:tcW w:w="26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Net income and other comprehensive</w:t>
            </w: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150,195</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150,086</w:t>
            </w:r>
          </w:p>
        </w:tc>
        <w:tc>
          <w:tcPr>
            <w:tcW w:w="0" w:type="dxa"/>
            <w:vAlign w:val="bottom"/>
          </w:tcPr>
          <w:p>
            <w:pPr>
              <w:spacing w:after="0"/>
              <w:rPr>
                <w:sz w:val="1"/>
                <w:szCs w:val="1"/>
                <w:color w:val="auto"/>
              </w:rPr>
            </w:pPr>
          </w:p>
        </w:tc>
      </w:tr>
      <w:tr>
        <w:trPr>
          <w:trHeight w:val="184"/>
        </w:trPr>
        <w:tc>
          <w:tcPr>
            <w:tcW w:w="2640" w:type="dxa"/>
            <w:vAlign w:val="bottom"/>
            <w:shd w:val="clear" w:color="auto" w:fill="CCEEFF"/>
          </w:tcPr>
          <w:p>
            <w:pPr>
              <w:ind w:left="260"/>
              <w:spacing w:after="0"/>
              <w:rPr>
                <w:sz w:val="20"/>
                <w:szCs w:val="20"/>
                <w:color w:val="auto"/>
              </w:rPr>
            </w:pPr>
            <w:r>
              <w:rPr>
                <w:rFonts w:ascii="Arial" w:cs="Arial" w:eastAsia="Arial" w:hAnsi="Arial"/>
                <w:sz w:val="14"/>
                <w:szCs w:val="14"/>
                <w:color w:val="auto"/>
              </w:rPr>
              <w:t>income (loss), net of tax expense</w:t>
            </w: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640" w:type="dxa"/>
            <w:vAlign w:val="bottom"/>
          </w:tcPr>
          <w:p>
            <w:pPr>
              <w:ind w:left="120"/>
              <w:spacing w:after="0"/>
              <w:rPr>
                <w:sz w:val="20"/>
                <w:szCs w:val="20"/>
                <w:color w:val="auto"/>
              </w:rPr>
            </w:pPr>
            <w:r>
              <w:rPr>
                <w:rFonts w:ascii="Arial" w:cs="Arial" w:eastAsia="Arial" w:hAnsi="Arial"/>
                <w:sz w:val="14"/>
                <w:szCs w:val="14"/>
                <w:color w:val="auto"/>
              </w:rPr>
              <w:t>Issuance of common stock to settle</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141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49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(1,099)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(1,098)</w:t>
            </w:r>
          </w:p>
        </w:tc>
        <w:tc>
          <w:tcPr>
            <w:tcW w:w="0" w:type="dxa"/>
            <w:vAlign w:val="bottom"/>
          </w:tcPr>
          <w:p>
            <w:pPr>
              <w:spacing w:after="0"/>
              <w:rPr>
                <w:sz w:val="1"/>
                <w:szCs w:val="1"/>
                <w:color w:val="auto"/>
              </w:rPr>
            </w:pPr>
          </w:p>
        </w:tc>
      </w:tr>
      <w:tr>
        <w:trPr>
          <w:trHeight w:val="178"/>
        </w:trPr>
        <w:tc>
          <w:tcPr>
            <w:tcW w:w="2640" w:type="dxa"/>
            <w:vAlign w:val="bottom"/>
          </w:tcPr>
          <w:p>
            <w:pPr>
              <w:ind w:left="200"/>
              <w:spacing w:after="0"/>
              <w:rPr>
                <w:sz w:val="20"/>
                <w:szCs w:val="20"/>
                <w:color w:val="auto"/>
              </w:rPr>
            </w:pPr>
            <w:r>
              <w:rPr>
                <w:rFonts w:ascii="Arial" w:cs="Arial" w:eastAsia="Arial" w:hAnsi="Arial"/>
                <w:sz w:val="14"/>
                <w:szCs w:val="14"/>
                <w:color w:val="auto"/>
              </w:rPr>
              <w:t>restricted stock units, net</w:t>
            </w: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640" w:type="dxa"/>
            <w:vAlign w:val="bottom"/>
            <w:shd w:val="clear" w:color="auto" w:fill="CCEEFF"/>
          </w:tcPr>
          <w:p>
            <w:pPr>
              <w:ind w:left="80"/>
              <w:spacing w:after="0"/>
              <w:rPr>
                <w:sz w:val="20"/>
                <w:szCs w:val="20"/>
                <w:color w:val="auto"/>
              </w:rPr>
            </w:pPr>
            <w:r>
              <w:rPr>
                <w:rFonts w:ascii="Arial" w:cs="Arial" w:eastAsia="Arial" w:hAnsi="Arial"/>
                <w:sz w:val="14"/>
                <w:szCs w:val="14"/>
                <w:color w:val="auto"/>
              </w:rPr>
              <w:t>Treasury stock purchases</w:t>
            </w: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635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(25,013)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(25,013)</w:t>
            </w:r>
          </w:p>
        </w:tc>
        <w:tc>
          <w:tcPr>
            <w:tcW w:w="0" w:type="dxa"/>
            <w:vAlign w:val="bottom"/>
          </w:tcPr>
          <w:p>
            <w:pPr>
              <w:spacing w:after="0"/>
              <w:rPr>
                <w:sz w:val="1"/>
                <w:szCs w:val="1"/>
                <w:color w:val="auto"/>
              </w:rPr>
            </w:pPr>
          </w:p>
        </w:tc>
      </w:tr>
      <w:tr>
        <w:trPr>
          <w:trHeight w:val="66"/>
        </w:trPr>
        <w:tc>
          <w:tcPr>
            <w:tcW w:w="2640" w:type="dxa"/>
            <w:vAlign w:val="bottom"/>
            <w:shd w:val="clear" w:color="auto" w:fill="CCEEFF"/>
          </w:tcPr>
          <w:p>
            <w:pPr>
              <w:spacing w:after="0"/>
              <w:rPr>
                <w:sz w:val="5"/>
                <w:szCs w:val="5"/>
                <w:color w:val="auto"/>
              </w:rPr>
            </w:pPr>
          </w:p>
        </w:tc>
        <w:tc>
          <w:tcPr>
            <w:tcW w:w="8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7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9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8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8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2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7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2640" w:type="dxa"/>
            <w:vAlign w:val="bottom"/>
          </w:tcPr>
          <w:p>
            <w:pPr>
              <w:ind w:left="180"/>
              <w:spacing w:after="0"/>
              <w:rPr>
                <w:sz w:val="20"/>
                <w:szCs w:val="20"/>
                <w:color w:val="auto"/>
              </w:rPr>
            </w:pPr>
            <w:r>
              <w:rPr>
                <w:rFonts w:ascii="Arial" w:cs="Arial" w:eastAsia="Arial" w:hAnsi="Arial"/>
                <w:sz w:val="14"/>
                <w:szCs w:val="14"/>
                <w:color w:val="auto"/>
              </w:rPr>
              <w:t>Cash dividends on common stock</w:t>
            </w: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(66,773)</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(66,773)</w:t>
            </w:r>
          </w:p>
        </w:tc>
        <w:tc>
          <w:tcPr>
            <w:tcW w:w="0" w:type="dxa"/>
            <w:vAlign w:val="bottom"/>
          </w:tcPr>
          <w:p>
            <w:pPr>
              <w:spacing w:after="0"/>
              <w:rPr>
                <w:sz w:val="1"/>
                <w:szCs w:val="1"/>
                <w:color w:val="auto"/>
              </w:rPr>
            </w:pPr>
          </w:p>
        </w:tc>
      </w:tr>
      <w:tr>
        <w:trPr>
          <w:trHeight w:val="66"/>
        </w:trPr>
        <w:tc>
          <w:tcPr>
            <w:tcW w:w="26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9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26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Stock option exercises and other</w:t>
            </w: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54</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1,321</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3,320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(1,745)</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2,896</w:t>
            </w:r>
          </w:p>
        </w:tc>
        <w:tc>
          <w:tcPr>
            <w:tcW w:w="0" w:type="dxa"/>
            <w:vAlign w:val="bottom"/>
          </w:tcPr>
          <w:p>
            <w:pPr>
              <w:spacing w:after="0"/>
              <w:rPr>
                <w:sz w:val="1"/>
                <w:szCs w:val="1"/>
                <w:color w:val="auto"/>
              </w:rPr>
            </w:pPr>
          </w:p>
        </w:tc>
      </w:tr>
      <w:tr>
        <w:trPr>
          <w:trHeight w:val="66"/>
        </w:trPr>
        <w:tc>
          <w:tcPr>
            <w:tcW w:w="2640" w:type="dxa"/>
            <w:vAlign w:val="bottom"/>
            <w:shd w:val="clear" w:color="auto" w:fill="CCEEFF"/>
          </w:tcPr>
          <w:p>
            <w:pPr>
              <w:spacing w:after="0"/>
              <w:rPr>
                <w:sz w:val="5"/>
                <w:szCs w:val="5"/>
                <w:color w:val="auto"/>
              </w:rPr>
            </w:pPr>
          </w:p>
        </w:tc>
        <w:tc>
          <w:tcPr>
            <w:tcW w:w="8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7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9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8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8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2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7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2640" w:type="dxa"/>
            <w:vAlign w:val="bottom"/>
          </w:tcPr>
          <w:p>
            <w:pPr>
              <w:ind w:left="180"/>
              <w:spacing w:after="0"/>
              <w:rPr>
                <w:sz w:val="20"/>
                <w:szCs w:val="20"/>
                <w:color w:val="auto"/>
              </w:rPr>
            </w:pPr>
            <w:r>
              <w:rPr>
                <w:rFonts w:ascii="Arial" w:cs="Arial" w:eastAsia="Arial" w:hAnsi="Arial"/>
                <w:sz w:val="14"/>
                <w:szCs w:val="14"/>
                <w:color w:val="auto"/>
              </w:rPr>
              <w:t>Share-based compensation</w:t>
            </w: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16,875</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16,875</w:t>
            </w:r>
          </w:p>
        </w:tc>
        <w:tc>
          <w:tcPr>
            <w:tcW w:w="0" w:type="dxa"/>
            <w:vAlign w:val="bottom"/>
          </w:tcPr>
          <w:p>
            <w:pPr>
              <w:spacing w:after="0"/>
              <w:rPr>
                <w:sz w:val="1"/>
                <w:szCs w:val="1"/>
                <w:color w:val="auto"/>
              </w:rPr>
            </w:pPr>
          </w:p>
        </w:tc>
      </w:tr>
      <w:tr>
        <w:trPr>
          <w:trHeight w:val="66"/>
        </w:trPr>
        <w:tc>
          <w:tcPr>
            <w:tcW w:w="26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9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4"/>
        </w:trPr>
        <w:tc>
          <w:tcPr>
            <w:tcW w:w="26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Excess tax benefits (tax deficiency)</w:t>
            </w: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(1,457)</w:t>
            </w: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(1,457)</w:t>
            </w:r>
          </w:p>
        </w:tc>
        <w:tc>
          <w:tcPr>
            <w:tcW w:w="0" w:type="dxa"/>
            <w:vAlign w:val="bottom"/>
          </w:tcPr>
          <w:p>
            <w:pPr>
              <w:spacing w:after="0"/>
              <w:rPr>
                <w:sz w:val="1"/>
                <w:szCs w:val="1"/>
                <w:color w:val="auto"/>
              </w:rPr>
            </w:pPr>
          </w:p>
        </w:tc>
      </w:tr>
      <w:tr>
        <w:trPr>
          <w:trHeight w:val="178"/>
        </w:trPr>
        <w:tc>
          <w:tcPr>
            <w:tcW w:w="2640" w:type="dxa"/>
            <w:vAlign w:val="bottom"/>
            <w:shd w:val="clear" w:color="auto" w:fill="CCEEFF"/>
          </w:tcPr>
          <w:p>
            <w:pPr>
              <w:ind w:left="260"/>
              <w:spacing w:after="0"/>
              <w:rPr>
                <w:sz w:val="20"/>
                <w:szCs w:val="20"/>
                <w:color w:val="auto"/>
              </w:rPr>
            </w:pPr>
            <w:r>
              <w:rPr>
                <w:rFonts w:ascii="Arial" w:cs="Arial" w:eastAsia="Arial" w:hAnsi="Arial"/>
                <w:sz w:val="14"/>
                <w:szCs w:val="14"/>
                <w:color w:val="auto"/>
              </w:rPr>
              <w:t>from share-based compensation</w:t>
            </w:r>
          </w:p>
        </w:tc>
        <w:tc>
          <w:tcPr>
            <w:tcW w:w="82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640" w:type="dxa"/>
            <w:vAlign w:val="bottom"/>
          </w:tcPr>
          <w:p>
            <w:pPr>
              <w:ind w:left="40"/>
              <w:spacing w:after="0"/>
              <w:rPr>
                <w:sz w:val="20"/>
                <w:szCs w:val="20"/>
                <w:color w:val="auto"/>
              </w:rPr>
            </w:pPr>
            <w:r>
              <w:rPr>
                <w:rFonts w:ascii="Arial" w:cs="Arial" w:eastAsia="Arial" w:hAnsi="Arial"/>
                <w:sz w:val="14"/>
                <w:szCs w:val="14"/>
                <w:color w:val="auto"/>
              </w:rPr>
              <w:t>BALANCE — September 30, 2016</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119,767</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120</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1,435,037</w:t>
            </w:r>
          </w:p>
        </w:tc>
        <w:tc>
          <w:tcPr>
            <w:tcW w:w="120" w:type="dxa"/>
            <w:vAlign w:val="bottom"/>
          </w:tcPr>
          <w:p>
            <w:pPr>
              <w:spacing w:after="0"/>
              <w:rPr>
                <w:sz w:val="18"/>
                <w:szCs w:val="18"/>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30,639</w:t>
            </w:r>
          </w:p>
        </w:tc>
        <w:tc>
          <w:tcPr>
            <w:tcW w:w="100" w:type="dxa"/>
            <w:vAlign w:val="bottom"/>
          </w:tcPr>
          <w:p>
            <w:pPr>
              <w:spacing w:after="0"/>
              <w:rPr>
                <w:sz w:val="18"/>
                <w:szCs w:val="18"/>
                <w:color w:val="auto"/>
              </w:rPr>
            </w:pPr>
          </w:p>
        </w:tc>
        <w:tc>
          <w:tcPr>
            <w:tcW w:w="160" w:type="dxa"/>
            <w:vAlign w:val="bottom"/>
          </w:tcPr>
          <w:p>
            <w:pPr>
              <w:jc w:val="center"/>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(1,195,282)</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444</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550,807</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791,126</w:t>
            </w:r>
          </w:p>
        </w:tc>
        <w:tc>
          <w:tcPr>
            <w:tcW w:w="0" w:type="dxa"/>
            <w:vAlign w:val="bottom"/>
          </w:tcPr>
          <w:p>
            <w:pPr>
              <w:spacing w:after="0"/>
              <w:rPr>
                <w:sz w:val="1"/>
                <w:szCs w:val="1"/>
                <w:color w:val="auto"/>
              </w:rPr>
            </w:pPr>
          </w:p>
        </w:tc>
      </w:tr>
      <w:tr>
        <w:trPr>
          <w:trHeight w:val="26"/>
        </w:trPr>
        <w:tc>
          <w:tcPr>
            <w:tcW w:w="264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notes to unaudited condensed consolidated financial statements.</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71" w:right="239"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580" w:type="dxa"/>
            <w:vAlign w:val="bottom"/>
          </w:tcPr>
          <w:p>
            <w:pPr>
              <w:spacing w:after="0"/>
              <w:rPr>
                <w:sz w:val="19"/>
                <w:szCs w:val="19"/>
                <w:color w:val="auto"/>
              </w:rPr>
            </w:pPr>
          </w:p>
        </w:tc>
        <w:tc>
          <w:tcPr>
            <w:tcW w:w="2840" w:type="dxa"/>
            <w:vAlign w:val="bottom"/>
            <w:tcBorders>
              <w:bottom w:val="single" w:sz="8" w:color="auto"/>
            </w:tcBorders>
            <w:gridSpan w:val="5"/>
          </w:tcPr>
          <w:p>
            <w:pPr>
              <w:jc w:val="right"/>
              <w:spacing w:after="0"/>
              <w:rPr>
                <w:sz w:val="20"/>
                <w:szCs w:val="20"/>
                <w:color w:val="auto"/>
              </w:rPr>
            </w:pPr>
            <w:r>
              <w:rPr>
                <w:rFonts w:ascii="Arial" w:cs="Arial" w:eastAsia="Arial" w:hAnsi="Arial"/>
                <w:sz w:val="16"/>
                <w:szCs w:val="16"/>
                <w:b w:val="1"/>
                <w:bCs w:val="1"/>
                <w:color w:val="auto"/>
              </w:rPr>
              <w:t>Nine Months Ended September 30,</w:t>
            </w:r>
          </w:p>
        </w:tc>
      </w:tr>
      <w:tr>
        <w:trPr>
          <w:trHeight w:val="264"/>
        </w:trPr>
        <w:tc>
          <w:tcPr>
            <w:tcW w:w="858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2016</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2015</w:t>
            </w:r>
          </w:p>
        </w:tc>
      </w:tr>
      <w:tr>
        <w:trPr>
          <w:trHeight w:val="270"/>
        </w:trPr>
        <w:tc>
          <w:tcPr>
            <w:tcW w:w="8580" w:type="dxa"/>
            <w:vAlign w:val="bottom"/>
            <w:shd w:val="clear" w:color="auto" w:fill="CCEEFF"/>
          </w:tcPr>
          <w:p>
            <w:pPr>
              <w:ind w:left="80"/>
              <w:spacing w:after="0"/>
              <w:rPr>
                <w:sz w:val="20"/>
                <w:szCs w:val="20"/>
                <w:color w:val="auto"/>
              </w:rPr>
            </w:pPr>
            <w:r>
              <w:rPr>
                <w:rFonts w:ascii="Arial" w:cs="Arial" w:eastAsia="Arial" w:hAnsi="Arial"/>
                <w:sz w:val="16"/>
                <w:szCs w:val="16"/>
                <w:color w:val="auto"/>
              </w:rPr>
              <w:t>CASH FLOWS FROM OPERATING ACTIVITIES:</w:t>
            </w: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r>
      <w:tr>
        <w:trPr>
          <w:trHeight w:val="260"/>
        </w:trPr>
        <w:tc>
          <w:tcPr>
            <w:tcW w:w="8580" w:type="dxa"/>
            <w:vAlign w:val="bottom"/>
          </w:tcPr>
          <w:p>
            <w:pPr>
              <w:ind w:left="360"/>
              <w:spacing w:after="0"/>
              <w:rPr>
                <w:sz w:val="20"/>
                <w:szCs w:val="20"/>
                <w:color w:val="auto"/>
              </w:rPr>
            </w:pPr>
            <w:r>
              <w:rPr>
                <w:rFonts w:ascii="Arial" w:cs="Arial" w:eastAsia="Arial" w:hAnsi="Arial"/>
                <w:sz w:val="16"/>
                <w:szCs w:val="16"/>
                <w:color w:val="auto"/>
              </w:rPr>
              <w:t>Net income</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150,195</w:t>
            </w:r>
          </w:p>
        </w:tc>
        <w:tc>
          <w:tcPr>
            <w:tcW w:w="120" w:type="dxa"/>
            <w:vAlign w:val="bottom"/>
          </w:tcPr>
          <w:p>
            <w:pPr>
              <w:spacing w:after="0"/>
              <w:rPr>
                <w:sz w:val="22"/>
                <w:szCs w:val="22"/>
                <w:color w:val="auto"/>
              </w:rPr>
            </w:pPr>
          </w:p>
        </w:tc>
        <w:tc>
          <w:tcPr>
            <w:tcW w:w="300" w:type="dxa"/>
            <w:vAlign w:val="bottom"/>
          </w:tcPr>
          <w:p>
            <w:pPr>
              <w:jc w:val="right"/>
              <w:ind w:right="102"/>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141,972</w:t>
            </w:r>
          </w:p>
        </w:tc>
      </w:tr>
      <w:tr>
        <w:trPr>
          <w:trHeight w:val="280"/>
        </w:trPr>
        <w:tc>
          <w:tcPr>
            <w:tcW w:w="85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r>
      <w:tr>
        <w:trPr>
          <w:trHeight w:val="260"/>
        </w:trPr>
        <w:tc>
          <w:tcPr>
            <w:tcW w:w="8580" w:type="dxa"/>
            <w:vAlign w:val="bottom"/>
          </w:tcPr>
          <w:p>
            <w:pPr>
              <w:ind w:left="540"/>
              <w:spacing w:after="0"/>
              <w:rPr>
                <w:sz w:val="20"/>
                <w:szCs w:val="20"/>
                <w:color w:val="auto"/>
              </w:rPr>
            </w:pPr>
            <w:r>
              <w:rPr>
                <w:rFonts w:ascii="Arial" w:cs="Arial" w:eastAsia="Arial" w:hAnsi="Arial"/>
                <w:sz w:val="16"/>
                <w:szCs w:val="16"/>
                <w:color w:val="auto"/>
              </w:rPr>
              <w:t>Noncash items:</w:t>
            </w: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80"/>
        </w:trPr>
        <w:tc>
          <w:tcPr>
            <w:tcW w:w="85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Depreciation and amortization</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56,145</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50,856</w:t>
            </w:r>
          </w:p>
        </w:tc>
      </w:tr>
      <w:tr>
        <w:trPr>
          <w:trHeight w:val="260"/>
        </w:trPr>
        <w:tc>
          <w:tcPr>
            <w:tcW w:w="8580" w:type="dxa"/>
            <w:vAlign w:val="bottom"/>
          </w:tcPr>
          <w:p>
            <w:pPr>
              <w:ind w:left="680"/>
              <w:spacing w:after="0"/>
              <w:rPr>
                <w:sz w:val="20"/>
                <w:szCs w:val="20"/>
                <w:color w:val="auto"/>
              </w:rPr>
            </w:pPr>
            <w:r>
              <w:rPr>
                <w:rFonts w:ascii="Arial" w:cs="Arial" w:eastAsia="Arial" w:hAnsi="Arial"/>
                <w:sz w:val="16"/>
                <w:szCs w:val="16"/>
                <w:color w:val="auto"/>
              </w:rPr>
              <w:t>Amortization of intangible assets</w:t>
            </w:r>
          </w:p>
        </w:tc>
        <w:tc>
          <w:tcPr>
            <w:tcW w:w="32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28,536</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28,708</w:t>
            </w:r>
          </w:p>
        </w:tc>
      </w:tr>
      <w:tr>
        <w:trPr>
          <w:trHeight w:val="280"/>
        </w:trPr>
        <w:tc>
          <w:tcPr>
            <w:tcW w:w="85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Amortization of debt issuance costs</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4,318</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2,198</w:t>
            </w:r>
          </w:p>
        </w:tc>
      </w:tr>
      <w:tr>
        <w:trPr>
          <w:trHeight w:val="260"/>
        </w:trPr>
        <w:tc>
          <w:tcPr>
            <w:tcW w:w="8580" w:type="dxa"/>
            <w:vAlign w:val="bottom"/>
          </w:tcPr>
          <w:p>
            <w:pPr>
              <w:ind w:left="680"/>
              <w:spacing w:after="0"/>
              <w:rPr>
                <w:sz w:val="20"/>
                <w:szCs w:val="20"/>
                <w:color w:val="auto"/>
              </w:rPr>
            </w:pPr>
            <w:r>
              <w:rPr>
                <w:rFonts w:ascii="Arial" w:cs="Arial" w:eastAsia="Arial" w:hAnsi="Arial"/>
                <w:sz w:val="16"/>
                <w:szCs w:val="16"/>
                <w:color w:val="auto"/>
              </w:rPr>
              <w:t>Share-based compensation</w:t>
            </w:r>
          </w:p>
        </w:tc>
        <w:tc>
          <w:tcPr>
            <w:tcW w:w="32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16,875</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22,577</w:t>
            </w:r>
          </w:p>
        </w:tc>
      </w:tr>
      <w:tr>
        <w:trPr>
          <w:trHeight w:val="280"/>
        </w:trPr>
        <w:tc>
          <w:tcPr>
            <w:tcW w:w="85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Excess tax benefits related to share-based compensation</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(2,420)</w:t>
            </w:r>
          </w:p>
        </w:tc>
      </w:tr>
      <w:tr>
        <w:trPr>
          <w:trHeight w:val="260"/>
        </w:trPr>
        <w:tc>
          <w:tcPr>
            <w:tcW w:w="8580" w:type="dxa"/>
            <w:vAlign w:val="bottom"/>
          </w:tcPr>
          <w:p>
            <w:pPr>
              <w:ind w:left="680"/>
              <w:spacing w:after="0"/>
              <w:rPr>
                <w:sz w:val="20"/>
                <w:szCs w:val="20"/>
                <w:color w:val="auto"/>
              </w:rPr>
            </w:pPr>
            <w:r>
              <w:rPr>
                <w:rFonts w:ascii="Arial" w:cs="Arial" w:eastAsia="Arial" w:hAnsi="Arial"/>
                <w:sz w:val="16"/>
                <w:szCs w:val="16"/>
                <w:color w:val="auto"/>
              </w:rPr>
              <w:t>Provision for bad debts</w:t>
            </w:r>
          </w:p>
        </w:tc>
        <w:tc>
          <w:tcPr>
            <w:tcW w:w="32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2,885</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1,632</w:t>
            </w:r>
          </w:p>
        </w:tc>
      </w:tr>
      <w:tr>
        <w:trPr>
          <w:trHeight w:val="280"/>
        </w:trPr>
        <w:tc>
          <w:tcPr>
            <w:tcW w:w="85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Deferred income tax provision</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(1,354)</w:t>
            </w:r>
          </w:p>
        </w:tc>
      </w:tr>
      <w:tr>
        <w:trPr>
          <w:trHeight w:val="260"/>
        </w:trPr>
        <w:tc>
          <w:tcPr>
            <w:tcW w:w="8580" w:type="dxa"/>
            <w:vAlign w:val="bottom"/>
          </w:tcPr>
          <w:p>
            <w:pPr>
              <w:ind w:left="680"/>
              <w:spacing w:after="0"/>
              <w:rPr>
                <w:sz w:val="20"/>
                <w:szCs w:val="20"/>
                <w:color w:val="auto"/>
              </w:rPr>
            </w:pPr>
            <w:r>
              <w:rPr>
                <w:rFonts w:ascii="Arial" w:cs="Arial" w:eastAsia="Arial" w:hAnsi="Arial"/>
                <w:sz w:val="16"/>
                <w:szCs w:val="16"/>
                <w:color w:val="auto"/>
              </w:rPr>
              <w:t>Loan forgiveness</w:t>
            </w:r>
          </w:p>
        </w:tc>
        <w:tc>
          <w:tcPr>
            <w:tcW w:w="32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32,646</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27,469</w:t>
            </w:r>
          </w:p>
        </w:tc>
      </w:tr>
      <w:tr>
        <w:trPr>
          <w:trHeight w:val="280"/>
        </w:trPr>
        <w:tc>
          <w:tcPr>
            <w:tcW w:w="85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Other</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(3,522)</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1,194</w:t>
            </w:r>
          </w:p>
        </w:tc>
      </w:tr>
      <w:tr>
        <w:trPr>
          <w:trHeight w:val="260"/>
        </w:trPr>
        <w:tc>
          <w:tcPr>
            <w:tcW w:w="8580" w:type="dxa"/>
            <w:vAlign w:val="bottom"/>
          </w:tcPr>
          <w:p>
            <w:pPr>
              <w:ind w:left="540"/>
              <w:spacing w:after="0"/>
              <w:rPr>
                <w:sz w:val="20"/>
                <w:szCs w:val="20"/>
                <w:color w:val="auto"/>
              </w:rPr>
            </w:pPr>
            <w:r>
              <w:rPr>
                <w:rFonts w:ascii="Arial" w:cs="Arial" w:eastAsia="Arial" w:hAnsi="Arial"/>
                <w:sz w:val="16"/>
                <w:szCs w:val="16"/>
                <w:color w:val="auto"/>
              </w:rPr>
              <w:t>Changes in operating assets and liabilities:</w:t>
            </w: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80"/>
        </w:trPr>
        <w:tc>
          <w:tcPr>
            <w:tcW w:w="85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Cash and securities segregated under federal and other regulations</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74,225</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98,208</w:t>
            </w:r>
          </w:p>
        </w:tc>
      </w:tr>
      <w:tr>
        <w:trPr>
          <w:trHeight w:val="260"/>
        </w:trPr>
        <w:tc>
          <w:tcPr>
            <w:tcW w:w="8580" w:type="dxa"/>
            <w:vAlign w:val="bottom"/>
          </w:tcPr>
          <w:p>
            <w:pPr>
              <w:ind w:left="680"/>
              <w:spacing w:after="0"/>
              <w:rPr>
                <w:sz w:val="20"/>
                <w:szCs w:val="20"/>
                <w:color w:val="auto"/>
              </w:rPr>
            </w:pPr>
            <w:r>
              <w:rPr>
                <w:rFonts w:ascii="Arial" w:cs="Arial" w:eastAsia="Arial" w:hAnsi="Arial"/>
                <w:sz w:val="16"/>
                <w:szCs w:val="16"/>
                <w:color w:val="auto"/>
              </w:rPr>
              <w:t>Deposit of restricted cash related to captive insurance subsidiary</w:t>
            </w: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(15,939)</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(26,829)</w:t>
            </w:r>
          </w:p>
        </w:tc>
      </w:tr>
      <w:tr>
        <w:trPr>
          <w:trHeight w:val="280"/>
        </w:trPr>
        <w:tc>
          <w:tcPr>
            <w:tcW w:w="85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Release of restricted cash related to captive insurance subsidiary</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3,863</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4,867</w:t>
            </w:r>
          </w:p>
        </w:tc>
      </w:tr>
      <w:tr>
        <w:trPr>
          <w:trHeight w:val="260"/>
        </w:trPr>
        <w:tc>
          <w:tcPr>
            <w:tcW w:w="8580" w:type="dxa"/>
            <w:vAlign w:val="bottom"/>
          </w:tcPr>
          <w:p>
            <w:pPr>
              <w:ind w:left="680"/>
              <w:spacing w:after="0"/>
              <w:rPr>
                <w:sz w:val="20"/>
                <w:szCs w:val="20"/>
                <w:color w:val="auto"/>
              </w:rPr>
            </w:pPr>
            <w:r>
              <w:rPr>
                <w:rFonts w:ascii="Arial" w:cs="Arial" w:eastAsia="Arial" w:hAnsi="Arial"/>
                <w:sz w:val="16"/>
                <w:szCs w:val="16"/>
                <w:color w:val="auto"/>
              </w:rPr>
              <w:t>Receivables from clients</w:t>
            </w:r>
          </w:p>
        </w:tc>
        <w:tc>
          <w:tcPr>
            <w:tcW w:w="32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46,376</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20,948</w:t>
            </w:r>
          </w:p>
        </w:tc>
      </w:tr>
      <w:tr>
        <w:trPr>
          <w:trHeight w:val="280"/>
        </w:trPr>
        <w:tc>
          <w:tcPr>
            <w:tcW w:w="85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Receivables from product sponsors, broker-dealers, and clearing organizations</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(15,518)</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23,164</w:t>
            </w:r>
          </w:p>
        </w:tc>
      </w:tr>
      <w:tr>
        <w:trPr>
          <w:trHeight w:val="260"/>
        </w:trPr>
        <w:tc>
          <w:tcPr>
            <w:tcW w:w="8580" w:type="dxa"/>
            <w:vAlign w:val="bottom"/>
          </w:tcPr>
          <w:p>
            <w:pPr>
              <w:ind w:left="680"/>
              <w:spacing w:after="0"/>
              <w:rPr>
                <w:sz w:val="20"/>
                <w:szCs w:val="20"/>
                <w:color w:val="auto"/>
              </w:rPr>
            </w:pPr>
            <w:r>
              <w:rPr>
                <w:rFonts w:ascii="Arial" w:cs="Arial" w:eastAsia="Arial" w:hAnsi="Arial"/>
                <w:sz w:val="16"/>
                <w:szCs w:val="16"/>
                <w:color w:val="auto"/>
              </w:rPr>
              <w:t>Advisor loans</w:t>
            </w: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(62,592)</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(51,633)</w:t>
            </w:r>
          </w:p>
        </w:tc>
      </w:tr>
      <w:tr>
        <w:trPr>
          <w:trHeight w:val="280"/>
        </w:trPr>
        <w:tc>
          <w:tcPr>
            <w:tcW w:w="85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Receivables from others</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(14,343)</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(9,890)</w:t>
            </w:r>
          </w:p>
        </w:tc>
      </w:tr>
      <w:tr>
        <w:trPr>
          <w:trHeight w:val="260"/>
        </w:trPr>
        <w:tc>
          <w:tcPr>
            <w:tcW w:w="8580" w:type="dxa"/>
            <w:vAlign w:val="bottom"/>
          </w:tcPr>
          <w:p>
            <w:pPr>
              <w:ind w:left="680"/>
              <w:spacing w:after="0"/>
              <w:rPr>
                <w:sz w:val="20"/>
                <w:szCs w:val="20"/>
                <w:color w:val="auto"/>
              </w:rPr>
            </w:pPr>
            <w:r>
              <w:rPr>
                <w:rFonts w:ascii="Arial" w:cs="Arial" w:eastAsia="Arial" w:hAnsi="Arial"/>
                <w:sz w:val="16"/>
                <w:szCs w:val="16"/>
                <w:color w:val="auto"/>
              </w:rPr>
              <w:t>Securities owned</w:t>
            </w:r>
          </w:p>
        </w:tc>
        <w:tc>
          <w:tcPr>
            <w:tcW w:w="32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686</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(3,763)</w:t>
            </w:r>
          </w:p>
        </w:tc>
      </w:tr>
      <w:tr>
        <w:trPr>
          <w:trHeight w:val="280"/>
        </w:trPr>
        <w:tc>
          <w:tcPr>
            <w:tcW w:w="85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Securities borrowed</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(4,446)</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(1,453)</w:t>
            </w:r>
          </w:p>
        </w:tc>
      </w:tr>
      <w:tr>
        <w:trPr>
          <w:trHeight w:val="260"/>
        </w:trPr>
        <w:tc>
          <w:tcPr>
            <w:tcW w:w="8580" w:type="dxa"/>
            <w:vAlign w:val="bottom"/>
          </w:tcPr>
          <w:p>
            <w:pPr>
              <w:ind w:left="680"/>
              <w:spacing w:after="0"/>
              <w:rPr>
                <w:sz w:val="20"/>
                <w:szCs w:val="20"/>
                <w:color w:val="auto"/>
              </w:rPr>
            </w:pPr>
            <w:r>
              <w:rPr>
                <w:rFonts w:ascii="Arial" w:cs="Arial" w:eastAsia="Arial" w:hAnsi="Arial"/>
                <w:sz w:val="16"/>
                <w:szCs w:val="16"/>
                <w:color w:val="auto"/>
              </w:rPr>
              <w:t>Other assets</w:t>
            </w:r>
          </w:p>
        </w:tc>
        <w:tc>
          <w:tcPr>
            <w:tcW w:w="32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1,657</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3,457</w:t>
            </w:r>
          </w:p>
        </w:tc>
      </w:tr>
      <w:tr>
        <w:trPr>
          <w:trHeight w:val="280"/>
        </w:trPr>
        <w:tc>
          <w:tcPr>
            <w:tcW w:w="85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Drafts payable</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(27,639)</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(35,792)</w:t>
            </w:r>
          </w:p>
        </w:tc>
      </w:tr>
      <w:tr>
        <w:trPr>
          <w:trHeight w:val="260"/>
        </w:trPr>
        <w:tc>
          <w:tcPr>
            <w:tcW w:w="8580" w:type="dxa"/>
            <w:vAlign w:val="bottom"/>
          </w:tcPr>
          <w:p>
            <w:pPr>
              <w:ind w:left="680"/>
              <w:spacing w:after="0"/>
              <w:rPr>
                <w:sz w:val="20"/>
                <w:szCs w:val="20"/>
                <w:color w:val="auto"/>
              </w:rPr>
            </w:pPr>
            <w:r>
              <w:rPr>
                <w:rFonts w:ascii="Arial" w:cs="Arial" w:eastAsia="Arial" w:hAnsi="Arial"/>
                <w:sz w:val="16"/>
                <w:szCs w:val="16"/>
                <w:color w:val="auto"/>
              </w:rPr>
              <w:t>Payables to clients</w:t>
            </w: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(32,132)</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(94,174)</w:t>
            </w:r>
          </w:p>
        </w:tc>
      </w:tr>
      <w:tr>
        <w:trPr>
          <w:trHeight w:val="280"/>
        </w:trPr>
        <w:tc>
          <w:tcPr>
            <w:tcW w:w="85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Payables to broker-dealers and clearing organizations</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3,858</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(1,896)</w:t>
            </w:r>
          </w:p>
        </w:tc>
      </w:tr>
      <w:tr>
        <w:trPr>
          <w:trHeight w:val="260"/>
        </w:trPr>
        <w:tc>
          <w:tcPr>
            <w:tcW w:w="8580" w:type="dxa"/>
            <w:vAlign w:val="bottom"/>
          </w:tcPr>
          <w:p>
            <w:pPr>
              <w:ind w:left="680"/>
              <w:spacing w:after="0"/>
              <w:rPr>
                <w:sz w:val="20"/>
                <w:szCs w:val="20"/>
                <w:color w:val="auto"/>
              </w:rPr>
            </w:pPr>
            <w:r>
              <w:rPr>
                <w:rFonts w:ascii="Arial" w:cs="Arial" w:eastAsia="Arial" w:hAnsi="Arial"/>
                <w:sz w:val="16"/>
                <w:szCs w:val="16"/>
                <w:color w:val="auto"/>
              </w:rPr>
              <w:t>Accrued commission and advisory expenses payable</w:t>
            </w: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(263)</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(13,822)</w:t>
            </w:r>
          </w:p>
        </w:tc>
      </w:tr>
      <w:tr>
        <w:trPr>
          <w:trHeight w:val="280"/>
        </w:trPr>
        <w:tc>
          <w:tcPr>
            <w:tcW w:w="85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Accounts payable and accrued liabilities</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20,095</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31,820</w:t>
            </w:r>
          </w:p>
        </w:tc>
      </w:tr>
      <w:tr>
        <w:trPr>
          <w:trHeight w:val="260"/>
        </w:trPr>
        <w:tc>
          <w:tcPr>
            <w:tcW w:w="8580" w:type="dxa"/>
            <w:vAlign w:val="bottom"/>
          </w:tcPr>
          <w:p>
            <w:pPr>
              <w:ind w:left="680"/>
              <w:spacing w:after="0"/>
              <w:rPr>
                <w:sz w:val="20"/>
                <w:szCs w:val="20"/>
                <w:color w:val="auto"/>
              </w:rPr>
            </w:pPr>
            <w:r>
              <w:rPr>
                <w:rFonts w:ascii="Arial" w:cs="Arial" w:eastAsia="Arial" w:hAnsi="Arial"/>
                <w:sz w:val="16"/>
                <w:szCs w:val="16"/>
                <w:color w:val="auto"/>
              </w:rPr>
              <w:t>Income taxes receivable/payable</w:t>
            </w: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(10,964)</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(14,866)</w:t>
            </w:r>
          </w:p>
        </w:tc>
      </w:tr>
      <w:tr>
        <w:trPr>
          <w:trHeight w:val="280"/>
        </w:trPr>
        <w:tc>
          <w:tcPr>
            <w:tcW w:w="85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Unearned revenue</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7,479</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7,365</w:t>
            </w:r>
          </w:p>
        </w:tc>
      </w:tr>
      <w:tr>
        <w:trPr>
          <w:trHeight w:val="264"/>
        </w:trPr>
        <w:tc>
          <w:tcPr>
            <w:tcW w:w="8580" w:type="dxa"/>
            <w:vAlign w:val="bottom"/>
            <w:tcBorders>
              <w:bottom w:val="single" w:sz="8" w:color="CCEEFF"/>
            </w:tcBorders>
          </w:tcPr>
          <w:p>
            <w:pPr>
              <w:ind w:left="680"/>
              <w:spacing w:after="0"/>
              <w:rPr>
                <w:sz w:val="20"/>
                <w:szCs w:val="20"/>
                <w:color w:val="auto"/>
              </w:rPr>
            </w:pPr>
            <w:r>
              <w:rPr>
                <w:rFonts w:ascii="Arial" w:cs="Arial" w:eastAsia="Arial" w:hAnsi="Arial"/>
                <w:sz w:val="16"/>
                <w:szCs w:val="16"/>
                <w:color w:val="auto"/>
              </w:rPr>
              <w:t>Securities sold, but not yet purchased</w:t>
            </w: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(182)</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w:t>
            </w:r>
          </w:p>
        </w:tc>
      </w:tr>
      <w:tr>
        <w:trPr>
          <w:trHeight w:val="250"/>
        </w:trPr>
        <w:tc>
          <w:tcPr>
            <w:tcW w:w="8580" w:type="dxa"/>
            <w:vAlign w:val="bottom"/>
            <w:shd w:val="clear" w:color="auto" w:fill="CCEEFF"/>
          </w:tcPr>
          <w:p>
            <w:pPr>
              <w:ind w:left="540"/>
              <w:spacing w:after="0"/>
              <w:rPr>
                <w:sz w:val="20"/>
                <w:szCs w:val="20"/>
                <w:color w:val="auto"/>
              </w:rPr>
            </w:pPr>
            <w:r>
              <w:rPr>
                <w:rFonts w:ascii="Arial" w:cs="Arial" w:eastAsia="Arial" w:hAnsi="Arial"/>
                <w:sz w:val="16"/>
                <w:szCs w:val="16"/>
                <w:color w:val="auto"/>
              </w:rPr>
              <w:t>Net cash provided by operating activities</w:t>
            </w: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262,085</w:t>
            </w:r>
          </w:p>
        </w:tc>
        <w:tc>
          <w:tcPr>
            <w:tcW w:w="12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42"/>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208,467</w:t>
            </w:r>
          </w:p>
        </w:tc>
      </w:tr>
    </w:tbl>
    <w:p>
      <w:pPr>
        <w:spacing w:after="0" w:line="3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Continued on following page</w:t>
      </w:r>
    </w:p>
    <w:p>
      <w:pPr>
        <w:sectPr>
          <w:pgSz w:w="11900" w:h="16838" w:orient="portrait"/>
          <w:cols w:equalWidth="0" w:num="1">
            <w:col w:w="11420"/>
          </w:cols>
          <w:pgMar w:left="240" w:top="333"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26</w:t>
      </w:r>
    </w:p>
    <w:p>
      <w:pPr>
        <w:sectPr>
          <w:pgSz w:w="11900" w:h="16838" w:orient="portrait"/>
          <w:cols w:equalWidth="0" w:num="1">
            <w:col w:w="11420"/>
          </w:cols>
          <w:pgMar w:left="240" w:top="333" w:right="239" w:bottom="1440" w:gutter="0" w:footer="0" w:header="0"/>
          <w:type w:val="continuous"/>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 Continued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580" w:type="dxa"/>
            <w:vAlign w:val="bottom"/>
          </w:tcPr>
          <w:p>
            <w:pPr>
              <w:spacing w:after="0"/>
              <w:rPr>
                <w:sz w:val="19"/>
                <w:szCs w:val="19"/>
                <w:color w:val="auto"/>
              </w:rPr>
            </w:pPr>
          </w:p>
        </w:tc>
        <w:tc>
          <w:tcPr>
            <w:tcW w:w="2840" w:type="dxa"/>
            <w:vAlign w:val="bottom"/>
            <w:tcBorders>
              <w:bottom w:val="single" w:sz="8" w:color="auto"/>
            </w:tcBorders>
            <w:gridSpan w:val="5"/>
          </w:tcPr>
          <w:p>
            <w:pPr>
              <w:jc w:val="right"/>
              <w:spacing w:after="0"/>
              <w:rPr>
                <w:sz w:val="20"/>
                <w:szCs w:val="20"/>
                <w:color w:val="auto"/>
              </w:rPr>
            </w:pPr>
            <w:r>
              <w:rPr>
                <w:rFonts w:ascii="Arial" w:cs="Arial" w:eastAsia="Arial" w:hAnsi="Arial"/>
                <w:sz w:val="16"/>
                <w:szCs w:val="16"/>
                <w:b w:val="1"/>
                <w:bCs w:val="1"/>
                <w:color w:val="auto"/>
              </w:rPr>
              <w:t>Nine Months Ended September 30,</w:t>
            </w:r>
          </w:p>
        </w:tc>
        <w:tc>
          <w:tcPr>
            <w:tcW w:w="0" w:type="dxa"/>
            <w:vAlign w:val="bottom"/>
          </w:tcPr>
          <w:p>
            <w:pPr>
              <w:spacing w:after="0"/>
              <w:rPr>
                <w:sz w:val="1"/>
                <w:szCs w:val="1"/>
                <w:color w:val="auto"/>
              </w:rPr>
            </w:pPr>
          </w:p>
        </w:tc>
      </w:tr>
      <w:tr>
        <w:trPr>
          <w:trHeight w:val="264"/>
        </w:trPr>
        <w:tc>
          <w:tcPr>
            <w:tcW w:w="858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2016</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2015</w:t>
            </w:r>
          </w:p>
        </w:tc>
        <w:tc>
          <w:tcPr>
            <w:tcW w:w="0" w:type="dxa"/>
            <w:vAlign w:val="bottom"/>
          </w:tcPr>
          <w:p>
            <w:pPr>
              <w:spacing w:after="0"/>
              <w:rPr>
                <w:sz w:val="1"/>
                <w:szCs w:val="1"/>
                <w:color w:val="auto"/>
              </w:rPr>
            </w:pPr>
          </w:p>
        </w:tc>
      </w:tr>
      <w:tr>
        <w:trPr>
          <w:trHeight w:val="270"/>
        </w:trPr>
        <w:tc>
          <w:tcPr>
            <w:tcW w:w="8580" w:type="dxa"/>
            <w:vAlign w:val="bottom"/>
            <w:shd w:val="clear" w:color="auto" w:fill="CCEEFF"/>
          </w:tcPr>
          <w:p>
            <w:pPr>
              <w:ind w:left="80"/>
              <w:spacing w:after="0"/>
              <w:rPr>
                <w:sz w:val="20"/>
                <w:szCs w:val="20"/>
                <w:color w:val="auto"/>
              </w:rPr>
            </w:pPr>
            <w:r>
              <w:rPr>
                <w:rFonts w:ascii="Arial" w:cs="Arial" w:eastAsia="Arial" w:hAnsi="Arial"/>
                <w:sz w:val="16"/>
                <w:szCs w:val="16"/>
                <w:color w:val="auto"/>
              </w:rPr>
              <w:t>CASH FLOWS FROM INVESTING ACTIVITIES:</w:t>
            </w: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8580" w:type="dxa"/>
            <w:vAlign w:val="bottom"/>
          </w:tcPr>
          <w:p>
            <w:pPr>
              <w:ind w:left="360"/>
              <w:spacing w:after="0"/>
              <w:rPr>
                <w:sz w:val="20"/>
                <w:szCs w:val="20"/>
                <w:color w:val="auto"/>
              </w:rPr>
            </w:pPr>
            <w:r>
              <w:rPr>
                <w:rFonts w:ascii="Arial" w:cs="Arial" w:eastAsia="Arial" w:hAnsi="Arial"/>
                <w:sz w:val="16"/>
                <w:szCs w:val="16"/>
                <w:color w:val="auto"/>
              </w:rPr>
              <w:t>Capital expenditures</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(97,448)</w:t>
            </w:r>
          </w:p>
        </w:tc>
        <w:tc>
          <w:tcPr>
            <w:tcW w:w="120" w:type="dxa"/>
            <w:vAlign w:val="bottom"/>
          </w:tcPr>
          <w:p>
            <w:pPr>
              <w:spacing w:after="0"/>
              <w:rPr>
                <w:sz w:val="22"/>
                <w:szCs w:val="22"/>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(51,553)</w:t>
            </w:r>
          </w:p>
        </w:tc>
        <w:tc>
          <w:tcPr>
            <w:tcW w:w="0" w:type="dxa"/>
            <w:vAlign w:val="bottom"/>
          </w:tcPr>
          <w:p>
            <w:pPr>
              <w:spacing w:after="0"/>
              <w:rPr>
                <w:sz w:val="1"/>
                <w:szCs w:val="1"/>
                <w:color w:val="auto"/>
              </w:rPr>
            </w:pPr>
          </w:p>
        </w:tc>
      </w:tr>
      <w:tr>
        <w:trPr>
          <w:trHeight w:val="280"/>
        </w:trPr>
        <w:tc>
          <w:tcPr>
            <w:tcW w:w="85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Purchase of securities classified as held-to-maturity</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(4,020)</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(4,602)</w:t>
            </w:r>
          </w:p>
        </w:tc>
        <w:tc>
          <w:tcPr>
            <w:tcW w:w="0" w:type="dxa"/>
            <w:vAlign w:val="bottom"/>
          </w:tcPr>
          <w:p>
            <w:pPr>
              <w:spacing w:after="0"/>
              <w:rPr>
                <w:sz w:val="1"/>
                <w:szCs w:val="1"/>
                <w:color w:val="auto"/>
              </w:rPr>
            </w:pPr>
          </w:p>
        </w:tc>
      </w:tr>
      <w:tr>
        <w:trPr>
          <w:trHeight w:val="260"/>
        </w:trPr>
        <w:tc>
          <w:tcPr>
            <w:tcW w:w="8580" w:type="dxa"/>
            <w:vAlign w:val="bottom"/>
          </w:tcPr>
          <w:p>
            <w:pPr>
              <w:ind w:left="360"/>
              <w:spacing w:after="0"/>
              <w:rPr>
                <w:sz w:val="20"/>
                <w:szCs w:val="20"/>
                <w:color w:val="auto"/>
              </w:rPr>
            </w:pPr>
            <w:r>
              <w:rPr>
                <w:rFonts w:ascii="Arial" w:cs="Arial" w:eastAsia="Arial" w:hAnsi="Arial"/>
                <w:sz w:val="16"/>
                <w:szCs w:val="16"/>
                <w:color w:val="auto"/>
              </w:rPr>
              <w:t>Proceeds from maturity of securities classified as held-to-maturity</w:t>
            </w:r>
          </w:p>
        </w:tc>
        <w:tc>
          <w:tcPr>
            <w:tcW w:w="32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4,000</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2,350</w:t>
            </w:r>
          </w:p>
        </w:tc>
        <w:tc>
          <w:tcPr>
            <w:tcW w:w="0" w:type="dxa"/>
            <w:vAlign w:val="bottom"/>
          </w:tcPr>
          <w:p>
            <w:pPr>
              <w:spacing w:after="0"/>
              <w:rPr>
                <w:sz w:val="1"/>
                <w:szCs w:val="1"/>
                <w:color w:val="auto"/>
              </w:rPr>
            </w:pPr>
          </w:p>
        </w:tc>
      </w:tr>
      <w:tr>
        <w:trPr>
          <w:trHeight w:val="280"/>
        </w:trPr>
        <w:tc>
          <w:tcPr>
            <w:tcW w:w="85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Deposits of restricted cash</w:t>
            </w:r>
          </w:p>
        </w:tc>
        <w:tc>
          <w:tcPr>
            <w:tcW w:w="32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w:t>
            </w:r>
          </w:p>
        </w:tc>
        <w:tc>
          <w:tcPr>
            <w:tcW w:w="0" w:type="dxa"/>
            <w:vAlign w:val="bottom"/>
          </w:tcPr>
          <w:p>
            <w:pPr>
              <w:spacing w:after="0"/>
              <w:rPr>
                <w:sz w:val="1"/>
                <w:szCs w:val="1"/>
                <w:color w:val="auto"/>
              </w:rPr>
            </w:pPr>
          </w:p>
        </w:tc>
      </w:tr>
      <w:tr>
        <w:trPr>
          <w:trHeight w:val="264"/>
        </w:trPr>
        <w:tc>
          <w:tcPr>
            <w:tcW w:w="858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Release of restricted cash</w:t>
            </w: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1,443</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1,109</w:t>
            </w:r>
          </w:p>
        </w:tc>
        <w:tc>
          <w:tcPr>
            <w:tcW w:w="0" w:type="dxa"/>
            <w:vAlign w:val="bottom"/>
          </w:tcPr>
          <w:p>
            <w:pPr>
              <w:spacing w:after="0"/>
              <w:rPr>
                <w:sz w:val="1"/>
                <w:szCs w:val="1"/>
                <w:color w:val="auto"/>
              </w:rPr>
            </w:pPr>
          </w:p>
        </w:tc>
      </w:tr>
      <w:tr>
        <w:trPr>
          <w:trHeight w:val="257"/>
        </w:trPr>
        <w:tc>
          <w:tcPr>
            <w:tcW w:w="8580" w:type="dxa"/>
            <w:vAlign w:val="bottom"/>
            <w:shd w:val="clear" w:color="auto" w:fill="CCEEFF"/>
          </w:tcPr>
          <w:p>
            <w:pPr>
              <w:ind w:left="540"/>
              <w:spacing w:after="0"/>
              <w:rPr>
                <w:sz w:val="20"/>
                <w:szCs w:val="20"/>
                <w:color w:val="auto"/>
              </w:rPr>
            </w:pPr>
            <w:r>
              <w:rPr>
                <w:rFonts w:ascii="Arial" w:cs="Arial" w:eastAsia="Arial" w:hAnsi="Arial"/>
                <w:sz w:val="16"/>
                <w:szCs w:val="16"/>
                <w:color w:val="auto"/>
              </w:rPr>
              <w:t>Net cash used in investing activities</w:t>
            </w:r>
          </w:p>
        </w:tc>
        <w:tc>
          <w:tcPr>
            <w:tcW w:w="32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(96,025)</w:t>
            </w:r>
          </w:p>
        </w:tc>
        <w:tc>
          <w:tcPr>
            <w:tcW w:w="12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(53,196)</w:t>
            </w:r>
          </w:p>
        </w:tc>
        <w:tc>
          <w:tcPr>
            <w:tcW w:w="0" w:type="dxa"/>
            <w:vAlign w:val="bottom"/>
          </w:tcPr>
          <w:p>
            <w:pPr>
              <w:spacing w:after="0"/>
              <w:rPr>
                <w:sz w:val="1"/>
                <w:szCs w:val="1"/>
                <w:color w:val="auto"/>
              </w:rPr>
            </w:pPr>
          </w:p>
        </w:tc>
      </w:tr>
      <w:tr>
        <w:trPr>
          <w:trHeight w:val="254"/>
        </w:trPr>
        <w:tc>
          <w:tcPr>
            <w:tcW w:w="8580" w:type="dxa"/>
            <w:vAlign w:val="bottom"/>
          </w:tcPr>
          <w:p>
            <w:pPr>
              <w:ind w:left="80"/>
              <w:spacing w:after="0"/>
              <w:rPr>
                <w:sz w:val="20"/>
                <w:szCs w:val="20"/>
                <w:color w:val="auto"/>
              </w:rPr>
            </w:pPr>
            <w:r>
              <w:rPr>
                <w:rFonts w:ascii="Arial" w:cs="Arial" w:eastAsia="Arial" w:hAnsi="Arial"/>
                <w:sz w:val="16"/>
                <w:szCs w:val="16"/>
                <w:color w:val="auto"/>
              </w:rPr>
              <w:t>CASH FLOWS FROM FINANCING ACTIVITIES:</w:t>
            </w: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85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Proceeds from revolving credit facility</w:t>
            </w:r>
          </w:p>
        </w:tc>
        <w:tc>
          <w:tcPr>
            <w:tcW w:w="32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456,000</w:t>
            </w:r>
          </w:p>
        </w:tc>
        <w:tc>
          <w:tcPr>
            <w:tcW w:w="0" w:type="dxa"/>
            <w:vAlign w:val="bottom"/>
          </w:tcPr>
          <w:p>
            <w:pPr>
              <w:spacing w:after="0"/>
              <w:rPr>
                <w:sz w:val="1"/>
                <w:szCs w:val="1"/>
                <w:color w:val="auto"/>
              </w:rPr>
            </w:pPr>
          </w:p>
        </w:tc>
      </w:tr>
      <w:tr>
        <w:trPr>
          <w:trHeight w:val="260"/>
        </w:trPr>
        <w:tc>
          <w:tcPr>
            <w:tcW w:w="8580" w:type="dxa"/>
            <w:vAlign w:val="bottom"/>
          </w:tcPr>
          <w:p>
            <w:pPr>
              <w:ind w:left="360"/>
              <w:spacing w:after="0"/>
              <w:rPr>
                <w:sz w:val="20"/>
                <w:szCs w:val="20"/>
                <w:color w:val="auto"/>
              </w:rPr>
            </w:pPr>
            <w:r>
              <w:rPr>
                <w:rFonts w:ascii="Arial" w:cs="Arial" w:eastAsia="Arial" w:hAnsi="Arial"/>
                <w:sz w:val="16"/>
                <w:szCs w:val="16"/>
                <w:color w:val="auto"/>
              </w:rPr>
              <w:t>Repayments of revolving credit facility</w:t>
            </w:r>
          </w:p>
        </w:tc>
        <w:tc>
          <w:tcPr>
            <w:tcW w:w="320" w:type="dxa"/>
            <w:vAlign w:val="bottom"/>
          </w:tcPr>
          <w:p>
            <w:pPr>
              <w:spacing w:after="0"/>
              <w:rPr>
                <w:sz w:val="22"/>
                <w:szCs w:val="22"/>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(416,000)</w:t>
            </w:r>
          </w:p>
        </w:tc>
        <w:tc>
          <w:tcPr>
            <w:tcW w:w="0" w:type="dxa"/>
            <w:vAlign w:val="bottom"/>
          </w:tcPr>
          <w:p>
            <w:pPr>
              <w:spacing w:after="0"/>
              <w:rPr>
                <w:sz w:val="1"/>
                <w:szCs w:val="1"/>
                <w:color w:val="auto"/>
              </w:rPr>
            </w:pPr>
          </w:p>
        </w:tc>
      </w:tr>
      <w:tr>
        <w:trPr>
          <w:trHeight w:val="280"/>
        </w:trPr>
        <w:tc>
          <w:tcPr>
            <w:tcW w:w="85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Repayment of senior secured term loans</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(13,257)</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(8,129)</w:t>
            </w:r>
          </w:p>
        </w:tc>
        <w:tc>
          <w:tcPr>
            <w:tcW w:w="0" w:type="dxa"/>
            <w:vAlign w:val="bottom"/>
          </w:tcPr>
          <w:p>
            <w:pPr>
              <w:spacing w:after="0"/>
              <w:rPr>
                <w:sz w:val="1"/>
                <w:szCs w:val="1"/>
                <w:color w:val="auto"/>
              </w:rPr>
            </w:pPr>
          </w:p>
        </w:tc>
      </w:tr>
      <w:tr>
        <w:trPr>
          <w:trHeight w:val="260"/>
        </w:trPr>
        <w:tc>
          <w:tcPr>
            <w:tcW w:w="8580" w:type="dxa"/>
            <w:vAlign w:val="bottom"/>
          </w:tcPr>
          <w:p>
            <w:pPr>
              <w:ind w:left="360"/>
              <w:spacing w:after="0"/>
              <w:rPr>
                <w:sz w:val="20"/>
                <w:szCs w:val="20"/>
                <w:color w:val="auto"/>
              </w:rPr>
            </w:pPr>
            <w:r>
              <w:rPr>
                <w:rFonts w:ascii="Arial" w:cs="Arial" w:eastAsia="Arial" w:hAnsi="Arial"/>
                <w:sz w:val="16"/>
                <w:szCs w:val="16"/>
                <w:color w:val="auto"/>
              </w:rPr>
              <w:t>Tax payments related to settlement of restricted stock units</w:t>
            </w: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(1,098)</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(2,867)</w:t>
            </w:r>
          </w:p>
        </w:tc>
        <w:tc>
          <w:tcPr>
            <w:tcW w:w="0" w:type="dxa"/>
            <w:vAlign w:val="bottom"/>
          </w:tcPr>
          <w:p>
            <w:pPr>
              <w:spacing w:after="0"/>
              <w:rPr>
                <w:sz w:val="1"/>
                <w:szCs w:val="1"/>
                <w:color w:val="auto"/>
              </w:rPr>
            </w:pPr>
          </w:p>
        </w:tc>
      </w:tr>
      <w:tr>
        <w:trPr>
          <w:trHeight w:val="280"/>
        </w:trPr>
        <w:tc>
          <w:tcPr>
            <w:tcW w:w="85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Repurchase of common stock</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(25,013)</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(140,835)</w:t>
            </w:r>
          </w:p>
        </w:tc>
        <w:tc>
          <w:tcPr>
            <w:tcW w:w="0" w:type="dxa"/>
            <w:vAlign w:val="bottom"/>
          </w:tcPr>
          <w:p>
            <w:pPr>
              <w:spacing w:after="0"/>
              <w:rPr>
                <w:sz w:val="1"/>
                <w:szCs w:val="1"/>
                <w:color w:val="auto"/>
              </w:rPr>
            </w:pPr>
          </w:p>
        </w:tc>
      </w:tr>
      <w:tr>
        <w:trPr>
          <w:trHeight w:val="260"/>
        </w:trPr>
        <w:tc>
          <w:tcPr>
            <w:tcW w:w="8580" w:type="dxa"/>
            <w:vAlign w:val="bottom"/>
          </w:tcPr>
          <w:p>
            <w:pPr>
              <w:ind w:left="360"/>
              <w:spacing w:after="0"/>
              <w:rPr>
                <w:sz w:val="20"/>
                <w:szCs w:val="20"/>
                <w:color w:val="auto"/>
              </w:rPr>
            </w:pPr>
            <w:r>
              <w:rPr>
                <w:rFonts w:ascii="Arial" w:cs="Arial" w:eastAsia="Arial" w:hAnsi="Arial"/>
                <w:sz w:val="16"/>
                <w:szCs w:val="16"/>
                <w:color w:val="auto"/>
              </w:rPr>
              <w:t>Dividends on common stock</w:t>
            </w: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(66,773)</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(72,056)</w:t>
            </w:r>
          </w:p>
        </w:tc>
        <w:tc>
          <w:tcPr>
            <w:tcW w:w="0" w:type="dxa"/>
            <w:vAlign w:val="bottom"/>
          </w:tcPr>
          <w:p>
            <w:pPr>
              <w:spacing w:after="0"/>
              <w:rPr>
                <w:sz w:val="1"/>
                <w:szCs w:val="1"/>
                <w:color w:val="auto"/>
              </w:rPr>
            </w:pPr>
          </w:p>
        </w:tc>
      </w:tr>
      <w:tr>
        <w:trPr>
          <w:trHeight w:val="280"/>
        </w:trPr>
        <w:tc>
          <w:tcPr>
            <w:tcW w:w="85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Excess tax benefits related to share-based compensation</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20</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2,420</w:t>
            </w:r>
          </w:p>
        </w:tc>
        <w:tc>
          <w:tcPr>
            <w:tcW w:w="0" w:type="dxa"/>
            <w:vAlign w:val="bottom"/>
          </w:tcPr>
          <w:p>
            <w:pPr>
              <w:spacing w:after="0"/>
              <w:rPr>
                <w:sz w:val="1"/>
                <w:szCs w:val="1"/>
                <w:color w:val="auto"/>
              </w:rPr>
            </w:pPr>
          </w:p>
        </w:tc>
      </w:tr>
      <w:tr>
        <w:trPr>
          <w:trHeight w:val="264"/>
        </w:trPr>
        <w:tc>
          <w:tcPr>
            <w:tcW w:w="858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Proceeds from stock option exercises and other</w:t>
            </w: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2,896</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23,900</w:t>
            </w:r>
          </w:p>
        </w:tc>
        <w:tc>
          <w:tcPr>
            <w:tcW w:w="0" w:type="dxa"/>
            <w:vAlign w:val="bottom"/>
          </w:tcPr>
          <w:p>
            <w:pPr>
              <w:spacing w:after="0"/>
              <w:rPr>
                <w:sz w:val="1"/>
                <w:szCs w:val="1"/>
                <w:color w:val="auto"/>
              </w:rPr>
            </w:pPr>
          </w:p>
        </w:tc>
      </w:tr>
      <w:tr>
        <w:trPr>
          <w:trHeight w:val="250"/>
        </w:trPr>
        <w:tc>
          <w:tcPr>
            <w:tcW w:w="8580" w:type="dxa"/>
            <w:vAlign w:val="bottom"/>
            <w:shd w:val="clear" w:color="auto" w:fill="CCEEFF"/>
          </w:tcPr>
          <w:p>
            <w:pPr>
              <w:ind w:left="540"/>
              <w:spacing w:after="0"/>
              <w:rPr>
                <w:sz w:val="20"/>
                <w:szCs w:val="20"/>
                <w:color w:val="auto"/>
              </w:rPr>
            </w:pPr>
            <w:r>
              <w:rPr>
                <w:rFonts w:ascii="Arial" w:cs="Arial" w:eastAsia="Arial" w:hAnsi="Arial"/>
                <w:sz w:val="16"/>
                <w:szCs w:val="16"/>
                <w:color w:val="auto"/>
              </w:rPr>
              <w:t>Net cash used in financing activities</w:t>
            </w:r>
          </w:p>
        </w:tc>
        <w:tc>
          <w:tcPr>
            <w:tcW w:w="3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(103,225)</w:t>
            </w:r>
          </w:p>
        </w:tc>
        <w:tc>
          <w:tcPr>
            <w:tcW w:w="12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(157,567)</w:t>
            </w:r>
          </w:p>
        </w:tc>
        <w:tc>
          <w:tcPr>
            <w:tcW w:w="0" w:type="dxa"/>
            <w:vAlign w:val="bottom"/>
          </w:tcPr>
          <w:p>
            <w:pPr>
              <w:spacing w:after="0"/>
              <w:rPr>
                <w:sz w:val="1"/>
                <w:szCs w:val="1"/>
                <w:color w:val="auto"/>
              </w:rPr>
            </w:pPr>
          </w:p>
        </w:tc>
      </w:tr>
      <w:tr>
        <w:trPr>
          <w:trHeight w:val="247"/>
        </w:trPr>
        <w:tc>
          <w:tcPr>
            <w:tcW w:w="8580" w:type="dxa"/>
            <w:vAlign w:val="bottom"/>
          </w:tcPr>
          <w:p>
            <w:pPr>
              <w:ind w:left="80"/>
              <w:spacing w:after="0"/>
              <w:rPr>
                <w:sz w:val="20"/>
                <w:szCs w:val="20"/>
                <w:color w:val="auto"/>
              </w:rPr>
            </w:pPr>
            <w:r>
              <w:rPr>
                <w:rFonts w:ascii="Arial" w:cs="Arial" w:eastAsia="Arial" w:hAnsi="Arial"/>
                <w:sz w:val="16"/>
                <w:szCs w:val="16"/>
                <w:color w:val="auto"/>
              </w:rPr>
              <w:t>NET INCREASE (DECREASE) IN CASH AND CASH EQUIVALENTS</w:t>
            </w:r>
          </w:p>
        </w:tc>
        <w:tc>
          <w:tcPr>
            <w:tcW w:w="320" w:type="dxa"/>
            <w:vAlign w:val="bottom"/>
          </w:tcPr>
          <w:p>
            <w:pPr>
              <w:spacing w:after="0"/>
              <w:rPr>
                <w:sz w:val="21"/>
                <w:szCs w:val="21"/>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62,835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(2,296)</w:t>
            </w:r>
          </w:p>
        </w:tc>
        <w:tc>
          <w:tcPr>
            <w:tcW w:w="0" w:type="dxa"/>
            <w:vAlign w:val="bottom"/>
          </w:tcPr>
          <w:p>
            <w:pPr>
              <w:spacing w:after="0"/>
              <w:rPr>
                <w:sz w:val="1"/>
                <w:szCs w:val="1"/>
                <w:color w:val="auto"/>
              </w:rPr>
            </w:pPr>
          </w:p>
        </w:tc>
      </w:tr>
      <w:tr>
        <w:trPr>
          <w:trHeight w:val="273"/>
        </w:trPr>
        <w:tc>
          <w:tcPr>
            <w:tcW w:w="8580" w:type="dxa"/>
            <w:vAlign w:val="bottom"/>
            <w:shd w:val="clear" w:color="auto" w:fill="CCEEFF"/>
          </w:tcPr>
          <w:p>
            <w:pPr>
              <w:ind w:left="80"/>
              <w:spacing w:after="0"/>
              <w:rPr>
                <w:sz w:val="20"/>
                <w:szCs w:val="20"/>
                <w:color w:val="auto"/>
              </w:rPr>
            </w:pPr>
            <w:r>
              <w:rPr>
                <w:rFonts w:ascii="Arial" w:cs="Arial" w:eastAsia="Arial" w:hAnsi="Arial"/>
                <w:sz w:val="16"/>
                <w:szCs w:val="16"/>
                <w:color w:val="auto"/>
              </w:rPr>
              <w:t>CASH AND CASH EQUIVALENTS — Beginning of period</w:t>
            </w:r>
          </w:p>
        </w:tc>
        <w:tc>
          <w:tcPr>
            <w:tcW w:w="3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724,529</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412,332</w:t>
            </w:r>
          </w:p>
        </w:tc>
        <w:tc>
          <w:tcPr>
            <w:tcW w:w="0" w:type="dxa"/>
            <w:vAlign w:val="bottom"/>
          </w:tcPr>
          <w:p>
            <w:pPr>
              <w:spacing w:after="0"/>
              <w:rPr>
                <w:sz w:val="1"/>
                <w:szCs w:val="1"/>
                <w:color w:val="auto"/>
              </w:rPr>
            </w:pPr>
          </w:p>
        </w:tc>
      </w:tr>
      <w:tr>
        <w:trPr>
          <w:trHeight w:val="280"/>
        </w:trPr>
        <w:tc>
          <w:tcPr>
            <w:tcW w:w="8580" w:type="dxa"/>
            <w:vAlign w:val="bottom"/>
            <w:tcBorders>
              <w:bottom w:val="single" w:sz="8" w:color="CCEEFF"/>
            </w:tcBorders>
          </w:tcPr>
          <w:p>
            <w:pPr>
              <w:ind w:left="80"/>
              <w:spacing w:after="0"/>
              <w:rPr>
                <w:sz w:val="20"/>
                <w:szCs w:val="20"/>
                <w:color w:val="auto"/>
              </w:rPr>
            </w:pPr>
            <w:r>
              <w:rPr>
                <w:rFonts w:ascii="Arial" w:cs="Arial" w:eastAsia="Arial" w:hAnsi="Arial"/>
                <w:sz w:val="16"/>
                <w:szCs w:val="16"/>
                <w:color w:val="auto"/>
              </w:rPr>
              <w:t>CASH AND CASH EQUIVALENTS — End of period</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787,364</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410,036</w:t>
            </w:r>
          </w:p>
        </w:tc>
        <w:tc>
          <w:tcPr>
            <w:tcW w:w="0" w:type="dxa"/>
            <w:vAlign w:val="bottom"/>
          </w:tcPr>
          <w:p>
            <w:pPr>
              <w:spacing w:after="0"/>
              <w:rPr>
                <w:sz w:val="1"/>
                <w:szCs w:val="1"/>
                <w:color w:val="auto"/>
              </w:rPr>
            </w:pPr>
          </w:p>
        </w:tc>
      </w:tr>
      <w:tr>
        <w:trPr>
          <w:trHeight w:val="254"/>
        </w:trPr>
        <w:tc>
          <w:tcPr>
            <w:tcW w:w="8580" w:type="dxa"/>
            <w:vAlign w:val="bottom"/>
            <w:shd w:val="clear" w:color="auto" w:fill="CCEEFF"/>
          </w:tcPr>
          <w:p>
            <w:pPr>
              <w:ind w:left="260"/>
              <w:spacing w:after="0"/>
              <w:rPr>
                <w:sz w:val="20"/>
                <w:szCs w:val="20"/>
                <w:color w:val="auto"/>
              </w:rPr>
            </w:pPr>
            <w:r>
              <w:rPr>
                <w:rFonts w:ascii="Arial" w:cs="Arial" w:eastAsia="Arial" w:hAnsi="Arial"/>
                <w:sz w:val="16"/>
                <w:szCs w:val="16"/>
                <w:color w:val="auto"/>
              </w:rPr>
              <w:t>SUPPLEMENTAL DISCLOSURES OF CASH FLOW INFORMATION:</w:t>
            </w: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94"/>
        </w:trPr>
        <w:tc>
          <w:tcPr>
            <w:tcW w:w="858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Interest paid</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69,170</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38,509</w:t>
            </w:r>
          </w:p>
        </w:tc>
        <w:tc>
          <w:tcPr>
            <w:tcW w:w="0" w:type="dxa"/>
            <w:vAlign w:val="bottom"/>
          </w:tcPr>
          <w:p>
            <w:pPr>
              <w:spacing w:after="0"/>
              <w:rPr>
                <w:sz w:val="1"/>
                <w:szCs w:val="1"/>
                <w:color w:val="auto"/>
              </w:rPr>
            </w:pPr>
          </w:p>
        </w:tc>
      </w:tr>
      <w:tr>
        <w:trPr>
          <w:trHeight w:val="224"/>
        </w:trPr>
        <w:tc>
          <w:tcPr>
            <w:tcW w:w="85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Income taxes paid</w:t>
            </w: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94,997</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112,899</w:t>
            </w:r>
          </w:p>
        </w:tc>
        <w:tc>
          <w:tcPr>
            <w:tcW w:w="0" w:type="dxa"/>
            <w:vAlign w:val="bottom"/>
          </w:tcPr>
          <w:p>
            <w:pPr>
              <w:spacing w:after="0"/>
              <w:rPr>
                <w:sz w:val="1"/>
                <w:szCs w:val="1"/>
                <w:color w:val="auto"/>
              </w:rPr>
            </w:pPr>
          </w:p>
        </w:tc>
      </w:tr>
      <w:tr>
        <w:trPr>
          <w:trHeight w:val="20"/>
        </w:trPr>
        <w:tc>
          <w:tcPr>
            <w:tcW w:w="8580" w:type="dxa"/>
            <w:vAlign w:val="bottom"/>
            <w:vMerge w:val="restart"/>
          </w:tcPr>
          <w:p>
            <w:pPr>
              <w:ind w:left="80"/>
              <w:spacing w:after="0"/>
              <w:rPr>
                <w:sz w:val="20"/>
                <w:szCs w:val="20"/>
                <w:color w:val="auto"/>
              </w:rPr>
            </w:pPr>
            <w:r>
              <w:rPr>
                <w:rFonts w:ascii="Arial" w:cs="Arial" w:eastAsia="Arial" w:hAnsi="Arial"/>
                <w:sz w:val="16"/>
                <w:szCs w:val="16"/>
                <w:color w:val="auto"/>
              </w:rPr>
              <w:t>NONCASH DISCLOSURES:</w:t>
            </w: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8580" w:type="dxa"/>
            <w:vAlign w:val="bottom"/>
            <w:vMerge w:val="continue"/>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85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Capital expenditures included in accounts payable and accrued liabilities</w:t>
            </w: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20,931</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7,843</w:t>
            </w: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580" w:type="dxa"/>
            <w:vAlign w:val="bottom"/>
          </w:tcPr>
          <w:p>
            <w:pPr>
              <w:ind w:left="360"/>
              <w:spacing w:after="0"/>
              <w:rPr>
                <w:sz w:val="20"/>
                <w:szCs w:val="20"/>
                <w:color w:val="auto"/>
              </w:rPr>
            </w:pPr>
            <w:r>
              <w:rPr>
                <w:rFonts w:ascii="Arial" w:cs="Arial" w:eastAsia="Arial" w:hAnsi="Arial"/>
                <w:sz w:val="16"/>
                <w:szCs w:val="16"/>
                <w:color w:val="auto"/>
              </w:rPr>
              <w:t>Finance obligation related to real estate project</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45,998</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43,182</w:t>
            </w: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71" w:right="239" w:bottom="1440" w:gutter="0" w:footer="0" w:header="0"/>
        </w:sectPr>
      </w:pPr>
    </w:p>
    <w:bookmarkStart w:id="31" w:name="page32"/>
    <w:bookmarkEnd w:id="31"/>
    <w:p>
      <w:pPr>
        <w:jc w:val="center"/>
        <w:ind w:right="-39"/>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360" w:hanging="352"/>
        <w:spacing w:after="0"/>
        <w:tabs>
          <w:tab w:leader="none" w:pos="3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Description of the Company</w:t>
      </w:r>
    </w:p>
    <w:p>
      <w:pPr>
        <w:spacing w:after="0" w:line="247" w:lineRule="exact"/>
        <w:rPr>
          <w:sz w:val="20"/>
          <w:szCs w:val="20"/>
          <w:color w:val="auto"/>
        </w:rPr>
      </w:pPr>
    </w:p>
    <w:p>
      <w:pPr>
        <w:ind w:right="20" w:firstLine="486"/>
        <w:spacing w:after="0" w:line="253" w:lineRule="auto"/>
        <w:rPr>
          <w:sz w:val="20"/>
          <w:szCs w:val="20"/>
          <w:color w:val="auto"/>
        </w:rPr>
      </w:pPr>
      <w:r>
        <w:rPr>
          <w:rFonts w:ascii="Arial" w:cs="Arial" w:eastAsia="Arial" w:hAnsi="Arial"/>
          <w:sz w:val="18"/>
          <w:szCs w:val="18"/>
          <w:color w:val="auto"/>
        </w:rPr>
        <w:t>LPL Financial Holdings Inc. (“LPLFH”), a Delaware holding corporation, together with its consolidated subsidiaries (collectively, the “Company”) provides an integrated platform of brokerage and investment advisory services to independent financial advisors and financial advisors at financial institutions (collectively “advisors”) in the United States of America. Through its custody and clearing platform, using both proprietary and third-party technology, the Company provides access to diversified financial products and services enabling its advisors to offer independent financial advice and brokerage services to retail investors (their “clients”).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Subsidiaries</w:t>
      </w:r>
    </w:p>
    <w:p>
      <w:pPr>
        <w:spacing w:after="0" w:line="139" w:lineRule="exact"/>
        <w:rPr>
          <w:sz w:val="20"/>
          <w:szCs w:val="20"/>
          <w:color w:val="auto"/>
        </w:rPr>
      </w:pPr>
    </w:p>
    <w:p>
      <w:pPr>
        <w:ind w:right="40" w:firstLine="486"/>
        <w:spacing w:after="0" w:line="252" w:lineRule="auto"/>
        <w:rPr>
          <w:sz w:val="20"/>
          <w:szCs w:val="20"/>
          <w:color w:val="auto"/>
        </w:rPr>
      </w:pPr>
      <w:r>
        <w:rPr>
          <w:rFonts w:ascii="Arial" w:cs="Arial" w:eastAsia="Arial" w:hAnsi="Arial"/>
          <w:sz w:val="18"/>
          <w:szCs w:val="18"/>
          <w:color w:val="auto"/>
        </w:rPr>
        <w:t>LPL Holdings, Inc. (“LPLH”), a Massachusetts holding corporation, owns 100% of the issued and outstanding common stock or other ownership interest in each of LPL Financial LLC (“LPL Financial”), Fortigent Holdings Company, Inc., Independent Advisers Group Corporation (“IAG”), LPL Insurance Associates, Inc. (“LPLIA”), LPL Independent Advisor Services Group LLC (“IASG”), and UVEST Financial Services Group, Inc. (“UVEST”). LPLH is also the majority stockholder in PTC Holdings, Inc. (“PTCH”), and owns 100% of the issued and outstanding voting common stock. Each member of PTCH's board of directors meets the direct equity ownership interest requirements that are required by the Office of the Comptroller of the Currency. The Company has established a wholly-owned series captive insurance entity that underwrites insurance for various legal and regulatory risks.</w:t>
      </w:r>
    </w:p>
    <w:p>
      <w:pPr>
        <w:spacing w:after="0" w:line="99" w:lineRule="exact"/>
        <w:rPr>
          <w:sz w:val="20"/>
          <w:szCs w:val="20"/>
          <w:color w:val="auto"/>
        </w:rPr>
      </w:pPr>
    </w:p>
    <w:p>
      <w:pPr>
        <w:ind w:right="560" w:firstLine="486"/>
        <w:spacing w:after="0" w:line="278" w:lineRule="auto"/>
        <w:rPr>
          <w:sz w:val="20"/>
          <w:szCs w:val="20"/>
          <w:color w:val="auto"/>
        </w:rPr>
      </w:pPr>
      <w:r>
        <w:rPr>
          <w:rFonts w:ascii="Arial" w:cs="Arial" w:eastAsia="Arial" w:hAnsi="Arial"/>
          <w:sz w:val="17"/>
          <w:szCs w:val="17"/>
          <w:color w:val="auto"/>
        </w:rPr>
        <w:t>LPL Financial, with primary offices in Boston, San Diego, and Charlotte, is a clearing broker-dealer and an investment advisor that principally transacts business as an agent for its advisors and financial institutions on behalf of their clients in a broad array of financial products and services. LPL Financial is licensed to operate in all 50 states, Washington D.C., Puerto Rico, and the U.S. Virgin Islands.</w:t>
      </w:r>
    </w:p>
    <w:p>
      <w:pPr>
        <w:spacing w:after="0" w:line="185" w:lineRule="exact"/>
        <w:rPr>
          <w:sz w:val="20"/>
          <w:szCs w:val="20"/>
          <w:color w:val="auto"/>
        </w:rPr>
      </w:pPr>
    </w:p>
    <w:p>
      <w:pPr>
        <w:ind w:right="140" w:firstLine="486"/>
        <w:spacing w:after="0" w:line="262" w:lineRule="auto"/>
        <w:rPr>
          <w:sz w:val="20"/>
          <w:szCs w:val="20"/>
          <w:color w:val="auto"/>
        </w:rPr>
      </w:pPr>
      <w:r>
        <w:rPr>
          <w:rFonts w:ascii="Arial" w:cs="Arial" w:eastAsia="Arial" w:hAnsi="Arial"/>
          <w:sz w:val="18"/>
          <w:szCs w:val="18"/>
          <w:color w:val="auto"/>
        </w:rPr>
        <w:t>Fortigent Holdings Company, Inc. and its subsidiaries (“Fortigent”), acquired in April 2012, provides solutions and consulting services to registered investment advisors, banks, and trust companies serving high-net-worth clients.</w:t>
      </w:r>
    </w:p>
    <w:p>
      <w:pPr>
        <w:spacing w:after="0" w:line="196" w:lineRule="exact"/>
        <w:rPr>
          <w:sz w:val="20"/>
          <w:szCs w:val="20"/>
          <w:color w:val="auto"/>
        </w:rPr>
      </w:pPr>
    </w:p>
    <w:p>
      <w:pPr>
        <w:ind w:right="40" w:firstLine="486"/>
        <w:spacing w:after="0" w:line="256" w:lineRule="auto"/>
        <w:rPr>
          <w:sz w:val="20"/>
          <w:szCs w:val="20"/>
          <w:color w:val="auto"/>
        </w:rPr>
      </w:pPr>
      <w:r>
        <w:rPr>
          <w:rFonts w:ascii="Arial" w:cs="Arial" w:eastAsia="Arial" w:hAnsi="Arial"/>
          <w:sz w:val="18"/>
          <w:szCs w:val="18"/>
          <w:color w:val="auto"/>
        </w:rPr>
        <w:t>PTCH is a holding company for The Private Trust Company, N.A. (“PTC”). PTC is chartered as a non-depository limited purpose national bank, providing a wide range of trust, investment management oversight, and custodial services for estates and families. PTC also provides Individual Retirement Account custodial services for LPL Financial.</w:t>
      </w:r>
    </w:p>
    <w:p>
      <w:pPr>
        <w:spacing w:after="0" w:line="202" w:lineRule="exact"/>
        <w:rPr>
          <w:sz w:val="20"/>
          <w:szCs w:val="20"/>
          <w:color w:val="auto"/>
        </w:rPr>
      </w:pPr>
    </w:p>
    <w:p>
      <w:pPr>
        <w:ind w:right="560" w:firstLine="486"/>
        <w:spacing w:after="0" w:line="262" w:lineRule="auto"/>
        <w:rPr>
          <w:sz w:val="20"/>
          <w:szCs w:val="20"/>
          <w:color w:val="auto"/>
        </w:rPr>
      </w:pPr>
      <w:r>
        <w:rPr>
          <w:rFonts w:ascii="Arial" w:cs="Arial" w:eastAsia="Arial" w:hAnsi="Arial"/>
          <w:sz w:val="18"/>
          <w:szCs w:val="18"/>
          <w:color w:val="auto"/>
        </w:rPr>
        <w:t>IAG is a registered investment adviser that offers an investment advisory platform for clients of advisors working for other financial institutions.</w:t>
      </w:r>
    </w:p>
    <w:p>
      <w:pPr>
        <w:spacing w:after="0" w:line="196" w:lineRule="exact"/>
        <w:rPr>
          <w:sz w:val="20"/>
          <w:szCs w:val="20"/>
          <w:color w:val="auto"/>
        </w:rPr>
      </w:pPr>
    </w:p>
    <w:p>
      <w:pPr>
        <w:ind w:right="20" w:firstLine="486"/>
        <w:spacing w:after="0" w:line="262" w:lineRule="auto"/>
        <w:rPr>
          <w:sz w:val="20"/>
          <w:szCs w:val="20"/>
          <w:color w:val="auto"/>
        </w:rPr>
      </w:pPr>
      <w:r>
        <w:rPr>
          <w:rFonts w:ascii="Arial" w:cs="Arial" w:eastAsia="Arial" w:hAnsi="Arial"/>
          <w:sz w:val="18"/>
          <w:szCs w:val="18"/>
          <w:color w:val="auto"/>
        </w:rPr>
        <w:t>LPLIA operates as an insurance brokerage general agency that offers life, long-term care, and disability insurance products and services for LPL Financial advisors.</w:t>
      </w:r>
    </w:p>
    <w:p>
      <w:pPr>
        <w:spacing w:after="0" w:line="228" w:lineRule="exact"/>
        <w:rPr>
          <w:sz w:val="20"/>
          <w:szCs w:val="20"/>
          <w:color w:val="auto"/>
        </w:rPr>
      </w:pPr>
    </w:p>
    <w:p>
      <w:pPr>
        <w:ind w:left="360" w:hanging="352"/>
        <w:spacing w:after="0"/>
        <w:tabs>
          <w:tab w:leader="none" w:pos="3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47"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auto"/>
        </w:rPr>
        <w:t>The unaudited condensed consolidated financial statements have been prepared pursuant to the rules and regulations of the Securities and Exchange Commission (“SEC”). These unaudited condensed consolidated financial statements reflect all adjustments that are, in the opinion of management, necessary for a fair statement of the results for the interim periods presented. These adjustments are of a normal recurring nature. The Company’s results for any interim period are not necessarily indicative of results for a full year or any other interim period. Certain reclassifications were made to previously reported amounts in the unaudited condensed consolidated financial statements and notes thereto to make them consistent with the current period presentation.</w:t>
      </w:r>
    </w:p>
    <w:p>
      <w:pPr>
        <w:spacing w:after="0" w:line="209" w:lineRule="exact"/>
        <w:rPr>
          <w:sz w:val="20"/>
          <w:szCs w:val="20"/>
          <w:color w:val="auto"/>
        </w:rPr>
      </w:pPr>
    </w:p>
    <w:p>
      <w:pPr>
        <w:ind w:right="80" w:firstLine="486"/>
        <w:spacing w:after="0" w:line="253" w:lineRule="auto"/>
        <w:rPr>
          <w:sz w:val="20"/>
          <w:szCs w:val="20"/>
          <w:color w:val="auto"/>
        </w:rPr>
      </w:pPr>
      <w:r>
        <w:rPr>
          <w:rFonts w:ascii="Arial" w:cs="Arial" w:eastAsia="Arial" w:hAnsi="Arial"/>
          <w:sz w:val="18"/>
          <w:szCs w:val="18"/>
          <w:color w:val="auto"/>
        </w:rPr>
        <w:t>The unaudited condensed consolidated financial statements do not include all information and notes necessary for a complete presentation of results of income, comprehensive income, financial position, and cash flows in conformity with generally accepted accounting principles in the United States of America (“GAAP”). Accordingly, these financial statements should be read in conjunction with the Company’s audited consolidated financial statements and the related notes for the year ended December 31, 2015, contained in the Company’s Annual Report on Form 10-K as filed with the SEC.</w:t>
      </w:r>
    </w:p>
    <w:p>
      <w:pPr>
        <w:spacing w:after="0" w:line="188" w:lineRule="exact"/>
        <w:rPr>
          <w:sz w:val="20"/>
          <w:szCs w:val="20"/>
          <w:color w:val="auto"/>
        </w:rPr>
      </w:pPr>
    </w:p>
    <w:p>
      <w:pPr>
        <w:ind w:right="360" w:firstLine="486"/>
        <w:spacing w:after="0" w:line="282" w:lineRule="auto"/>
        <w:rPr>
          <w:sz w:val="20"/>
          <w:szCs w:val="20"/>
          <w:color w:val="auto"/>
        </w:rPr>
      </w:pPr>
      <w:r>
        <w:rPr>
          <w:rFonts w:ascii="Arial" w:cs="Arial" w:eastAsia="Arial" w:hAnsi="Arial"/>
          <w:sz w:val="18"/>
          <w:szCs w:val="18"/>
          <w:color w:val="auto"/>
        </w:rPr>
        <w:t xml:space="preserve">The Company’s significant accounting policies are included in Note 2.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in the Company’s audited consolidated financial statements and the related notes for the year ended</w:t>
      </w:r>
    </w:p>
    <w:p>
      <w:pPr>
        <w:sectPr>
          <w:pgSz w:w="11900" w:h="16838" w:orient="portrait"/>
          <w:cols w:equalWidth="0" w:num="1">
            <w:col w:w="11380"/>
          </w:cols>
          <w:pgMar w:left="240" w:top="441" w:right="279" w:bottom="1440" w:gutter="0" w:footer="0" w:header="0"/>
        </w:sectPr>
      </w:pPr>
    </w:p>
    <w:p>
      <w:pPr>
        <w:spacing w:after="0" w:line="315"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28</w:t>
      </w:r>
    </w:p>
    <w:p>
      <w:pPr>
        <w:sectPr>
          <w:pgSz w:w="11900" w:h="16838" w:orient="portrait"/>
          <w:cols w:equalWidth="0" w:num="1">
            <w:col w:w="11380"/>
          </w:cols>
          <w:pgMar w:left="240" w:top="441" w:right="279" w:bottom="1440" w:gutter="0" w:footer="0" w:header="0"/>
          <w:type w:val="continuous"/>
        </w:sectPr>
      </w:pPr>
    </w:p>
    <w:bookmarkStart w:id="32" w:name="page33"/>
    <w:bookmarkEnd w:id="32"/>
    <w:p>
      <w:pPr>
        <w:jc w:val="center"/>
        <w:ind w:right="-19"/>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2015. There have been no significant changes to these accounting policies during the first nine months of 2016.</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Consolidation</w:t>
      </w:r>
    </w:p>
    <w:p>
      <w:pPr>
        <w:spacing w:after="0" w:line="247" w:lineRule="exact"/>
        <w:rPr>
          <w:sz w:val="20"/>
          <w:szCs w:val="20"/>
          <w:color w:val="auto"/>
        </w:rPr>
      </w:pPr>
    </w:p>
    <w:p>
      <w:pPr>
        <w:jc w:val="both"/>
        <w:ind w:right="660" w:firstLine="486"/>
        <w:spacing w:after="0" w:line="256" w:lineRule="auto"/>
        <w:rPr>
          <w:sz w:val="20"/>
          <w:szCs w:val="20"/>
          <w:color w:val="auto"/>
        </w:rPr>
      </w:pPr>
      <w:r>
        <w:rPr>
          <w:rFonts w:ascii="Arial" w:cs="Arial" w:eastAsia="Arial" w:hAnsi="Arial"/>
          <w:sz w:val="18"/>
          <w:szCs w:val="18"/>
          <w:color w:val="auto"/>
        </w:rPr>
        <w:t>These unaudited condensed consolidated financial statements include the accounts of LPLFH and its subsidiaries. Intercompany transactions and balances have been eliminated. Equity investments in which the Company exercises significant influence but does not exercise control and is not the primary beneficiary are accounted for using the equity method.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47"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The preparation of the unaudited condensed consolidated financial statements in conformity with GAAP requires the Company to make estimates and judgments that affect the reported amounts of assets and liabilities, revenue and expenses, and related disclosures of contingent assets and liabilities. These estimates are based on the information that is currently available and on various other assumptions that the Company believes to be reasonable under the circumstances. Actual results could vary from these estimates.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Reportable Segment</w:t>
      </w:r>
    </w:p>
    <w:p>
      <w:pPr>
        <w:spacing w:after="0" w:line="247" w:lineRule="exact"/>
        <w:rPr>
          <w:sz w:val="20"/>
          <w:szCs w:val="20"/>
          <w:color w:val="auto"/>
        </w:rPr>
      </w:pPr>
    </w:p>
    <w:p>
      <w:pPr>
        <w:ind w:right="200" w:firstLine="486"/>
        <w:spacing w:after="0" w:line="262" w:lineRule="auto"/>
        <w:rPr>
          <w:sz w:val="20"/>
          <w:szCs w:val="20"/>
          <w:color w:val="auto"/>
        </w:rPr>
      </w:pPr>
      <w:r>
        <w:rPr>
          <w:rFonts w:ascii="Arial" w:cs="Arial" w:eastAsia="Arial" w:hAnsi="Arial"/>
          <w:sz w:val="18"/>
          <w:szCs w:val="18"/>
          <w:color w:val="auto"/>
        </w:rPr>
        <w:t>Management has determined that the Company operates in one segment, given the similar characteristics between our operations and the common nature of our products and services, production and distribution processes, and regulatory environment.</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47"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auto"/>
        </w:rPr>
        <w:t xml:space="preserve">The Company’s financial assets and liabilities are carried at fair value or at amounts that, because of their short-term nature, approximate current fair value, with the exception of its held-to-maturity securities and indebtedness. The Company carries its held-to-maturity securities and indebtedness at amortized cost. The Company measures the implied fair value of its debt instruments using trading levels obtained from a third-party service provider. Accordingly, the debt instruments qualify as Level 2 fair value measurements. See Note 3. </w:t>
      </w:r>
      <w:r>
        <w:rPr>
          <w:rFonts w:ascii="Arial" w:cs="Arial" w:eastAsia="Arial" w:hAnsi="Arial"/>
          <w:sz w:val="18"/>
          <w:szCs w:val="18"/>
          <w:i w:val="1"/>
          <w:iCs w:val="1"/>
          <w:color w:val="auto"/>
        </w:rPr>
        <w:t>Fair Value</w:t>
      </w:r>
      <w:r>
        <w:rPr>
          <w:rFonts w:ascii="Arial" w:cs="Arial" w:eastAsia="Arial" w:hAnsi="Arial"/>
          <w:sz w:val="18"/>
          <w:szCs w:val="18"/>
          <w:color w:val="auto"/>
        </w:rPr>
        <w:t xml:space="preserve"> </w:t>
      </w:r>
      <w:r>
        <w:rPr>
          <w:rFonts w:ascii="Arial" w:cs="Arial" w:eastAsia="Arial" w:hAnsi="Arial"/>
          <w:sz w:val="18"/>
          <w:szCs w:val="18"/>
          <w:i w:val="1"/>
          <w:iCs w:val="1"/>
          <w:color w:val="auto"/>
        </w:rPr>
        <w:t>Measurements</w:t>
      </w:r>
      <w:r>
        <w:rPr>
          <w:rFonts w:ascii="Arial" w:cs="Arial" w:eastAsia="Arial" w:hAnsi="Arial"/>
          <w:sz w:val="18"/>
          <w:szCs w:val="18"/>
          <w:color w:val="auto"/>
        </w:rPr>
        <w:t>, for additional detail regarding the Company’s fair value measurements. As of September 30, 2016, the carrying amount and</w:t>
      </w:r>
      <w:r>
        <w:rPr>
          <w:rFonts w:ascii="Arial" w:cs="Arial" w:eastAsia="Arial" w:hAnsi="Arial"/>
          <w:sz w:val="18"/>
          <w:szCs w:val="18"/>
          <w:i w:val="1"/>
          <w:iCs w:val="1"/>
          <w:color w:val="auto"/>
        </w:rPr>
        <w:t xml:space="preserve"> </w:t>
      </w:r>
      <w:r>
        <w:rPr>
          <w:rFonts w:ascii="Arial" w:cs="Arial" w:eastAsia="Arial" w:hAnsi="Arial"/>
          <w:sz w:val="18"/>
          <w:szCs w:val="18"/>
          <w:color w:val="auto"/>
        </w:rPr>
        <w:t>fair value of the Company’s indebtedness was approximately $2,201.8 million and $2,223.9 million, respectively. As of December 31, 2015, the carrying amount and fair value was approximately $2,215.0 million and $2,200.0 million, respectively.</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229" w:lineRule="exact"/>
        <w:rPr>
          <w:sz w:val="20"/>
          <w:szCs w:val="20"/>
          <w:color w:val="auto"/>
        </w:rPr>
      </w:pPr>
    </w:p>
    <w:p>
      <w:pPr>
        <w:ind w:right="20" w:firstLine="486"/>
        <w:spacing w:after="0" w:line="255" w:lineRule="auto"/>
        <w:rPr>
          <w:sz w:val="20"/>
          <w:szCs w:val="20"/>
          <w:color w:val="auto"/>
        </w:rPr>
      </w:pPr>
      <w:r>
        <w:rPr>
          <w:rFonts w:ascii="Arial" w:cs="Arial" w:eastAsia="Arial" w:hAnsi="Arial"/>
          <w:sz w:val="18"/>
          <w:szCs w:val="18"/>
          <w:color w:val="auto"/>
        </w:rPr>
        <w:t xml:space="preserve">In May 2014, the Financial Accounting Standards Board ("FASB") issued Accounting Standards Update ("ASU") 2014-09, </w:t>
      </w:r>
      <w:r>
        <w:rPr>
          <w:rFonts w:ascii="Arial" w:cs="Arial" w:eastAsia="Arial" w:hAnsi="Arial"/>
          <w:sz w:val="18"/>
          <w:szCs w:val="18"/>
          <w:i w:val="1"/>
          <w:iCs w:val="1"/>
          <w:color w:val="auto"/>
        </w:rPr>
        <w:t>Revenue from</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Contracts with Customers: Topic 606 </w:t>
      </w:r>
      <w:r>
        <w:rPr>
          <w:rFonts w:ascii="Arial" w:cs="Arial" w:eastAsia="Arial" w:hAnsi="Arial"/>
          <w:sz w:val="18"/>
          <w:szCs w:val="18"/>
          <w:color w:val="auto"/>
        </w:rPr>
        <w:t>(ASU 2014-09), to supersede nearly all existing revenue recognition guidance under U.S. GAAP. In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August 2015, the FASB issued ASU 2015-14, </w:t>
      </w:r>
      <w:r>
        <w:rPr>
          <w:rFonts w:ascii="Arial" w:cs="Arial" w:eastAsia="Arial" w:hAnsi="Arial"/>
          <w:sz w:val="18"/>
          <w:szCs w:val="18"/>
          <w:i w:val="1"/>
          <w:iCs w:val="1"/>
          <w:color w:val="auto"/>
        </w:rPr>
        <w:t>Revenue from Contracts with Customers: Deferral of the Effective Date</w:t>
      </w:r>
      <w:r>
        <w:rPr>
          <w:rFonts w:ascii="Arial" w:cs="Arial" w:eastAsia="Arial" w:hAnsi="Arial"/>
          <w:sz w:val="18"/>
          <w:szCs w:val="18"/>
          <w:color w:val="auto"/>
        </w:rPr>
        <w:t xml:space="preserve"> (ASU 2015-14), which deferred the effective date for implementation of ASU 2014-09 by one year and is now effective for annual reporting periods beginning after December 15, 2017, with early adoption permitted but not earlier than the original effective date. The Company has not yet selected a transition method and is currently evaluating the effect that the updated standard will have on the Company's consolidated financial statements and related disclosures.</w:t>
      </w:r>
    </w:p>
    <w:p>
      <w:pPr>
        <w:spacing w:after="0" w:line="81" w:lineRule="exact"/>
        <w:rPr>
          <w:sz w:val="20"/>
          <w:szCs w:val="20"/>
          <w:color w:val="auto"/>
        </w:rPr>
      </w:pPr>
    </w:p>
    <w:p>
      <w:pPr>
        <w:ind w:right="20" w:firstLine="486"/>
        <w:spacing w:after="0" w:line="257" w:lineRule="auto"/>
        <w:rPr>
          <w:sz w:val="20"/>
          <w:szCs w:val="20"/>
          <w:color w:val="auto"/>
        </w:rPr>
      </w:pPr>
      <w:r>
        <w:rPr>
          <w:rFonts w:ascii="Arial" w:cs="Arial" w:eastAsia="Arial" w:hAnsi="Arial"/>
          <w:sz w:val="18"/>
          <w:szCs w:val="18"/>
          <w:color w:val="auto"/>
        </w:rPr>
        <w:t xml:space="preserve">In February 2016, the FASB issued ASU 2016-02,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which replaces the existing guidance in ASC 840, </w:t>
      </w:r>
      <w:r>
        <w:rPr>
          <w:rFonts w:ascii="Arial" w:cs="Arial" w:eastAsia="Arial" w:hAnsi="Arial"/>
          <w:sz w:val="18"/>
          <w:szCs w:val="18"/>
          <w:i w:val="1"/>
          <w:iCs w:val="1"/>
          <w:color w:val="auto"/>
        </w:rPr>
        <w:t>Leases</w:t>
      </w:r>
      <w:r>
        <w:rPr>
          <w:rFonts w:ascii="Arial" w:cs="Arial" w:eastAsia="Arial" w:hAnsi="Arial"/>
          <w:sz w:val="18"/>
          <w:szCs w:val="18"/>
          <w:color w:val="auto"/>
        </w:rPr>
        <w:t>. The new standard establishes a right-of-use model that requires a lessee to record a right-of-use asset and a lease liability on the balance sheet for all leases with terms longer than 12 months. Leases will be classified as either finance or operating, with classification affecting the pattern of expense recognition in the statement of operations. The guidance will be effective for annual reporting periods beginning after December 15, 2018, and early adoption is permitted. The Company is currently evaluating the impact that ASU 2016-02 will have on its consolidated financial statements and related disclosures.</w:t>
      </w:r>
    </w:p>
    <w:p>
      <w:pPr>
        <w:spacing w:after="0" w:line="75" w:lineRule="exact"/>
        <w:rPr>
          <w:sz w:val="20"/>
          <w:szCs w:val="20"/>
          <w:color w:val="auto"/>
        </w:rPr>
      </w:pPr>
    </w:p>
    <w:p>
      <w:pPr>
        <w:ind w:right="80" w:firstLine="486"/>
        <w:spacing w:after="0" w:line="258" w:lineRule="auto"/>
        <w:rPr>
          <w:sz w:val="20"/>
          <w:szCs w:val="20"/>
          <w:color w:val="auto"/>
        </w:rPr>
      </w:pPr>
      <w:r>
        <w:rPr>
          <w:rFonts w:ascii="Arial" w:cs="Arial" w:eastAsia="Arial" w:hAnsi="Arial"/>
          <w:sz w:val="18"/>
          <w:szCs w:val="18"/>
          <w:color w:val="auto"/>
        </w:rPr>
        <w:t xml:space="preserve">In August 2016, the FASB issued ASU 2016-15, </w:t>
      </w:r>
      <w:r>
        <w:rPr>
          <w:rFonts w:ascii="Arial" w:cs="Arial" w:eastAsia="Arial" w:hAnsi="Arial"/>
          <w:sz w:val="18"/>
          <w:szCs w:val="18"/>
          <w:i w:val="1"/>
          <w:iCs w:val="1"/>
          <w:color w:val="auto"/>
        </w:rPr>
        <w:t>Statement of Cash Flows (Topic 230): Classification of Certain Cash Receipts and Cash</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Payments </w:t>
      </w:r>
      <w:r>
        <w:rPr>
          <w:rFonts w:ascii="Arial" w:cs="Arial" w:eastAsia="Arial" w:hAnsi="Arial"/>
          <w:sz w:val="18"/>
          <w:szCs w:val="18"/>
          <w:color w:val="auto"/>
        </w:rPr>
        <w:t>(ASU 2016-15), which clarifies how companies present and classify certain cash receipts and cash payments in the statement of</w:t>
      </w:r>
      <w:r>
        <w:rPr>
          <w:rFonts w:ascii="Arial" w:cs="Arial" w:eastAsia="Arial" w:hAnsi="Arial"/>
          <w:sz w:val="18"/>
          <w:szCs w:val="18"/>
          <w:i w:val="1"/>
          <w:iCs w:val="1"/>
          <w:color w:val="auto"/>
        </w:rPr>
        <w:t xml:space="preserve"> </w:t>
      </w:r>
      <w:r>
        <w:rPr>
          <w:rFonts w:ascii="Arial" w:cs="Arial" w:eastAsia="Arial" w:hAnsi="Arial"/>
          <w:sz w:val="18"/>
          <w:szCs w:val="18"/>
          <w:color w:val="auto"/>
        </w:rPr>
        <w:t>cash flows. The amendments in ASU 2016-15 are effective for annual reporting periods beginning after December 15, 2017, and interim periods within those periods, and early adoption is permitted. The Company is currently evaluating the impact the new rule will have on its consolidated financial statements and related disclosures.</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41" w:right="239" w:bottom="1440" w:gutter="0" w:footer="0" w:header="0"/>
        </w:sectPr>
      </w:pPr>
    </w:p>
    <w:bookmarkStart w:id="33" w:name="page34"/>
    <w:bookmarkEnd w:id="33"/>
    <w:p>
      <w:pPr>
        <w:jc w:val="center"/>
        <w:ind w:right="-39"/>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360" w:hanging="352"/>
        <w:spacing w:after="0"/>
        <w:tabs>
          <w:tab w:leader="none" w:pos="3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247" w:lineRule="exact"/>
        <w:rPr>
          <w:sz w:val="20"/>
          <w:szCs w:val="20"/>
          <w:color w:val="auto"/>
        </w:rPr>
      </w:pPr>
    </w:p>
    <w:p>
      <w:pPr>
        <w:ind w:right="60" w:firstLine="486"/>
        <w:spacing w:after="0" w:line="253" w:lineRule="auto"/>
        <w:rPr>
          <w:sz w:val="20"/>
          <w:szCs w:val="20"/>
          <w:color w:val="auto"/>
        </w:rPr>
      </w:pPr>
      <w:r>
        <w:rPr>
          <w:rFonts w:ascii="Arial" w:cs="Arial" w:eastAsia="Arial" w:hAnsi="Arial"/>
          <w:sz w:val="18"/>
          <w:szCs w:val="18"/>
          <w:color w:val="auto"/>
        </w:rPr>
        <w:t>Fair value is defined as the exchange price that would be received for an asset or paid to transfer a liability (an exit price) in the principal or most advantageous market for the asset or liability in an orderly transaction between market participants at the measurement date under current market conditions. Inputs used to measure fair value are prioritized within a three-level fair value hierarchy. This hierarchy requires entities to maximize the use of observable inputs and minimize the use of unobservable inputs. The three levels of inputs used to measure fair value are as follows:</w:t>
      </w:r>
    </w:p>
    <w:p>
      <w:pPr>
        <w:spacing w:after="0" w:line="188" w:lineRule="exact"/>
        <w:rPr>
          <w:sz w:val="20"/>
          <w:szCs w:val="20"/>
          <w:color w:val="auto"/>
        </w:rPr>
      </w:pPr>
    </w:p>
    <w:p>
      <w:pPr>
        <w:ind w:left="1160"/>
        <w:spacing w:after="0"/>
        <w:rPr>
          <w:sz w:val="20"/>
          <w:szCs w:val="20"/>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 Quoted prices in active markets for identical assets or liabilities.</w:t>
      </w:r>
    </w:p>
    <w:p>
      <w:pPr>
        <w:spacing w:after="0" w:line="117" w:lineRule="exact"/>
        <w:rPr>
          <w:sz w:val="20"/>
          <w:szCs w:val="20"/>
          <w:color w:val="auto"/>
        </w:rPr>
      </w:pPr>
    </w:p>
    <w:p>
      <w:pPr>
        <w:ind w:left="520" w:right="40" w:firstLine="648"/>
        <w:spacing w:after="0" w:line="266" w:lineRule="auto"/>
        <w:rPr>
          <w:sz w:val="20"/>
          <w:szCs w:val="20"/>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 Observable inputs other than quoted prices included in Level 1, such as quoted prices for similar assets and liabilities</w:t>
      </w:r>
      <w:r>
        <w:rPr>
          <w:rFonts w:ascii="Arial" w:cs="Arial" w:eastAsia="Arial" w:hAnsi="Arial"/>
          <w:sz w:val="18"/>
          <w:szCs w:val="18"/>
          <w:i w:val="1"/>
          <w:iCs w:val="1"/>
          <w:color w:val="auto"/>
        </w:rPr>
        <w:t xml:space="preserve"> </w:t>
      </w:r>
      <w:r>
        <w:rPr>
          <w:rFonts w:ascii="Arial" w:cs="Arial" w:eastAsia="Arial" w:hAnsi="Arial"/>
          <w:sz w:val="18"/>
          <w:szCs w:val="18"/>
          <w:color w:val="auto"/>
        </w:rPr>
        <w:t>in active markets; quoted prices for identical or similar assets and liabilities in markets that are not active; or other inputs that are observable or can be corroborated by observable market data.</w:t>
      </w:r>
    </w:p>
    <w:p>
      <w:pPr>
        <w:spacing w:after="0" w:line="68" w:lineRule="exact"/>
        <w:rPr>
          <w:sz w:val="20"/>
          <w:szCs w:val="20"/>
          <w:color w:val="auto"/>
        </w:rPr>
      </w:pPr>
    </w:p>
    <w:p>
      <w:pPr>
        <w:ind w:left="520" w:right="20" w:firstLine="648"/>
        <w:spacing w:after="0" w:line="266" w:lineRule="auto"/>
        <w:rPr>
          <w:sz w:val="20"/>
          <w:szCs w:val="20"/>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 Unobservable inputs that are supported by little or no market activity and that are significant to the fair value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assets or liabilities. This includes certain pricing models, discounted cash flow methodologies, and similar techniques that use significant unobservable inputs.</w:t>
      </w:r>
    </w:p>
    <w:p>
      <w:pPr>
        <w:spacing w:after="0" w:line="86" w:lineRule="exact"/>
        <w:rPr>
          <w:sz w:val="20"/>
          <w:szCs w:val="20"/>
          <w:color w:val="auto"/>
        </w:rPr>
      </w:pPr>
    </w:p>
    <w:p>
      <w:pPr>
        <w:ind w:right="60" w:firstLine="486"/>
        <w:spacing w:after="0" w:line="262" w:lineRule="auto"/>
        <w:rPr>
          <w:sz w:val="20"/>
          <w:szCs w:val="20"/>
          <w:color w:val="auto"/>
        </w:rPr>
      </w:pPr>
      <w:r>
        <w:rPr>
          <w:rFonts w:ascii="Arial" w:cs="Arial" w:eastAsia="Arial" w:hAnsi="Arial"/>
          <w:sz w:val="18"/>
          <w:szCs w:val="18"/>
          <w:color w:val="auto"/>
        </w:rPr>
        <w:t>There have been no transfers of assets or liabilities between these fair value measurement classifications during the nine months ended September 30, 2016.</w:t>
      </w:r>
    </w:p>
    <w:p>
      <w:pPr>
        <w:spacing w:after="0" w:line="88" w:lineRule="exact"/>
        <w:rPr>
          <w:sz w:val="20"/>
          <w:szCs w:val="20"/>
          <w:color w:val="auto"/>
        </w:rPr>
      </w:pPr>
    </w:p>
    <w:p>
      <w:pPr>
        <w:ind w:right="180" w:firstLine="486"/>
        <w:spacing w:after="0" w:line="256" w:lineRule="auto"/>
        <w:rPr>
          <w:sz w:val="20"/>
          <w:szCs w:val="20"/>
          <w:color w:val="auto"/>
        </w:rPr>
      </w:pPr>
      <w:r>
        <w:rPr>
          <w:rFonts w:ascii="Arial" w:cs="Arial" w:eastAsia="Arial" w:hAnsi="Arial"/>
          <w:sz w:val="18"/>
          <w:szCs w:val="18"/>
          <w:color w:val="auto"/>
        </w:rPr>
        <w:t>The Company’s fair value measurements are evaluated within the fair value hierarchy, based on the nature of inputs used to determine the fair value at the measurement date. At September 30, 2016, the Company had the following financial assets and liabilities that are measured at fair value on a recurring basis:</w:t>
      </w:r>
    </w:p>
    <w:p>
      <w:pPr>
        <w:spacing w:after="0" w:line="76" w:lineRule="exact"/>
        <w:rPr>
          <w:sz w:val="20"/>
          <w:szCs w:val="20"/>
          <w:color w:val="auto"/>
        </w:rPr>
      </w:pPr>
    </w:p>
    <w:p>
      <w:pPr>
        <w:ind w:left="500" w:right="820"/>
        <w:spacing w:after="0" w:line="282" w:lineRule="auto"/>
        <w:rPr>
          <w:sz w:val="20"/>
          <w:szCs w:val="20"/>
          <w:color w:val="auto"/>
        </w:rPr>
      </w:pPr>
      <w:r>
        <w:rPr>
          <w:rFonts w:ascii="Arial" w:cs="Arial" w:eastAsia="Arial" w:hAnsi="Arial"/>
          <w:sz w:val="18"/>
          <w:szCs w:val="18"/>
          <w:i w:val="1"/>
          <w:iCs w:val="1"/>
          <w:color w:val="auto"/>
        </w:rPr>
        <w:t xml:space="preserve">Cash Equivalents </w:t>
      </w:r>
      <w:r>
        <w:rPr>
          <w:rFonts w:ascii="Arial" w:cs="Arial" w:eastAsia="Arial" w:hAnsi="Arial"/>
          <w:sz w:val="18"/>
          <w:szCs w:val="18"/>
          <w:color w:val="auto"/>
        </w:rPr>
        <w:t>— The Company’s cash equivalents include money market funds, which are short term in nature with readily</w:t>
      </w:r>
      <w:r>
        <w:rPr>
          <w:rFonts w:ascii="Arial" w:cs="Arial" w:eastAsia="Arial" w:hAnsi="Arial"/>
          <w:sz w:val="18"/>
          <w:szCs w:val="18"/>
          <w:i w:val="1"/>
          <w:iCs w:val="1"/>
          <w:color w:val="auto"/>
        </w:rPr>
        <w:t xml:space="preserve"> </w:t>
      </w:r>
      <w:r>
        <w:rPr>
          <w:rFonts w:ascii="Arial" w:cs="Arial" w:eastAsia="Arial" w:hAnsi="Arial"/>
          <w:sz w:val="18"/>
          <w:szCs w:val="18"/>
          <w:color w:val="auto"/>
        </w:rPr>
        <w:t>determinable values derived from active markets.</w:t>
      </w:r>
    </w:p>
    <w:p>
      <w:pPr>
        <w:spacing w:after="0" w:line="54" w:lineRule="exact"/>
        <w:rPr>
          <w:sz w:val="20"/>
          <w:szCs w:val="20"/>
          <w:color w:val="auto"/>
        </w:rPr>
      </w:pPr>
    </w:p>
    <w:p>
      <w:pPr>
        <w:ind w:left="500" w:right="40"/>
        <w:spacing w:after="0" w:line="261" w:lineRule="auto"/>
        <w:rPr>
          <w:sz w:val="20"/>
          <w:szCs w:val="20"/>
          <w:color w:val="auto"/>
        </w:rPr>
      </w:pPr>
      <w:r>
        <w:rPr>
          <w:rFonts w:ascii="Arial" w:cs="Arial" w:eastAsia="Arial" w:hAnsi="Arial"/>
          <w:sz w:val="18"/>
          <w:szCs w:val="18"/>
          <w:i w:val="1"/>
          <w:iCs w:val="1"/>
          <w:color w:val="auto"/>
        </w:rPr>
        <w:t xml:space="preserve">Securities Owned and Securities Sold, But Not Yet Purchased </w:t>
      </w:r>
      <w:r>
        <w:rPr>
          <w:rFonts w:ascii="Arial" w:cs="Arial" w:eastAsia="Arial" w:hAnsi="Arial"/>
          <w:sz w:val="18"/>
          <w:szCs w:val="18"/>
          <w:color w:val="auto"/>
        </w:rPr>
        <w:t>— The Company's trading securities consist of house account model</w:t>
      </w:r>
      <w:r>
        <w:rPr>
          <w:rFonts w:ascii="Arial" w:cs="Arial" w:eastAsia="Arial" w:hAnsi="Arial"/>
          <w:sz w:val="18"/>
          <w:szCs w:val="18"/>
          <w:i w:val="1"/>
          <w:iCs w:val="1"/>
          <w:color w:val="auto"/>
        </w:rPr>
        <w:t xml:space="preserve"> </w:t>
      </w:r>
      <w:r>
        <w:rPr>
          <w:rFonts w:ascii="Arial" w:cs="Arial" w:eastAsia="Arial" w:hAnsi="Arial"/>
          <w:sz w:val="18"/>
          <w:szCs w:val="18"/>
          <w:color w:val="auto"/>
        </w:rPr>
        <w:t>portfolios established and managed for the purpose of benchmarking the performance of its fee-based advisory platforms and temporary positions resulting from the processing of client transactions. Examples of these securities include money market funds, U.S. treasury obligations, mutual funds, certificates of deposit, and traded equity and debt securities.</w:t>
      </w:r>
    </w:p>
    <w:p>
      <w:pPr>
        <w:spacing w:after="0" w:line="198" w:lineRule="exact"/>
        <w:rPr>
          <w:sz w:val="20"/>
          <w:szCs w:val="20"/>
          <w:color w:val="auto"/>
        </w:rPr>
      </w:pPr>
    </w:p>
    <w:p>
      <w:pPr>
        <w:ind w:left="500" w:firstLine="486"/>
        <w:spacing w:after="0" w:line="251" w:lineRule="auto"/>
        <w:rPr>
          <w:sz w:val="20"/>
          <w:szCs w:val="20"/>
          <w:color w:val="auto"/>
        </w:rPr>
      </w:pPr>
      <w:r>
        <w:rPr>
          <w:rFonts w:ascii="Arial" w:cs="Arial" w:eastAsia="Arial" w:hAnsi="Arial"/>
          <w:sz w:val="18"/>
          <w:szCs w:val="18"/>
          <w:color w:val="auto"/>
        </w:rPr>
        <w:t>The Company uses prices obtained from independent third-party pricing services to measure the fair value of its trading securities. Prices received from the pricing services are validated using various methods including comparison to prices received from additional pricing services, comparison to available quoted market prices, and review of other relevant market data including implied yields of major categories of securities. In general, these quoted prices are derived from active markets for identical assets or liabilities. When quoted prices in active markets for identical assets and liabilities are not available, the quoted prices are based on similar assets and liabilities or inputs other than the quoted prices that are observable, either directly or indirectly. For certificates of deposit and treasury securities, the Company utilizes market-based inputs, including observable market interest rates that correspond to the remaining maturities or the next interest reset dates. At September 30, 2016, the Company did not adjust prices received from the independent third-party pricing services.</w:t>
      </w:r>
    </w:p>
    <w:p>
      <w:pPr>
        <w:spacing w:after="0" w:line="87" w:lineRule="exact"/>
        <w:rPr>
          <w:sz w:val="20"/>
          <w:szCs w:val="20"/>
          <w:color w:val="auto"/>
        </w:rPr>
      </w:pPr>
    </w:p>
    <w:p>
      <w:pPr>
        <w:ind w:left="500" w:right="60"/>
        <w:spacing w:after="0" w:line="258" w:lineRule="auto"/>
        <w:rPr>
          <w:sz w:val="20"/>
          <w:szCs w:val="20"/>
          <w:color w:val="auto"/>
        </w:rPr>
      </w:pPr>
      <w:r>
        <w:rPr>
          <w:rFonts w:ascii="Arial" w:cs="Arial" w:eastAsia="Arial" w:hAnsi="Arial"/>
          <w:sz w:val="18"/>
          <w:szCs w:val="18"/>
          <w:i w:val="1"/>
          <w:iCs w:val="1"/>
          <w:color w:val="auto"/>
        </w:rPr>
        <w:t xml:space="preserve">Other Assets </w:t>
      </w:r>
      <w:r>
        <w:rPr>
          <w:rFonts w:ascii="Arial" w:cs="Arial" w:eastAsia="Arial" w:hAnsi="Arial"/>
          <w:sz w:val="18"/>
          <w:szCs w:val="18"/>
          <w:color w:val="auto"/>
        </w:rPr>
        <w:t>— The Company’s other assets include: (1) deferred compensation plan assets that are invested in money market and</w:t>
      </w:r>
      <w:r>
        <w:rPr>
          <w:rFonts w:ascii="Arial" w:cs="Arial" w:eastAsia="Arial" w:hAnsi="Arial"/>
          <w:sz w:val="18"/>
          <w:szCs w:val="18"/>
          <w:i w:val="1"/>
          <w:iCs w:val="1"/>
          <w:color w:val="auto"/>
        </w:rPr>
        <w:t xml:space="preserve"> </w:t>
      </w:r>
      <w:r>
        <w:rPr>
          <w:rFonts w:ascii="Arial" w:cs="Arial" w:eastAsia="Arial" w:hAnsi="Arial"/>
          <w:sz w:val="18"/>
          <w:szCs w:val="18"/>
          <w:color w:val="auto"/>
        </w:rPr>
        <w:t>other mutual funds, which are actively traded and valued based on quoted market prices; (2) certain non-traded real estate investment trusts and auction rate notes, which are valued using quoted prices for identical or similar securities and other inputs that are observable or can be corroborated by observable market data; and (3) cash flow hedges, which are measured using quoted prices for similar cash flow hedges, taking into account counterparty credit risk and the Company's own non-performance risk.</w:t>
      </w:r>
    </w:p>
    <w:p>
      <w:pPr>
        <w:spacing w:after="0" w:line="76" w:lineRule="exact"/>
        <w:rPr>
          <w:sz w:val="20"/>
          <w:szCs w:val="20"/>
          <w:color w:val="auto"/>
        </w:rPr>
      </w:pPr>
    </w:p>
    <w:p>
      <w:pPr>
        <w:ind w:left="500" w:right="220"/>
        <w:spacing w:after="0" w:line="282" w:lineRule="auto"/>
        <w:rPr>
          <w:sz w:val="20"/>
          <w:szCs w:val="20"/>
          <w:color w:val="auto"/>
        </w:rPr>
      </w:pPr>
      <w:r>
        <w:rPr>
          <w:rFonts w:ascii="Arial" w:cs="Arial" w:eastAsia="Arial" w:hAnsi="Arial"/>
          <w:sz w:val="18"/>
          <w:szCs w:val="18"/>
          <w:i w:val="1"/>
          <w:iCs w:val="1"/>
          <w:color w:val="auto"/>
        </w:rPr>
        <w:t xml:space="preserve">Accounts Payable and Accrued Liabilities </w:t>
      </w:r>
      <w:r>
        <w:rPr>
          <w:rFonts w:ascii="Arial" w:cs="Arial" w:eastAsia="Arial" w:hAnsi="Arial"/>
          <w:sz w:val="18"/>
          <w:szCs w:val="18"/>
          <w:color w:val="auto"/>
        </w:rPr>
        <w:t>— The Company's accounts payable and accrued liabilities include contingent consideration</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liabilities that are measured using Level 3 inputs.</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80"/>
          </w:cols>
          <w:pgMar w:left="240" w:top="441" w:right="279" w:bottom="144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Level 3 Recurring Fair Value Measurements</w:t>
      </w:r>
    </w:p>
    <w:p>
      <w:pPr>
        <w:spacing w:after="0" w:line="247" w:lineRule="exact"/>
        <w:rPr>
          <w:sz w:val="20"/>
          <w:szCs w:val="20"/>
          <w:color w:val="auto"/>
        </w:rPr>
      </w:pPr>
    </w:p>
    <w:p>
      <w:pPr>
        <w:ind w:right="120" w:firstLine="486"/>
        <w:spacing w:after="0" w:line="253" w:lineRule="auto"/>
        <w:rPr>
          <w:sz w:val="20"/>
          <w:szCs w:val="20"/>
          <w:color w:val="auto"/>
        </w:rPr>
      </w:pPr>
      <w:r>
        <w:rPr>
          <w:rFonts w:ascii="Arial" w:cs="Arial" w:eastAsia="Arial" w:hAnsi="Arial"/>
          <w:sz w:val="18"/>
          <w:szCs w:val="18"/>
          <w:color w:val="auto"/>
        </w:rPr>
        <w:t>The Company determines the fair value for its contingent consideration obligations using an income approach whereby the Company assesses the expected future performance of the acquired assets. The contingent payment is estimated using a discounted cash flow of the expected payment amount to calculate the fair value as of the valuation date. The Company's management evaluates the underlying projections and other related factors used in determining fair value each period and makes updates when there have been significant changes in management's expectations.</w:t>
      </w:r>
    </w:p>
    <w:p>
      <w:pPr>
        <w:spacing w:after="0" w:line="20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the Company’s financial assets and financial liabilities measured at fair value on a recurring basis at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2016 (in thousands):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gridSpan w:val="2"/>
          </w:tcPr>
          <w:p>
            <w:pPr>
              <w:ind w:left="160"/>
              <w:spacing w:after="0"/>
              <w:rPr>
                <w:sz w:val="20"/>
                <w:szCs w:val="20"/>
                <w:color w:val="auto"/>
              </w:rPr>
            </w:pPr>
            <w:r>
              <w:rPr>
                <w:rFonts w:ascii="Arial" w:cs="Arial" w:eastAsia="Arial" w:hAnsi="Arial"/>
                <w:sz w:val="14"/>
                <w:szCs w:val="14"/>
                <w:b w:val="1"/>
                <w:bCs w:val="1"/>
                <w:color w:val="auto"/>
              </w:rPr>
              <w:t>Level 1</w:t>
            </w:r>
          </w:p>
        </w:tc>
        <w:tc>
          <w:tcPr>
            <w:tcW w:w="260" w:type="dxa"/>
            <w:vAlign w:val="bottom"/>
          </w:tcPr>
          <w:p>
            <w:pPr>
              <w:spacing w:after="0"/>
              <w:rPr>
                <w:sz w:val="17"/>
                <w:szCs w:val="17"/>
                <w:color w:val="auto"/>
              </w:rPr>
            </w:pPr>
          </w:p>
        </w:tc>
        <w:tc>
          <w:tcPr>
            <w:tcW w:w="1200" w:type="dxa"/>
            <w:vAlign w:val="bottom"/>
            <w:gridSpan w:val="2"/>
          </w:tcPr>
          <w:p>
            <w:pPr>
              <w:ind w:left="160"/>
              <w:spacing w:after="0"/>
              <w:rPr>
                <w:sz w:val="20"/>
                <w:szCs w:val="20"/>
                <w:color w:val="auto"/>
              </w:rPr>
            </w:pPr>
            <w:r>
              <w:rPr>
                <w:rFonts w:ascii="Arial" w:cs="Arial" w:eastAsia="Arial" w:hAnsi="Arial"/>
                <w:sz w:val="14"/>
                <w:szCs w:val="14"/>
                <w:b w:val="1"/>
                <w:bCs w:val="1"/>
                <w:color w:val="auto"/>
              </w:rPr>
              <w:t>Level 2</w:t>
            </w:r>
          </w:p>
        </w:tc>
        <w:tc>
          <w:tcPr>
            <w:tcW w:w="280" w:type="dxa"/>
            <w:vAlign w:val="bottom"/>
          </w:tcPr>
          <w:p>
            <w:pPr>
              <w:spacing w:after="0"/>
              <w:rPr>
                <w:sz w:val="17"/>
                <w:szCs w:val="17"/>
                <w:color w:val="auto"/>
              </w:rPr>
            </w:pPr>
          </w:p>
        </w:tc>
        <w:tc>
          <w:tcPr>
            <w:tcW w:w="1200" w:type="dxa"/>
            <w:vAlign w:val="bottom"/>
            <w:gridSpan w:val="2"/>
          </w:tcPr>
          <w:p>
            <w:pPr>
              <w:ind w:left="160"/>
              <w:spacing w:after="0"/>
              <w:rPr>
                <w:sz w:val="20"/>
                <w:szCs w:val="20"/>
                <w:color w:val="auto"/>
              </w:rPr>
            </w:pPr>
            <w:r>
              <w:rPr>
                <w:rFonts w:ascii="Arial" w:cs="Arial" w:eastAsia="Arial" w:hAnsi="Arial"/>
                <w:sz w:val="14"/>
                <w:szCs w:val="14"/>
                <w:b w:val="1"/>
                <w:bCs w:val="1"/>
                <w:color w:val="auto"/>
              </w:rPr>
              <w:t>Level 3</w:t>
            </w:r>
          </w:p>
        </w:tc>
        <w:tc>
          <w:tcPr>
            <w:tcW w:w="320" w:type="dxa"/>
            <w:vAlign w:val="bottom"/>
          </w:tcPr>
          <w:p>
            <w:pPr>
              <w:spacing w:after="0"/>
              <w:rPr>
                <w:sz w:val="17"/>
                <w:szCs w:val="17"/>
                <w:color w:val="auto"/>
              </w:rPr>
            </w:pPr>
          </w:p>
        </w:tc>
        <w:tc>
          <w:tcPr>
            <w:tcW w:w="1040" w:type="dxa"/>
            <w:vAlign w:val="bottom"/>
          </w:tcPr>
          <w:p>
            <w:pPr>
              <w:jc w:val="right"/>
              <w:ind w:right="4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6"/>
        </w:trPr>
        <w:tc>
          <w:tcPr>
            <w:tcW w:w="56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Assets</w:t>
            </w:r>
          </w:p>
        </w:tc>
        <w:tc>
          <w:tcPr>
            <w:tcW w:w="280" w:type="dxa"/>
            <w:vAlign w:val="bottom"/>
            <w:tcBorders>
              <w:top w:val="single" w:sz="8" w:color="auto"/>
            </w:tcBorders>
            <w:shd w:val="clear" w:color="auto" w:fill="CCEEFF"/>
          </w:tcPr>
          <w:p>
            <w:pPr>
              <w:spacing w:after="0"/>
              <w:rPr>
                <w:sz w:val="22"/>
                <w:szCs w:val="22"/>
                <w:color w:val="auto"/>
              </w:rPr>
            </w:pPr>
          </w:p>
        </w:tc>
        <w:tc>
          <w:tcPr>
            <w:tcW w:w="110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tcBorders>
            <w:shd w:val="clear" w:color="auto" w:fill="CCEEFF"/>
          </w:tcPr>
          <w:p>
            <w:pPr>
              <w:spacing w:after="0"/>
              <w:rPr>
                <w:sz w:val="22"/>
                <w:szCs w:val="22"/>
                <w:color w:val="auto"/>
              </w:rPr>
            </w:pPr>
          </w:p>
        </w:tc>
        <w:tc>
          <w:tcPr>
            <w:tcW w:w="110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auto"/>
            </w:tcBorders>
            <w:shd w:val="clear" w:color="auto" w:fill="CCEEFF"/>
          </w:tcPr>
          <w:p>
            <w:pPr>
              <w:spacing w:after="0"/>
              <w:rPr>
                <w:sz w:val="22"/>
                <w:szCs w:val="22"/>
                <w:color w:val="auto"/>
              </w:rPr>
            </w:pPr>
          </w:p>
        </w:tc>
        <w:tc>
          <w:tcPr>
            <w:tcW w:w="108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320" w:type="dxa"/>
            <w:vAlign w:val="bottom"/>
            <w:tcBorders>
              <w:top w:val="single" w:sz="8" w:color="auto"/>
            </w:tcBorders>
            <w:shd w:val="clear" w:color="auto" w:fill="CCEEFF"/>
          </w:tcPr>
          <w:p>
            <w:pPr>
              <w:spacing w:after="0"/>
              <w:rPr>
                <w:sz w:val="22"/>
                <w:szCs w:val="22"/>
                <w:color w:val="auto"/>
              </w:rPr>
            </w:pPr>
          </w:p>
        </w:tc>
        <w:tc>
          <w:tcPr>
            <w:tcW w:w="1040" w:type="dxa"/>
            <w:vAlign w:val="bottom"/>
            <w:tcBorders>
              <w:top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5620" w:type="dxa"/>
            <w:vAlign w:val="bottom"/>
          </w:tcPr>
          <w:p>
            <w:pPr>
              <w:ind w:left="180"/>
              <w:spacing w:after="0"/>
              <w:rPr>
                <w:sz w:val="20"/>
                <w:szCs w:val="20"/>
                <w:color w:val="auto"/>
              </w:rPr>
            </w:pPr>
            <w:r>
              <w:rPr>
                <w:rFonts w:ascii="Arial" w:cs="Arial" w:eastAsia="Arial" w:hAnsi="Arial"/>
                <w:sz w:val="16"/>
                <w:szCs w:val="16"/>
                <w:color w:val="auto"/>
              </w:rPr>
              <w:t>Cash equivalents</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92,670</w:t>
            </w:r>
          </w:p>
        </w:tc>
        <w:tc>
          <w:tcPr>
            <w:tcW w:w="120" w:type="dxa"/>
            <w:vAlign w:val="bottom"/>
          </w:tcPr>
          <w:p>
            <w:pPr>
              <w:spacing w:after="0"/>
              <w:rPr>
                <w:sz w:val="22"/>
                <w:szCs w:val="22"/>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92,670</w:t>
            </w:r>
          </w:p>
        </w:tc>
        <w:tc>
          <w:tcPr>
            <w:tcW w:w="0" w:type="dxa"/>
            <w:vAlign w:val="bottom"/>
          </w:tcPr>
          <w:p>
            <w:pPr>
              <w:spacing w:after="0"/>
              <w:rPr>
                <w:sz w:val="1"/>
                <w:szCs w:val="1"/>
                <w:color w:val="auto"/>
              </w:rPr>
            </w:pPr>
          </w:p>
        </w:tc>
      </w:tr>
      <w:tr>
        <w:trPr>
          <w:trHeight w:val="280"/>
        </w:trPr>
        <w:tc>
          <w:tcPr>
            <w:tcW w:w="56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Securities owned — trading:</w:t>
            </w:r>
          </w:p>
        </w:tc>
        <w:tc>
          <w:tcPr>
            <w:tcW w:w="28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5620" w:type="dxa"/>
            <w:vAlign w:val="bottom"/>
          </w:tcPr>
          <w:p>
            <w:pPr>
              <w:ind w:left="380"/>
              <w:spacing w:after="0"/>
              <w:rPr>
                <w:sz w:val="20"/>
                <w:szCs w:val="20"/>
                <w:color w:val="auto"/>
              </w:rPr>
            </w:pPr>
            <w:r>
              <w:rPr>
                <w:rFonts w:ascii="Arial" w:cs="Arial" w:eastAsia="Arial" w:hAnsi="Arial"/>
                <w:sz w:val="16"/>
                <w:szCs w:val="16"/>
                <w:color w:val="auto"/>
              </w:rPr>
              <w:t>Money market funds</w:t>
            </w:r>
          </w:p>
        </w:tc>
        <w:tc>
          <w:tcPr>
            <w:tcW w:w="280" w:type="dxa"/>
            <w:vAlign w:val="bottom"/>
          </w:tcPr>
          <w:p>
            <w:pPr>
              <w:spacing w:after="0"/>
              <w:rPr>
                <w:sz w:val="22"/>
                <w:szCs w:val="22"/>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326</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2"/>
                <w:szCs w:val="22"/>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326</w:t>
            </w:r>
          </w:p>
        </w:tc>
        <w:tc>
          <w:tcPr>
            <w:tcW w:w="0" w:type="dxa"/>
            <w:vAlign w:val="bottom"/>
          </w:tcPr>
          <w:p>
            <w:pPr>
              <w:spacing w:after="0"/>
              <w:rPr>
                <w:sz w:val="1"/>
                <w:szCs w:val="1"/>
                <w:color w:val="auto"/>
              </w:rPr>
            </w:pPr>
          </w:p>
        </w:tc>
      </w:tr>
      <w:tr>
        <w:trPr>
          <w:trHeight w:val="280"/>
        </w:trPr>
        <w:tc>
          <w:tcPr>
            <w:tcW w:w="56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Mutual funds</w:t>
            </w:r>
          </w:p>
        </w:tc>
        <w:tc>
          <w:tcPr>
            <w:tcW w:w="28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7,629</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7,629</w:t>
            </w:r>
          </w:p>
        </w:tc>
        <w:tc>
          <w:tcPr>
            <w:tcW w:w="0" w:type="dxa"/>
            <w:vAlign w:val="bottom"/>
          </w:tcPr>
          <w:p>
            <w:pPr>
              <w:spacing w:after="0"/>
              <w:rPr>
                <w:sz w:val="1"/>
                <w:szCs w:val="1"/>
                <w:color w:val="auto"/>
              </w:rPr>
            </w:pPr>
          </w:p>
        </w:tc>
      </w:tr>
      <w:tr>
        <w:trPr>
          <w:trHeight w:val="260"/>
        </w:trPr>
        <w:tc>
          <w:tcPr>
            <w:tcW w:w="5620" w:type="dxa"/>
            <w:vAlign w:val="bottom"/>
          </w:tcPr>
          <w:p>
            <w:pPr>
              <w:ind w:left="380"/>
              <w:spacing w:after="0"/>
              <w:rPr>
                <w:sz w:val="20"/>
                <w:szCs w:val="20"/>
                <w:color w:val="auto"/>
              </w:rPr>
            </w:pPr>
            <w:r>
              <w:rPr>
                <w:rFonts w:ascii="Arial" w:cs="Arial" w:eastAsia="Arial" w:hAnsi="Arial"/>
                <w:sz w:val="16"/>
                <w:szCs w:val="16"/>
                <w:color w:val="auto"/>
              </w:rPr>
              <w:t>Equity securities</w:t>
            </w:r>
          </w:p>
        </w:tc>
        <w:tc>
          <w:tcPr>
            <w:tcW w:w="280" w:type="dxa"/>
            <w:vAlign w:val="bottom"/>
          </w:tcPr>
          <w:p>
            <w:pPr>
              <w:spacing w:after="0"/>
              <w:rPr>
                <w:sz w:val="22"/>
                <w:szCs w:val="22"/>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37</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2"/>
                <w:szCs w:val="22"/>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280"/>
        </w:trPr>
        <w:tc>
          <w:tcPr>
            <w:tcW w:w="56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Debt securities</w:t>
            </w:r>
          </w:p>
        </w:tc>
        <w:tc>
          <w:tcPr>
            <w:tcW w:w="28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343</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343</w:t>
            </w:r>
          </w:p>
        </w:tc>
        <w:tc>
          <w:tcPr>
            <w:tcW w:w="0" w:type="dxa"/>
            <w:vAlign w:val="bottom"/>
          </w:tcPr>
          <w:p>
            <w:pPr>
              <w:spacing w:after="0"/>
              <w:rPr>
                <w:sz w:val="1"/>
                <w:szCs w:val="1"/>
                <w:color w:val="auto"/>
              </w:rPr>
            </w:pPr>
          </w:p>
        </w:tc>
      </w:tr>
      <w:tr>
        <w:trPr>
          <w:trHeight w:val="264"/>
        </w:trPr>
        <w:tc>
          <w:tcPr>
            <w:tcW w:w="562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U.S. treasury obligations</w:t>
            </w:r>
          </w:p>
        </w:tc>
        <w:tc>
          <w:tcPr>
            <w:tcW w:w="2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3,500</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3,500</w:t>
            </w:r>
          </w:p>
        </w:tc>
        <w:tc>
          <w:tcPr>
            <w:tcW w:w="0" w:type="dxa"/>
            <w:vAlign w:val="bottom"/>
          </w:tcPr>
          <w:p>
            <w:pPr>
              <w:spacing w:after="0"/>
              <w:rPr>
                <w:sz w:val="1"/>
                <w:szCs w:val="1"/>
                <w:color w:val="auto"/>
              </w:rPr>
            </w:pPr>
          </w:p>
        </w:tc>
      </w:tr>
      <w:tr>
        <w:trPr>
          <w:trHeight w:val="250"/>
        </w:trPr>
        <w:tc>
          <w:tcPr>
            <w:tcW w:w="56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Total securities owned — trading</w:t>
            </w:r>
          </w:p>
        </w:tc>
        <w:tc>
          <w:tcPr>
            <w:tcW w:w="28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11,492</w:t>
            </w:r>
          </w:p>
        </w:tc>
        <w:tc>
          <w:tcPr>
            <w:tcW w:w="12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343</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11,835</w:t>
            </w: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Other assets</w:t>
            </w:r>
          </w:p>
        </w:tc>
        <w:tc>
          <w:tcPr>
            <w:tcW w:w="2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130,223</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6,527</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136,750</w:t>
            </w:r>
          </w:p>
        </w:tc>
        <w:tc>
          <w:tcPr>
            <w:tcW w:w="0" w:type="dxa"/>
            <w:vAlign w:val="bottom"/>
          </w:tcPr>
          <w:p>
            <w:pPr>
              <w:spacing w:after="0"/>
              <w:rPr>
                <w:sz w:val="1"/>
                <w:szCs w:val="1"/>
                <w:color w:val="auto"/>
              </w:rPr>
            </w:pPr>
          </w:p>
        </w:tc>
      </w:tr>
      <w:tr>
        <w:trPr>
          <w:trHeight w:val="240"/>
        </w:trPr>
        <w:tc>
          <w:tcPr>
            <w:tcW w:w="56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Total assets at fair value</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234,385</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6,870</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241,255</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b w:val="1"/>
                <w:bCs w:val="1"/>
                <w:color w:val="auto"/>
              </w:rPr>
              <w:t>Liabilities</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62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0"/>
        </w:trPr>
        <w:tc>
          <w:tcPr>
            <w:tcW w:w="56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Securities sold, but not yet purchased:</w:t>
            </w:r>
          </w:p>
        </w:tc>
        <w:tc>
          <w:tcPr>
            <w:tcW w:w="28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5620" w:type="dxa"/>
            <w:vAlign w:val="bottom"/>
          </w:tcPr>
          <w:p>
            <w:pPr>
              <w:ind w:left="380"/>
              <w:spacing w:after="0"/>
              <w:rPr>
                <w:sz w:val="20"/>
                <w:szCs w:val="20"/>
                <w:color w:val="auto"/>
              </w:rPr>
            </w:pPr>
            <w:r>
              <w:rPr>
                <w:rFonts w:ascii="Arial" w:cs="Arial" w:eastAsia="Arial" w:hAnsi="Arial"/>
                <w:sz w:val="16"/>
                <w:szCs w:val="16"/>
                <w:color w:val="auto"/>
              </w:rPr>
              <w:t>Mutual funds</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22"/>
                <w:szCs w:val="22"/>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80"/>
        </w:trPr>
        <w:tc>
          <w:tcPr>
            <w:tcW w:w="56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Equity securities</w:t>
            </w:r>
          </w:p>
        </w:tc>
        <w:tc>
          <w:tcPr>
            <w:tcW w:w="28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65</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65</w:t>
            </w:r>
          </w:p>
        </w:tc>
        <w:tc>
          <w:tcPr>
            <w:tcW w:w="0" w:type="dxa"/>
            <w:vAlign w:val="bottom"/>
          </w:tcPr>
          <w:p>
            <w:pPr>
              <w:spacing w:after="0"/>
              <w:rPr>
                <w:sz w:val="1"/>
                <w:szCs w:val="1"/>
                <w:color w:val="auto"/>
              </w:rPr>
            </w:pPr>
          </w:p>
        </w:tc>
      </w:tr>
      <w:tr>
        <w:trPr>
          <w:trHeight w:val="264"/>
        </w:trPr>
        <w:tc>
          <w:tcPr>
            <w:tcW w:w="562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Debt securities</w:t>
            </w:r>
          </w:p>
        </w:tc>
        <w:tc>
          <w:tcPr>
            <w:tcW w:w="2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15</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50"/>
        </w:trPr>
        <w:tc>
          <w:tcPr>
            <w:tcW w:w="56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Total securities sold, but not yet purchased</w:t>
            </w:r>
          </w:p>
        </w:tc>
        <w:tc>
          <w:tcPr>
            <w:tcW w:w="28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70</w:t>
            </w:r>
          </w:p>
        </w:tc>
        <w:tc>
          <w:tcPr>
            <w:tcW w:w="12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85</w:t>
            </w:r>
          </w:p>
        </w:tc>
        <w:tc>
          <w:tcPr>
            <w:tcW w:w="0" w:type="dxa"/>
            <w:vAlign w:val="bottom"/>
          </w:tcPr>
          <w:p>
            <w:pPr>
              <w:spacing w:after="0"/>
              <w:rPr>
                <w:sz w:val="1"/>
                <w:szCs w:val="1"/>
                <w:color w:val="auto"/>
              </w:rPr>
            </w:pPr>
          </w:p>
        </w:tc>
      </w:tr>
      <w:tr>
        <w:trPr>
          <w:trHeight w:val="250"/>
        </w:trPr>
        <w:tc>
          <w:tcPr>
            <w:tcW w:w="5620" w:type="dxa"/>
            <w:vAlign w:val="bottom"/>
          </w:tcPr>
          <w:p>
            <w:pPr>
              <w:ind w:left="180"/>
              <w:spacing w:after="0"/>
              <w:rPr>
                <w:sz w:val="20"/>
                <w:szCs w:val="20"/>
                <w:color w:val="auto"/>
              </w:rPr>
            </w:pPr>
            <w:r>
              <w:rPr>
                <w:rFonts w:ascii="Arial" w:cs="Arial" w:eastAsia="Arial" w:hAnsi="Arial"/>
                <w:sz w:val="16"/>
                <w:szCs w:val="16"/>
                <w:color w:val="auto"/>
              </w:rPr>
              <w:t>Accounts payable and accrued liabilities</w:t>
            </w:r>
          </w:p>
        </w:tc>
        <w:tc>
          <w:tcPr>
            <w:tcW w:w="28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1"/>
                <w:szCs w:val="21"/>
                <w:color w:val="auto"/>
              </w:rPr>
            </w:pPr>
          </w:p>
        </w:tc>
        <w:tc>
          <w:tcPr>
            <w:tcW w:w="1100" w:type="dxa"/>
            <w:vAlign w:val="bottom"/>
          </w:tcPr>
          <w:p>
            <w:pPr>
              <w:jc w:val="right"/>
              <w:ind w:right="40"/>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527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532</w:t>
            </w:r>
          </w:p>
        </w:tc>
        <w:tc>
          <w:tcPr>
            <w:tcW w:w="0" w:type="dxa"/>
            <w:vAlign w:val="bottom"/>
          </w:tcPr>
          <w:p>
            <w:pPr>
              <w:spacing w:after="0"/>
              <w:rPr>
                <w:sz w:val="1"/>
                <w:szCs w:val="1"/>
                <w:color w:val="auto"/>
              </w:rPr>
            </w:pPr>
          </w:p>
        </w:tc>
      </w:tr>
      <w:tr>
        <w:trPr>
          <w:trHeight w:val="240"/>
        </w:trPr>
        <w:tc>
          <w:tcPr>
            <w:tcW w:w="5620" w:type="dxa"/>
            <w:vAlign w:val="bottom"/>
            <w:tcBorders>
              <w:top w:val="single" w:sz="8" w:color="CCEEFF"/>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liabilities at fair value</w:t>
            </w:r>
          </w:p>
        </w:tc>
        <w:tc>
          <w:tcPr>
            <w:tcW w:w="28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70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527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617</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41" w:right="239" w:bottom="1440" w:gutter="0" w:footer="0" w:header="0"/>
        </w:sectPr>
      </w:pPr>
    </w:p>
    <w:bookmarkStart w:id="35" w:name="page36"/>
    <w:bookmarkEnd w:id="35"/>
    <w:p>
      <w:pPr>
        <w:jc w:val="center"/>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9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the Company’s financial assets and financial liabilities measured at fair value on a recurring basis at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2015 (in thousands):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gridSpan w:val="2"/>
          </w:tcPr>
          <w:p>
            <w:pPr>
              <w:ind w:left="160"/>
              <w:spacing w:after="0"/>
              <w:rPr>
                <w:sz w:val="20"/>
                <w:szCs w:val="20"/>
                <w:color w:val="auto"/>
              </w:rPr>
            </w:pPr>
            <w:r>
              <w:rPr>
                <w:rFonts w:ascii="Arial" w:cs="Arial" w:eastAsia="Arial" w:hAnsi="Arial"/>
                <w:sz w:val="14"/>
                <w:szCs w:val="14"/>
                <w:b w:val="1"/>
                <w:bCs w:val="1"/>
                <w:color w:val="auto"/>
              </w:rPr>
              <w:t>Level 1</w:t>
            </w:r>
          </w:p>
        </w:tc>
        <w:tc>
          <w:tcPr>
            <w:tcW w:w="260" w:type="dxa"/>
            <w:vAlign w:val="bottom"/>
          </w:tcPr>
          <w:p>
            <w:pPr>
              <w:spacing w:after="0"/>
              <w:rPr>
                <w:sz w:val="17"/>
                <w:szCs w:val="17"/>
                <w:color w:val="auto"/>
              </w:rPr>
            </w:pPr>
          </w:p>
        </w:tc>
        <w:tc>
          <w:tcPr>
            <w:tcW w:w="1200" w:type="dxa"/>
            <w:vAlign w:val="bottom"/>
            <w:gridSpan w:val="2"/>
          </w:tcPr>
          <w:p>
            <w:pPr>
              <w:ind w:left="160"/>
              <w:spacing w:after="0"/>
              <w:rPr>
                <w:sz w:val="20"/>
                <w:szCs w:val="20"/>
                <w:color w:val="auto"/>
              </w:rPr>
            </w:pPr>
            <w:r>
              <w:rPr>
                <w:rFonts w:ascii="Arial" w:cs="Arial" w:eastAsia="Arial" w:hAnsi="Arial"/>
                <w:sz w:val="14"/>
                <w:szCs w:val="14"/>
                <w:b w:val="1"/>
                <w:bCs w:val="1"/>
                <w:color w:val="auto"/>
              </w:rPr>
              <w:t>Level 2</w:t>
            </w:r>
          </w:p>
        </w:tc>
        <w:tc>
          <w:tcPr>
            <w:tcW w:w="280" w:type="dxa"/>
            <w:vAlign w:val="bottom"/>
          </w:tcPr>
          <w:p>
            <w:pPr>
              <w:spacing w:after="0"/>
              <w:rPr>
                <w:sz w:val="17"/>
                <w:szCs w:val="17"/>
                <w:color w:val="auto"/>
              </w:rPr>
            </w:pPr>
          </w:p>
        </w:tc>
        <w:tc>
          <w:tcPr>
            <w:tcW w:w="1200" w:type="dxa"/>
            <w:vAlign w:val="bottom"/>
            <w:gridSpan w:val="2"/>
          </w:tcPr>
          <w:p>
            <w:pPr>
              <w:ind w:left="160"/>
              <w:spacing w:after="0"/>
              <w:rPr>
                <w:sz w:val="20"/>
                <w:szCs w:val="20"/>
                <w:color w:val="auto"/>
              </w:rPr>
            </w:pPr>
            <w:r>
              <w:rPr>
                <w:rFonts w:ascii="Arial" w:cs="Arial" w:eastAsia="Arial" w:hAnsi="Arial"/>
                <w:sz w:val="14"/>
                <w:szCs w:val="14"/>
                <w:b w:val="1"/>
                <w:bCs w:val="1"/>
                <w:color w:val="auto"/>
              </w:rPr>
              <w:t>Level 3</w:t>
            </w:r>
          </w:p>
        </w:tc>
        <w:tc>
          <w:tcPr>
            <w:tcW w:w="320" w:type="dxa"/>
            <w:vAlign w:val="bottom"/>
          </w:tcPr>
          <w:p>
            <w:pPr>
              <w:spacing w:after="0"/>
              <w:rPr>
                <w:sz w:val="17"/>
                <w:szCs w:val="17"/>
                <w:color w:val="auto"/>
              </w:rPr>
            </w:pPr>
          </w:p>
        </w:tc>
        <w:tc>
          <w:tcPr>
            <w:tcW w:w="1040" w:type="dxa"/>
            <w:vAlign w:val="bottom"/>
          </w:tcPr>
          <w:p>
            <w:pPr>
              <w:jc w:val="right"/>
              <w:ind w:right="4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6"/>
        </w:trPr>
        <w:tc>
          <w:tcPr>
            <w:tcW w:w="56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Assets</w:t>
            </w:r>
          </w:p>
        </w:tc>
        <w:tc>
          <w:tcPr>
            <w:tcW w:w="280" w:type="dxa"/>
            <w:vAlign w:val="bottom"/>
            <w:tcBorders>
              <w:top w:val="single" w:sz="8" w:color="auto"/>
            </w:tcBorders>
            <w:shd w:val="clear" w:color="auto" w:fill="CCEEFF"/>
          </w:tcPr>
          <w:p>
            <w:pPr>
              <w:spacing w:after="0"/>
              <w:rPr>
                <w:sz w:val="22"/>
                <w:szCs w:val="22"/>
                <w:color w:val="auto"/>
              </w:rPr>
            </w:pPr>
          </w:p>
        </w:tc>
        <w:tc>
          <w:tcPr>
            <w:tcW w:w="110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tcBorders>
            <w:shd w:val="clear" w:color="auto" w:fill="CCEEFF"/>
          </w:tcPr>
          <w:p>
            <w:pPr>
              <w:spacing w:after="0"/>
              <w:rPr>
                <w:sz w:val="22"/>
                <w:szCs w:val="22"/>
                <w:color w:val="auto"/>
              </w:rPr>
            </w:pPr>
          </w:p>
        </w:tc>
        <w:tc>
          <w:tcPr>
            <w:tcW w:w="110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auto"/>
            </w:tcBorders>
            <w:shd w:val="clear" w:color="auto" w:fill="CCEEFF"/>
          </w:tcPr>
          <w:p>
            <w:pPr>
              <w:spacing w:after="0"/>
              <w:rPr>
                <w:sz w:val="22"/>
                <w:szCs w:val="22"/>
                <w:color w:val="auto"/>
              </w:rPr>
            </w:pPr>
          </w:p>
        </w:tc>
        <w:tc>
          <w:tcPr>
            <w:tcW w:w="108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320" w:type="dxa"/>
            <w:vAlign w:val="bottom"/>
            <w:tcBorders>
              <w:top w:val="single" w:sz="8" w:color="auto"/>
            </w:tcBorders>
            <w:shd w:val="clear" w:color="auto" w:fill="CCEEFF"/>
          </w:tcPr>
          <w:p>
            <w:pPr>
              <w:spacing w:after="0"/>
              <w:rPr>
                <w:sz w:val="22"/>
                <w:szCs w:val="22"/>
                <w:color w:val="auto"/>
              </w:rPr>
            </w:pPr>
          </w:p>
        </w:tc>
        <w:tc>
          <w:tcPr>
            <w:tcW w:w="1040" w:type="dxa"/>
            <w:vAlign w:val="bottom"/>
            <w:tcBorders>
              <w:top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5620" w:type="dxa"/>
            <w:vAlign w:val="bottom"/>
          </w:tcPr>
          <w:p>
            <w:pPr>
              <w:ind w:left="180"/>
              <w:spacing w:after="0"/>
              <w:rPr>
                <w:sz w:val="20"/>
                <w:szCs w:val="20"/>
                <w:color w:val="auto"/>
              </w:rPr>
            </w:pPr>
            <w:r>
              <w:rPr>
                <w:rFonts w:ascii="Arial" w:cs="Arial" w:eastAsia="Arial" w:hAnsi="Arial"/>
                <w:sz w:val="16"/>
                <w:szCs w:val="16"/>
                <w:color w:val="auto"/>
              </w:rPr>
              <w:t>Cash equivalents</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252,393</w:t>
            </w:r>
          </w:p>
        </w:tc>
        <w:tc>
          <w:tcPr>
            <w:tcW w:w="120" w:type="dxa"/>
            <w:vAlign w:val="bottom"/>
          </w:tcPr>
          <w:p>
            <w:pPr>
              <w:spacing w:after="0"/>
              <w:rPr>
                <w:sz w:val="22"/>
                <w:szCs w:val="22"/>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252,393</w:t>
            </w:r>
          </w:p>
        </w:tc>
        <w:tc>
          <w:tcPr>
            <w:tcW w:w="0" w:type="dxa"/>
            <w:vAlign w:val="bottom"/>
          </w:tcPr>
          <w:p>
            <w:pPr>
              <w:spacing w:after="0"/>
              <w:rPr>
                <w:sz w:val="1"/>
                <w:szCs w:val="1"/>
                <w:color w:val="auto"/>
              </w:rPr>
            </w:pPr>
          </w:p>
        </w:tc>
      </w:tr>
      <w:tr>
        <w:trPr>
          <w:trHeight w:val="280"/>
        </w:trPr>
        <w:tc>
          <w:tcPr>
            <w:tcW w:w="56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Securities owned — trading:</w:t>
            </w:r>
          </w:p>
        </w:tc>
        <w:tc>
          <w:tcPr>
            <w:tcW w:w="28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5620" w:type="dxa"/>
            <w:vAlign w:val="bottom"/>
          </w:tcPr>
          <w:p>
            <w:pPr>
              <w:ind w:left="380"/>
              <w:spacing w:after="0"/>
              <w:rPr>
                <w:sz w:val="20"/>
                <w:szCs w:val="20"/>
                <w:color w:val="auto"/>
              </w:rPr>
            </w:pPr>
            <w:r>
              <w:rPr>
                <w:rFonts w:ascii="Arial" w:cs="Arial" w:eastAsia="Arial" w:hAnsi="Arial"/>
                <w:sz w:val="16"/>
                <w:szCs w:val="16"/>
                <w:color w:val="auto"/>
              </w:rPr>
              <w:t>Money market funds</w:t>
            </w:r>
          </w:p>
        </w:tc>
        <w:tc>
          <w:tcPr>
            <w:tcW w:w="280" w:type="dxa"/>
            <w:vAlign w:val="bottom"/>
          </w:tcPr>
          <w:p>
            <w:pPr>
              <w:spacing w:after="0"/>
              <w:rPr>
                <w:sz w:val="22"/>
                <w:szCs w:val="22"/>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261</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2"/>
                <w:szCs w:val="22"/>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261</w:t>
            </w:r>
          </w:p>
        </w:tc>
        <w:tc>
          <w:tcPr>
            <w:tcW w:w="0" w:type="dxa"/>
            <w:vAlign w:val="bottom"/>
          </w:tcPr>
          <w:p>
            <w:pPr>
              <w:spacing w:after="0"/>
              <w:rPr>
                <w:sz w:val="1"/>
                <w:szCs w:val="1"/>
                <w:color w:val="auto"/>
              </w:rPr>
            </w:pPr>
          </w:p>
        </w:tc>
      </w:tr>
      <w:tr>
        <w:trPr>
          <w:trHeight w:val="280"/>
        </w:trPr>
        <w:tc>
          <w:tcPr>
            <w:tcW w:w="56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Mutual funds</w:t>
            </w:r>
          </w:p>
        </w:tc>
        <w:tc>
          <w:tcPr>
            <w:tcW w:w="28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7,267</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7,267</w:t>
            </w:r>
          </w:p>
        </w:tc>
        <w:tc>
          <w:tcPr>
            <w:tcW w:w="0" w:type="dxa"/>
            <w:vAlign w:val="bottom"/>
          </w:tcPr>
          <w:p>
            <w:pPr>
              <w:spacing w:after="0"/>
              <w:rPr>
                <w:sz w:val="1"/>
                <w:szCs w:val="1"/>
                <w:color w:val="auto"/>
              </w:rPr>
            </w:pPr>
          </w:p>
        </w:tc>
      </w:tr>
      <w:tr>
        <w:trPr>
          <w:trHeight w:val="260"/>
        </w:trPr>
        <w:tc>
          <w:tcPr>
            <w:tcW w:w="5620" w:type="dxa"/>
            <w:vAlign w:val="bottom"/>
          </w:tcPr>
          <w:p>
            <w:pPr>
              <w:ind w:left="380"/>
              <w:spacing w:after="0"/>
              <w:rPr>
                <w:sz w:val="20"/>
                <w:szCs w:val="20"/>
                <w:color w:val="auto"/>
              </w:rPr>
            </w:pPr>
            <w:r>
              <w:rPr>
                <w:rFonts w:ascii="Arial" w:cs="Arial" w:eastAsia="Arial" w:hAnsi="Arial"/>
                <w:sz w:val="16"/>
                <w:szCs w:val="16"/>
                <w:color w:val="auto"/>
              </w:rPr>
              <w:t>Equity securities</w:t>
            </w:r>
          </w:p>
        </w:tc>
        <w:tc>
          <w:tcPr>
            <w:tcW w:w="280" w:type="dxa"/>
            <w:vAlign w:val="bottom"/>
          </w:tcPr>
          <w:p>
            <w:pPr>
              <w:spacing w:after="0"/>
              <w:rPr>
                <w:sz w:val="22"/>
                <w:szCs w:val="22"/>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56</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2"/>
                <w:szCs w:val="22"/>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56</w:t>
            </w:r>
          </w:p>
        </w:tc>
        <w:tc>
          <w:tcPr>
            <w:tcW w:w="0" w:type="dxa"/>
            <w:vAlign w:val="bottom"/>
          </w:tcPr>
          <w:p>
            <w:pPr>
              <w:spacing w:after="0"/>
              <w:rPr>
                <w:sz w:val="1"/>
                <w:szCs w:val="1"/>
                <w:color w:val="auto"/>
              </w:rPr>
            </w:pPr>
          </w:p>
        </w:tc>
      </w:tr>
      <w:tr>
        <w:trPr>
          <w:trHeight w:val="280"/>
        </w:trPr>
        <w:tc>
          <w:tcPr>
            <w:tcW w:w="56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Debt securities</w:t>
            </w:r>
          </w:p>
        </w:tc>
        <w:tc>
          <w:tcPr>
            <w:tcW w:w="28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103</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103</w:t>
            </w:r>
          </w:p>
        </w:tc>
        <w:tc>
          <w:tcPr>
            <w:tcW w:w="0" w:type="dxa"/>
            <w:vAlign w:val="bottom"/>
          </w:tcPr>
          <w:p>
            <w:pPr>
              <w:spacing w:after="0"/>
              <w:rPr>
                <w:sz w:val="1"/>
                <w:szCs w:val="1"/>
                <w:color w:val="auto"/>
              </w:rPr>
            </w:pPr>
          </w:p>
        </w:tc>
      </w:tr>
      <w:tr>
        <w:trPr>
          <w:trHeight w:val="264"/>
        </w:trPr>
        <w:tc>
          <w:tcPr>
            <w:tcW w:w="562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U.S. treasury obligations</w:t>
            </w:r>
          </w:p>
        </w:tc>
        <w:tc>
          <w:tcPr>
            <w:tcW w:w="2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4,308</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4,308</w:t>
            </w:r>
          </w:p>
        </w:tc>
        <w:tc>
          <w:tcPr>
            <w:tcW w:w="0" w:type="dxa"/>
            <w:vAlign w:val="bottom"/>
          </w:tcPr>
          <w:p>
            <w:pPr>
              <w:spacing w:after="0"/>
              <w:rPr>
                <w:sz w:val="1"/>
                <w:szCs w:val="1"/>
                <w:color w:val="auto"/>
              </w:rPr>
            </w:pPr>
          </w:p>
        </w:tc>
      </w:tr>
      <w:tr>
        <w:trPr>
          <w:trHeight w:val="250"/>
        </w:trPr>
        <w:tc>
          <w:tcPr>
            <w:tcW w:w="56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Total securities owned — trading</w:t>
            </w:r>
          </w:p>
        </w:tc>
        <w:tc>
          <w:tcPr>
            <w:tcW w:w="28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11,892</w:t>
            </w:r>
          </w:p>
        </w:tc>
        <w:tc>
          <w:tcPr>
            <w:tcW w:w="12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103</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11,995</w:t>
            </w: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Other assets</w:t>
            </w:r>
          </w:p>
        </w:tc>
        <w:tc>
          <w:tcPr>
            <w:tcW w:w="2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99,962</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3,350</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103,312</w:t>
            </w:r>
          </w:p>
        </w:tc>
        <w:tc>
          <w:tcPr>
            <w:tcW w:w="0" w:type="dxa"/>
            <w:vAlign w:val="bottom"/>
          </w:tcPr>
          <w:p>
            <w:pPr>
              <w:spacing w:after="0"/>
              <w:rPr>
                <w:sz w:val="1"/>
                <w:szCs w:val="1"/>
                <w:color w:val="auto"/>
              </w:rPr>
            </w:pPr>
          </w:p>
        </w:tc>
      </w:tr>
      <w:tr>
        <w:trPr>
          <w:trHeight w:val="240"/>
        </w:trPr>
        <w:tc>
          <w:tcPr>
            <w:tcW w:w="56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Total assets at fair value</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364,247</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3,453</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367,700</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b w:val="1"/>
                <w:bCs w:val="1"/>
                <w:color w:val="auto"/>
              </w:rPr>
              <w:t>Liabilities</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62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0"/>
        </w:trPr>
        <w:tc>
          <w:tcPr>
            <w:tcW w:w="56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Securities sold, but not yet purchased:</w:t>
            </w:r>
          </w:p>
        </w:tc>
        <w:tc>
          <w:tcPr>
            <w:tcW w:w="28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5620" w:type="dxa"/>
            <w:vAlign w:val="bottom"/>
          </w:tcPr>
          <w:p>
            <w:pPr>
              <w:ind w:left="380"/>
              <w:spacing w:after="0"/>
              <w:rPr>
                <w:sz w:val="20"/>
                <w:szCs w:val="20"/>
                <w:color w:val="auto"/>
              </w:rPr>
            </w:pPr>
            <w:r>
              <w:rPr>
                <w:rFonts w:ascii="Arial" w:cs="Arial" w:eastAsia="Arial" w:hAnsi="Arial"/>
                <w:sz w:val="16"/>
                <w:szCs w:val="16"/>
                <w:color w:val="auto"/>
              </w:rPr>
              <w:t>Mutual funds</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2"/>
                <w:szCs w:val="22"/>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73"/>
        </w:trPr>
        <w:tc>
          <w:tcPr>
            <w:tcW w:w="56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Equity securities</w:t>
            </w:r>
          </w:p>
        </w:tc>
        <w:tc>
          <w:tcPr>
            <w:tcW w:w="28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267</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267</w:t>
            </w: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Total securities sold, but not yet purchased</w:t>
            </w:r>
          </w:p>
        </w:tc>
        <w:tc>
          <w:tcPr>
            <w:tcW w:w="2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268</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268</w:t>
            </w:r>
          </w:p>
        </w:tc>
        <w:tc>
          <w:tcPr>
            <w:tcW w:w="0" w:type="dxa"/>
            <w:vAlign w:val="bottom"/>
          </w:tcPr>
          <w:p>
            <w:pPr>
              <w:spacing w:after="0"/>
              <w:rPr>
                <w:sz w:val="1"/>
                <w:szCs w:val="1"/>
                <w:color w:val="auto"/>
              </w:rPr>
            </w:pPr>
          </w:p>
        </w:tc>
      </w:tr>
      <w:tr>
        <w:trPr>
          <w:trHeight w:val="250"/>
        </w:trPr>
        <w:tc>
          <w:tcPr>
            <w:tcW w:w="56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Accounts payable and accrued liabilities</w:t>
            </w:r>
          </w:p>
        </w:tc>
        <w:tc>
          <w:tcPr>
            <w:tcW w:w="28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527</w:t>
            </w:r>
          </w:p>
        </w:tc>
        <w:tc>
          <w:tcPr>
            <w:tcW w:w="12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527</w:t>
            </w:r>
          </w:p>
        </w:tc>
        <w:tc>
          <w:tcPr>
            <w:tcW w:w="0" w:type="dxa"/>
            <w:vAlign w:val="bottom"/>
          </w:tcPr>
          <w:p>
            <w:pPr>
              <w:spacing w:after="0"/>
              <w:rPr>
                <w:sz w:val="1"/>
                <w:szCs w:val="1"/>
                <w:color w:val="auto"/>
              </w:rPr>
            </w:pPr>
          </w:p>
        </w:tc>
      </w:tr>
      <w:tr>
        <w:trPr>
          <w:trHeight w:val="240"/>
        </w:trPr>
        <w:tc>
          <w:tcPr>
            <w:tcW w:w="5620" w:type="dxa"/>
            <w:vAlign w:val="bottom"/>
          </w:tcPr>
          <w:p>
            <w:pPr>
              <w:ind w:left="380"/>
              <w:spacing w:after="0"/>
              <w:rPr>
                <w:sz w:val="20"/>
                <w:szCs w:val="20"/>
                <w:color w:val="auto"/>
              </w:rPr>
            </w:pPr>
            <w:r>
              <w:rPr>
                <w:rFonts w:ascii="Arial" w:cs="Arial" w:eastAsia="Arial" w:hAnsi="Arial"/>
                <w:sz w:val="16"/>
                <w:szCs w:val="16"/>
                <w:color w:val="auto"/>
              </w:rPr>
              <w:t>Total liabilities at fair value</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268</w:t>
            </w:r>
          </w:p>
        </w:tc>
        <w:tc>
          <w:tcPr>
            <w:tcW w:w="12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527</w:t>
            </w:r>
          </w:p>
        </w:tc>
        <w:tc>
          <w:tcPr>
            <w:tcW w:w="12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795</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9" w:lineRule="exact"/>
        <w:rPr>
          <w:sz w:val="20"/>
          <w:szCs w:val="20"/>
          <w:color w:val="auto"/>
        </w:rPr>
      </w:pPr>
    </w:p>
    <w:p>
      <w:pPr>
        <w:ind w:left="360" w:hanging="352"/>
        <w:spacing w:after="0"/>
        <w:tabs>
          <w:tab w:leader="none" w:pos="3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Held-to-Maturity Securities</w:t>
      </w:r>
    </w:p>
    <w:p>
      <w:pPr>
        <w:spacing w:after="0" w:line="247" w:lineRule="exact"/>
        <w:rPr>
          <w:sz w:val="20"/>
          <w:szCs w:val="20"/>
          <w:color w:val="auto"/>
        </w:rPr>
      </w:pPr>
    </w:p>
    <w:p>
      <w:pPr>
        <w:ind w:right="260" w:firstLine="486"/>
        <w:spacing w:after="0" w:line="254" w:lineRule="auto"/>
        <w:rPr>
          <w:sz w:val="20"/>
          <w:szCs w:val="20"/>
          <w:color w:val="auto"/>
        </w:rPr>
      </w:pPr>
      <w:r>
        <w:rPr>
          <w:rFonts w:ascii="Arial" w:cs="Arial" w:eastAsia="Arial" w:hAnsi="Arial"/>
          <w:sz w:val="18"/>
          <w:szCs w:val="18"/>
          <w:color w:val="auto"/>
        </w:rPr>
        <w:t>The Company holds certain investments in securities, primarily U.S. government notes, which are recorded at amortized cost because the Company has both the intent and the ability to hold these investments to maturity. Interest income is accrued as earned. Premiums and discounts are amortized using a method that approximates the effective yield method over the term of the security and are recorded as an adjustment to the investment yield.</w:t>
      </w:r>
    </w:p>
    <w:p>
      <w:pPr>
        <w:spacing w:after="0" w:line="20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amortized cost, gross unrealized gain or loss, and fair value of securities held-to-maturity were as follows (in thousands):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00" w:type="dxa"/>
            <w:vAlign w:val="bottom"/>
            <w:gridSpan w:val="2"/>
          </w:tcPr>
          <w:p>
            <w:pPr>
              <w:ind w:left="100"/>
              <w:spacing w:after="0"/>
              <w:rPr>
                <w:sz w:val="20"/>
                <w:szCs w:val="20"/>
                <w:color w:val="auto"/>
              </w:rPr>
            </w:pPr>
            <w:r>
              <w:rPr>
                <w:rFonts w:ascii="Arial" w:cs="Arial" w:eastAsia="Arial" w:hAnsi="Arial"/>
                <w:sz w:val="16"/>
                <w:szCs w:val="16"/>
                <w:b w:val="1"/>
                <w:bCs w:val="1"/>
                <w:color w:val="auto"/>
              </w:rPr>
              <w:t>September 30,</w:t>
            </w:r>
          </w:p>
        </w:tc>
        <w:tc>
          <w:tcPr>
            <w:tcW w:w="240" w:type="dxa"/>
            <w:vAlign w:val="bottom"/>
          </w:tcPr>
          <w:p>
            <w:pPr>
              <w:spacing w:after="0"/>
              <w:rPr>
                <w:sz w:val="16"/>
                <w:szCs w:val="16"/>
                <w:color w:val="auto"/>
              </w:rPr>
            </w:pPr>
          </w:p>
        </w:tc>
        <w:tc>
          <w:tcPr>
            <w:tcW w:w="1580" w:type="dxa"/>
            <w:vAlign w:val="bottom"/>
          </w:tcPr>
          <w:p>
            <w:pPr>
              <w:jc w:val="right"/>
              <w:ind w:right="319"/>
              <w:spacing w:after="0"/>
              <w:rPr>
                <w:sz w:val="20"/>
                <w:szCs w:val="20"/>
                <w:color w:val="auto"/>
              </w:rPr>
            </w:pPr>
            <w:r>
              <w:rPr>
                <w:rFonts w:ascii="Arial" w:cs="Arial" w:eastAsia="Arial" w:hAnsi="Arial"/>
                <w:sz w:val="16"/>
                <w:szCs w:val="16"/>
                <w:b w:val="1"/>
                <w:bCs w:val="1"/>
                <w:color w:val="auto"/>
              </w:rPr>
              <w:t>December 31,</w:t>
            </w:r>
          </w:p>
        </w:tc>
      </w:tr>
      <w:tr>
        <w:trPr>
          <w:trHeight w:val="228"/>
        </w:trPr>
        <w:tc>
          <w:tcPr>
            <w:tcW w:w="76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2016</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b w:val="1"/>
                <w:bCs w:val="1"/>
                <w:color w:val="auto"/>
              </w:rPr>
              <w:t>2015</w:t>
            </w:r>
          </w:p>
        </w:tc>
      </w:tr>
      <w:tr>
        <w:trPr>
          <w:trHeight w:val="257"/>
        </w:trPr>
        <w:tc>
          <w:tcPr>
            <w:tcW w:w="7660" w:type="dxa"/>
            <w:vAlign w:val="bottom"/>
            <w:shd w:val="clear" w:color="auto" w:fill="CCEEFF"/>
          </w:tcPr>
          <w:p>
            <w:pPr>
              <w:ind w:left="40"/>
              <w:spacing w:after="0"/>
              <w:rPr>
                <w:sz w:val="20"/>
                <w:szCs w:val="20"/>
                <w:color w:val="auto"/>
              </w:rPr>
            </w:pPr>
            <w:r>
              <w:rPr>
                <w:rFonts w:ascii="Arial" w:cs="Arial" w:eastAsia="Arial" w:hAnsi="Arial"/>
                <w:sz w:val="16"/>
                <w:szCs w:val="16"/>
                <w:color w:val="auto"/>
              </w:rPr>
              <w:t>Amortized cost</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5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9,864</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5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9,847</w:t>
            </w:r>
          </w:p>
        </w:tc>
      </w:tr>
      <w:tr>
        <w:trPr>
          <w:trHeight w:val="264"/>
        </w:trPr>
        <w:tc>
          <w:tcPr>
            <w:tcW w:w="76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Gross unrealized gain (loss)</w:t>
            </w:r>
          </w:p>
        </w:tc>
        <w:tc>
          <w:tcPr>
            <w:tcW w:w="24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25</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w:t>
            </w:r>
          </w:p>
        </w:tc>
      </w:tr>
      <w:tr>
        <w:trPr>
          <w:trHeight w:val="240"/>
        </w:trPr>
        <w:tc>
          <w:tcPr>
            <w:tcW w:w="7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Fair value</w:t>
            </w: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9,889</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9,821</w:t>
            </w:r>
          </w:p>
        </w:tc>
      </w:tr>
      <w:tr>
        <w:trPr>
          <w:trHeight w:val="20"/>
        </w:trPr>
        <w:tc>
          <w:tcPr>
            <w:tcW w:w="76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At September 30, 2016, the securities held-to-maturity were scheduled to mature as follows (in thousands):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gridSpan w:val="3"/>
          </w:tcPr>
          <w:p>
            <w:pPr>
              <w:ind w:left="40"/>
              <w:spacing w:after="0"/>
              <w:rPr>
                <w:sz w:val="20"/>
                <w:szCs w:val="20"/>
                <w:color w:val="auto"/>
              </w:rPr>
            </w:pPr>
            <w:r>
              <w:rPr>
                <w:rFonts w:ascii="Arial" w:cs="Arial" w:eastAsia="Arial" w:hAnsi="Arial"/>
                <w:sz w:val="16"/>
                <w:szCs w:val="16"/>
                <w:b w:val="1"/>
                <w:bCs w:val="1"/>
                <w:color w:val="auto"/>
              </w:rPr>
              <w:t>After one but within</w:t>
            </w:r>
          </w:p>
        </w:tc>
        <w:tc>
          <w:tcPr>
            <w:tcW w:w="1700" w:type="dxa"/>
            <w:vAlign w:val="bottom"/>
            <w:gridSpan w:val="3"/>
          </w:tcPr>
          <w:p>
            <w:pPr>
              <w:ind w:left="40"/>
              <w:spacing w:after="0"/>
              <w:rPr>
                <w:sz w:val="20"/>
                <w:szCs w:val="20"/>
                <w:color w:val="auto"/>
              </w:rPr>
            </w:pPr>
            <w:r>
              <w:rPr>
                <w:rFonts w:ascii="Arial" w:cs="Arial" w:eastAsia="Arial" w:hAnsi="Arial"/>
                <w:sz w:val="16"/>
                <w:szCs w:val="16"/>
                <w:b w:val="1"/>
                <w:bCs w:val="1"/>
                <w:color w:val="auto"/>
              </w:rPr>
              <w:t>After five but within</w:t>
            </w:r>
          </w:p>
        </w:tc>
        <w:tc>
          <w:tcPr>
            <w:tcW w:w="36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28"/>
        </w:trPr>
        <w:tc>
          <w:tcPr>
            <w:tcW w:w="4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gridSpan w:val="2"/>
          </w:tcPr>
          <w:p>
            <w:pPr>
              <w:ind w:left="40"/>
              <w:spacing w:after="0"/>
              <w:rPr>
                <w:sz w:val="20"/>
                <w:szCs w:val="20"/>
                <w:color w:val="auto"/>
              </w:rPr>
            </w:pPr>
            <w:r>
              <w:rPr>
                <w:rFonts w:ascii="Arial" w:cs="Arial" w:eastAsia="Arial" w:hAnsi="Arial"/>
                <w:sz w:val="16"/>
                <w:szCs w:val="16"/>
                <w:b w:val="1"/>
                <w:bCs w:val="1"/>
                <w:color w:val="auto"/>
              </w:rPr>
              <w:t>Within one year</w:t>
            </w:r>
          </w:p>
        </w:tc>
        <w:tc>
          <w:tcPr>
            <w:tcW w:w="280" w:type="dxa"/>
            <w:vAlign w:val="bottom"/>
          </w:tcPr>
          <w:p>
            <w:pPr>
              <w:spacing w:after="0"/>
              <w:rPr>
                <w:sz w:val="19"/>
                <w:szCs w:val="19"/>
                <w:color w:val="auto"/>
              </w:rPr>
            </w:pPr>
          </w:p>
        </w:tc>
        <w:tc>
          <w:tcPr>
            <w:tcW w:w="1420" w:type="dxa"/>
            <w:vAlign w:val="bottom"/>
            <w:gridSpan w:val="2"/>
          </w:tcPr>
          <w:p>
            <w:pPr>
              <w:ind w:left="140"/>
              <w:spacing w:after="0"/>
              <w:rPr>
                <w:sz w:val="20"/>
                <w:szCs w:val="20"/>
                <w:color w:val="auto"/>
              </w:rPr>
            </w:pPr>
            <w:r>
              <w:rPr>
                <w:rFonts w:ascii="Arial" w:cs="Arial" w:eastAsia="Arial" w:hAnsi="Arial"/>
                <w:sz w:val="16"/>
                <w:szCs w:val="16"/>
                <w:b w:val="1"/>
                <w:bCs w:val="1"/>
                <w:color w:val="auto"/>
              </w:rPr>
              <w:t>five years</w:t>
            </w:r>
          </w:p>
        </w:tc>
        <w:tc>
          <w:tcPr>
            <w:tcW w:w="280" w:type="dxa"/>
            <w:vAlign w:val="bottom"/>
          </w:tcPr>
          <w:p>
            <w:pPr>
              <w:spacing w:after="0"/>
              <w:rPr>
                <w:sz w:val="19"/>
                <w:szCs w:val="19"/>
                <w:color w:val="auto"/>
              </w:rPr>
            </w:pPr>
          </w:p>
        </w:tc>
        <w:tc>
          <w:tcPr>
            <w:tcW w:w="1420" w:type="dxa"/>
            <w:vAlign w:val="bottom"/>
            <w:gridSpan w:val="2"/>
          </w:tcPr>
          <w:p>
            <w:pPr>
              <w:ind w:left="160"/>
              <w:spacing w:after="0"/>
              <w:rPr>
                <w:sz w:val="20"/>
                <w:szCs w:val="20"/>
                <w:color w:val="auto"/>
              </w:rPr>
            </w:pPr>
            <w:r>
              <w:rPr>
                <w:rFonts w:ascii="Arial" w:cs="Arial" w:eastAsia="Arial" w:hAnsi="Arial"/>
                <w:sz w:val="16"/>
                <w:szCs w:val="16"/>
                <w:b w:val="1"/>
                <w:bCs w:val="1"/>
                <w:color w:val="auto"/>
              </w:rPr>
              <w:t>ten years</w:t>
            </w:r>
          </w:p>
        </w:tc>
        <w:tc>
          <w:tcPr>
            <w:tcW w:w="360" w:type="dxa"/>
            <w:vAlign w:val="bottom"/>
          </w:tcPr>
          <w:p>
            <w:pPr>
              <w:spacing w:after="0"/>
              <w:rPr>
                <w:sz w:val="19"/>
                <w:szCs w:val="19"/>
                <w:color w:val="auto"/>
              </w:rPr>
            </w:pPr>
          </w:p>
        </w:tc>
        <w:tc>
          <w:tcPr>
            <w:tcW w:w="1240" w:type="dxa"/>
            <w:vAlign w:val="bottom"/>
          </w:tcPr>
          <w:p>
            <w:pPr>
              <w:jc w:val="right"/>
              <w:ind w:right="519"/>
              <w:spacing w:after="0"/>
              <w:rPr>
                <w:sz w:val="20"/>
                <w:szCs w:val="20"/>
                <w:color w:val="auto"/>
              </w:rPr>
            </w:pPr>
            <w:r>
              <w:rPr>
                <w:rFonts w:ascii="Arial" w:cs="Arial" w:eastAsia="Arial" w:hAnsi="Arial"/>
                <w:sz w:val="16"/>
                <w:szCs w:val="16"/>
                <w:b w:val="1"/>
                <w:bCs w:val="1"/>
                <w:color w:val="auto"/>
              </w:rPr>
              <w:t>Total</w:t>
            </w:r>
          </w:p>
        </w:tc>
      </w:tr>
      <w:tr>
        <w:trPr>
          <w:trHeight w:val="240"/>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U.S. government notes — at amortized cost</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6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4,000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5,364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500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9,864</w:t>
            </w:r>
          </w:p>
        </w:tc>
      </w:tr>
      <w:tr>
        <w:trPr>
          <w:trHeight w:val="20"/>
        </w:trPr>
        <w:tc>
          <w:tcPr>
            <w:tcW w:w="4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24"/>
        </w:trPr>
        <w:tc>
          <w:tcPr>
            <w:tcW w:w="4700" w:type="dxa"/>
            <w:vAlign w:val="bottom"/>
          </w:tcPr>
          <w:p>
            <w:pPr>
              <w:ind w:left="40"/>
              <w:spacing w:after="0"/>
              <w:rPr>
                <w:sz w:val="20"/>
                <w:szCs w:val="20"/>
                <w:color w:val="auto"/>
              </w:rPr>
            </w:pPr>
            <w:r>
              <w:rPr>
                <w:rFonts w:ascii="Arial" w:cs="Arial" w:eastAsia="Arial" w:hAnsi="Arial"/>
                <w:sz w:val="16"/>
                <w:szCs w:val="16"/>
                <w:color w:val="auto"/>
              </w:rPr>
              <w:t>U.S. government notes — at fair value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4,002</w:t>
            </w:r>
          </w:p>
        </w:tc>
        <w:tc>
          <w:tcPr>
            <w:tcW w:w="100" w:type="dxa"/>
            <w:vAlign w:val="bottom"/>
          </w:tcPr>
          <w:p>
            <w:pPr>
              <w:spacing w:after="0"/>
              <w:rPr>
                <w:sz w:val="19"/>
                <w:szCs w:val="19"/>
                <w:color w:val="auto"/>
              </w:rPr>
            </w:pPr>
          </w:p>
        </w:tc>
        <w:tc>
          <w:tcPr>
            <w:tcW w:w="28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5,367</w:t>
            </w:r>
          </w:p>
        </w:tc>
        <w:tc>
          <w:tcPr>
            <w:tcW w:w="100" w:type="dxa"/>
            <w:vAlign w:val="bottom"/>
          </w:tcPr>
          <w:p>
            <w:pPr>
              <w:spacing w:after="0"/>
              <w:rPr>
                <w:sz w:val="19"/>
                <w:szCs w:val="19"/>
                <w:color w:val="auto"/>
              </w:rPr>
            </w:pPr>
          </w:p>
        </w:tc>
        <w:tc>
          <w:tcPr>
            <w:tcW w:w="28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520</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9,889</w:t>
            </w:r>
          </w:p>
        </w:tc>
      </w:tr>
      <w:tr>
        <w:trPr>
          <w:trHeight w:val="20"/>
        </w:trPr>
        <w:tc>
          <w:tcPr>
            <w:tcW w:w="4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41" w:right="239" w:bottom="1440" w:gutter="0" w:footer="0" w:header="0"/>
        </w:sectPr>
      </w:pPr>
    </w:p>
    <w:bookmarkStart w:id="36" w:name="page37"/>
    <w:bookmarkEnd w:id="36"/>
    <w:p>
      <w:pPr>
        <w:jc w:val="center"/>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360" w:hanging="352"/>
        <w:spacing w:after="0"/>
        <w:tabs>
          <w:tab w:leader="none" w:pos="3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Derivative Financial Instruments</w:t>
      </w:r>
    </w:p>
    <w:p>
      <w:pPr>
        <w:spacing w:after="0" w:line="247" w:lineRule="exact"/>
        <w:rPr>
          <w:sz w:val="20"/>
          <w:szCs w:val="20"/>
          <w:color w:val="auto"/>
        </w:rPr>
      </w:pPr>
    </w:p>
    <w:p>
      <w:pPr>
        <w:ind w:right="80" w:firstLine="486"/>
        <w:spacing w:after="0" w:line="253" w:lineRule="auto"/>
        <w:rPr>
          <w:sz w:val="20"/>
          <w:szCs w:val="20"/>
          <w:color w:val="auto"/>
        </w:rPr>
      </w:pPr>
      <w:r>
        <w:rPr>
          <w:rFonts w:ascii="Arial" w:cs="Arial" w:eastAsia="Arial" w:hAnsi="Arial"/>
          <w:sz w:val="18"/>
          <w:szCs w:val="18"/>
          <w:color w:val="auto"/>
        </w:rPr>
        <w:t>In May 2013, in conjunction with its Service Value Commitment initiative, the Company entered into a long-term contractual obligation (the “Agreement”) with a third-party provider to enhance the quality, speed, and cost of its processes by outsourcing certain functions. The Agreement provides that on each annual anniversary date of the signing of the Agreement, the price for services (denominated in U.S. dollars) is to be adjusted for the then-current exchange rate between the U.S. dollar (“USD”) and the Indian rupee (“INR”). The Company bears the risk of currency movement at each of the annual reset dates.</w:t>
      </w:r>
    </w:p>
    <w:p>
      <w:pPr>
        <w:spacing w:after="0" w:line="206" w:lineRule="exact"/>
        <w:rPr>
          <w:sz w:val="20"/>
          <w:szCs w:val="20"/>
          <w:color w:val="auto"/>
        </w:rPr>
      </w:pPr>
    </w:p>
    <w:p>
      <w:pPr>
        <w:ind w:right="40" w:firstLine="486"/>
        <w:spacing w:after="0" w:line="253" w:lineRule="auto"/>
        <w:rPr>
          <w:sz w:val="20"/>
          <w:szCs w:val="20"/>
          <w:color w:val="auto"/>
        </w:rPr>
      </w:pPr>
      <w:r>
        <w:rPr>
          <w:rFonts w:ascii="Arial" w:cs="Arial" w:eastAsia="Arial" w:hAnsi="Arial"/>
          <w:sz w:val="18"/>
          <w:szCs w:val="18"/>
          <w:color w:val="auto"/>
        </w:rPr>
        <w:t>To mitigate foreign currency risk arising from these annual reset events, the Company entered into four non-deliverable foreign currency contracts, all of which have been designated as cash flow hedges. The first two cash flow hedges settled in 2014 and 2015 and have been fully recognized in net income. The third cash flow hedge, with a notional amount of 560.4 million INR, or $7.8 million, settled in June 2016. The Company received a settlement of $0.6 million, which will be reclassified out of accumulated other comprehensive income and recognized in net income ratably over 12-month period ending May 31, 2017 to match the timing of the underlying hedged item.</w:t>
      </w:r>
    </w:p>
    <w:p>
      <w:pPr>
        <w:spacing w:after="0" w:line="206" w:lineRule="exact"/>
        <w:rPr>
          <w:sz w:val="20"/>
          <w:szCs w:val="20"/>
          <w:color w:val="auto"/>
        </w:rPr>
      </w:pPr>
    </w:p>
    <w:p>
      <w:pPr>
        <w:ind w:right="100" w:firstLine="486"/>
        <w:spacing w:after="0" w:line="262" w:lineRule="auto"/>
        <w:rPr>
          <w:sz w:val="20"/>
          <w:szCs w:val="20"/>
          <w:color w:val="auto"/>
        </w:rPr>
      </w:pPr>
      <w:r>
        <w:rPr>
          <w:rFonts w:ascii="Arial" w:cs="Arial" w:eastAsia="Arial" w:hAnsi="Arial"/>
          <w:sz w:val="18"/>
          <w:szCs w:val="18"/>
          <w:color w:val="auto"/>
        </w:rPr>
        <w:t>The details related to the remaining non-deliverable foreign currency contracts at September 30, 2016, are as follows (in millions, except foreign exchange rate):</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9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Hedged Notional</w:t>
            </w:r>
          </w:p>
        </w:tc>
        <w:tc>
          <w:tcPr>
            <w:tcW w:w="20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Contractual INR/USD</w:t>
            </w:r>
          </w:p>
        </w:tc>
        <w:tc>
          <w:tcPr>
            <w:tcW w:w="220" w:type="dxa"/>
            <w:vAlign w:val="bottom"/>
          </w:tcPr>
          <w:p>
            <w:pPr>
              <w:spacing w:after="0"/>
              <w:rPr>
                <w:sz w:val="16"/>
                <w:szCs w:val="16"/>
                <w:color w:val="auto"/>
              </w:rPr>
            </w:pPr>
          </w:p>
        </w:tc>
        <w:tc>
          <w:tcPr>
            <w:tcW w:w="1720" w:type="dxa"/>
            <w:vAlign w:val="bottom"/>
          </w:tcPr>
          <w:p>
            <w:pPr>
              <w:jc w:val="right"/>
              <w:ind w:right="239"/>
              <w:spacing w:after="0"/>
              <w:rPr>
                <w:sz w:val="20"/>
                <w:szCs w:val="20"/>
                <w:color w:val="auto"/>
              </w:rPr>
            </w:pPr>
            <w:r>
              <w:rPr>
                <w:rFonts w:ascii="Arial" w:cs="Arial" w:eastAsia="Arial" w:hAnsi="Arial"/>
                <w:sz w:val="16"/>
                <w:szCs w:val="16"/>
                <w:b w:val="1"/>
                <w:bCs w:val="1"/>
                <w:color w:val="auto"/>
              </w:rPr>
              <w:t>Hedged Notional</w:t>
            </w:r>
          </w:p>
        </w:tc>
      </w:tr>
      <w:tr>
        <w:trPr>
          <w:trHeight w:val="228"/>
        </w:trPr>
        <w:tc>
          <w:tcPr>
            <w:tcW w:w="3900" w:type="dxa"/>
            <w:vAlign w:val="bottom"/>
          </w:tcPr>
          <w:p>
            <w:pPr>
              <w:spacing w:after="0"/>
              <w:rPr>
                <w:sz w:val="19"/>
                <w:szCs w:val="19"/>
                <w:color w:val="auto"/>
              </w:rPr>
            </w:pPr>
          </w:p>
        </w:tc>
        <w:tc>
          <w:tcPr>
            <w:tcW w:w="1500" w:type="dxa"/>
            <w:vAlign w:val="bottom"/>
            <w:gridSpan w:val="2"/>
          </w:tcPr>
          <w:p>
            <w:pPr>
              <w:ind w:left="80"/>
              <w:spacing w:after="0"/>
              <w:rPr>
                <w:sz w:val="20"/>
                <w:szCs w:val="20"/>
                <w:color w:val="auto"/>
              </w:rPr>
            </w:pPr>
            <w:r>
              <w:rPr>
                <w:rFonts w:ascii="Arial" w:cs="Arial" w:eastAsia="Arial" w:hAnsi="Arial"/>
                <w:sz w:val="16"/>
                <w:szCs w:val="16"/>
                <w:b w:val="1"/>
                <w:bCs w:val="1"/>
                <w:color w:val="auto"/>
              </w:rPr>
              <w:t>Settlement Date</w:t>
            </w:r>
          </w:p>
        </w:tc>
        <w:tc>
          <w:tcPr>
            <w:tcW w:w="20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Amount (INR)</w:t>
            </w:r>
          </w:p>
        </w:tc>
        <w:tc>
          <w:tcPr>
            <w:tcW w:w="204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rPr>
              <w:t>Foreign Exchange Rate</w:t>
            </w:r>
          </w:p>
        </w:tc>
        <w:tc>
          <w:tcPr>
            <w:tcW w:w="220" w:type="dxa"/>
            <w:vAlign w:val="bottom"/>
          </w:tcPr>
          <w:p>
            <w:pPr>
              <w:spacing w:after="0"/>
              <w:rPr>
                <w:sz w:val="19"/>
                <w:szCs w:val="19"/>
                <w:color w:val="auto"/>
              </w:rPr>
            </w:pPr>
          </w:p>
        </w:tc>
        <w:tc>
          <w:tcPr>
            <w:tcW w:w="1720" w:type="dxa"/>
            <w:vAlign w:val="bottom"/>
          </w:tcPr>
          <w:p>
            <w:pPr>
              <w:jc w:val="right"/>
              <w:ind w:right="339"/>
              <w:spacing w:after="0"/>
              <w:rPr>
                <w:sz w:val="20"/>
                <w:szCs w:val="20"/>
                <w:color w:val="auto"/>
              </w:rPr>
            </w:pPr>
            <w:r>
              <w:rPr>
                <w:rFonts w:ascii="Arial" w:cs="Arial" w:eastAsia="Arial" w:hAnsi="Arial"/>
                <w:sz w:val="16"/>
                <w:szCs w:val="16"/>
                <w:b w:val="1"/>
                <w:bCs w:val="1"/>
                <w:color w:val="auto"/>
              </w:rPr>
              <w:t>Amount (USD)</w:t>
            </w:r>
          </w:p>
        </w:tc>
      </w:tr>
      <w:tr>
        <w:trPr>
          <w:trHeight w:val="250"/>
        </w:trPr>
        <w:tc>
          <w:tcPr>
            <w:tcW w:w="39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 hedge #4</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6/2/2017</w:t>
            </w:r>
          </w:p>
        </w:tc>
        <w:tc>
          <w:tcPr>
            <w:tcW w:w="120" w:type="dxa"/>
            <w:vAlign w:val="bottom"/>
            <w:tcBorders>
              <w:top w:val="single" w:sz="8" w:color="CCEEFF"/>
            </w:tcBorders>
            <w:shd w:val="clear" w:color="auto" w:fill="CCEEFF"/>
          </w:tcPr>
          <w:p>
            <w:pPr>
              <w:spacing w:after="0"/>
              <w:rPr>
                <w:sz w:val="21"/>
                <w:szCs w:val="21"/>
                <w:color w:val="auto"/>
              </w:rPr>
            </w:pPr>
          </w:p>
        </w:tc>
        <w:tc>
          <w:tcPr>
            <w:tcW w:w="194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560.4</w:t>
            </w:r>
          </w:p>
        </w:tc>
        <w:tc>
          <w:tcPr>
            <w:tcW w:w="100" w:type="dxa"/>
            <w:vAlign w:val="bottom"/>
            <w:tcBorders>
              <w:top w:val="single" w:sz="8" w:color="CCEEFF"/>
            </w:tcBorders>
            <w:shd w:val="clear" w:color="auto" w:fill="CCEEFF"/>
          </w:tcPr>
          <w:p>
            <w:pPr>
              <w:spacing w:after="0"/>
              <w:rPr>
                <w:sz w:val="21"/>
                <w:szCs w:val="21"/>
                <w:color w:val="auto"/>
              </w:rPr>
            </w:pPr>
          </w:p>
        </w:tc>
        <w:tc>
          <w:tcPr>
            <w:tcW w:w="194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74.20</w:t>
            </w:r>
          </w:p>
        </w:tc>
        <w:tc>
          <w:tcPr>
            <w:tcW w:w="10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72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7.5</w:t>
            </w:r>
          </w:p>
        </w:tc>
      </w:tr>
      <w:tr>
        <w:trPr>
          <w:trHeight w:val="240"/>
        </w:trPr>
        <w:tc>
          <w:tcPr>
            <w:tcW w:w="3900" w:type="dxa"/>
            <w:vAlign w:val="bottom"/>
          </w:tcPr>
          <w:p>
            <w:pPr>
              <w:ind w:left="40"/>
              <w:spacing w:after="0"/>
              <w:rPr>
                <w:sz w:val="20"/>
                <w:szCs w:val="20"/>
                <w:color w:val="auto"/>
              </w:rPr>
            </w:pPr>
            <w:r>
              <w:rPr>
                <w:rFonts w:ascii="Arial" w:cs="Arial" w:eastAsia="Arial" w:hAnsi="Arial"/>
                <w:sz w:val="16"/>
                <w:szCs w:val="16"/>
                <w:color w:val="auto"/>
              </w:rPr>
              <w:t>Total hedged amount</w:t>
            </w: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7.5</w:t>
            </w:r>
          </w:p>
        </w:tc>
      </w:tr>
      <w:tr>
        <w:trPr>
          <w:trHeight w:val="20"/>
        </w:trPr>
        <w:tc>
          <w:tcPr>
            <w:tcW w:w="39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right="260" w:firstLine="486"/>
        <w:spacing w:after="0" w:line="262" w:lineRule="auto"/>
        <w:rPr>
          <w:sz w:val="20"/>
          <w:szCs w:val="20"/>
          <w:color w:val="auto"/>
        </w:rPr>
      </w:pPr>
      <w:r>
        <w:rPr>
          <w:rFonts w:ascii="Arial" w:cs="Arial" w:eastAsia="Arial" w:hAnsi="Arial"/>
          <w:sz w:val="18"/>
          <w:szCs w:val="18"/>
          <w:color w:val="auto"/>
        </w:rPr>
        <w:t>The fair value of the derivative instruments, which are included in other assets in the unaudited condensed consolidated statements of financial condition, were as follows (in thousands):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rPr>
              <w:t>September 30,</w:t>
            </w:r>
          </w:p>
        </w:tc>
        <w:tc>
          <w:tcPr>
            <w:tcW w:w="200" w:type="dxa"/>
            <w:vAlign w:val="bottom"/>
          </w:tcPr>
          <w:p>
            <w:pPr>
              <w:spacing w:after="0"/>
              <w:rPr>
                <w:sz w:val="16"/>
                <w:szCs w:val="16"/>
                <w:color w:val="auto"/>
              </w:rPr>
            </w:pPr>
          </w:p>
        </w:tc>
        <w:tc>
          <w:tcPr>
            <w:tcW w:w="1500" w:type="dxa"/>
            <w:vAlign w:val="bottom"/>
          </w:tcPr>
          <w:p>
            <w:pPr>
              <w:jc w:val="center"/>
              <w:ind w:right="159"/>
              <w:spacing w:after="0"/>
              <w:rPr>
                <w:sz w:val="20"/>
                <w:szCs w:val="20"/>
                <w:color w:val="auto"/>
              </w:rPr>
            </w:pPr>
            <w:r>
              <w:rPr>
                <w:rFonts w:ascii="Arial" w:cs="Arial" w:eastAsia="Arial" w:hAnsi="Arial"/>
                <w:sz w:val="16"/>
                <w:szCs w:val="16"/>
                <w:b w:val="1"/>
                <w:bCs w:val="1"/>
                <w:color w:val="auto"/>
              </w:rPr>
              <w:t>December 31,</w:t>
            </w:r>
          </w:p>
        </w:tc>
      </w:tr>
      <w:tr>
        <w:trPr>
          <w:trHeight w:val="228"/>
        </w:trPr>
        <w:tc>
          <w:tcPr>
            <w:tcW w:w="79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2016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2015</w:t>
            </w:r>
          </w:p>
        </w:tc>
      </w:tr>
      <w:tr>
        <w:trPr>
          <w:trHeight w:val="257"/>
        </w:trPr>
        <w:tc>
          <w:tcPr>
            <w:tcW w:w="7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flow hedges</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566</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741</w:t>
            </w:r>
          </w:p>
        </w:tc>
      </w:tr>
    </w:tbl>
    <w:p>
      <w:pPr>
        <w:spacing w:after="0" w:line="301" w:lineRule="exact"/>
        <w:rPr>
          <w:sz w:val="20"/>
          <w:szCs w:val="20"/>
          <w:color w:val="auto"/>
        </w:rPr>
      </w:pPr>
    </w:p>
    <w:p>
      <w:pPr>
        <w:ind w:left="360" w:hanging="352"/>
        <w:spacing w:after="0"/>
        <w:tabs>
          <w:tab w:leader="none" w:pos="36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Other Intangible Assets</w:t>
      </w:r>
    </w:p>
    <w:p>
      <w:pPr>
        <w:spacing w:after="0" w:line="229" w:lineRule="exact"/>
        <w:rPr>
          <w:sz w:val="20"/>
          <w:szCs w:val="20"/>
          <w:color w:val="auto"/>
        </w:rPr>
      </w:pPr>
    </w:p>
    <w:p>
      <w:pPr>
        <w:jc w:val="both"/>
        <w:ind w:right="20" w:firstLine="486"/>
        <w:spacing w:after="0" w:line="266" w:lineRule="auto"/>
        <w:rPr>
          <w:sz w:val="20"/>
          <w:szCs w:val="20"/>
          <w:color w:val="auto"/>
        </w:rPr>
      </w:pPr>
      <w:r>
        <w:rPr>
          <w:rFonts w:ascii="Arial" w:cs="Arial" w:eastAsia="Arial" w:hAnsi="Arial"/>
          <w:sz w:val="18"/>
          <w:szCs w:val="18"/>
          <w:color w:val="auto"/>
        </w:rPr>
        <w:t xml:space="preserve">The balances in goodwill and intangible assets were a result of various acquisitions. See Note 8. </w:t>
      </w:r>
      <w:r>
        <w:rPr>
          <w:rFonts w:ascii="Arial" w:cs="Arial" w:eastAsia="Arial" w:hAnsi="Arial"/>
          <w:sz w:val="18"/>
          <w:szCs w:val="18"/>
          <w:i w:val="1"/>
          <w:iCs w:val="1"/>
          <w:color w:val="auto"/>
        </w:rPr>
        <w:t>Goodwill and Other Intangible Assets</w:t>
      </w:r>
      <w:r>
        <w:rPr>
          <w:rFonts w:ascii="Arial" w:cs="Arial" w:eastAsia="Arial" w:hAnsi="Arial"/>
          <w:sz w:val="18"/>
          <w:szCs w:val="18"/>
          <w:color w:val="auto"/>
        </w:rPr>
        <w:t>, in the Company's audited consolidated financial statements and the related notes in the 2015 Annual Report on Form 10-K for a discussion of the components of goodwill and additional information regarding intangible assets.</w:t>
      </w:r>
    </w:p>
    <w:p>
      <w:pPr>
        <w:spacing w:after="0" w:line="226" w:lineRule="exact"/>
        <w:rPr>
          <w:sz w:val="20"/>
          <w:szCs w:val="20"/>
          <w:color w:val="auto"/>
        </w:rPr>
      </w:pPr>
    </w:p>
    <w:p>
      <w:pPr>
        <w:ind w:left="360" w:hanging="352"/>
        <w:spacing w:after="0"/>
        <w:tabs>
          <w:tab w:leader="none" w:pos="36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Secured Credit Facilities</w:t>
      </w:r>
    </w:p>
    <w:p>
      <w:pPr>
        <w:spacing w:after="0" w:line="247" w:lineRule="exact"/>
        <w:rPr>
          <w:sz w:val="20"/>
          <w:szCs w:val="20"/>
          <w:color w:val="auto"/>
        </w:rPr>
      </w:pPr>
    </w:p>
    <w:p>
      <w:pPr>
        <w:jc w:val="both"/>
        <w:ind w:right="40" w:firstLine="486"/>
        <w:spacing w:after="0" w:line="256" w:lineRule="auto"/>
        <w:rPr>
          <w:sz w:val="20"/>
          <w:szCs w:val="20"/>
          <w:color w:val="auto"/>
        </w:rPr>
      </w:pPr>
      <w:r>
        <w:rPr>
          <w:rFonts w:ascii="Arial" w:cs="Arial" w:eastAsia="Arial" w:hAnsi="Arial"/>
          <w:sz w:val="18"/>
          <w:szCs w:val="18"/>
          <w:color w:val="auto"/>
        </w:rPr>
        <w:t>In November 2015, LPLFH and LPLH entered into a third amendment, extension, and incremental assumption agreement with respect to its existing credit agreement (as amended, the "Credit Agreement") for purposes of raising capital, increasing the leverage allowable under the Credit Agreement, and extending the maturity of a portion of the existing Term Loan B.</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41" w:right="239" w:bottom="1440" w:gutter="0" w:footer="0" w:header="0"/>
        </w:sectPr>
      </w:pPr>
    </w:p>
    <w:bookmarkStart w:id="37" w:name="page38"/>
    <w:bookmarkEnd w:id="37"/>
    <w:p>
      <w:pPr>
        <w:jc w:val="center"/>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9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Company’s outstanding borrowings as of the dates below were as follows (dollars in thousands):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6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420" w:type="dxa"/>
            <w:vAlign w:val="bottom"/>
            <w:tcBorders>
              <w:bottom w:val="single" w:sz="8" w:color="auto"/>
            </w:tcBorders>
            <w:gridSpan w:val="3"/>
          </w:tcPr>
          <w:p>
            <w:pPr>
              <w:jc w:val="right"/>
              <w:ind w:right="459"/>
              <w:spacing w:after="0"/>
              <w:rPr>
                <w:sz w:val="20"/>
                <w:szCs w:val="20"/>
                <w:color w:val="auto"/>
              </w:rPr>
            </w:pPr>
            <w:r>
              <w:rPr>
                <w:rFonts w:ascii="Arial" w:cs="Arial" w:eastAsia="Arial" w:hAnsi="Arial"/>
                <w:sz w:val="16"/>
                <w:szCs w:val="16"/>
                <w:b w:val="1"/>
                <w:bCs w:val="1"/>
                <w:color w:val="auto"/>
              </w:rPr>
              <w:t>September 30, 2016</w:t>
            </w:r>
          </w:p>
        </w:tc>
        <w:tc>
          <w:tcPr>
            <w:tcW w:w="5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420" w:type="dxa"/>
            <w:vAlign w:val="bottom"/>
            <w:tcBorders>
              <w:bottom w:val="single" w:sz="8" w:color="auto"/>
            </w:tcBorders>
            <w:gridSpan w:val="3"/>
          </w:tcPr>
          <w:p>
            <w:pPr>
              <w:jc w:val="right"/>
              <w:ind w:right="479"/>
              <w:spacing w:after="0"/>
              <w:rPr>
                <w:sz w:val="20"/>
                <w:szCs w:val="20"/>
                <w:color w:val="auto"/>
              </w:rPr>
            </w:pPr>
            <w:r>
              <w:rPr>
                <w:rFonts w:ascii="Arial" w:cs="Arial" w:eastAsia="Arial" w:hAnsi="Arial"/>
                <w:sz w:val="16"/>
                <w:szCs w:val="16"/>
                <w:b w:val="1"/>
                <w:bCs w:val="1"/>
                <w:color w:val="auto"/>
              </w:rPr>
              <w:t>December 31, 2015</w:t>
            </w:r>
          </w:p>
        </w:tc>
        <w:tc>
          <w:tcPr>
            <w:tcW w:w="0" w:type="dxa"/>
            <w:vAlign w:val="bottom"/>
          </w:tcPr>
          <w:p>
            <w:pPr>
              <w:spacing w:after="0"/>
              <w:rPr>
                <w:sz w:val="1"/>
                <w:szCs w:val="1"/>
                <w:color w:val="auto"/>
              </w:rPr>
            </w:pPr>
          </w:p>
        </w:tc>
      </w:tr>
      <w:tr>
        <w:trPr>
          <w:trHeight w:val="198"/>
        </w:trPr>
        <w:tc>
          <w:tcPr>
            <w:tcW w:w="66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b w:val="1"/>
                <w:bCs w:val="1"/>
                <w:color w:val="auto"/>
              </w:rPr>
              <w:t>Interest</w:t>
            </w: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b w:val="1"/>
                <w:bCs w:val="1"/>
                <w:color w:val="auto"/>
              </w:rPr>
              <w:t>Interest</w:t>
            </w:r>
          </w:p>
        </w:tc>
        <w:tc>
          <w:tcPr>
            <w:tcW w:w="0" w:type="dxa"/>
            <w:vAlign w:val="bottom"/>
          </w:tcPr>
          <w:p>
            <w:pPr>
              <w:spacing w:after="0"/>
              <w:rPr>
                <w:sz w:val="1"/>
                <w:szCs w:val="1"/>
                <w:color w:val="auto"/>
              </w:rPr>
            </w:pPr>
          </w:p>
        </w:tc>
      </w:tr>
      <w:tr>
        <w:trPr>
          <w:trHeight w:val="228"/>
        </w:trPr>
        <w:tc>
          <w:tcPr>
            <w:tcW w:w="4360" w:type="dxa"/>
            <w:vAlign w:val="bottom"/>
            <w:gridSpan w:val="2"/>
          </w:tcPr>
          <w:p>
            <w:pPr>
              <w:ind w:left="40"/>
              <w:spacing w:after="0"/>
              <w:rPr>
                <w:sz w:val="20"/>
                <w:szCs w:val="20"/>
                <w:color w:val="auto"/>
              </w:rPr>
            </w:pPr>
            <w:r>
              <w:rPr>
                <w:rFonts w:ascii="Arial" w:cs="Arial" w:eastAsia="Arial" w:hAnsi="Arial"/>
                <w:sz w:val="16"/>
                <w:szCs w:val="16"/>
                <w:b w:val="1"/>
                <w:bCs w:val="1"/>
                <w:color w:val="auto"/>
              </w:rPr>
              <w:t>Senior Secured Credit Facilities</w:t>
            </w:r>
          </w:p>
        </w:tc>
        <w:tc>
          <w:tcPr>
            <w:tcW w:w="1300" w:type="dxa"/>
            <w:vAlign w:val="bottom"/>
            <w:gridSpan w:val="2"/>
          </w:tcPr>
          <w:p>
            <w:pPr>
              <w:ind w:left="280"/>
              <w:spacing w:after="0"/>
              <w:rPr>
                <w:sz w:val="20"/>
                <w:szCs w:val="20"/>
                <w:color w:val="auto"/>
              </w:rPr>
            </w:pPr>
            <w:r>
              <w:rPr>
                <w:rFonts w:ascii="Arial" w:cs="Arial" w:eastAsia="Arial" w:hAnsi="Arial"/>
                <w:sz w:val="16"/>
                <w:szCs w:val="16"/>
                <w:b w:val="1"/>
                <w:bCs w:val="1"/>
                <w:color w:val="auto"/>
              </w:rPr>
              <w:t>Maturity</w:t>
            </w:r>
          </w:p>
        </w:tc>
        <w:tc>
          <w:tcPr>
            <w:tcW w:w="200" w:type="dxa"/>
            <w:vAlign w:val="bottom"/>
          </w:tcPr>
          <w:p>
            <w:pPr>
              <w:spacing w:after="0"/>
              <w:rPr>
                <w:sz w:val="19"/>
                <w:szCs w:val="19"/>
                <w:color w:val="auto"/>
              </w:rPr>
            </w:pPr>
          </w:p>
        </w:tc>
        <w:tc>
          <w:tcPr>
            <w:tcW w:w="1000" w:type="dxa"/>
            <w:vAlign w:val="bottom"/>
          </w:tcPr>
          <w:p>
            <w:pPr>
              <w:jc w:val="right"/>
              <w:ind w:right="219"/>
              <w:spacing w:after="0"/>
              <w:rPr>
                <w:sz w:val="20"/>
                <w:szCs w:val="20"/>
                <w:color w:val="auto"/>
              </w:rPr>
            </w:pPr>
            <w:r>
              <w:rPr>
                <w:rFonts w:ascii="Arial" w:cs="Arial" w:eastAsia="Arial" w:hAnsi="Arial"/>
                <w:sz w:val="16"/>
                <w:szCs w:val="16"/>
                <w:b w:val="1"/>
                <w:bCs w:val="1"/>
                <w:color w:val="auto"/>
              </w:rPr>
              <w:t>Balance</w:t>
            </w:r>
          </w:p>
        </w:tc>
        <w:tc>
          <w:tcPr>
            <w:tcW w:w="100" w:type="dxa"/>
            <w:vAlign w:val="bottom"/>
          </w:tcPr>
          <w:p>
            <w:pPr>
              <w:spacing w:after="0"/>
              <w:rPr>
                <w:sz w:val="19"/>
                <w:szCs w:val="19"/>
                <w:color w:val="auto"/>
              </w:rPr>
            </w:pPr>
          </w:p>
        </w:tc>
        <w:tc>
          <w:tcPr>
            <w:tcW w:w="1320" w:type="dxa"/>
            <w:vAlign w:val="bottom"/>
          </w:tcPr>
          <w:p>
            <w:pPr>
              <w:jc w:val="right"/>
              <w:ind w:right="179"/>
              <w:spacing w:after="0"/>
              <w:rPr>
                <w:sz w:val="20"/>
                <w:szCs w:val="20"/>
                <w:color w:val="auto"/>
              </w:rPr>
            </w:pPr>
            <w:r>
              <w:rPr>
                <w:rFonts w:ascii="Arial" w:cs="Arial" w:eastAsia="Arial" w:hAnsi="Arial"/>
                <w:sz w:val="16"/>
                <w:szCs w:val="16"/>
                <w:b w:val="1"/>
                <w:bCs w:val="1"/>
                <w:color w:val="auto"/>
              </w:rPr>
              <w:t>Rate</w:t>
            </w: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ind w:right="199"/>
              <w:spacing w:after="0"/>
              <w:rPr>
                <w:sz w:val="20"/>
                <w:szCs w:val="20"/>
                <w:color w:val="auto"/>
              </w:rPr>
            </w:pPr>
            <w:r>
              <w:rPr>
                <w:rFonts w:ascii="Arial" w:cs="Arial" w:eastAsia="Arial" w:hAnsi="Arial"/>
                <w:sz w:val="16"/>
                <w:szCs w:val="16"/>
                <w:b w:val="1"/>
                <w:bCs w:val="1"/>
                <w:color w:val="auto"/>
              </w:rPr>
              <w:t>Balance</w:t>
            </w:r>
          </w:p>
        </w:tc>
        <w:tc>
          <w:tcPr>
            <w:tcW w:w="100" w:type="dxa"/>
            <w:vAlign w:val="bottom"/>
          </w:tcPr>
          <w:p>
            <w:pPr>
              <w:spacing w:after="0"/>
              <w:rPr>
                <w:sz w:val="19"/>
                <w:szCs w:val="19"/>
                <w:color w:val="auto"/>
              </w:rPr>
            </w:pPr>
          </w:p>
        </w:tc>
        <w:tc>
          <w:tcPr>
            <w:tcW w:w="1320" w:type="dxa"/>
            <w:vAlign w:val="bottom"/>
          </w:tcPr>
          <w:p>
            <w:pPr>
              <w:jc w:val="right"/>
              <w:ind w:right="159"/>
              <w:spacing w:after="0"/>
              <w:rPr>
                <w:sz w:val="20"/>
                <w:szCs w:val="20"/>
                <w:color w:val="auto"/>
              </w:rPr>
            </w:pPr>
            <w:r>
              <w:rPr>
                <w:rFonts w:ascii="Arial" w:cs="Arial" w:eastAsia="Arial" w:hAnsi="Arial"/>
                <w:sz w:val="16"/>
                <w:szCs w:val="16"/>
                <w:b w:val="1"/>
                <w:bCs w:val="1"/>
                <w:color w:val="auto"/>
              </w:rPr>
              <w:t>Rate</w:t>
            </w:r>
          </w:p>
        </w:tc>
        <w:tc>
          <w:tcPr>
            <w:tcW w:w="0" w:type="dxa"/>
            <w:vAlign w:val="bottom"/>
          </w:tcPr>
          <w:p>
            <w:pPr>
              <w:spacing w:after="0"/>
              <w:rPr>
                <w:sz w:val="1"/>
                <w:szCs w:val="1"/>
                <w:color w:val="auto"/>
              </w:rPr>
            </w:pPr>
          </w:p>
        </w:tc>
      </w:tr>
      <w:tr>
        <w:trPr>
          <w:trHeight w:val="270"/>
        </w:trPr>
        <w:tc>
          <w:tcPr>
            <w:tcW w:w="4360" w:type="dxa"/>
            <w:vAlign w:val="bottom"/>
            <w:tcBorders>
              <w:top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Senior secured term loans:</w:t>
            </w:r>
          </w:p>
        </w:tc>
        <w:tc>
          <w:tcPr>
            <w:tcW w:w="11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10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320" w:type="dxa"/>
            <w:vAlign w:val="bottom"/>
            <w:tcBorders>
              <w:top w:val="single" w:sz="8" w:color="auto"/>
            </w:tcBorders>
            <w:shd w:val="clear" w:color="auto" w:fill="CCEEFF"/>
          </w:tcPr>
          <w:p>
            <w:pPr>
              <w:spacing w:after="0"/>
              <w:rPr>
                <w:sz w:val="23"/>
                <w:szCs w:val="23"/>
                <w:color w:val="auto"/>
              </w:rPr>
            </w:pPr>
          </w:p>
        </w:tc>
        <w:tc>
          <w:tcPr>
            <w:tcW w:w="52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10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32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4360" w:type="dxa"/>
            <w:vAlign w:val="bottom"/>
            <w:gridSpan w:val="2"/>
          </w:tcPr>
          <w:p>
            <w:pPr>
              <w:ind w:left="280"/>
              <w:spacing w:after="0"/>
              <w:rPr>
                <w:sz w:val="20"/>
                <w:szCs w:val="20"/>
                <w:color w:val="auto"/>
              </w:rPr>
            </w:pPr>
            <w:r>
              <w:rPr>
                <w:rFonts w:ascii="Arial" w:cs="Arial" w:eastAsia="Arial" w:hAnsi="Arial"/>
                <w:sz w:val="16"/>
                <w:szCs w:val="16"/>
                <w:color w:val="auto"/>
              </w:rPr>
              <w:t>Term Loan A</w:t>
            </w:r>
          </w:p>
        </w:tc>
        <w:tc>
          <w:tcPr>
            <w:tcW w:w="1180" w:type="dxa"/>
            <w:vAlign w:val="bottom"/>
          </w:tcPr>
          <w:p>
            <w:pPr>
              <w:jc w:val="center"/>
              <w:spacing w:after="0"/>
              <w:rPr>
                <w:sz w:val="20"/>
                <w:szCs w:val="20"/>
                <w:color w:val="auto"/>
              </w:rPr>
            </w:pPr>
            <w:r>
              <w:rPr>
                <w:rFonts w:ascii="Arial" w:cs="Arial" w:eastAsia="Arial" w:hAnsi="Arial"/>
                <w:sz w:val="16"/>
                <w:szCs w:val="16"/>
                <w:color w:val="auto"/>
              </w:rPr>
              <w:t>9/30/2019</w:t>
            </w:r>
          </w:p>
        </w:tc>
        <w:tc>
          <w:tcPr>
            <w:tcW w:w="12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459,375</w:t>
            </w:r>
          </w:p>
        </w:tc>
        <w:tc>
          <w:tcPr>
            <w:tcW w:w="1420" w:type="dxa"/>
            <w:vAlign w:val="bottom"/>
            <w:gridSpan w:val="2"/>
          </w:tcPr>
          <w:p>
            <w:pPr>
              <w:jc w:val="right"/>
              <w:spacing w:after="0"/>
              <w:rPr>
                <w:sz w:val="20"/>
                <w:szCs w:val="20"/>
                <w:color w:val="auto"/>
              </w:rPr>
            </w:pPr>
            <w:r>
              <w:rPr>
                <w:rFonts w:ascii="Arial" w:cs="Arial" w:eastAsia="Arial" w:hAnsi="Arial"/>
                <w:sz w:val="16"/>
                <w:szCs w:val="16"/>
                <w:color w:val="auto"/>
              </w:rPr>
              <w:t>3.02%</w:t>
            </w:r>
          </w:p>
        </w:tc>
        <w:tc>
          <w:tcPr>
            <w:tcW w:w="520" w:type="dxa"/>
            <w:vAlign w:val="bottom"/>
          </w:tcPr>
          <w:p>
            <w:pPr>
              <w:jc w:val="right"/>
              <w:ind w:right="139"/>
              <w:spacing w:after="0"/>
              <w:rPr>
                <w:sz w:val="20"/>
                <w:szCs w:val="20"/>
                <w:color w:val="auto"/>
              </w:rPr>
            </w:pPr>
            <w:r>
              <w:rPr>
                <w:rFonts w:ascii="Arial" w:cs="Arial" w:eastAsia="Arial" w:hAnsi="Arial"/>
                <w:sz w:val="16"/>
                <w:szCs w:val="16"/>
                <w:color w:val="auto"/>
              </w:rPr>
              <w:t>(1)</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459,375</w:t>
            </w:r>
          </w:p>
        </w:tc>
        <w:tc>
          <w:tcPr>
            <w:tcW w:w="1420" w:type="dxa"/>
            <w:vAlign w:val="bottom"/>
            <w:gridSpan w:val="2"/>
          </w:tcPr>
          <w:p>
            <w:pPr>
              <w:jc w:val="right"/>
              <w:spacing w:after="0"/>
              <w:rPr>
                <w:sz w:val="20"/>
                <w:szCs w:val="20"/>
                <w:color w:val="auto"/>
              </w:rPr>
            </w:pPr>
            <w:r>
              <w:rPr>
                <w:rFonts w:ascii="Arial" w:cs="Arial" w:eastAsia="Arial" w:hAnsi="Arial"/>
                <w:sz w:val="16"/>
                <w:szCs w:val="16"/>
                <w:color w:val="auto"/>
              </w:rPr>
              <w:t>2.74%</w:t>
            </w:r>
          </w:p>
        </w:tc>
        <w:tc>
          <w:tcPr>
            <w:tcW w:w="0" w:type="dxa"/>
            <w:vAlign w:val="bottom"/>
          </w:tcPr>
          <w:p>
            <w:pPr>
              <w:spacing w:after="0"/>
              <w:rPr>
                <w:sz w:val="1"/>
                <w:szCs w:val="1"/>
                <w:color w:val="auto"/>
              </w:rPr>
            </w:pPr>
          </w:p>
        </w:tc>
      </w:tr>
      <w:tr>
        <w:trPr>
          <w:trHeight w:val="280"/>
        </w:trPr>
        <w:tc>
          <w:tcPr>
            <w:tcW w:w="6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2019</w:t>
            </w:r>
          </w:p>
        </w:tc>
        <w:tc>
          <w:tcPr>
            <w:tcW w:w="3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Term Loan B</w:t>
            </w:r>
          </w:p>
        </w:tc>
        <w:tc>
          <w:tcPr>
            <w:tcW w:w="11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3/29/2019</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421,401</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3.25%</w:t>
            </w:r>
          </w:p>
        </w:tc>
        <w:tc>
          <w:tcPr>
            <w:tcW w:w="5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w:t>
            </w:r>
          </w:p>
        </w:tc>
        <w:tc>
          <w:tcPr>
            <w:tcW w:w="20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424,676</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3.25%</w:t>
            </w:r>
          </w:p>
        </w:tc>
        <w:tc>
          <w:tcPr>
            <w:tcW w:w="0" w:type="dxa"/>
            <w:vAlign w:val="bottom"/>
          </w:tcPr>
          <w:p>
            <w:pPr>
              <w:spacing w:after="0"/>
              <w:rPr>
                <w:sz w:val="1"/>
                <w:szCs w:val="1"/>
                <w:color w:val="auto"/>
              </w:rPr>
            </w:pPr>
          </w:p>
        </w:tc>
      </w:tr>
      <w:tr>
        <w:trPr>
          <w:trHeight w:val="260"/>
        </w:trPr>
        <w:tc>
          <w:tcPr>
            <w:tcW w:w="660" w:type="dxa"/>
            <w:vAlign w:val="bottom"/>
          </w:tcPr>
          <w:p>
            <w:pPr>
              <w:ind w:left="280"/>
              <w:spacing w:after="0"/>
              <w:rPr>
                <w:sz w:val="20"/>
                <w:szCs w:val="20"/>
                <w:color w:val="auto"/>
              </w:rPr>
            </w:pPr>
            <w:r>
              <w:rPr>
                <w:rFonts w:ascii="Arial" w:cs="Arial" w:eastAsia="Arial" w:hAnsi="Arial"/>
                <w:sz w:val="16"/>
                <w:szCs w:val="16"/>
                <w:color w:val="auto"/>
              </w:rPr>
              <w:t>2021</w:t>
            </w:r>
          </w:p>
        </w:tc>
        <w:tc>
          <w:tcPr>
            <w:tcW w:w="3700" w:type="dxa"/>
            <w:vAlign w:val="bottom"/>
          </w:tcPr>
          <w:p>
            <w:pPr>
              <w:ind w:left="20"/>
              <w:spacing w:after="0"/>
              <w:rPr>
                <w:sz w:val="20"/>
                <w:szCs w:val="20"/>
                <w:color w:val="auto"/>
              </w:rPr>
            </w:pPr>
            <w:r>
              <w:rPr>
                <w:rFonts w:ascii="Arial" w:cs="Arial" w:eastAsia="Arial" w:hAnsi="Arial"/>
                <w:sz w:val="16"/>
                <w:szCs w:val="16"/>
                <w:color w:val="auto"/>
              </w:rPr>
              <w:t>Term Loan B</w:t>
            </w:r>
          </w:p>
        </w:tc>
        <w:tc>
          <w:tcPr>
            <w:tcW w:w="1180" w:type="dxa"/>
            <w:vAlign w:val="bottom"/>
          </w:tcPr>
          <w:p>
            <w:pPr>
              <w:jc w:val="center"/>
              <w:spacing w:after="0"/>
              <w:rPr>
                <w:sz w:val="20"/>
                <w:szCs w:val="20"/>
                <w:color w:val="auto"/>
              </w:rPr>
            </w:pPr>
            <w:r>
              <w:rPr>
                <w:rFonts w:ascii="Arial" w:cs="Arial" w:eastAsia="Arial" w:hAnsi="Arial"/>
                <w:sz w:val="16"/>
                <w:szCs w:val="16"/>
                <w:color w:val="auto"/>
              </w:rPr>
              <w:t>3/29/2021</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626,254</w:t>
            </w:r>
          </w:p>
        </w:tc>
        <w:tc>
          <w:tcPr>
            <w:tcW w:w="1420" w:type="dxa"/>
            <w:vAlign w:val="bottom"/>
            <w:gridSpan w:val="2"/>
          </w:tcPr>
          <w:p>
            <w:pPr>
              <w:jc w:val="right"/>
              <w:spacing w:after="0"/>
              <w:rPr>
                <w:sz w:val="20"/>
                <w:szCs w:val="20"/>
                <w:color w:val="auto"/>
              </w:rPr>
            </w:pPr>
            <w:r>
              <w:rPr>
                <w:rFonts w:ascii="Arial" w:cs="Arial" w:eastAsia="Arial" w:hAnsi="Arial"/>
                <w:sz w:val="16"/>
                <w:szCs w:val="16"/>
                <w:color w:val="auto"/>
              </w:rPr>
              <w:t>4.25%</w:t>
            </w:r>
          </w:p>
        </w:tc>
        <w:tc>
          <w:tcPr>
            <w:tcW w:w="520" w:type="dxa"/>
            <w:vAlign w:val="bottom"/>
          </w:tcPr>
          <w:p>
            <w:pPr>
              <w:jc w:val="right"/>
              <w:ind w:right="139"/>
              <w:spacing w:after="0"/>
              <w:rPr>
                <w:sz w:val="20"/>
                <w:szCs w:val="20"/>
                <w:color w:val="auto"/>
              </w:rPr>
            </w:pPr>
            <w:r>
              <w:rPr>
                <w:rFonts w:ascii="Arial" w:cs="Arial" w:eastAsia="Arial" w:hAnsi="Arial"/>
                <w:sz w:val="16"/>
                <w:szCs w:val="16"/>
                <w:color w:val="auto"/>
              </w:rPr>
              <w:t>(3)</w:t>
            </w:r>
          </w:p>
        </w:tc>
        <w:tc>
          <w:tcPr>
            <w:tcW w:w="200" w:type="dxa"/>
            <w:vAlign w:val="bottom"/>
          </w:tcPr>
          <w:p>
            <w:pPr>
              <w:spacing w:after="0"/>
              <w:rPr>
                <w:sz w:val="22"/>
                <w:szCs w:val="22"/>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630,986</w:t>
            </w:r>
          </w:p>
        </w:tc>
        <w:tc>
          <w:tcPr>
            <w:tcW w:w="1420" w:type="dxa"/>
            <w:vAlign w:val="bottom"/>
            <w:gridSpan w:val="2"/>
          </w:tcPr>
          <w:p>
            <w:pPr>
              <w:jc w:val="right"/>
              <w:spacing w:after="0"/>
              <w:rPr>
                <w:sz w:val="20"/>
                <w:szCs w:val="20"/>
                <w:color w:val="auto"/>
              </w:rPr>
            </w:pPr>
            <w:r>
              <w:rPr>
                <w:rFonts w:ascii="Arial" w:cs="Arial" w:eastAsia="Arial" w:hAnsi="Arial"/>
                <w:sz w:val="16"/>
                <w:szCs w:val="16"/>
                <w:color w:val="auto"/>
              </w:rPr>
              <w:t>4.25%</w:t>
            </w:r>
          </w:p>
        </w:tc>
        <w:tc>
          <w:tcPr>
            <w:tcW w:w="0" w:type="dxa"/>
            <w:vAlign w:val="bottom"/>
          </w:tcPr>
          <w:p>
            <w:pPr>
              <w:spacing w:after="0"/>
              <w:rPr>
                <w:sz w:val="1"/>
                <w:szCs w:val="1"/>
                <w:color w:val="auto"/>
              </w:rPr>
            </w:pPr>
          </w:p>
        </w:tc>
      </w:tr>
      <w:tr>
        <w:trPr>
          <w:trHeight w:val="273"/>
        </w:trPr>
        <w:tc>
          <w:tcPr>
            <w:tcW w:w="6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2022</w:t>
            </w:r>
          </w:p>
        </w:tc>
        <w:tc>
          <w:tcPr>
            <w:tcW w:w="3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Term Loan B</w:t>
            </w:r>
          </w:p>
        </w:tc>
        <w:tc>
          <w:tcPr>
            <w:tcW w:w="11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11/20/2022</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694,750</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4.75%</w:t>
            </w:r>
          </w:p>
        </w:tc>
        <w:tc>
          <w:tcPr>
            <w:tcW w:w="5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(4)</w:t>
            </w:r>
          </w:p>
        </w:tc>
        <w:tc>
          <w:tcPr>
            <w:tcW w:w="20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700,000</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4.75%</w:t>
            </w:r>
          </w:p>
        </w:tc>
        <w:tc>
          <w:tcPr>
            <w:tcW w:w="0" w:type="dxa"/>
            <w:vAlign w:val="bottom"/>
          </w:tcPr>
          <w:p>
            <w:pPr>
              <w:spacing w:after="0"/>
              <w:rPr>
                <w:sz w:val="1"/>
                <w:szCs w:val="1"/>
                <w:color w:val="auto"/>
              </w:rPr>
            </w:pPr>
          </w:p>
        </w:tc>
      </w:tr>
      <w:tr>
        <w:trPr>
          <w:trHeight w:val="247"/>
        </w:trPr>
        <w:tc>
          <w:tcPr>
            <w:tcW w:w="660" w:type="dxa"/>
            <w:vAlign w:val="bottom"/>
          </w:tcPr>
          <w:p>
            <w:pPr>
              <w:spacing w:after="0"/>
              <w:rPr>
                <w:sz w:val="21"/>
                <w:szCs w:val="21"/>
                <w:color w:val="auto"/>
              </w:rPr>
            </w:pPr>
          </w:p>
        </w:tc>
        <w:tc>
          <w:tcPr>
            <w:tcW w:w="3700" w:type="dxa"/>
            <w:vAlign w:val="bottom"/>
          </w:tcPr>
          <w:p>
            <w:pPr>
              <w:ind w:left="20"/>
              <w:spacing w:after="0"/>
              <w:rPr>
                <w:sz w:val="20"/>
                <w:szCs w:val="20"/>
                <w:color w:val="auto"/>
              </w:rPr>
            </w:pPr>
            <w:r>
              <w:rPr>
                <w:rFonts w:ascii="Arial" w:cs="Arial" w:eastAsia="Arial" w:hAnsi="Arial"/>
                <w:sz w:val="16"/>
                <w:szCs w:val="16"/>
                <w:color w:val="auto"/>
              </w:rPr>
              <w:t>Total borrowings</w:t>
            </w: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2,201,780</w:t>
            </w: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2,215,037</w:t>
            </w: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0"/>
        </w:trPr>
        <w:tc>
          <w:tcPr>
            <w:tcW w:w="436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Less Unamortized Debt Issuance Cost</w:t>
            </w: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23,139</w:t>
            </w:r>
          </w:p>
        </w:tc>
        <w:tc>
          <w:tcPr>
            <w:tcW w:w="10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26,797</w:t>
            </w:r>
          </w:p>
        </w:tc>
        <w:tc>
          <w:tcPr>
            <w:tcW w:w="10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4360" w:type="dxa"/>
            <w:vAlign w:val="bottom"/>
            <w:gridSpan w:val="2"/>
          </w:tcPr>
          <w:p>
            <w:pPr>
              <w:ind w:left="80"/>
              <w:spacing w:after="0"/>
              <w:rPr>
                <w:sz w:val="20"/>
                <w:szCs w:val="20"/>
                <w:color w:val="auto"/>
              </w:rPr>
            </w:pPr>
            <w:r>
              <w:rPr>
                <w:rFonts w:ascii="Arial" w:cs="Arial" w:eastAsia="Arial" w:hAnsi="Arial"/>
                <w:sz w:val="16"/>
                <w:szCs w:val="16"/>
                <w:color w:val="auto"/>
              </w:rPr>
              <w:t>Long-term borrowings — net of unamortized debt</w:t>
            </w: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000" w:type="dxa"/>
            <w:vAlign w:val="bottom"/>
            <w:vMerge w:val="restart"/>
          </w:tcPr>
          <w:p>
            <w:pPr>
              <w:jc w:val="right"/>
              <w:ind w:right="19"/>
              <w:spacing w:after="0"/>
              <w:rPr>
                <w:sz w:val="20"/>
                <w:szCs w:val="20"/>
                <w:color w:val="auto"/>
              </w:rPr>
            </w:pPr>
            <w:r>
              <w:rPr>
                <w:rFonts w:ascii="Arial" w:cs="Arial" w:eastAsia="Arial" w:hAnsi="Arial"/>
                <w:sz w:val="16"/>
                <w:szCs w:val="16"/>
                <w:color w:val="auto"/>
              </w:rPr>
              <w:t>2,178,641</w:t>
            </w: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000" w:type="dxa"/>
            <w:vAlign w:val="bottom"/>
            <w:vMerge w:val="restart"/>
          </w:tcPr>
          <w:p>
            <w:pPr>
              <w:jc w:val="right"/>
              <w:ind w:right="19"/>
              <w:spacing w:after="0"/>
              <w:rPr>
                <w:sz w:val="20"/>
                <w:szCs w:val="20"/>
                <w:color w:val="auto"/>
              </w:rPr>
            </w:pPr>
            <w:r>
              <w:rPr>
                <w:rFonts w:ascii="Arial" w:cs="Arial" w:eastAsia="Arial" w:hAnsi="Arial"/>
                <w:sz w:val="16"/>
                <w:szCs w:val="16"/>
                <w:color w:val="auto"/>
              </w:rPr>
              <w:t>2,188,240</w:t>
            </w: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60" w:type="dxa"/>
            <w:vAlign w:val="bottom"/>
            <w:gridSpan w:val="2"/>
          </w:tcPr>
          <w:p>
            <w:pPr>
              <w:ind w:left="240"/>
              <w:spacing w:after="0"/>
              <w:rPr>
                <w:sz w:val="20"/>
                <w:szCs w:val="20"/>
                <w:color w:val="auto"/>
              </w:rPr>
            </w:pPr>
            <w:r>
              <w:rPr>
                <w:rFonts w:ascii="Arial" w:cs="Arial" w:eastAsia="Arial" w:hAnsi="Arial"/>
                <w:sz w:val="16"/>
                <w:szCs w:val="16"/>
                <w:color w:val="auto"/>
              </w:rPr>
              <w:t>issuance cost</w:t>
            </w: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bottom w:val="single" w:sz="8" w:color="auto"/>
            </w:tcBorders>
            <w:vMerge w:val="continue"/>
          </w:tcPr>
          <w:p>
            <w:pPr>
              <w:spacing w:after="0"/>
              <w:rPr>
                <w:sz w:val="17"/>
                <w:szCs w:val="17"/>
                <w:color w:val="auto"/>
              </w:rPr>
            </w:pPr>
          </w:p>
        </w:tc>
        <w:tc>
          <w:tcPr>
            <w:tcW w:w="100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Borders>
              <w:bottom w:val="single" w:sz="8" w:color="auto"/>
            </w:tcBorders>
            <w:vMerge w:val="continue"/>
          </w:tcPr>
          <w:p>
            <w:pPr>
              <w:spacing w:after="0"/>
              <w:rPr>
                <w:sz w:val="17"/>
                <w:szCs w:val="17"/>
                <w:color w:val="auto"/>
              </w:rPr>
            </w:pPr>
          </w:p>
        </w:tc>
        <w:tc>
          <w:tcPr>
            <w:tcW w:w="100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w:t>
      </w:r>
    </w:p>
    <w:p>
      <w:pPr>
        <w:spacing w:after="0" w:line="108"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variable interest rate per annum is either (a) 150 bps over the base rate or (b) 250 bps over the LIBOR rate (subject to a leverage based grid)</w:t>
      </w:r>
    </w:p>
    <w:p>
      <w:pPr>
        <w:spacing w:after="0" w:line="59" w:lineRule="exact"/>
        <w:rPr>
          <w:rFonts w:ascii="Arial" w:cs="Arial" w:eastAsia="Arial" w:hAnsi="Arial"/>
          <w:sz w:val="16"/>
          <w:szCs w:val="16"/>
          <w:color w:val="auto"/>
        </w:rPr>
      </w:pPr>
    </w:p>
    <w:p>
      <w:pPr>
        <w:ind w:left="660" w:hanging="328"/>
        <w:spacing w:after="0"/>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variable interest rate per annum is either (a) 150 bps over the base rate or (b) 250 bps over the LIBOR rate (subject to a LIBOR floor of 75 bps)</w:t>
      </w:r>
    </w:p>
    <w:p>
      <w:pPr>
        <w:spacing w:after="0" w:line="59" w:lineRule="exact"/>
        <w:rPr>
          <w:rFonts w:ascii="Arial" w:cs="Arial" w:eastAsia="Arial" w:hAnsi="Arial"/>
          <w:sz w:val="16"/>
          <w:szCs w:val="16"/>
          <w:color w:val="auto"/>
        </w:rPr>
      </w:pPr>
    </w:p>
    <w:p>
      <w:pPr>
        <w:ind w:left="660" w:hanging="328"/>
        <w:spacing w:after="0"/>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variable interest rate per annum is either (a) 250 bps over the base rate or (b) 350 bps over the LIBOR rate (subject to a LIBOR floor of 75 bps)</w:t>
      </w:r>
    </w:p>
    <w:p>
      <w:pPr>
        <w:spacing w:after="0" w:line="59" w:lineRule="exact"/>
        <w:rPr>
          <w:rFonts w:ascii="Arial" w:cs="Arial" w:eastAsia="Arial" w:hAnsi="Arial"/>
          <w:sz w:val="16"/>
          <w:szCs w:val="16"/>
          <w:color w:val="auto"/>
        </w:rPr>
      </w:pPr>
    </w:p>
    <w:p>
      <w:pPr>
        <w:ind w:left="660" w:hanging="328"/>
        <w:spacing w:after="0"/>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variable interest rate per annum is either (a) 300 bps over the base rate or (b) 400 bps over the LIBOR rate (subject to a LIBOR floor of 75 bps)</w:t>
      </w:r>
    </w:p>
    <w:p>
      <w:pPr>
        <w:spacing w:after="0" w:line="11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Company is required to make quarterly payments on Term Loan B with a payment of the remaining balance due at maturity.</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Company also has a revolving credit facility with borrowing capacity of $400.0 million maturing on September 30, 2019.</w:t>
      </w:r>
    </w:p>
    <w:p>
      <w:pPr>
        <w:spacing w:after="0" w:line="225" w:lineRule="exact"/>
        <w:rPr>
          <w:sz w:val="20"/>
          <w:szCs w:val="20"/>
          <w:color w:val="auto"/>
        </w:rPr>
      </w:pPr>
    </w:p>
    <w:p>
      <w:pPr>
        <w:ind w:right="180" w:firstLine="486"/>
        <w:spacing w:after="0" w:line="262" w:lineRule="auto"/>
        <w:rPr>
          <w:sz w:val="20"/>
          <w:szCs w:val="20"/>
          <w:color w:val="auto"/>
        </w:rPr>
      </w:pPr>
      <w:r>
        <w:rPr>
          <w:rFonts w:ascii="Arial" w:cs="Arial" w:eastAsia="Arial" w:hAnsi="Arial"/>
          <w:sz w:val="18"/>
          <w:szCs w:val="18"/>
          <w:color w:val="auto"/>
        </w:rPr>
        <w:t>As of September 30, 2016, the Company also had $ 14.6 million of irrevocable letters of credit, with an applicable interest rate margin of 2.50%, which were supported by the Company's revolving credit facility.</w:t>
      </w:r>
    </w:p>
    <w:p>
      <w:pPr>
        <w:spacing w:after="0" w:line="250" w:lineRule="exact"/>
        <w:rPr>
          <w:sz w:val="20"/>
          <w:szCs w:val="20"/>
          <w:color w:val="auto"/>
        </w:rPr>
      </w:pPr>
    </w:p>
    <w:p>
      <w:pPr>
        <w:ind w:right="160" w:firstLine="486"/>
        <w:spacing w:after="0" w:line="262" w:lineRule="auto"/>
        <w:rPr>
          <w:sz w:val="20"/>
          <w:szCs w:val="20"/>
          <w:color w:val="auto"/>
        </w:rPr>
      </w:pPr>
      <w:r>
        <w:rPr>
          <w:rFonts w:ascii="Arial" w:cs="Arial" w:eastAsia="Arial" w:hAnsi="Arial"/>
          <w:sz w:val="18"/>
          <w:szCs w:val="18"/>
          <w:color w:val="auto"/>
        </w:rPr>
        <w:t>The Credit Agreement subjects the Company to certain financial and non-financial covenants. As of September 30, 2016, the Company was in compliance with such covenants.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Bank Loans Payable</w:t>
      </w:r>
    </w:p>
    <w:p>
      <w:pPr>
        <w:spacing w:after="0" w:line="247" w:lineRule="exact"/>
        <w:rPr>
          <w:sz w:val="20"/>
          <w:szCs w:val="20"/>
          <w:color w:val="auto"/>
        </w:rPr>
      </w:pPr>
    </w:p>
    <w:p>
      <w:pPr>
        <w:ind w:right="60" w:firstLine="486"/>
        <w:spacing w:after="0" w:line="252" w:lineRule="auto"/>
        <w:rPr>
          <w:sz w:val="20"/>
          <w:szCs w:val="20"/>
          <w:color w:val="auto"/>
        </w:rPr>
      </w:pPr>
      <w:r>
        <w:rPr>
          <w:rFonts w:ascii="Arial" w:cs="Arial" w:eastAsia="Arial" w:hAnsi="Arial"/>
          <w:sz w:val="18"/>
          <w:szCs w:val="18"/>
          <w:color w:val="auto"/>
        </w:rPr>
        <w:t>The Company maintains three uncommitted lines of credit. Two of the lines have unspecified limits, which are primarily dependent on the Company’s ability to provide sufficient collateral. The third line has a $200 million limit, and allows for both collateralized and uncollateralized borrowings. During the three months ended September 30, 2016, the Company drew $90.0 million on one of the lines of credit, which was outstanding for one day at an interest rate of 1.50%. During the three months ended September 30, 2015, the Company drew $55.0 million on one of the lines of credit, which was outstanding for one day at an interest rate of 1.50%. The lines were not otherwise utilized in 2016 and were not otherwise utilized in 2015. There were no balances outstanding at September 30, 2016 or December 31, 2015.</w:t>
      </w:r>
    </w:p>
    <w:p>
      <w:pPr>
        <w:spacing w:after="0" w:line="241" w:lineRule="exact"/>
        <w:rPr>
          <w:sz w:val="20"/>
          <w:szCs w:val="20"/>
          <w:color w:val="auto"/>
        </w:rPr>
      </w:pPr>
    </w:p>
    <w:p>
      <w:pPr>
        <w:ind w:left="360" w:hanging="352"/>
        <w:spacing w:after="0"/>
        <w:tabs>
          <w:tab w:leader="none" w:pos="36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247" w:lineRule="exact"/>
        <w:rPr>
          <w:sz w:val="20"/>
          <w:szCs w:val="20"/>
          <w:color w:val="auto"/>
        </w:rPr>
      </w:pPr>
    </w:p>
    <w:p>
      <w:pPr>
        <w:ind w:right="80" w:firstLine="486"/>
        <w:spacing w:after="0" w:line="254" w:lineRule="auto"/>
        <w:rPr>
          <w:sz w:val="20"/>
          <w:szCs w:val="20"/>
          <w:color w:val="auto"/>
        </w:rPr>
      </w:pPr>
      <w:r>
        <w:rPr>
          <w:rFonts w:ascii="Arial" w:cs="Arial" w:eastAsia="Arial" w:hAnsi="Arial"/>
          <w:sz w:val="18"/>
          <w:szCs w:val="18"/>
          <w:color w:val="auto"/>
        </w:rPr>
        <w:t>The Company leases office space and equipment under various operating leases. These leases are generally subject to scheduled base rent and maintenance cost increases, which are recognized on a straight-line basis over the period of the leases. Total rental expense for all operating leases was approximately $ 6.3 million and $6.2 million for the three months ended September 30, 2016 and 2015, respectively, and $18.6 million and $19.4 million for the nine months ended September 30, 2016 and 2015, respectively.</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41" w:right="239" w:bottom="1440" w:gutter="0" w:footer="0" w:header="0"/>
        </w:sectPr>
      </w:pPr>
    </w:p>
    <w:bookmarkStart w:id="38" w:name="page39"/>
    <w:bookmarkEnd w:id="38"/>
    <w:p>
      <w:pPr>
        <w:jc w:val="center"/>
        <w:ind w:right="-19"/>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Service and Development Contracts</w:t>
      </w:r>
    </w:p>
    <w:p>
      <w:pPr>
        <w:spacing w:after="0" w:line="247" w:lineRule="exact"/>
        <w:rPr>
          <w:sz w:val="20"/>
          <w:szCs w:val="20"/>
          <w:color w:val="auto"/>
        </w:rPr>
      </w:pPr>
    </w:p>
    <w:p>
      <w:pPr>
        <w:ind w:firstLine="486"/>
        <w:spacing w:after="0" w:line="262" w:lineRule="auto"/>
        <w:rPr>
          <w:sz w:val="20"/>
          <w:szCs w:val="20"/>
          <w:color w:val="auto"/>
        </w:rPr>
      </w:pPr>
      <w:r>
        <w:rPr>
          <w:rFonts w:ascii="Arial" w:cs="Arial" w:eastAsia="Arial" w:hAnsi="Arial"/>
          <w:sz w:val="18"/>
          <w:szCs w:val="18"/>
          <w:color w:val="auto"/>
        </w:rPr>
        <w:t>The Company is party to certain long-term contracts for systems and services that enable back office trade processing and clearing for its product and service offerings.</w:t>
      </w:r>
    </w:p>
    <w:p>
      <w:pPr>
        <w:spacing w:after="0" w:line="196" w:lineRule="exact"/>
        <w:rPr>
          <w:sz w:val="20"/>
          <w:szCs w:val="20"/>
          <w:color w:val="auto"/>
        </w:rPr>
      </w:pPr>
    </w:p>
    <w:p>
      <w:pPr>
        <w:ind w:right="120" w:firstLine="486"/>
        <w:spacing w:after="0" w:line="253" w:lineRule="auto"/>
        <w:rPr>
          <w:sz w:val="20"/>
          <w:szCs w:val="20"/>
          <w:color w:val="auto"/>
        </w:rPr>
      </w:pPr>
      <w:r>
        <w:rPr>
          <w:rFonts w:ascii="Arial" w:cs="Arial" w:eastAsia="Arial" w:hAnsi="Arial"/>
          <w:sz w:val="18"/>
          <w:szCs w:val="18"/>
          <w:color w:val="auto"/>
        </w:rPr>
        <w:t>The Company also has contractual obligations related to the development of a real estate project in Fort Mill, South Carolina for office space. Under development and agency contracts the Company expects to pay a pro rata share equal to 27.5% of the design and construction costs. The remaining amounts will be paid by the landlord. The Company’s share of these costs is expected to be approximately $74.7 million, incurred through 2017. Additionally, the Company has entered into lease agreements for the office space once developed. These leases have an initial lease term of 20 years that commence once the development is complete and the Company takes occupancy of the buildings.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Guarantees</w:t>
      </w:r>
    </w:p>
    <w:p>
      <w:pPr>
        <w:spacing w:after="0" w:line="247" w:lineRule="exact"/>
        <w:rPr>
          <w:sz w:val="20"/>
          <w:szCs w:val="20"/>
          <w:color w:val="auto"/>
        </w:rPr>
      </w:pPr>
    </w:p>
    <w:p>
      <w:pPr>
        <w:ind w:right="20" w:firstLine="486"/>
        <w:spacing w:after="0" w:line="256" w:lineRule="auto"/>
        <w:rPr>
          <w:sz w:val="20"/>
          <w:szCs w:val="20"/>
          <w:color w:val="auto"/>
        </w:rPr>
      </w:pPr>
      <w:r>
        <w:rPr>
          <w:rFonts w:ascii="Arial" w:cs="Arial" w:eastAsia="Arial" w:hAnsi="Arial"/>
          <w:sz w:val="18"/>
          <w:szCs w:val="18"/>
          <w:color w:val="auto"/>
        </w:rPr>
        <w:t>The Company occasionally enters into certain types of contracts that contingently require it to indemnify certain parties against third-party claims. The terms of these obligations vary and, because a maximum obligation is not explicitly stated, the Company has determined that it is not possible to make an estimate of the amount that it could be obligated to pay under such contracts.</w:t>
      </w:r>
    </w:p>
    <w:p>
      <w:pPr>
        <w:spacing w:after="0" w:line="202"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auto"/>
        </w:rPr>
        <w:t>The Company’s subsidiary, LPL Financial, provides guarantees to securities clearing houses and exchanges under their standard membership agreements, which require a member to guarantee the performance of other members. Under these agreements, if a member becomes unable to satisfy its obligations to the clearing houses and exchanges, all other members would be required to meet any shortfall. The Company’s liability under these arrangements is not quantifiable and may exceed the cash and securities it has posted as collateral. However, the potential requirement for the Company to make payments under these agreements is remote. Accordingly, no liability has been recognized for these transactions.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Loan Commitments</w:t>
      </w:r>
    </w:p>
    <w:p>
      <w:pPr>
        <w:spacing w:after="0" w:line="247" w:lineRule="exact"/>
        <w:rPr>
          <w:sz w:val="20"/>
          <w:szCs w:val="20"/>
          <w:color w:val="auto"/>
        </w:rPr>
      </w:pPr>
    </w:p>
    <w:p>
      <w:pPr>
        <w:ind w:right="160" w:firstLine="486"/>
        <w:spacing w:after="0" w:line="254" w:lineRule="auto"/>
        <w:rPr>
          <w:sz w:val="20"/>
          <w:szCs w:val="20"/>
          <w:color w:val="auto"/>
        </w:rPr>
      </w:pPr>
      <w:r>
        <w:rPr>
          <w:rFonts w:ascii="Arial" w:cs="Arial" w:eastAsia="Arial" w:hAnsi="Arial"/>
          <w:sz w:val="18"/>
          <w:szCs w:val="18"/>
          <w:color w:val="auto"/>
        </w:rPr>
        <w:t>From time to time, LPL Financial makes loans to its advisors, primarily to newly recruited advisors to assist in the transition process, which may be forgivable. Due to timing differences, LPL Financial may make commitments to issue such loans prior to actually funding them. These commitments are generally contingent upon certain events occurring, including but not limited to the advisor joining LPL Financial. LPL Financial had no such significant unfunded commitments at September 30, 2016.</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&amp; Regulatory Matters</w:t>
      </w:r>
    </w:p>
    <w:p>
      <w:pPr>
        <w:spacing w:after="0" w:line="247" w:lineRule="exact"/>
        <w:rPr>
          <w:sz w:val="20"/>
          <w:szCs w:val="20"/>
          <w:color w:val="auto"/>
        </w:rPr>
      </w:pPr>
    </w:p>
    <w:p>
      <w:pPr>
        <w:ind w:firstLine="486"/>
        <w:spacing w:after="0" w:line="251" w:lineRule="auto"/>
        <w:rPr>
          <w:sz w:val="20"/>
          <w:szCs w:val="20"/>
          <w:color w:val="auto"/>
        </w:rPr>
      </w:pPr>
      <w:r>
        <w:rPr>
          <w:rFonts w:ascii="Arial" w:cs="Arial" w:eastAsia="Arial" w:hAnsi="Arial"/>
          <w:sz w:val="18"/>
          <w:szCs w:val="18"/>
          <w:color w:val="auto"/>
        </w:rPr>
        <w:t>The Company is subject to extensive regulation and supervision by U.S. federal and state agencies and various self-regulatory organizations. The Company and its advisors periodically engage with such agencies and organizations, in the context of examinations or otherwise, to respond to inquiries, informational requests, and investigations. From time to time, such engagements result in regulatory complaints or other matters, the resolution of which can include fines and other remediation costs. Assessing the probability of a loss occurring and the amount of any loss related to a legal proceeding or regulatory matter is inherently difficult. While the Company exercises significant and complex judgments to make certain estimates presented in its consolidated financial statements, there are particular uncertainties and complexities involved when assessing the potential outcomes of legal proceedings and regulatory matters. The Company's assessment process considers a variety of factors and assumptions, which may include: the procedural status of the matter and any recent developments; prior experience and the experience of others in similar matters; the size and nature of potential exposures; available defenses; the progress of fact discovery; the opinions of counsel and experts; potential opportunities for settlement and the status of any settlement discussions; as well as the potential for insurance coverage and indemnification, if available. The Company monitors these factors and assumptions for new developments and re-assesses the likelihood that a loss will occur and the estimated range or amount of loss, if those amounts can be reasonably determined. The Company has established an accrual for those legal proceedings and regulatory matters for which a loss is both probable and the amount can be reasonably estimated, except as otherwise covered by third-party insurance or self-insurance through its captive insurance subsidiary, as discussed below.</w:t>
      </w:r>
    </w:p>
    <w:p>
      <w:pPr>
        <w:spacing w:after="0" w:line="210" w:lineRule="exact"/>
        <w:rPr>
          <w:sz w:val="20"/>
          <w:szCs w:val="20"/>
          <w:color w:val="auto"/>
        </w:rPr>
      </w:pPr>
    </w:p>
    <w:p>
      <w:pPr>
        <w:ind w:right="320" w:firstLine="486"/>
        <w:spacing w:after="0" w:line="256" w:lineRule="auto"/>
        <w:rPr>
          <w:sz w:val="20"/>
          <w:szCs w:val="20"/>
          <w:color w:val="auto"/>
        </w:rPr>
      </w:pPr>
      <w:r>
        <w:rPr>
          <w:rFonts w:ascii="Arial" w:cs="Arial" w:eastAsia="Arial" w:hAnsi="Arial"/>
          <w:sz w:val="18"/>
          <w:szCs w:val="18"/>
          <w:color w:val="auto"/>
        </w:rPr>
        <w:t>A putative class action lawsuit has been filed against the Company and certain of its executive officers in federal district court alleging certain misstatements and omissions related to the Company’s share repurchases and financial performance in late 2015. The Company intends to defend vigorously against the lawsuit.</w:t>
      </w:r>
    </w:p>
    <w:p>
      <w:pPr>
        <w:sectPr>
          <w:pgSz w:w="11900" w:h="16838" w:orient="portrait"/>
          <w:cols w:equalWidth="0" w:num="1">
            <w:col w:w="11420"/>
          </w:cols>
          <w:pgMar w:left="240" w:top="441" w:right="239" w:bottom="1440" w:gutter="0" w:footer="0" w:header="0"/>
        </w:sectPr>
      </w:pP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35</w:t>
      </w:r>
    </w:p>
    <w:p>
      <w:pPr>
        <w:sectPr>
          <w:pgSz w:w="11900" w:h="16838" w:orient="portrait"/>
          <w:cols w:equalWidth="0" w:num="1">
            <w:col w:w="11420"/>
          </w:cols>
          <w:pgMar w:left="240" w:top="441" w:right="239" w:bottom="1440" w:gutter="0" w:footer="0" w:header="0"/>
          <w:type w:val="continuous"/>
        </w:sectPr>
      </w:pPr>
    </w:p>
    <w:bookmarkStart w:id="39" w:name="page40"/>
    <w:bookmarkEnd w:id="39"/>
    <w:p>
      <w:pPr>
        <w:jc w:val="center"/>
        <w:ind w:right="-19"/>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Third-Party Insurance</w:t>
      </w:r>
    </w:p>
    <w:p>
      <w:pPr>
        <w:spacing w:after="0" w:line="135" w:lineRule="exact"/>
        <w:rPr>
          <w:sz w:val="20"/>
          <w:szCs w:val="20"/>
          <w:color w:val="auto"/>
        </w:rPr>
      </w:pPr>
    </w:p>
    <w:p>
      <w:pPr>
        <w:jc w:val="both"/>
        <w:ind w:right="300" w:firstLine="486"/>
        <w:spacing w:after="0" w:line="256" w:lineRule="auto"/>
        <w:rPr>
          <w:sz w:val="20"/>
          <w:szCs w:val="20"/>
          <w:color w:val="auto"/>
        </w:rPr>
      </w:pPr>
      <w:r>
        <w:rPr>
          <w:rFonts w:ascii="Arial" w:cs="Arial" w:eastAsia="Arial" w:hAnsi="Arial"/>
          <w:sz w:val="18"/>
          <w:szCs w:val="18"/>
          <w:color w:val="auto"/>
        </w:rPr>
        <w:t>The Company maintains third-party insurance coverage for certain potential legal proceedings, including those involving client claims. With respect to client claims, the estimated losses on many of the pending matters are less than the applicable deductibles of the insurance policies.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Self-Insurance Liabilities</w:t>
      </w:r>
    </w:p>
    <w:p>
      <w:pPr>
        <w:spacing w:after="0" w:line="243" w:lineRule="exact"/>
        <w:rPr>
          <w:sz w:val="20"/>
          <w:szCs w:val="20"/>
          <w:color w:val="auto"/>
        </w:rPr>
      </w:pPr>
    </w:p>
    <w:p>
      <w:pPr>
        <w:ind w:right="60" w:firstLine="486"/>
        <w:spacing w:after="0" w:line="252" w:lineRule="auto"/>
        <w:rPr>
          <w:sz w:val="20"/>
          <w:szCs w:val="20"/>
          <w:color w:val="auto"/>
        </w:rPr>
      </w:pPr>
      <w:r>
        <w:rPr>
          <w:rFonts w:ascii="Arial" w:cs="Arial" w:eastAsia="Arial" w:hAnsi="Arial"/>
          <w:sz w:val="18"/>
          <w:szCs w:val="18"/>
          <w:color w:val="auto"/>
        </w:rPr>
        <w:t>The Company has self-insurance for certain potential liabilities, including various errors and omissions liabilities, through a wholly-owned captive insurance subsidiary. Liabilities associated with the risks that are retained by the Company are not discounted and are estimated by considering, in part, historical claims experience, severity factors, and other actuarial assumptions. The estimated accruals for these potential liabilities could be significantly affected if future occurrences and claims differ from such assumptions and historical trends. As of September 30, 2016, these self-insurance liabilities are included in accounts payable and accrued liabilities in the unaudited condensed consolidated statements of financial condition. Self-insurance related charges are included in other expenses in the unaudited condensed consolidated statements of income for the three and nine months ended September 30, 2016.</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Commitments</w:t>
      </w:r>
    </w:p>
    <w:p>
      <w:pPr>
        <w:spacing w:after="0" w:line="247" w:lineRule="exact"/>
        <w:rPr>
          <w:sz w:val="20"/>
          <w:szCs w:val="20"/>
          <w:color w:val="auto"/>
        </w:rPr>
      </w:pPr>
    </w:p>
    <w:p>
      <w:pPr>
        <w:ind w:right="120" w:firstLine="486"/>
        <w:spacing w:after="0" w:line="253" w:lineRule="auto"/>
        <w:rPr>
          <w:sz w:val="20"/>
          <w:szCs w:val="20"/>
          <w:color w:val="auto"/>
        </w:rPr>
      </w:pPr>
      <w:r>
        <w:rPr>
          <w:rFonts w:ascii="Arial" w:cs="Arial" w:eastAsia="Arial" w:hAnsi="Arial"/>
          <w:sz w:val="18"/>
          <w:szCs w:val="18"/>
          <w:color w:val="auto"/>
        </w:rPr>
        <w:t>As of September 30, 2016, the Company had approximately $202.9 million of client margin loans that were collateralized with securities having a fair value of approximately $284.0 million that it can re-pledge, loan, or sell. Of these securities, approximately $35.6 million were client-owned securities pledged to the Options Clearing Corporation as collateral to secure client obligations related to options positions. As of September 30, 2016, there were no restrictions that materially limited the Company's ability to re-pledge, loan, or sell the remaining $248.4 million of client collateral.</w:t>
      </w:r>
    </w:p>
    <w:p>
      <w:pPr>
        <w:spacing w:after="0" w:line="260" w:lineRule="exact"/>
        <w:rPr>
          <w:sz w:val="20"/>
          <w:szCs w:val="20"/>
          <w:color w:val="auto"/>
        </w:rPr>
      </w:pPr>
    </w:p>
    <w:p>
      <w:pPr>
        <w:ind w:right="520" w:firstLine="486"/>
        <w:spacing w:after="0" w:line="262" w:lineRule="auto"/>
        <w:rPr>
          <w:sz w:val="20"/>
          <w:szCs w:val="20"/>
          <w:color w:val="auto"/>
        </w:rPr>
      </w:pPr>
      <w:r>
        <w:rPr>
          <w:rFonts w:ascii="Arial" w:cs="Arial" w:eastAsia="Arial" w:hAnsi="Arial"/>
          <w:sz w:val="18"/>
          <w:szCs w:val="18"/>
          <w:color w:val="auto"/>
        </w:rPr>
        <w:t>Trading securities on the unaudited condensed consolidated statements of financial condition includes $3.5 million and $4.3 million pledged to clearing organizations at September 30, 2016 and December 31, 2015, respectively.</w:t>
      </w:r>
    </w:p>
    <w:p>
      <w:pPr>
        <w:spacing w:after="0" w:line="196"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auto"/>
        </w:rPr>
        <w:t>The Company is involved in a build-to-suit lease arrangement in Fort Mill, South Carolina, under which it serves as the construction agent on behalf of the landlord. Under such arrangement, the Company has obligations to fund cost over-runs in its capacity as the construction agent, and accordingly has determined that under lease accounting standards it bears substantially all of the risks and rewards of ownership as measured under GAAP. The Company is therefore required to report the landlord's costs of construction on its balance sheet as a fixed asset during the construction period as if the Company owned such asset. As of September 30, 2016, the Company has recorded $105.9 million in fixed assets in connection with this arrangement and an equal and off-setting leasehold financing obligation on the unaudited condensed consolidated statements of financial condition.</w:t>
      </w:r>
    </w:p>
    <w:p>
      <w:pPr>
        <w:spacing w:after="0" w:line="293" w:lineRule="exact"/>
        <w:rPr>
          <w:sz w:val="20"/>
          <w:szCs w:val="20"/>
          <w:color w:val="auto"/>
        </w:rPr>
      </w:pPr>
    </w:p>
    <w:p>
      <w:pPr>
        <w:ind w:left="360" w:hanging="352"/>
        <w:spacing w:after="0"/>
        <w:tabs>
          <w:tab w:leader="none" w:pos="36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Equity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139" w:lineRule="exact"/>
        <w:rPr>
          <w:sz w:val="20"/>
          <w:szCs w:val="20"/>
          <w:color w:val="auto"/>
        </w:rPr>
      </w:pPr>
    </w:p>
    <w:p>
      <w:pPr>
        <w:ind w:right="80" w:firstLine="486"/>
        <w:spacing w:after="0" w:line="256" w:lineRule="auto"/>
        <w:rPr>
          <w:sz w:val="20"/>
          <w:szCs w:val="20"/>
          <w:color w:val="auto"/>
        </w:rPr>
      </w:pPr>
      <w:r>
        <w:rPr>
          <w:rFonts w:ascii="Arial" w:cs="Arial" w:eastAsia="Arial" w:hAnsi="Arial"/>
          <w:sz w:val="18"/>
          <w:szCs w:val="18"/>
          <w:color w:val="auto"/>
        </w:rPr>
        <w:t>The payment, timing, and amount of any dividends are subject to approval by the Company's board of directors ("Board of Directors") as well as certain limits under the Company's credit facilities. Cash dividends per share of common stock and total cash dividends paid on a quarterly basis were as follows for the periods indicated (in millions, except per share data):</w:t>
      </w:r>
    </w:p>
    <w:p>
      <w:pPr>
        <w:spacing w:after="0" w:line="158" w:lineRule="exact"/>
        <w:rPr>
          <w:sz w:val="20"/>
          <w:szCs w:val="20"/>
          <w:color w:val="auto"/>
        </w:rPr>
      </w:pPr>
    </w:p>
    <w:tbl>
      <w:tblPr>
        <w:tblLayout w:type="fixed"/>
        <w:tblInd w:w="320" w:type="dxa"/>
        <w:tblCellMar>
          <w:top w:w="0" w:type="dxa"/>
          <w:left w:w="0" w:type="dxa"/>
          <w:bottom w:w="0" w:type="dxa"/>
          <w:right w:w="0" w:type="dxa"/>
        </w:tblCellMar>
      </w:tblPr>
      <w:tr>
        <w:trPr>
          <w:trHeight w:val="228"/>
        </w:trPr>
        <w:tc>
          <w:tcPr>
            <w:tcW w:w="52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2016</w:t>
            </w:r>
          </w:p>
        </w:tc>
        <w:tc>
          <w:tcPr>
            <w:tcW w:w="11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2015</w:t>
            </w:r>
          </w:p>
        </w:tc>
        <w:tc>
          <w:tcPr>
            <w:tcW w:w="1120" w:type="dxa"/>
            <w:vAlign w:val="bottom"/>
            <w:tcBorders>
              <w:bottom w:val="single" w:sz="8" w:color="auto"/>
            </w:tcBorders>
          </w:tcPr>
          <w:p>
            <w:pPr>
              <w:spacing w:after="0"/>
              <w:rPr>
                <w:sz w:val="19"/>
                <w:szCs w:val="19"/>
                <w:color w:val="auto"/>
              </w:rPr>
            </w:pPr>
          </w:p>
        </w:tc>
      </w:tr>
      <w:tr>
        <w:trPr>
          <w:trHeight w:val="198"/>
        </w:trPr>
        <w:tc>
          <w:tcPr>
            <w:tcW w:w="5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Dividend per</w:t>
            </w:r>
          </w:p>
        </w:tc>
        <w:tc>
          <w:tcPr>
            <w:tcW w:w="180" w:type="dxa"/>
            <w:vAlign w:val="bottom"/>
          </w:tcPr>
          <w:p>
            <w:pPr>
              <w:spacing w:after="0"/>
              <w:rPr>
                <w:sz w:val="17"/>
                <w:szCs w:val="17"/>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Total Cash</w:t>
            </w:r>
          </w:p>
        </w:tc>
        <w:tc>
          <w:tcPr>
            <w:tcW w:w="120" w:type="dxa"/>
            <w:vAlign w:val="bottom"/>
          </w:tcPr>
          <w:p>
            <w:pPr>
              <w:spacing w:after="0"/>
              <w:rPr>
                <w:sz w:val="17"/>
                <w:szCs w:val="17"/>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Dividend per</w:t>
            </w:r>
          </w:p>
        </w:tc>
        <w:tc>
          <w:tcPr>
            <w:tcW w:w="180" w:type="dxa"/>
            <w:vAlign w:val="bottom"/>
          </w:tcPr>
          <w:p>
            <w:pPr>
              <w:spacing w:after="0"/>
              <w:rPr>
                <w:sz w:val="17"/>
                <w:szCs w:val="17"/>
                <w:color w:val="auto"/>
              </w:rPr>
            </w:pPr>
          </w:p>
        </w:tc>
        <w:tc>
          <w:tcPr>
            <w:tcW w:w="1120" w:type="dxa"/>
            <w:vAlign w:val="bottom"/>
          </w:tcPr>
          <w:p>
            <w:pPr>
              <w:jc w:val="right"/>
              <w:ind w:right="179"/>
              <w:spacing w:after="0"/>
              <w:rPr>
                <w:sz w:val="20"/>
                <w:szCs w:val="20"/>
                <w:color w:val="auto"/>
              </w:rPr>
            </w:pPr>
            <w:r>
              <w:rPr>
                <w:rFonts w:ascii="Arial" w:cs="Arial" w:eastAsia="Arial" w:hAnsi="Arial"/>
                <w:sz w:val="16"/>
                <w:szCs w:val="16"/>
                <w:b w:val="1"/>
                <w:bCs w:val="1"/>
                <w:color w:val="auto"/>
              </w:rPr>
              <w:t>Total Cash</w:t>
            </w:r>
          </w:p>
        </w:tc>
      </w:tr>
      <w:tr>
        <w:trPr>
          <w:trHeight w:val="228"/>
        </w:trPr>
        <w:tc>
          <w:tcPr>
            <w:tcW w:w="5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Share</w:t>
            </w:r>
          </w:p>
        </w:tc>
        <w:tc>
          <w:tcPr>
            <w:tcW w:w="180" w:type="dxa"/>
            <w:vAlign w:val="bottom"/>
          </w:tcPr>
          <w:p>
            <w:pPr>
              <w:spacing w:after="0"/>
              <w:rPr>
                <w:sz w:val="19"/>
                <w:szCs w:val="19"/>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Dividend</w:t>
            </w:r>
          </w:p>
        </w:tc>
        <w:tc>
          <w:tcPr>
            <w:tcW w:w="120" w:type="dxa"/>
            <w:vAlign w:val="bottom"/>
          </w:tcPr>
          <w:p>
            <w:pPr>
              <w:spacing w:after="0"/>
              <w:rPr>
                <w:sz w:val="19"/>
                <w:szCs w:val="19"/>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8"/>
              </w:rPr>
              <w:t>Share</w:t>
            </w:r>
          </w:p>
        </w:tc>
        <w:tc>
          <w:tcPr>
            <w:tcW w:w="180" w:type="dxa"/>
            <w:vAlign w:val="bottom"/>
          </w:tcPr>
          <w:p>
            <w:pPr>
              <w:spacing w:after="0"/>
              <w:rPr>
                <w:sz w:val="19"/>
                <w:szCs w:val="19"/>
                <w:color w:val="auto"/>
              </w:rPr>
            </w:pPr>
          </w:p>
        </w:tc>
        <w:tc>
          <w:tcPr>
            <w:tcW w:w="1120" w:type="dxa"/>
            <w:vAlign w:val="bottom"/>
          </w:tcPr>
          <w:p>
            <w:pPr>
              <w:jc w:val="right"/>
              <w:ind w:right="239"/>
              <w:spacing w:after="0"/>
              <w:rPr>
                <w:sz w:val="20"/>
                <w:szCs w:val="20"/>
                <w:color w:val="auto"/>
              </w:rPr>
            </w:pPr>
            <w:r>
              <w:rPr>
                <w:rFonts w:ascii="Arial" w:cs="Arial" w:eastAsia="Arial" w:hAnsi="Arial"/>
                <w:sz w:val="16"/>
                <w:szCs w:val="16"/>
                <w:b w:val="1"/>
                <w:bCs w:val="1"/>
                <w:color w:val="auto"/>
              </w:rPr>
              <w:t>Dividend</w:t>
            </w:r>
          </w:p>
        </w:tc>
      </w:tr>
      <w:tr>
        <w:trPr>
          <w:trHeight w:val="257"/>
        </w:trPr>
        <w:tc>
          <w:tcPr>
            <w:tcW w:w="5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First quarter</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0.25</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22.2</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0.25</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24.2</w:t>
            </w:r>
          </w:p>
        </w:tc>
      </w:tr>
      <w:tr>
        <w:trPr>
          <w:trHeight w:val="260"/>
        </w:trPr>
        <w:tc>
          <w:tcPr>
            <w:tcW w:w="5240" w:type="dxa"/>
            <w:vAlign w:val="bottom"/>
          </w:tcPr>
          <w:p>
            <w:pPr>
              <w:ind w:left="20"/>
              <w:spacing w:after="0"/>
              <w:rPr>
                <w:sz w:val="20"/>
                <w:szCs w:val="20"/>
                <w:color w:val="auto"/>
              </w:rPr>
            </w:pPr>
            <w:r>
              <w:rPr>
                <w:rFonts w:ascii="Arial" w:cs="Arial" w:eastAsia="Arial" w:hAnsi="Arial"/>
                <w:sz w:val="16"/>
                <w:szCs w:val="16"/>
                <w:color w:val="auto"/>
              </w:rPr>
              <w:t>Second quarter</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0.25</w:t>
            </w:r>
          </w:p>
        </w:tc>
        <w:tc>
          <w:tcPr>
            <w:tcW w:w="12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22.3</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0.25</w:t>
            </w:r>
          </w:p>
        </w:tc>
        <w:tc>
          <w:tcPr>
            <w:tcW w:w="12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24.1</w:t>
            </w:r>
          </w:p>
        </w:tc>
      </w:tr>
      <w:tr>
        <w:trPr>
          <w:trHeight w:val="280"/>
        </w:trPr>
        <w:tc>
          <w:tcPr>
            <w:tcW w:w="5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Third quarter</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0.25</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22.3</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0.25</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23.8</w:t>
            </w:r>
          </w:p>
        </w:tc>
      </w:tr>
    </w:tbl>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Repurchases</w:t>
      </w:r>
    </w:p>
    <w:p>
      <w:pPr>
        <w:spacing w:after="0" w:line="247" w:lineRule="exact"/>
        <w:rPr>
          <w:sz w:val="20"/>
          <w:szCs w:val="20"/>
          <w:color w:val="auto"/>
        </w:rPr>
      </w:pPr>
    </w:p>
    <w:p>
      <w:pPr>
        <w:jc w:val="both"/>
        <w:ind w:right="180" w:firstLine="486"/>
        <w:spacing w:after="0" w:line="256" w:lineRule="auto"/>
        <w:rPr>
          <w:sz w:val="20"/>
          <w:szCs w:val="20"/>
          <w:color w:val="auto"/>
        </w:rPr>
      </w:pPr>
      <w:r>
        <w:rPr>
          <w:rFonts w:ascii="Arial" w:cs="Arial" w:eastAsia="Arial" w:hAnsi="Arial"/>
          <w:sz w:val="18"/>
          <w:szCs w:val="18"/>
          <w:color w:val="auto"/>
        </w:rPr>
        <w:t>The Company engages in share repurchase programs, which are approved by the Board of Directors, pursuant to which the Company may repurchase its issued and outstanding shares of common stock from time to time. Repurchased shares are included in treasury stock on the unaudited condensed consolidated statements of</w:t>
      </w:r>
    </w:p>
    <w:p>
      <w:pPr>
        <w:sectPr>
          <w:pgSz w:w="11900" w:h="16838" w:orient="portrait"/>
          <w:cols w:equalWidth="0" w:num="1">
            <w:col w:w="11400"/>
          </w:cols>
          <w:pgMar w:left="240" w:top="441" w:right="259" w:bottom="1440" w:gutter="0" w:footer="0" w:header="0"/>
        </w:sectPr>
      </w:pPr>
    </w:p>
    <w:p>
      <w:pPr>
        <w:spacing w:after="0" w:line="33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36</w:t>
      </w:r>
    </w:p>
    <w:p>
      <w:pPr>
        <w:sectPr>
          <w:pgSz w:w="11900" w:h="16838" w:orient="portrait"/>
          <w:cols w:equalWidth="0" w:num="1">
            <w:col w:w="11400"/>
          </w:cols>
          <w:pgMar w:left="240" w:top="441" w:right="259" w:bottom="1440" w:gutter="0" w:footer="0" w:header="0"/>
          <w:type w:val="continuous"/>
        </w:sectPr>
      </w:pPr>
    </w:p>
    <w:bookmarkStart w:id="40" w:name="page41"/>
    <w:bookmarkEnd w:id="40"/>
    <w:p>
      <w:pPr>
        <w:jc w:val="center"/>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398" w:lineRule="exact"/>
        <w:rPr>
          <w:sz w:val="20"/>
          <w:szCs w:val="20"/>
          <w:color w:val="auto"/>
        </w:rPr>
      </w:pPr>
    </w:p>
    <w:p>
      <w:pPr>
        <w:jc w:val="both"/>
        <w:ind w:right="280"/>
        <w:spacing w:after="0" w:line="256" w:lineRule="auto"/>
        <w:rPr>
          <w:sz w:val="20"/>
          <w:szCs w:val="20"/>
          <w:color w:val="auto"/>
        </w:rPr>
      </w:pPr>
      <w:r>
        <w:rPr>
          <w:rFonts w:ascii="Arial" w:cs="Arial" w:eastAsia="Arial" w:hAnsi="Arial"/>
          <w:sz w:val="18"/>
          <w:szCs w:val="18"/>
          <w:color w:val="auto"/>
        </w:rPr>
        <w:t>financial condition. Purchases may be effected in open market or privately negotiated transactions, including transactions with affiliates, with the timing of purchases and the amount of stock purchased generally determined at the discretion of the Company's management within the constraints of the Credit Agreement and general liquidity needs.</w:t>
      </w:r>
    </w:p>
    <w:p>
      <w:pPr>
        <w:spacing w:after="0" w:line="202" w:lineRule="exact"/>
        <w:rPr>
          <w:sz w:val="20"/>
          <w:szCs w:val="20"/>
          <w:color w:val="auto"/>
        </w:rPr>
      </w:pPr>
    </w:p>
    <w:p>
      <w:pPr>
        <w:ind w:right="20" w:firstLine="486"/>
        <w:spacing w:after="0" w:line="253" w:lineRule="auto"/>
        <w:rPr>
          <w:sz w:val="20"/>
          <w:szCs w:val="20"/>
          <w:color w:val="auto"/>
        </w:rPr>
      </w:pPr>
      <w:r>
        <w:rPr>
          <w:rFonts w:ascii="Arial" w:cs="Arial" w:eastAsia="Arial" w:hAnsi="Arial"/>
          <w:sz w:val="18"/>
          <w:szCs w:val="18"/>
          <w:color w:val="auto"/>
        </w:rPr>
        <w:t>On October 25, 2015 the Board of Directors authorized an increase to the share repurchase program of up to $500.0 million of shares of common stock. During the three months ended September 30, 2016, the Company did not repurchase shares. During the nine months ended September 30, 2016, the Company repurchased a total of 634,651 shares of its common stock at a weighted-average price of $39.41 for a total cost of $25.0 million. As of September 30, 2016, the Company was authorized to purchase up to an additional $225.0 million of shares pursuant to share repurchase programs approved by the Board of Directors.</w:t>
      </w:r>
    </w:p>
    <w:p>
      <w:pPr>
        <w:spacing w:after="0" w:line="292" w:lineRule="exact"/>
        <w:rPr>
          <w:sz w:val="20"/>
          <w:szCs w:val="20"/>
          <w:color w:val="auto"/>
        </w:rPr>
      </w:pPr>
    </w:p>
    <w:p>
      <w:pPr>
        <w:ind w:left="460" w:hanging="452"/>
        <w:spacing w:after="0"/>
        <w:tabs>
          <w:tab w:leader="none" w:pos="46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Compensation</w:t>
      </w:r>
    </w:p>
    <w:p>
      <w:pPr>
        <w:spacing w:after="0" w:line="247" w:lineRule="exact"/>
        <w:rPr>
          <w:sz w:val="20"/>
          <w:szCs w:val="20"/>
          <w:color w:val="auto"/>
        </w:rPr>
      </w:pPr>
    </w:p>
    <w:p>
      <w:pPr>
        <w:ind w:right="240" w:firstLine="486"/>
        <w:spacing w:after="0" w:line="254" w:lineRule="auto"/>
        <w:rPr>
          <w:sz w:val="20"/>
          <w:szCs w:val="20"/>
          <w:color w:val="auto"/>
        </w:rPr>
      </w:pPr>
      <w:r>
        <w:rPr>
          <w:rFonts w:ascii="Arial" w:cs="Arial" w:eastAsia="Arial" w:hAnsi="Arial"/>
          <w:sz w:val="18"/>
          <w:szCs w:val="18"/>
          <w:color w:val="auto"/>
        </w:rPr>
        <w:t>Certain employees, advisors, institutions, officers, and directors of the Company participate in various long-term incentive plans, which provide for granting stock options, warrants, restricted stock awards, and restricted stock units. Stock options and warrants outstanding generally vest in equal increments over a three- to five-year period and expire on the tenth anniversary following the date of grant. Restricted stock awards and restricted stock units outstanding generally vest over a one- to four-year period.</w:t>
      </w:r>
    </w:p>
    <w:p>
      <w:pPr>
        <w:spacing w:after="0" w:line="204" w:lineRule="exact"/>
        <w:rPr>
          <w:sz w:val="20"/>
          <w:szCs w:val="20"/>
          <w:color w:val="auto"/>
        </w:rPr>
      </w:pPr>
    </w:p>
    <w:p>
      <w:pPr>
        <w:ind w:right="80" w:firstLine="486"/>
        <w:spacing w:after="0" w:line="252" w:lineRule="auto"/>
        <w:rPr>
          <w:sz w:val="20"/>
          <w:szCs w:val="20"/>
          <w:color w:val="auto"/>
        </w:rPr>
      </w:pPr>
      <w:r>
        <w:rPr>
          <w:rFonts w:ascii="Arial" w:cs="Arial" w:eastAsia="Arial" w:hAnsi="Arial"/>
          <w:sz w:val="18"/>
          <w:szCs w:val="18"/>
          <w:color w:val="auto"/>
        </w:rPr>
        <w:t>In November 2010, the Company adopted a 2010 Omnibus Equity Incentive Plan (as amended and restated in May 2015, the “2010 Plan”), which provides for the granting of stock options, warrants, restricted stock awards, restricted stock units, and other equity-based compensation. The 2010 Plan serves as the successor to the 2005 Stock Option Plan for Incentive Stock Options, the 2005 Stock Option Plan for Non-qualified Stock Options, the 2008 Advisor and Institution Incentive Plan, the 2008 Stock Option Plan, and the Director Restricted Stock Plan (collectively, the “Predecessor Plans”). Upon adoption of the 2010 Plan, awards were no longer made under the Predecessor Plans; however, awards previously granted under the Predecessor Plans remain outstanding until exercised or forfeited.</w:t>
      </w:r>
    </w:p>
    <w:p>
      <w:pPr>
        <w:spacing w:after="0" w:line="209" w:lineRule="exact"/>
        <w:rPr>
          <w:sz w:val="20"/>
          <w:szCs w:val="20"/>
          <w:color w:val="auto"/>
        </w:rPr>
      </w:pPr>
    </w:p>
    <w:p>
      <w:pPr>
        <w:ind w:right="160" w:firstLine="486"/>
        <w:spacing w:after="0" w:line="256" w:lineRule="auto"/>
        <w:rPr>
          <w:sz w:val="20"/>
          <w:szCs w:val="20"/>
          <w:color w:val="auto"/>
        </w:rPr>
      </w:pPr>
      <w:r>
        <w:rPr>
          <w:rFonts w:ascii="Arial" w:cs="Arial" w:eastAsia="Arial" w:hAnsi="Arial"/>
          <w:sz w:val="18"/>
          <w:szCs w:val="18"/>
          <w:color w:val="auto"/>
        </w:rPr>
        <w:t>There were 20,055,945 shares authorized for grant under the 2010 Plan after the amendment and restatement of the plan in May 2015. There were 8,455,991 shares reserved for issuance upon exercise or conversion of outstanding awards granted, and 9,719,427 shares remaining available for future issuance under the 2010 Plan, as of September 30, 2016.</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 and Warrants</w:t>
      </w:r>
    </w:p>
    <w:p>
      <w:pPr>
        <w:spacing w:after="0" w:line="247" w:lineRule="exact"/>
        <w:rPr>
          <w:sz w:val="20"/>
          <w:szCs w:val="20"/>
          <w:color w:val="auto"/>
        </w:rPr>
      </w:pPr>
    </w:p>
    <w:p>
      <w:pPr>
        <w:ind w:right="160" w:firstLine="486"/>
        <w:spacing w:after="0" w:line="262" w:lineRule="auto"/>
        <w:rPr>
          <w:sz w:val="20"/>
          <w:szCs w:val="20"/>
          <w:color w:val="auto"/>
        </w:rPr>
      </w:pPr>
      <w:r>
        <w:rPr>
          <w:rFonts w:ascii="Arial" w:cs="Arial" w:eastAsia="Arial" w:hAnsi="Arial"/>
          <w:sz w:val="18"/>
          <w:szCs w:val="18"/>
          <w:color w:val="auto"/>
        </w:rPr>
        <w:t>The following table presents the weighted-average assumptions used in the Black-Scholes valuation model by the Company in calculating the fair value of its employee and officer stock options that have been granted during the nine months ended September 30, 2016:</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6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Expected life (in years)</w:t>
            </w:r>
          </w:p>
        </w:tc>
        <w:tc>
          <w:tcPr>
            <w:tcW w:w="438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5.26</w:t>
            </w:r>
          </w:p>
        </w:tc>
      </w:tr>
      <w:tr>
        <w:trPr>
          <w:trHeight w:val="260"/>
        </w:trPr>
        <w:tc>
          <w:tcPr>
            <w:tcW w:w="6260" w:type="dxa"/>
            <w:vAlign w:val="bottom"/>
          </w:tcPr>
          <w:p>
            <w:pPr>
              <w:ind w:left="40"/>
              <w:spacing w:after="0"/>
              <w:rPr>
                <w:sz w:val="20"/>
                <w:szCs w:val="20"/>
                <w:color w:val="auto"/>
              </w:rPr>
            </w:pPr>
            <w:r>
              <w:rPr>
                <w:rFonts w:ascii="Arial" w:cs="Arial" w:eastAsia="Arial" w:hAnsi="Arial"/>
                <w:sz w:val="16"/>
                <w:szCs w:val="16"/>
                <w:color w:val="auto"/>
              </w:rPr>
              <w:t>Expected stock price volatility</w:t>
            </w:r>
          </w:p>
        </w:tc>
        <w:tc>
          <w:tcPr>
            <w:tcW w:w="438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33.38%</w:t>
            </w:r>
          </w:p>
        </w:tc>
      </w:tr>
      <w:tr>
        <w:trPr>
          <w:trHeight w:val="280"/>
        </w:trPr>
        <w:tc>
          <w:tcPr>
            <w:tcW w:w="6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Expected dividend yield</w:t>
            </w:r>
          </w:p>
        </w:tc>
        <w:tc>
          <w:tcPr>
            <w:tcW w:w="438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2.87%</w:t>
            </w:r>
          </w:p>
        </w:tc>
      </w:tr>
      <w:tr>
        <w:trPr>
          <w:trHeight w:val="260"/>
        </w:trPr>
        <w:tc>
          <w:tcPr>
            <w:tcW w:w="6260" w:type="dxa"/>
            <w:vAlign w:val="bottom"/>
          </w:tcPr>
          <w:p>
            <w:pPr>
              <w:ind w:left="40"/>
              <w:spacing w:after="0"/>
              <w:rPr>
                <w:sz w:val="20"/>
                <w:szCs w:val="20"/>
                <w:color w:val="auto"/>
              </w:rPr>
            </w:pPr>
            <w:r>
              <w:rPr>
                <w:rFonts w:ascii="Arial" w:cs="Arial" w:eastAsia="Arial" w:hAnsi="Arial"/>
                <w:sz w:val="16"/>
                <w:szCs w:val="16"/>
                <w:color w:val="auto"/>
              </w:rPr>
              <w:t>Risk-free interest rate</w:t>
            </w:r>
          </w:p>
        </w:tc>
        <w:tc>
          <w:tcPr>
            <w:tcW w:w="438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1.16%</w:t>
            </w:r>
          </w:p>
        </w:tc>
      </w:tr>
      <w:tr>
        <w:trPr>
          <w:trHeight w:val="280"/>
        </w:trPr>
        <w:tc>
          <w:tcPr>
            <w:tcW w:w="6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Fair value of options</w:t>
            </w:r>
          </w:p>
        </w:tc>
        <w:tc>
          <w:tcPr>
            <w:tcW w:w="43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4.59</w:t>
            </w:r>
          </w:p>
        </w:tc>
      </w:tr>
    </w:tbl>
    <w:p>
      <w:pPr>
        <w:spacing w:after="0" w:line="161" w:lineRule="exact"/>
        <w:rPr>
          <w:sz w:val="20"/>
          <w:szCs w:val="20"/>
          <w:color w:val="auto"/>
        </w:rPr>
      </w:pPr>
    </w:p>
    <w:p>
      <w:pPr>
        <w:ind w:right="240" w:firstLine="486"/>
        <w:spacing w:after="0" w:line="256" w:lineRule="auto"/>
        <w:rPr>
          <w:sz w:val="20"/>
          <w:szCs w:val="20"/>
          <w:color w:val="auto"/>
        </w:rPr>
      </w:pPr>
      <w:r>
        <w:rPr>
          <w:rFonts w:ascii="Arial" w:cs="Arial" w:eastAsia="Arial" w:hAnsi="Arial"/>
          <w:sz w:val="18"/>
          <w:szCs w:val="18"/>
          <w:color w:val="auto"/>
        </w:rPr>
        <w:t>The fair value of each stock option or warrant awarded to advisors and financial institutions is estimated on the date of the grant and revalued at each reporting period using the Black-Scholes valuation model with the following weighted-average assumptions used during the nine months ended September 30, 2016:</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6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Expected life (in years)</w:t>
            </w:r>
          </w:p>
        </w:tc>
        <w:tc>
          <w:tcPr>
            <w:tcW w:w="438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5.44</w:t>
            </w:r>
          </w:p>
        </w:tc>
      </w:tr>
      <w:tr>
        <w:trPr>
          <w:trHeight w:val="260"/>
        </w:trPr>
        <w:tc>
          <w:tcPr>
            <w:tcW w:w="6260" w:type="dxa"/>
            <w:vAlign w:val="bottom"/>
          </w:tcPr>
          <w:p>
            <w:pPr>
              <w:ind w:left="40"/>
              <w:spacing w:after="0"/>
              <w:rPr>
                <w:sz w:val="20"/>
                <w:szCs w:val="20"/>
                <w:color w:val="auto"/>
              </w:rPr>
            </w:pPr>
            <w:r>
              <w:rPr>
                <w:rFonts w:ascii="Arial" w:cs="Arial" w:eastAsia="Arial" w:hAnsi="Arial"/>
                <w:sz w:val="16"/>
                <w:szCs w:val="16"/>
                <w:color w:val="auto"/>
              </w:rPr>
              <w:t>Expected stock price volatility</w:t>
            </w:r>
          </w:p>
        </w:tc>
        <w:tc>
          <w:tcPr>
            <w:tcW w:w="438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35.61%</w:t>
            </w:r>
          </w:p>
        </w:tc>
      </w:tr>
      <w:tr>
        <w:trPr>
          <w:trHeight w:val="280"/>
        </w:trPr>
        <w:tc>
          <w:tcPr>
            <w:tcW w:w="6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Expected dividend yield</w:t>
            </w:r>
          </w:p>
        </w:tc>
        <w:tc>
          <w:tcPr>
            <w:tcW w:w="438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3.71%</w:t>
            </w:r>
          </w:p>
        </w:tc>
      </w:tr>
      <w:tr>
        <w:trPr>
          <w:trHeight w:val="260"/>
        </w:trPr>
        <w:tc>
          <w:tcPr>
            <w:tcW w:w="6260" w:type="dxa"/>
            <w:vAlign w:val="bottom"/>
          </w:tcPr>
          <w:p>
            <w:pPr>
              <w:ind w:left="40"/>
              <w:spacing w:after="0"/>
              <w:rPr>
                <w:sz w:val="20"/>
                <w:szCs w:val="20"/>
                <w:color w:val="auto"/>
              </w:rPr>
            </w:pPr>
            <w:r>
              <w:rPr>
                <w:rFonts w:ascii="Arial" w:cs="Arial" w:eastAsia="Arial" w:hAnsi="Arial"/>
                <w:sz w:val="16"/>
                <w:szCs w:val="16"/>
                <w:color w:val="auto"/>
              </w:rPr>
              <w:t>Risk-free interest rate</w:t>
            </w:r>
          </w:p>
        </w:tc>
        <w:tc>
          <w:tcPr>
            <w:tcW w:w="438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1.15%</w:t>
            </w:r>
          </w:p>
        </w:tc>
      </w:tr>
      <w:tr>
        <w:trPr>
          <w:trHeight w:val="280"/>
        </w:trPr>
        <w:tc>
          <w:tcPr>
            <w:tcW w:w="6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Fair value of options</w:t>
            </w:r>
          </w:p>
        </w:tc>
        <w:tc>
          <w:tcPr>
            <w:tcW w:w="43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6.85</w:t>
            </w: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41" w:right="239" w:bottom="1440" w:gutter="0" w:footer="0" w:header="0"/>
        </w:sectPr>
      </w:pPr>
    </w:p>
    <w:bookmarkStart w:id="41" w:name="page42"/>
    <w:bookmarkEnd w:id="41"/>
    <w:p>
      <w:pPr>
        <w:jc w:val="center"/>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the Company’s stock option and warrant activity for the nine months ended September 30, 2016:</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0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Weighted-Average</w:t>
            </w:r>
          </w:p>
        </w:tc>
        <w:tc>
          <w:tcPr>
            <w:tcW w:w="180" w:type="dxa"/>
            <w:vAlign w:val="bottom"/>
          </w:tcPr>
          <w:p>
            <w:pPr>
              <w:spacing w:after="0"/>
              <w:rPr>
                <w:sz w:val="16"/>
                <w:szCs w:val="16"/>
                <w:color w:val="auto"/>
              </w:rPr>
            </w:pPr>
          </w:p>
        </w:tc>
        <w:tc>
          <w:tcPr>
            <w:tcW w:w="1420" w:type="dxa"/>
            <w:vAlign w:val="bottom"/>
          </w:tcPr>
          <w:p>
            <w:pPr>
              <w:jc w:val="center"/>
              <w:ind w:right="99"/>
              <w:spacing w:after="0"/>
              <w:rPr>
                <w:sz w:val="20"/>
                <w:szCs w:val="20"/>
                <w:color w:val="auto"/>
              </w:rPr>
            </w:pPr>
            <w:r>
              <w:rPr>
                <w:rFonts w:ascii="Arial" w:cs="Arial" w:eastAsia="Arial" w:hAnsi="Arial"/>
                <w:sz w:val="16"/>
                <w:szCs w:val="16"/>
                <w:b w:val="1"/>
                <w:bCs w:val="1"/>
                <w:color w:val="auto"/>
              </w:rPr>
              <w:t>Aggregate</w:t>
            </w:r>
          </w:p>
        </w:tc>
      </w:tr>
      <w:tr>
        <w:trPr>
          <w:trHeight w:val="189"/>
        </w:trPr>
        <w:tc>
          <w:tcPr>
            <w:tcW w:w="50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Weighted-</w:t>
            </w:r>
          </w:p>
        </w:tc>
        <w:tc>
          <w:tcPr>
            <w:tcW w:w="20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Remaining</w:t>
            </w:r>
          </w:p>
        </w:tc>
        <w:tc>
          <w:tcPr>
            <w:tcW w:w="180" w:type="dxa"/>
            <w:vAlign w:val="bottom"/>
          </w:tcPr>
          <w:p>
            <w:pPr>
              <w:spacing w:after="0"/>
              <w:rPr>
                <w:sz w:val="16"/>
                <w:szCs w:val="16"/>
                <w:color w:val="auto"/>
              </w:rPr>
            </w:pPr>
          </w:p>
        </w:tc>
        <w:tc>
          <w:tcPr>
            <w:tcW w:w="1420" w:type="dxa"/>
            <w:vAlign w:val="bottom"/>
          </w:tcPr>
          <w:p>
            <w:pPr>
              <w:jc w:val="center"/>
              <w:ind w:right="99"/>
              <w:spacing w:after="0"/>
              <w:rPr>
                <w:sz w:val="20"/>
                <w:szCs w:val="20"/>
                <w:color w:val="auto"/>
              </w:rPr>
            </w:pPr>
            <w:r>
              <w:rPr>
                <w:rFonts w:ascii="Arial" w:cs="Arial" w:eastAsia="Arial" w:hAnsi="Arial"/>
                <w:sz w:val="16"/>
                <w:szCs w:val="16"/>
                <w:b w:val="1"/>
                <w:bCs w:val="1"/>
                <w:color w:val="auto"/>
              </w:rPr>
              <w:t>Intrinsic</w:t>
            </w:r>
          </w:p>
        </w:tc>
      </w:tr>
      <w:tr>
        <w:trPr>
          <w:trHeight w:val="189"/>
        </w:trPr>
        <w:tc>
          <w:tcPr>
            <w:tcW w:w="5040" w:type="dxa"/>
            <w:vAlign w:val="bottom"/>
          </w:tcPr>
          <w:p>
            <w:pPr>
              <w:spacing w:after="0"/>
              <w:rPr>
                <w:sz w:val="16"/>
                <w:szCs w:val="16"/>
                <w:color w:val="auto"/>
              </w:rPr>
            </w:pPr>
          </w:p>
        </w:tc>
        <w:tc>
          <w:tcPr>
            <w:tcW w:w="1260" w:type="dxa"/>
            <w:vAlign w:val="bottom"/>
          </w:tcPr>
          <w:p>
            <w:pPr>
              <w:jc w:val="right"/>
              <w:ind w:right="139"/>
              <w:spacing w:after="0"/>
              <w:rPr>
                <w:sz w:val="20"/>
                <w:szCs w:val="20"/>
                <w:color w:val="auto"/>
              </w:rPr>
            </w:pPr>
            <w:r>
              <w:rPr>
                <w:rFonts w:ascii="Arial" w:cs="Arial" w:eastAsia="Arial" w:hAnsi="Arial"/>
                <w:sz w:val="16"/>
                <w:szCs w:val="16"/>
                <w:b w:val="1"/>
                <w:bCs w:val="1"/>
                <w:color w:val="auto"/>
              </w:rPr>
              <w:t>Number of</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8"/>
              </w:rPr>
              <w:t>Average</w:t>
            </w:r>
          </w:p>
        </w:tc>
        <w:tc>
          <w:tcPr>
            <w:tcW w:w="20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Contractual Term</w:t>
            </w:r>
          </w:p>
        </w:tc>
        <w:tc>
          <w:tcPr>
            <w:tcW w:w="180" w:type="dxa"/>
            <w:vAlign w:val="bottom"/>
          </w:tcPr>
          <w:p>
            <w:pPr>
              <w:spacing w:after="0"/>
              <w:rPr>
                <w:sz w:val="16"/>
                <w:szCs w:val="16"/>
                <w:color w:val="auto"/>
              </w:rPr>
            </w:pPr>
          </w:p>
        </w:tc>
        <w:tc>
          <w:tcPr>
            <w:tcW w:w="1420" w:type="dxa"/>
            <w:vAlign w:val="bottom"/>
          </w:tcPr>
          <w:p>
            <w:pPr>
              <w:jc w:val="center"/>
              <w:ind w:right="119"/>
              <w:spacing w:after="0"/>
              <w:rPr>
                <w:sz w:val="20"/>
                <w:szCs w:val="20"/>
                <w:color w:val="auto"/>
              </w:rPr>
            </w:pPr>
            <w:r>
              <w:rPr>
                <w:rFonts w:ascii="Arial" w:cs="Arial" w:eastAsia="Arial" w:hAnsi="Arial"/>
                <w:sz w:val="16"/>
                <w:szCs w:val="16"/>
                <w:b w:val="1"/>
                <w:bCs w:val="1"/>
                <w:color w:val="auto"/>
                <w:w w:val="98"/>
              </w:rPr>
              <w:t>Value</w:t>
            </w:r>
          </w:p>
        </w:tc>
      </w:tr>
      <w:tr>
        <w:trPr>
          <w:trHeight w:val="228"/>
        </w:trPr>
        <w:tc>
          <w:tcPr>
            <w:tcW w:w="5040" w:type="dxa"/>
            <w:vAlign w:val="bottom"/>
            <w:tcBorders>
              <w:bottom w:val="single" w:sz="8" w:color="CCEEFF"/>
            </w:tcBorders>
          </w:tcPr>
          <w:p>
            <w:pPr>
              <w:spacing w:after="0"/>
              <w:rPr>
                <w:sz w:val="19"/>
                <w:szCs w:val="19"/>
                <w:color w:val="auto"/>
              </w:rPr>
            </w:pPr>
          </w:p>
        </w:tc>
        <w:tc>
          <w:tcPr>
            <w:tcW w:w="12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Shares</w:t>
            </w:r>
          </w:p>
        </w:tc>
        <w:tc>
          <w:tcPr>
            <w:tcW w:w="100" w:type="dxa"/>
            <w:vAlign w:val="bottom"/>
            <w:tcBorders>
              <w:bottom w:val="single" w:sz="8" w:color="CCEEFF"/>
            </w:tcBorders>
          </w:tcPr>
          <w:p>
            <w:pPr>
              <w:spacing w:after="0"/>
              <w:rPr>
                <w:sz w:val="19"/>
                <w:szCs w:val="19"/>
                <w:color w:val="auto"/>
              </w:rPr>
            </w:pPr>
          </w:p>
        </w:tc>
        <w:tc>
          <w:tcPr>
            <w:tcW w:w="126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rPr>
              <w:t>Exercise Price</w:t>
            </w:r>
          </w:p>
        </w:tc>
        <w:tc>
          <w:tcPr>
            <w:tcW w:w="100" w:type="dxa"/>
            <w:vAlign w:val="bottom"/>
            <w:tcBorders>
              <w:bottom w:val="single" w:sz="8" w:color="CCEEFF"/>
            </w:tcBorders>
          </w:tcPr>
          <w:p>
            <w:pPr>
              <w:spacing w:after="0"/>
              <w:rPr>
                <w:sz w:val="19"/>
                <w:szCs w:val="19"/>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(Years)</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rPr>
              <w:t>(In thousands)</w:t>
            </w:r>
          </w:p>
        </w:tc>
      </w:tr>
      <w:tr>
        <w:trPr>
          <w:trHeight w:val="270"/>
        </w:trPr>
        <w:tc>
          <w:tcPr>
            <w:tcW w:w="5040" w:type="dxa"/>
            <w:vAlign w:val="bottom"/>
            <w:shd w:val="clear" w:color="auto" w:fill="CCEEFF"/>
          </w:tcPr>
          <w:p>
            <w:pPr>
              <w:ind w:left="40"/>
              <w:spacing w:after="0"/>
              <w:rPr>
                <w:sz w:val="20"/>
                <w:szCs w:val="20"/>
                <w:color w:val="auto"/>
              </w:rPr>
            </w:pPr>
            <w:r>
              <w:rPr>
                <w:rFonts w:ascii="Arial" w:cs="Arial" w:eastAsia="Arial" w:hAnsi="Arial"/>
                <w:sz w:val="16"/>
                <w:szCs w:val="16"/>
                <w:color w:val="auto"/>
              </w:rPr>
              <w:t>Outstanding — December 31, 2015</w:t>
            </w:r>
          </w:p>
        </w:tc>
        <w:tc>
          <w:tcPr>
            <w:tcW w:w="12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5,716,488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34.31</w:t>
            </w:r>
          </w:p>
        </w:tc>
        <w:tc>
          <w:tcPr>
            <w:tcW w:w="100" w:type="dxa"/>
            <w:vAlign w:val="bottom"/>
            <w:shd w:val="clear" w:color="auto" w:fill="CCEEFF"/>
          </w:tcPr>
          <w:p>
            <w:pPr>
              <w:spacing w:after="0"/>
              <w:rPr>
                <w:sz w:val="23"/>
                <w:szCs w:val="23"/>
                <w:color w:val="auto"/>
              </w:rPr>
            </w:pPr>
          </w:p>
        </w:tc>
        <w:tc>
          <w:tcPr>
            <w:tcW w:w="1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r>
      <w:tr>
        <w:trPr>
          <w:trHeight w:val="260"/>
        </w:trPr>
        <w:tc>
          <w:tcPr>
            <w:tcW w:w="5040" w:type="dxa"/>
            <w:vAlign w:val="bottom"/>
          </w:tcPr>
          <w:p>
            <w:pPr>
              <w:ind w:left="180"/>
              <w:spacing w:after="0"/>
              <w:rPr>
                <w:sz w:val="20"/>
                <w:szCs w:val="20"/>
                <w:color w:val="auto"/>
              </w:rPr>
            </w:pPr>
            <w:r>
              <w:rPr>
                <w:rFonts w:ascii="Arial" w:cs="Arial" w:eastAsia="Arial" w:hAnsi="Arial"/>
                <w:sz w:val="16"/>
                <w:szCs w:val="16"/>
                <w:color w:val="auto"/>
              </w:rPr>
              <w:t>Granted</w:t>
            </w: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2,111,496</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19.98</w:t>
            </w:r>
          </w:p>
        </w:tc>
        <w:tc>
          <w:tcPr>
            <w:tcW w:w="100" w:type="dxa"/>
            <w:vAlign w:val="bottom"/>
          </w:tcPr>
          <w:p>
            <w:pPr>
              <w:spacing w:after="0"/>
              <w:rPr>
                <w:sz w:val="22"/>
                <w:szCs w:val="22"/>
                <w:color w:val="auto"/>
              </w:rPr>
            </w:pPr>
          </w:p>
        </w:tc>
        <w:tc>
          <w:tcPr>
            <w:tcW w:w="1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20" w:type="dxa"/>
            <w:vAlign w:val="bottom"/>
          </w:tcPr>
          <w:p>
            <w:pPr>
              <w:spacing w:after="0"/>
              <w:rPr>
                <w:sz w:val="22"/>
                <w:szCs w:val="22"/>
                <w:color w:val="auto"/>
              </w:rPr>
            </w:pPr>
          </w:p>
        </w:tc>
      </w:tr>
      <w:tr>
        <w:trPr>
          <w:trHeight w:val="280"/>
        </w:trPr>
        <w:tc>
          <w:tcPr>
            <w:tcW w:w="50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Exercised</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(57,297)</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23.08</w:t>
            </w:r>
          </w:p>
        </w:tc>
        <w:tc>
          <w:tcPr>
            <w:tcW w:w="100" w:type="dxa"/>
            <w:vAlign w:val="bottom"/>
            <w:shd w:val="clear" w:color="auto" w:fill="CCEEFF"/>
          </w:tcPr>
          <w:p>
            <w:pPr>
              <w:spacing w:after="0"/>
              <w:rPr>
                <w:sz w:val="24"/>
                <w:szCs w:val="24"/>
                <w:color w:val="auto"/>
              </w:rPr>
            </w:pPr>
          </w:p>
        </w:tc>
        <w:tc>
          <w:tcPr>
            <w:tcW w:w="1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r>
      <w:tr>
        <w:trPr>
          <w:trHeight w:val="264"/>
        </w:trPr>
        <w:tc>
          <w:tcPr>
            <w:tcW w:w="504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Forfeited</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(406,804)</w:t>
            </w:r>
          </w:p>
        </w:tc>
        <w:tc>
          <w:tcPr>
            <w:tcW w:w="28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tcPr>
          <w:p>
            <w:pPr>
              <w:jc w:val="right"/>
              <w:ind w:right="39"/>
              <w:spacing w:after="0"/>
              <w:rPr>
                <w:sz w:val="20"/>
                <w:szCs w:val="20"/>
                <w:color w:val="auto"/>
              </w:rPr>
            </w:pPr>
            <w:r>
              <w:rPr>
                <w:rFonts w:ascii="Arial" w:cs="Arial" w:eastAsia="Arial" w:hAnsi="Arial"/>
                <w:sz w:val="16"/>
                <w:szCs w:val="16"/>
                <w:color w:val="auto"/>
              </w:rPr>
              <w:t>32.21</w:t>
            </w:r>
          </w:p>
        </w:tc>
        <w:tc>
          <w:tcPr>
            <w:tcW w:w="100" w:type="dxa"/>
            <w:vAlign w:val="bottom"/>
            <w:tcBorders>
              <w:bottom w:val="single" w:sz="8" w:color="CCEEFF"/>
            </w:tcBorders>
          </w:tcPr>
          <w:p>
            <w:pPr>
              <w:spacing w:after="0"/>
              <w:rPr>
                <w:sz w:val="22"/>
                <w:szCs w:val="22"/>
                <w:color w:val="auto"/>
              </w:rPr>
            </w:pPr>
          </w:p>
        </w:tc>
        <w:tc>
          <w:tcPr>
            <w:tcW w:w="19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1420" w:type="dxa"/>
            <w:vAlign w:val="bottom"/>
            <w:tcBorders>
              <w:bottom w:val="single" w:sz="8" w:color="CCEEFF"/>
            </w:tcBorders>
          </w:tcPr>
          <w:p>
            <w:pPr>
              <w:spacing w:after="0"/>
              <w:rPr>
                <w:sz w:val="22"/>
                <w:szCs w:val="22"/>
                <w:color w:val="auto"/>
              </w:rPr>
            </w:pPr>
          </w:p>
        </w:tc>
      </w:tr>
      <w:tr>
        <w:trPr>
          <w:trHeight w:val="24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Outstanding — September 30, 2016</w:t>
            </w:r>
          </w:p>
        </w:tc>
        <w:tc>
          <w:tcPr>
            <w:tcW w:w="12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7,363,883</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30.40</w:t>
            </w:r>
          </w:p>
        </w:tc>
        <w:tc>
          <w:tcPr>
            <w:tcW w:w="100" w:type="dxa"/>
            <w:vAlign w:val="bottom"/>
            <w:tcBorders>
              <w:bottom w:val="single" w:sz="8" w:color="CCEEFF"/>
            </w:tcBorders>
            <w:shd w:val="clear" w:color="auto" w:fill="CCEEFF"/>
          </w:tcPr>
          <w:p>
            <w:pPr>
              <w:spacing w:after="0"/>
              <w:rPr>
                <w:sz w:val="20"/>
                <w:szCs w:val="20"/>
                <w:color w:val="auto"/>
              </w:rPr>
            </w:pPr>
          </w:p>
        </w:tc>
        <w:tc>
          <w:tcPr>
            <w:tcW w:w="19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6.48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29,358</w:t>
            </w:r>
          </w:p>
        </w:tc>
      </w:tr>
      <w:tr>
        <w:trPr>
          <w:trHeight w:val="20"/>
        </w:trPr>
        <w:tc>
          <w:tcPr>
            <w:tcW w:w="50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264"/>
        </w:trPr>
        <w:tc>
          <w:tcPr>
            <w:tcW w:w="50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Exercisable — September 30, 2016</w:t>
            </w:r>
          </w:p>
        </w:tc>
        <w:tc>
          <w:tcPr>
            <w:tcW w:w="12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4,036,019</w:t>
            </w:r>
          </w:p>
        </w:tc>
        <w:tc>
          <w:tcPr>
            <w:tcW w:w="28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tcPr>
          <w:p>
            <w:pPr>
              <w:jc w:val="right"/>
              <w:ind w:right="39"/>
              <w:spacing w:after="0"/>
              <w:rPr>
                <w:sz w:val="20"/>
                <w:szCs w:val="20"/>
                <w:color w:val="auto"/>
              </w:rPr>
            </w:pPr>
            <w:r>
              <w:rPr>
                <w:rFonts w:ascii="Arial" w:cs="Arial" w:eastAsia="Arial" w:hAnsi="Arial"/>
                <w:sz w:val="16"/>
                <w:szCs w:val="16"/>
                <w:color w:val="auto"/>
              </w:rPr>
              <w:t>32.03</w:t>
            </w:r>
          </w:p>
        </w:tc>
        <w:tc>
          <w:tcPr>
            <w:tcW w:w="100" w:type="dxa"/>
            <w:vAlign w:val="bottom"/>
            <w:tcBorders>
              <w:bottom w:val="single" w:sz="8" w:color="CCEEFF"/>
            </w:tcBorders>
          </w:tcPr>
          <w:p>
            <w:pPr>
              <w:spacing w:after="0"/>
              <w:rPr>
                <w:sz w:val="22"/>
                <w:szCs w:val="22"/>
                <w:color w:val="auto"/>
              </w:rPr>
            </w:pPr>
          </w:p>
        </w:tc>
        <w:tc>
          <w:tcPr>
            <w:tcW w:w="1940" w:type="dxa"/>
            <w:vAlign w:val="bottom"/>
            <w:tcBorders>
              <w:bottom w:val="single" w:sz="8" w:color="CCEEFF"/>
            </w:tcBorders>
          </w:tcPr>
          <w:p>
            <w:pPr>
              <w:jc w:val="center"/>
              <w:spacing w:after="0"/>
              <w:rPr>
                <w:sz w:val="20"/>
                <w:szCs w:val="20"/>
                <w:color w:val="auto"/>
              </w:rPr>
            </w:pPr>
            <w:r>
              <w:rPr>
                <w:rFonts w:ascii="Arial" w:cs="Arial" w:eastAsia="Arial" w:hAnsi="Arial"/>
                <w:sz w:val="16"/>
                <w:szCs w:val="16"/>
                <w:color w:val="auto"/>
              </w:rPr>
              <w:t>4.73</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9,289</w:t>
            </w:r>
          </w:p>
        </w:tc>
      </w:tr>
      <w:tr>
        <w:trPr>
          <w:trHeight w:val="224"/>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Exercisable and expected to vest — September 30, 2016</w:t>
            </w:r>
          </w:p>
        </w:tc>
        <w:tc>
          <w:tcPr>
            <w:tcW w:w="12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7,155,596</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30.60</w:t>
            </w:r>
          </w:p>
        </w:tc>
        <w:tc>
          <w:tcPr>
            <w:tcW w:w="100" w:type="dxa"/>
            <w:vAlign w:val="bottom"/>
            <w:tcBorders>
              <w:bottom w:val="single" w:sz="8" w:color="CCEEFF"/>
            </w:tcBorders>
            <w:shd w:val="clear" w:color="auto" w:fill="CCEEFF"/>
          </w:tcPr>
          <w:p>
            <w:pPr>
              <w:spacing w:after="0"/>
              <w:rPr>
                <w:sz w:val="19"/>
                <w:szCs w:val="19"/>
                <w:color w:val="auto"/>
              </w:rPr>
            </w:pPr>
          </w:p>
        </w:tc>
        <w:tc>
          <w:tcPr>
            <w:tcW w:w="19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6.40</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27,603</w:t>
            </w:r>
          </w:p>
        </w:tc>
      </w:tr>
      <w:tr>
        <w:trPr>
          <w:trHeight w:val="20"/>
        </w:trPr>
        <w:tc>
          <w:tcPr>
            <w:tcW w:w="50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information about outstanding stock options and warrants at September 30, 2016:</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Outstanding</w:t>
            </w:r>
          </w:p>
        </w:tc>
        <w:tc>
          <w:tcPr>
            <w:tcW w:w="15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480" w:type="dxa"/>
            <w:vAlign w:val="bottom"/>
            <w:tcBorders>
              <w:bottom w:val="single" w:sz="8" w:color="auto"/>
            </w:tcBorders>
            <w:gridSpan w:val="4"/>
          </w:tcPr>
          <w:p>
            <w:pPr>
              <w:jc w:val="right"/>
              <w:ind w:right="699"/>
              <w:spacing w:after="0"/>
              <w:rPr>
                <w:sz w:val="20"/>
                <w:szCs w:val="20"/>
                <w:color w:val="auto"/>
              </w:rPr>
            </w:pPr>
            <w:r>
              <w:rPr>
                <w:rFonts w:ascii="Arial" w:cs="Arial" w:eastAsia="Arial" w:hAnsi="Arial"/>
                <w:sz w:val="16"/>
                <w:szCs w:val="16"/>
                <w:b w:val="1"/>
                <w:bCs w:val="1"/>
                <w:color w:val="auto"/>
              </w:rPr>
              <w:t>Exercisable</w:t>
            </w:r>
          </w:p>
        </w:tc>
      </w:tr>
      <w:tr>
        <w:trPr>
          <w:trHeight w:val="198"/>
        </w:trPr>
        <w:tc>
          <w:tcPr>
            <w:tcW w:w="4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center"/>
              <w:ind w:right="199"/>
              <w:spacing w:after="0"/>
              <w:rPr>
                <w:sz w:val="20"/>
                <w:szCs w:val="20"/>
                <w:color w:val="auto"/>
              </w:rPr>
            </w:pPr>
            <w:r>
              <w:rPr>
                <w:rFonts w:ascii="Arial" w:cs="Arial" w:eastAsia="Arial" w:hAnsi="Arial"/>
                <w:sz w:val="16"/>
                <w:szCs w:val="16"/>
                <w:b w:val="1"/>
                <w:bCs w:val="1"/>
                <w:color w:val="auto"/>
              </w:rPr>
              <w:t>Weighted-</w:t>
            </w:r>
          </w:p>
        </w:tc>
        <w:tc>
          <w:tcPr>
            <w:tcW w:w="1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center"/>
              <w:ind w:right="79"/>
              <w:spacing w:after="0"/>
              <w:rPr>
                <w:sz w:val="20"/>
                <w:szCs w:val="20"/>
                <w:color w:val="auto"/>
              </w:rPr>
            </w:pPr>
            <w:r>
              <w:rPr>
                <w:rFonts w:ascii="Arial" w:cs="Arial" w:eastAsia="Arial" w:hAnsi="Arial"/>
                <w:sz w:val="16"/>
                <w:szCs w:val="16"/>
                <w:b w:val="1"/>
                <w:bCs w:val="1"/>
                <w:color w:val="auto"/>
              </w:rPr>
              <w:t>Weighted-</w:t>
            </w:r>
          </w:p>
        </w:tc>
      </w:tr>
      <w:tr>
        <w:trPr>
          <w:trHeight w:val="189"/>
        </w:trPr>
        <w:tc>
          <w:tcPr>
            <w:tcW w:w="4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center"/>
              <w:ind w:right="199"/>
              <w:spacing w:after="0"/>
              <w:rPr>
                <w:sz w:val="20"/>
                <w:szCs w:val="20"/>
                <w:color w:val="auto"/>
              </w:rPr>
            </w:pPr>
            <w:r>
              <w:rPr>
                <w:rFonts w:ascii="Arial" w:cs="Arial" w:eastAsia="Arial" w:hAnsi="Arial"/>
                <w:sz w:val="16"/>
                <w:szCs w:val="16"/>
                <w:b w:val="1"/>
                <w:bCs w:val="1"/>
                <w:color w:val="auto"/>
                <w:w w:val="98"/>
              </w:rPr>
              <w:t>Average</w:t>
            </w:r>
          </w:p>
        </w:tc>
        <w:tc>
          <w:tcPr>
            <w:tcW w:w="168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rPr>
              <w:t>Weighted-Average</w:t>
            </w: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jc w:val="center"/>
              <w:ind w:right="79"/>
              <w:spacing w:after="0"/>
              <w:rPr>
                <w:sz w:val="20"/>
                <w:szCs w:val="20"/>
                <w:color w:val="auto"/>
              </w:rPr>
            </w:pPr>
            <w:r>
              <w:rPr>
                <w:rFonts w:ascii="Arial" w:cs="Arial" w:eastAsia="Arial" w:hAnsi="Arial"/>
                <w:sz w:val="16"/>
                <w:szCs w:val="16"/>
                <w:b w:val="1"/>
                <w:bCs w:val="1"/>
                <w:color w:val="auto"/>
                <w:w w:val="98"/>
              </w:rPr>
              <w:t>Average</w:t>
            </w:r>
          </w:p>
        </w:tc>
      </w:tr>
      <w:tr>
        <w:trPr>
          <w:trHeight w:val="189"/>
        </w:trPr>
        <w:tc>
          <w:tcPr>
            <w:tcW w:w="4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Pr>
          <w:p>
            <w:pPr>
              <w:jc w:val="right"/>
              <w:ind w:right="159"/>
              <w:spacing w:after="0"/>
              <w:rPr>
                <w:sz w:val="20"/>
                <w:szCs w:val="20"/>
                <w:color w:val="auto"/>
              </w:rPr>
            </w:pPr>
            <w:r>
              <w:rPr>
                <w:rFonts w:ascii="Arial" w:cs="Arial" w:eastAsia="Arial" w:hAnsi="Arial"/>
                <w:sz w:val="16"/>
                <w:szCs w:val="16"/>
                <w:b w:val="1"/>
                <w:bCs w:val="1"/>
                <w:color w:val="auto"/>
              </w:rPr>
              <w:t>Number of</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center"/>
              <w:ind w:right="199"/>
              <w:spacing w:after="0"/>
              <w:rPr>
                <w:sz w:val="20"/>
                <w:szCs w:val="20"/>
                <w:color w:val="auto"/>
              </w:rPr>
            </w:pPr>
            <w:r>
              <w:rPr>
                <w:rFonts w:ascii="Arial" w:cs="Arial" w:eastAsia="Arial" w:hAnsi="Arial"/>
                <w:sz w:val="16"/>
                <w:szCs w:val="16"/>
                <w:b w:val="1"/>
                <w:bCs w:val="1"/>
                <w:color w:val="auto"/>
              </w:rPr>
              <w:t>Exercise</w:t>
            </w:r>
          </w:p>
        </w:tc>
        <w:tc>
          <w:tcPr>
            <w:tcW w:w="168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rPr>
              <w:t>Remaining Life</w:t>
            </w:r>
          </w:p>
        </w:tc>
        <w:tc>
          <w:tcPr>
            <w:tcW w:w="1240" w:type="dxa"/>
            <w:vAlign w:val="bottom"/>
          </w:tcPr>
          <w:p>
            <w:pPr>
              <w:jc w:val="right"/>
              <w:ind w:right="139"/>
              <w:spacing w:after="0"/>
              <w:rPr>
                <w:sz w:val="20"/>
                <w:szCs w:val="20"/>
                <w:color w:val="auto"/>
              </w:rPr>
            </w:pPr>
            <w:r>
              <w:rPr>
                <w:rFonts w:ascii="Arial" w:cs="Arial" w:eastAsia="Arial" w:hAnsi="Arial"/>
                <w:sz w:val="16"/>
                <w:szCs w:val="16"/>
                <w:b w:val="1"/>
                <w:bCs w:val="1"/>
                <w:color w:val="auto"/>
              </w:rPr>
              <w:t>Number of</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jc w:val="center"/>
              <w:ind w:right="79"/>
              <w:spacing w:after="0"/>
              <w:rPr>
                <w:sz w:val="20"/>
                <w:szCs w:val="20"/>
                <w:color w:val="auto"/>
              </w:rPr>
            </w:pPr>
            <w:r>
              <w:rPr>
                <w:rFonts w:ascii="Arial" w:cs="Arial" w:eastAsia="Arial" w:hAnsi="Arial"/>
                <w:sz w:val="16"/>
                <w:szCs w:val="16"/>
                <w:b w:val="1"/>
                <w:bCs w:val="1"/>
                <w:color w:val="auto"/>
              </w:rPr>
              <w:t>Exercise</w:t>
            </w:r>
          </w:p>
        </w:tc>
      </w:tr>
      <w:tr>
        <w:trPr>
          <w:trHeight w:val="228"/>
        </w:trPr>
        <w:tc>
          <w:tcPr>
            <w:tcW w:w="4460" w:type="dxa"/>
            <w:vAlign w:val="bottom"/>
            <w:tcBorders>
              <w:bottom w:val="single" w:sz="8" w:color="auto"/>
            </w:tcBorders>
          </w:tcPr>
          <w:p>
            <w:pPr>
              <w:jc w:val="right"/>
              <w:ind w:right="2399"/>
              <w:spacing w:after="0"/>
              <w:rPr>
                <w:sz w:val="20"/>
                <w:szCs w:val="20"/>
                <w:color w:val="auto"/>
              </w:rPr>
            </w:pPr>
            <w:r>
              <w:rPr>
                <w:rFonts w:ascii="Arial" w:cs="Arial" w:eastAsia="Arial" w:hAnsi="Arial"/>
                <w:sz w:val="16"/>
                <w:szCs w:val="16"/>
                <w:b w:val="1"/>
                <w:bCs w:val="1"/>
                <w:color w:val="auto"/>
              </w:rPr>
              <w:t>Range of Exercise Prices</w:t>
            </w:r>
          </w:p>
        </w:tc>
        <w:tc>
          <w:tcPr>
            <w:tcW w:w="12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Shares</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center"/>
              <w:ind w:right="199"/>
              <w:spacing w:after="0"/>
              <w:rPr>
                <w:sz w:val="20"/>
                <w:szCs w:val="20"/>
                <w:color w:val="auto"/>
              </w:rPr>
            </w:pPr>
            <w:r>
              <w:rPr>
                <w:rFonts w:ascii="Arial" w:cs="Arial" w:eastAsia="Arial" w:hAnsi="Arial"/>
                <w:sz w:val="16"/>
                <w:szCs w:val="16"/>
                <w:b w:val="1"/>
                <w:bCs w:val="1"/>
                <w:color w:val="auto"/>
                <w:w w:val="96"/>
              </w:rPr>
              <w:t>Price</w:t>
            </w: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(Years)</w:t>
            </w:r>
          </w:p>
        </w:tc>
        <w:tc>
          <w:tcPr>
            <w:tcW w:w="12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Shares</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rPr>
              <w:t>Price</w:t>
            </w:r>
          </w:p>
        </w:tc>
      </w:tr>
      <w:tr>
        <w:trPr>
          <w:trHeight w:val="270"/>
        </w:trPr>
        <w:tc>
          <w:tcPr>
            <w:tcW w:w="4460" w:type="dxa"/>
            <w:vAlign w:val="bottom"/>
            <w:shd w:val="clear" w:color="auto" w:fill="CCEEFF"/>
          </w:tcPr>
          <w:p>
            <w:pPr>
              <w:jc w:val="right"/>
              <w:ind w:right="3079"/>
              <w:spacing w:after="0"/>
              <w:rPr>
                <w:sz w:val="20"/>
                <w:szCs w:val="20"/>
                <w:color w:val="auto"/>
              </w:rPr>
            </w:pPr>
            <w:r>
              <w:rPr>
                <w:rFonts w:ascii="Arial" w:cs="Arial" w:eastAsia="Arial" w:hAnsi="Arial"/>
                <w:sz w:val="16"/>
                <w:szCs w:val="16"/>
                <w:color w:val="auto"/>
              </w:rPr>
              <w:t>$18.04 - $23.02</w:t>
            </w: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2,825,874</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20.32</w:t>
            </w:r>
          </w:p>
        </w:tc>
        <w:tc>
          <w:tcPr>
            <w:tcW w:w="15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6"/>
              </w:rPr>
              <w:t>7.31</w:t>
            </w: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888,828</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21.34</w:t>
            </w:r>
          </w:p>
        </w:tc>
      </w:tr>
      <w:tr>
        <w:trPr>
          <w:trHeight w:val="260"/>
        </w:trPr>
        <w:tc>
          <w:tcPr>
            <w:tcW w:w="4460" w:type="dxa"/>
            <w:vAlign w:val="bottom"/>
          </w:tcPr>
          <w:p>
            <w:pPr>
              <w:jc w:val="right"/>
              <w:ind w:right="3079"/>
              <w:spacing w:after="0"/>
              <w:rPr>
                <w:sz w:val="20"/>
                <w:szCs w:val="20"/>
                <w:color w:val="auto"/>
              </w:rPr>
            </w:pPr>
            <w:r>
              <w:rPr>
                <w:rFonts w:ascii="Arial" w:cs="Arial" w:eastAsia="Arial" w:hAnsi="Arial"/>
                <w:sz w:val="16"/>
                <w:szCs w:val="16"/>
                <w:color w:val="auto"/>
              </w:rPr>
              <w:t>$23.41 - $30.00</w:t>
            </w:r>
          </w:p>
        </w:tc>
        <w:tc>
          <w:tcPr>
            <w:tcW w:w="120" w:type="dxa"/>
            <w:vAlign w:val="bottom"/>
          </w:tcPr>
          <w:p>
            <w:pPr>
              <w:spacing w:after="0"/>
              <w:rPr>
                <w:sz w:val="22"/>
                <w:szCs w:val="22"/>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1,235,102</w:t>
            </w:r>
          </w:p>
        </w:tc>
        <w:tc>
          <w:tcPr>
            <w:tcW w:w="26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59"/>
              <w:spacing w:after="0"/>
              <w:rPr>
                <w:sz w:val="20"/>
                <w:szCs w:val="20"/>
                <w:color w:val="auto"/>
              </w:rPr>
            </w:pPr>
            <w:r>
              <w:rPr>
                <w:rFonts w:ascii="Arial" w:cs="Arial" w:eastAsia="Arial" w:hAnsi="Arial"/>
                <w:sz w:val="16"/>
                <w:szCs w:val="16"/>
                <w:color w:val="auto"/>
              </w:rPr>
              <w:t>28.11</w:t>
            </w:r>
          </w:p>
        </w:tc>
        <w:tc>
          <w:tcPr>
            <w:tcW w:w="1560" w:type="dxa"/>
            <w:vAlign w:val="bottom"/>
          </w:tcPr>
          <w:p>
            <w:pPr>
              <w:jc w:val="center"/>
              <w:spacing w:after="0"/>
              <w:rPr>
                <w:sz w:val="20"/>
                <w:szCs w:val="20"/>
                <w:color w:val="auto"/>
              </w:rPr>
            </w:pPr>
            <w:r>
              <w:rPr>
                <w:rFonts w:ascii="Arial" w:cs="Arial" w:eastAsia="Arial" w:hAnsi="Arial"/>
                <w:sz w:val="16"/>
                <w:szCs w:val="16"/>
                <w:color w:val="auto"/>
                <w:w w:val="96"/>
              </w:rPr>
              <w:t>4.46</w:t>
            </w:r>
          </w:p>
        </w:tc>
        <w:tc>
          <w:tcPr>
            <w:tcW w:w="120" w:type="dxa"/>
            <w:vAlign w:val="bottom"/>
          </w:tcPr>
          <w:p>
            <w:pPr>
              <w:spacing w:after="0"/>
              <w:rPr>
                <w:sz w:val="22"/>
                <w:szCs w:val="22"/>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934,889</w:t>
            </w:r>
          </w:p>
        </w:tc>
        <w:tc>
          <w:tcPr>
            <w:tcW w:w="2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28.14</w:t>
            </w:r>
          </w:p>
        </w:tc>
      </w:tr>
      <w:tr>
        <w:trPr>
          <w:trHeight w:val="280"/>
        </w:trPr>
        <w:tc>
          <w:tcPr>
            <w:tcW w:w="4460" w:type="dxa"/>
            <w:vAlign w:val="bottom"/>
            <w:shd w:val="clear" w:color="auto" w:fill="CCEEFF"/>
          </w:tcPr>
          <w:p>
            <w:pPr>
              <w:jc w:val="right"/>
              <w:ind w:right="3079"/>
              <w:spacing w:after="0"/>
              <w:rPr>
                <w:sz w:val="20"/>
                <w:szCs w:val="20"/>
                <w:color w:val="auto"/>
              </w:rPr>
            </w:pPr>
            <w:r>
              <w:rPr>
                <w:rFonts w:ascii="Arial" w:cs="Arial" w:eastAsia="Arial" w:hAnsi="Arial"/>
                <w:sz w:val="16"/>
                <w:szCs w:val="16"/>
                <w:color w:val="auto"/>
              </w:rPr>
              <w:t>$31.60 - $32.33</w:t>
            </w:r>
          </w:p>
        </w:tc>
        <w:tc>
          <w:tcPr>
            <w:tcW w:w="12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1,001,970</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31.88</w:t>
            </w:r>
          </w:p>
        </w:tc>
        <w:tc>
          <w:tcPr>
            <w:tcW w:w="15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6"/>
              </w:rPr>
              <w:t>5.93</w:t>
            </w: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767,427</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31.89</w:t>
            </w:r>
          </w:p>
        </w:tc>
      </w:tr>
      <w:tr>
        <w:trPr>
          <w:trHeight w:val="260"/>
        </w:trPr>
        <w:tc>
          <w:tcPr>
            <w:tcW w:w="4460" w:type="dxa"/>
            <w:vAlign w:val="bottom"/>
          </w:tcPr>
          <w:p>
            <w:pPr>
              <w:jc w:val="right"/>
              <w:ind w:right="3079"/>
              <w:spacing w:after="0"/>
              <w:rPr>
                <w:sz w:val="20"/>
                <w:szCs w:val="20"/>
                <w:color w:val="auto"/>
              </w:rPr>
            </w:pPr>
            <w:r>
              <w:rPr>
                <w:rFonts w:ascii="Arial" w:cs="Arial" w:eastAsia="Arial" w:hAnsi="Arial"/>
                <w:sz w:val="16"/>
                <w:szCs w:val="16"/>
                <w:color w:val="auto"/>
              </w:rPr>
              <w:t>$34.01 - $39.60</w:t>
            </w:r>
          </w:p>
        </w:tc>
        <w:tc>
          <w:tcPr>
            <w:tcW w:w="120" w:type="dxa"/>
            <w:vAlign w:val="bottom"/>
          </w:tcPr>
          <w:p>
            <w:pPr>
              <w:spacing w:after="0"/>
              <w:rPr>
                <w:sz w:val="22"/>
                <w:szCs w:val="22"/>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827,693</w:t>
            </w:r>
          </w:p>
        </w:tc>
        <w:tc>
          <w:tcPr>
            <w:tcW w:w="26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59"/>
              <w:spacing w:after="0"/>
              <w:rPr>
                <w:sz w:val="20"/>
                <w:szCs w:val="20"/>
                <w:color w:val="auto"/>
              </w:rPr>
            </w:pPr>
            <w:r>
              <w:rPr>
                <w:rFonts w:ascii="Arial" w:cs="Arial" w:eastAsia="Arial" w:hAnsi="Arial"/>
                <w:sz w:val="16"/>
                <w:szCs w:val="16"/>
                <w:color w:val="auto"/>
              </w:rPr>
              <w:t>34.58</w:t>
            </w:r>
          </w:p>
        </w:tc>
        <w:tc>
          <w:tcPr>
            <w:tcW w:w="1560" w:type="dxa"/>
            <w:vAlign w:val="bottom"/>
          </w:tcPr>
          <w:p>
            <w:pPr>
              <w:jc w:val="center"/>
              <w:spacing w:after="0"/>
              <w:rPr>
                <w:sz w:val="20"/>
                <w:szCs w:val="20"/>
                <w:color w:val="auto"/>
              </w:rPr>
            </w:pPr>
            <w:r>
              <w:rPr>
                <w:rFonts w:ascii="Arial" w:cs="Arial" w:eastAsia="Arial" w:hAnsi="Arial"/>
                <w:sz w:val="16"/>
                <w:szCs w:val="16"/>
                <w:color w:val="auto"/>
                <w:w w:val="96"/>
              </w:rPr>
              <w:t>4.43</w:t>
            </w:r>
          </w:p>
        </w:tc>
        <w:tc>
          <w:tcPr>
            <w:tcW w:w="120" w:type="dxa"/>
            <w:vAlign w:val="bottom"/>
          </w:tcPr>
          <w:p>
            <w:pPr>
              <w:spacing w:after="0"/>
              <w:rPr>
                <w:sz w:val="22"/>
                <w:szCs w:val="22"/>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816,292</w:t>
            </w:r>
          </w:p>
        </w:tc>
        <w:tc>
          <w:tcPr>
            <w:tcW w:w="2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34.53</w:t>
            </w:r>
          </w:p>
        </w:tc>
      </w:tr>
      <w:tr>
        <w:trPr>
          <w:trHeight w:val="273"/>
        </w:trPr>
        <w:tc>
          <w:tcPr>
            <w:tcW w:w="4460" w:type="dxa"/>
            <w:vAlign w:val="bottom"/>
            <w:shd w:val="clear" w:color="auto" w:fill="CCEEFF"/>
          </w:tcPr>
          <w:p>
            <w:pPr>
              <w:jc w:val="right"/>
              <w:ind w:right="3079"/>
              <w:spacing w:after="0"/>
              <w:rPr>
                <w:sz w:val="20"/>
                <w:szCs w:val="20"/>
                <w:color w:val="auto"/>
              </w:rPr>
            </w:pPr>
            <w:r>
              <w:rPr>
                <w:rFonts w:ascii="Arial" w:cs="Arial" w:eastAsia="Arial" w:hAnsi="Arial"/>
                <w:sz w:val="16"/>
                <w:szCs w:val="16"/>
                <w:color w:val="auto"/>
              </w:rPr>
              <w:t>$42.60 - $54.81</w:t>
            </w:r>
          </w:p>
        </w:tc>
        <w:tc>
          <w:tcPr>
            <w:tcW w:w="120" w:type="dxa"/>
            <w:vAlign w:val="bottom"/>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1,473,244</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48.31</w:t>
            </w:r>
          </w:p>
        </w:tc>
        <w:tc>
          <w:tcPr>
            <w:tcW w:w="15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6"/>
              </w:rPr>
              <w:t>8.13</w:t>
            </w:r>
          </w:p>
        </w:tc>
        <w:tc>
          <w:tcPr>
            <w:tcW w:w="120" w:type="dxa"/>
            <w:vAlign w:val="bottom"/>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628,583</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49.87</w:t>
            </w:r>
          </w:p>
        </w:tc>
      </w:tr>
      <w:tr>
        <w:trPr>
          <w:trHeight w:val="240"/>
        </w:trPr>
        <w:tc>
          <w:tcPr>
            <w:tcW w:w="4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7,363,883</w:t>
            </w:r>
          </w:p>
        </w:tc>
        <w:tc>
          <w:tcPr>
            <w:tcW w:w="26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59"/>
              <w:spacing w:after="0"/>
              <w:rPr>
                <w:sz w:val="20"/>
                <w:szCs w:val="20"/>
                <w:color w:val="auto"/>
              </w:rPr>
            </w:pPr>
            <w:r>
              <w:rPr>
                <w:rFonts w:ascii="Arial" w:cs="Arial" w:eastAsia="Arial" w:hAnsi="Arial"/>
                <w:sz w:val="16"/>
                <w:szCs w:val="16"/>
                <w:color w:val="auto"/>
              </w:rPr>
              <w:t>30.40</w:t>
            </w:r>
          </w:p>
        </w:tc>
        <w:tc>
          <w:tcPr>
            <w:tcW w:w="1560" w:type="dxa"/>
            <w:vAlign w:val="bottom"/>
          </w:tcPr>
          <w:p>
            <w:pPr>
              <w:jc w:val="center"/>
              <w:spacing w:after="0"/>
              <w:rPr>
                <w:sz w:val="20"/>
                <w:szCs w:val="20"/>
                <w:color w:val="auto"/>
              </w:rPr>
            </w:pPr>
            <w:r>
              <w:rPr>
                <w:rFonts w:ascii="Arial" w:cs="Arial" w:eastAsia="Arial" w:hAnsi="Arial"/>
                <w:sz w:val="16"/>
                <w:szCs w:val="16"/>
                <w:color w:val="auto"/>
                <w:w w:val="96"/>
              </w:rPr>
              <w:t>6.48</w:t>
            </w:r>
          </w:p>
        </w:tc>
        <w:tc>
          <w:tcPr>
            <w:tcW w:w="120" w:type="dxa"/>
            <w:vAlign w:val="bottom"/>
          </w:tcPr>
          <w:p>
            <w:pPr>
              <w:spacing w:after="0"/>
              <w:rPr>
                <w:sz w:val="20"/>
                <w:szCs w:val="20"/>
                <w:color w:val="auto"/>
              </w:rPr>
            </w:pPr>
          </w:p>
        </w:tc>
        <w:tc>
          <w:tcPr>
            <w:tcW w:w="1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4,036,019</w:t>
            </w:r>
          </w:p>
        </w:tc>
        <w:tc>
          <w:tcPr>
            <w:tcW w:w="2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32.03</w:t>
            </w:r>
          </w:p>
        </w:tc>
      </w:tr>
      <w:tr>
        <w:trPr>
          <w:trHeight w:val="20"/>
        </w:trPr>
        <w:tc>
          <w:tcPr>
            <w:tcW w:w="4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bl>
    <w:p>
      <w:pPr>
        <w:spacing w:after="0" w:line="269" w:lineRule="exact"/>
        <w:rPr>
          <w:sz w:val="20"/>
          <w:szCs w:val="20"/>
          <w:color w:val="auto"/>
        </w:rPr>
      </w:pPr>
    </w:p>
    <w:p>
      <w:pPr>
        <w:ind w:right="200" w:firstLine="486"/>
        <w:spacing w:after="0" w:line="252" w:lineRule="auto"/>
        <w:rPr>
          <w:sz w:val="20"/>
          <w:szCs w:val="20"/>
          <w:color w:val="auto"/>
        </w:rPr>
      </w:pPr>
      <w:r>
        <w:rPr>
          <w:rFonts w:ascii="Arial" w:cs="Arial" w:eastAsia="Arial" w:hAnsi="Arial"/>
          <w:sz w:val="18"/>
          <w:szCs w:val="18"/>
          <w:color w:val="auto"/>
        </w:rPr>
        <w:t>The Company recognizes share -based compensation for stock options awarded to employees and officers based on the grant date fair value over the requisite service period of the award, which generally equals the vesting period. The Company recognized share-based compensation related to the vesting of these awards of $2.3 million and $4.1 million during the three months ended September 30, 2016 and 2015, respectively, and $8.5 million and $12.4 million during the nine months ended September 30, 2016 and 2015, respectively, which is included in compensation and benefits expense on the unaudited condensed consolidated statements of income. As of September 30, 2016, total unrecognized compensation cost related to non-vested stock options granted to employees and officers was $10.0 million, which is expected to be recognized over a weighted-average period of 1.78 years.</w:t>
      </w:r>
    </w:p>
    <w:p>
      <w:pPr>
        <w:spacing w:after="0" w:line="207" w:lineRule="exact"/>
        <w:rPr>
          <w:sz w:val="20"/>
          <w:szCs w:val="20"/>
          <w:color w:val="auto"/>
        </w:rPr>
      </w:pPr>
    </w:p>
    <w:p>
      <w:pPr>
        <w:ind w:right="80" w:firstLine="486"/>
        <w:spacing w:after="0" w:line="252" w:lineRule="auto"/>
        <w:rPr>
          <w:sz w:val="20"/>
          <w:szCs w:val="20"/>
          <w:color w:val="auto"/>
        </w:rPr>
      </w:pPr>
      <w:r>
        <w:rPr>
          <w:rFonts w:ascii="Arial" w:cs="Arial" w:eastAsia="Arial" w:hAnsi="Arial"/>
          <w:sz w:val="18"/>
          <w:szCs w:val="18"/>
          <w:color w:val="auto"/>
        </w:rPr>
        <w:t>During 2011 and 2012 the Company granted stock options and warrants to its advisors and financial institutions. Share-based compensation for these awards is based on the fair value of the awards at each reporting period. The Company recognized share-based compensation of $ 0.6 million and $0.1 million during the three months ended September 30, 2016 and 2015, respectively, and $0.3 million and $1.8 million during the nine months ended September 30, 2016 and 2015, respectively, related to the vesting of stock options and warrants awarded to its advisors and financial institutions, which is classified within commission and advisory expense on the unaudited condensed consolidated statements of income. As of September 30, 2016, total unrecognized compensation cost related to non-vested stock options and warrants granted to advisors and financial institutions was $0.8 million, which is expected to be recognized over a weighted-average period of 1.05 years.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41" w:right="239" w:bottom="1440" w:gutter="0" w:footer="0" w:header="0"/>
        </w:sectPr>
      </w:pPr>
    </w:p>
    <w:bookmarkStart w:id="42" w:name="page43"/>
    <w:bookmarkEnd w:id="42"/>
    <w:p>
      <w:pPr>
        <w:jc w:val="center"/>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w:t>
      </w:r>
    </w:p>
    <w:p>
      <w:pPr>
        <w:spacing w:after="0" w:line="30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summarizes the Company’s activity in its restricted stock awards and restricted stock units for the nine months ended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2016:</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080" w:type="dxa"/>
            <w:vAlign w:val="bottom"/>
          </w:tcPr>
          <w:p>
            <w:pPr>
              <w:spacing w:after="0"/>
              <w:rPr>
                <w:sz w:val="19"/>
                <w:szCs w:val="19"/>
                <w:color w:val="auto"/>
              </w:rPr>
            </w:pPr>
          </w:p>
        </w:tc>
        <w:tc>
          <w:tcPr>
            <w:tcW w:w="2620" w:type="dxa"/>
            <w:vAlign w:val="bottom"/>
            <w:tcBorders>
              <w:bottom w:val="single" w:sz="8" w:color="auto"/>
            </w:tcBorders>
            <w:gridSpan w:val="4"/>
          </w:tcPr>
          <w:p>
            <w:pPr>
              <w:jc w:val="right"/>
              <w:ind w:right="259"/>
              <w:spacing w:after="0"/>
              <w:rPr>
                <w:sz w:val="20"/>
                <w:szCs w:val="20"/>
                <w:color w:val="auto"/>
              </w:rPr>
            </w:pPr>
            <w:r>
              <w:rPr>
                <w:rFonts w:ascii="Arial" w:cs="Arial" w:eastAsia="Arial" w:hAnsi="Arial"/>
                <w:sz w:val="16"/>
                <w:szCs w:val="16"/>
                <w:b w:val="1"/>
                <w:bCs w:val="1"/>
                <w:color w:val="auto"/>
              </w:rPr>
              <w:t>Restricted Stock Awards</w:t>
            </w:r>
          </w:p>
        </w:tc>
        <w:tc>
          <w:tcPr>
            <w:tcW w:w="120" w:type="dxa"/>
            <w:vAlign w:val="bottom"/>
          </w:tcPr>
          <w:p>
            <w:pPr>
              <w:spacing w:after="0"/>
              <w:rPr>
                <w:sz w:val="19"/>
                <w:szCs w:val="19"/>
                <w:color w:val="auto"/>
              </w:rPr>
            </w:pPr>
          </w:p>
        </w:tc>
        <w:tc>
          <w:tcPr>
            <w:tcW w:w="2600" w:type="dxa"/>
            <w:vAlign w:val="bottom"/>
            <w:tcBorders>
              <w:bottom w:val="single" w:sz="8" w:color="auto"/>
            </w:tcBorders>
            <w:gridSpan w:val="4"/>
          </w:tcPr>
          <w:p>
            <w:pPr>
              <w:jc w:val="right"/>
              <w:ind w:right="339"/>
              <w:spacing w:after="0"/>
              <w:rPr>
                <w:sz w:val="20"/>
                <w:szCs w:val="20"/>
                <w:color w:val="auto"/>
              </w:rPr>
            </w:pPr>
            <w:r>
              <w:rPr>
                <w:rFonts w:ascii="Arial" w:cs="Arial" w:eastAsia="Arial" w:hAnsi="Arial"/>
                <w:sz w:val="16"/>
                <w:szCs w:val="16"/>
                <w:b w:val="1"/>
                <w:bCs w:val="1"/>
                <w:color w:val="auto"/>
              </w:rPr>
              <w:t>Restricted Stock Units</w:t>
            </w:r>
          </w:p>
        </w:tc>
      </w:tr>
      <w:tr>
        <w:trPr>
          <w:trHeight w:val="198"/>
        </w:trPr>
        <w:tc>
          <w:tcPr>
            <w:tcW w:w="60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Weighted-</w:t>
            </w: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center"/>
              <w:ind w:right="79"/>
              <w:spacing w:after="0"/>
              <w:rPr>
                <w:sz w:val="20"/>
                <w:szCs w:val="20"/>
                <w:color w:val="auto"/>
              </w:rPr>
            </w:pPr>
            <w:r>
              <w:rPr>
                <w:rFonts w:ascii="Arial" w:cs="Arial" w:eastAsia="Arial" w:hAnsi="Arial"/>
                <w:sz w:val="16"/>
                <w:szCs w:val="16"/>
                <w:b w:val="1"/>
                <w:bCs w:val="1"/>
                <w:color w:val="auto"/>
              </w:rPr>
              <w:t>Weighted-</w:t>
            </w:r>
          </w:p>
        </w:tc>
      </w:tr>
      <w:tr>
        <w:trPr>
          <w:trHeight w:val="189"/>
        </w:trPr>
        <w:tc>
          <w:tcPr>
            <w:tcW w:w="60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Average</w:t>
            </w: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center"/>
              <w:ind w:right="79"/>
              <w:spacing w:after="0"/>
              <w:rPr>
                <w:sz w:val="20"/>
                <w:szCs w:val="20"/>
                <w:color w:val="auto"/>
              </w:rPr>
            </w:pPr>
            <w:r>
              <w:rPr>
                <w:rFonts w:ascii="Arial" w:cs="Arial" w:eastAsia="Arial" w:hAnsi="Arial"/>
                <w:sz w:val="16"/>
                <w:szCs w:val="16"/>
                <w:b w:val="1"/>
                <w:bCs w:val="1"/>
                <w:color w:val="auto"/>
                <w:w w:val="98"/>
              </w:rPr>
              <w:t>Average</w:t>
            </w:r>
          </w:p>
        </w:tc>
      </w:tr>
      <w:tr>
        <w:trPr>
          <w:trHeight w:val="189"/>
        </w:trPr>
        <w:tc>
          <w:tcPr>
            <w:tcW w:w="6080" w:type="dxa"/>
            <w:vAlign w:val="bottom"/>
          </w:tcPr>
          <w:p>
            <w:pPr>
              <w:spacing w:after="0"/>
              <w:rPr>
                <w:sz w:val="16"/>
                <w:szCs w:val="16"/>
                <w:color w:val="auto"/>
              </w:rPr>
            </w:pPr>
          </w:p>
        </w:tc>
        <w:tc>
          <w:tcPr>
            <w:tcW w:w="1260" w:type="dxa"/>
            <w:vAlign w:val="bottom"/>
          </w:tcPr>
          <w:p>
            <w:pPr>
              <w:jc w:val="right"/>
              <w:ind w:right="139"/>
              <w:spacing w:after="0"/>
              <w:rPr>
                <w:sz w:val="20"/>
                <w:szCs w:val="20"/>
                <w:color w:val="auto"/>
              </w:rPr>
            </w:pPr>
            <w:r>
              <w:rPr>
                <w:rFonts w:ascii="Arial" w:cs="Arial" w:eastAsia="Arial" w:hAnsi="Arial"/>
                <w:sz w:val="16"/>
                <w:szCs w:val="16"/>
                <w:b w:val="1"/>
                <w:bCs w:val="1"/>
                <w:color w:val="auto"/>
              </w:rPr>
              <w:t>Number of</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Grant-Date</w:t>
            </w:r>
          </w:p>
        </w:tc>
        <w:tc>
          <w:tcPr>
            <w:tcW w:w="1240" w:type="dxa"/>
            <w:vAlign w:val="bottom"/>
          </w:tcPr>
          <w:p>
            <w:pPr>
              <w:jc w:val="right"/>
              <w:ind w:right="139"/>
              <w:spacing w:after="0"/>
              <w:rPr>
                <w:sz w:val="20"/>
                <w:szCs w:val="20"/>
                <w:color w:val="auto"/>
              </w:rPr>
            </w:pPr>
            <w:r>
              <w:rPr>
                <w:rFonts w:ascii="Arial" w:cs="Arial" w:eastAsia="Arial" w:hAnsi="Arial"/>
                <w:sz w:val="16"/>
                <w:szCs w:val="16"/>
                <w:b w:val="1"/>
                <w:bCs w:val="1"/>
                <w:color w:val="auto"/>
              </w:rPr>
              <w:t>Number of</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center"/>
              <w:ind w:right="59"/>
              <w:spacing w:after="0"/>
              <w:rPr>
                <w:sz w:val="20"/>
                <w:szCs w:val="20"/>
                <w:color w:val="auto"/>
              </w:rPr>
            </w:pPr>
            <w:r>
              <w:rPr>
                <w:rFonts w:ascii="Arial" w:cs="Arial" w:eastAsia="Arial" w:hAnsi="Arial"/>
                <w:sz w:val="16"/>
                <w:szCs w:val="16"/>
                <w:b w:val="1"/>
                <w:bCs w:val="1"/>
                <w:color w:val="auto"/>
              </w:rPr>
              <w:t>Grant-Date</w:t>
            </w:r>
          </w:p>
        </w:tc>
      </w:tr>
      <w:tr>
        <w:trPr>
          <w:trHeight w:val="228"/>
        </w:trPr>
        <w:tc>
          <w:tcPr>
            <w:tcW w:w="6080" w:type="dxa"/>
            <w:vAlign w:val="bottom"/>
            <w:tcBorders>
              <w:bottom w:val="single" w:sz="8" w:color="CCEEFF"/>
            </w:tcBorders>
          </w:tcPr>
          <w:p>
            <w:pPr>
              <w:spacing w:after="0"/>
              <w:rPr>
                <w:sz w:val="19"/>
                <w:szCs w:val="19"/>
                <w:color w:val="auto"/>
              </w:rPr>
            </w:pPr>
          </w:p>
        </w:tc>
        <w:tc>
          <w:tcPr>
            <w:tcW w:w="12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Shares</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99"/>
              </w:rPr>
              <w:t>Fair Value</w:t>
            </w:r>
          </w:p>
        </w:tc>
        <w:tc>
          <w:tcPr>
            <w:tcW w:w="12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Shares</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rPr>
              <w:t>Fair Value</w:t>
            </w:r>
          </w:p>
        </w:tc>
      </w:tr>
      <w:tr>
        <w:trPr>
          <w:trHeight w:val="257"/>
        </w:trPr>
        <w:tc>
          <w:tcPr>
            <w:tcW w:w="6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Nonvested — December 31, 2015</w:t>
            </w:r>
          </w:p>
        </w:tc>
        <w:tc>
          <w:tcPr>
            <w:tcW w:w="12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41,476</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43.99</w:t>
            </w:r>
          </w:p>
        </w:tc>
        <w:tc>
          <w:tcPr>
            <w:tcW w:w="12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636,701</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43.32</w:t>
            </w:r>
          </w:p>
        </w:tc>
      </w:tr>
      <w:tr>
        <w:trPr>
          <w:trHeight w:val="260"/>
        </w:trPr>
        <w:tc>
          <w:tcPr>
            <w:tcW w:w="6080" w:type="dxa"/>
            <w:vAlign w:val="bottom"/>
          </w:tcPr>
          <w:p>
            <w:pPr>
              <w:ind w:left="120"/>
              <w:spacing w:after="0"/>
              <w:rPr>
                <w:sz w:val="20"/>
                <w:szCs w:val="20"/>
                <w:color w:val="auto"/>
              </w:rPr>
            </w:pPr>
            <w:r>
              <w:rPr>
                <w:rFonts w:ascii="Arial" w:cs="Arial" w:eastAsia="Arial" w:hAnsi="Arial"/>
                <w:sz w:val="16"/>
                <w:szCs w:val="16"/>
                <w:color w:val="auto"/>
              </w:rPr>
              <w:t>Granted</w:t>
            </w: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555,930</w:t>
            </w:r>
          </w:p>
        </w:tc>
        <w:tc>
          <w:tcPr>
            <w:tcW w:w="2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19.74</w:t>
            </w:r>
          </w:p>
        </w:tc>
      </w:tr>
      <w:tr>
        <w:trPr>
          <w:trHeight w:val="280"/>
        </w:trPr>
        <w:tc>
          <w:tcPr>
            <w:tcW w:w="60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Vested</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(36,881)</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44.35</w:t>
            </w: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(140,110)</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43.34</w:t>
            </w:r>
          </w:p>
        </w:tc>
      </w:tr>
      <w:tr>
        <w:trPr>
          <w:trHeight w:val="264"/>
        </w:trPr>
        <w:tc>
          <w:tcPr>
            <w:tcW w:w="608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Forfeited</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(3,185)</w:t>
            </w:r>
          </w:p>
        </w:tc>
        <w:tc>
          <w:tcPr>
            <w:tcW w:w="280" w:type="dxa"/>
            <w:vAlign w:val="bottom"/>
            <w:tcBorders>
              <w:bottom w:val="single" w:sz="8" w:color="CCEEFF"/>
            </w:tcBorders>
            <w:gridSpan w:val="2"/>
          </w:tcPr>
          <w:p>
            <w:pPr>
              <w:jc w:val="right"/>
              <w:ind w:right="60"/>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tcPr>
          <w:p>
            <w:pPr>
              <w:jc w:val="right"/>
              <w:ind w:right="19"/>
              <w:spacing w:after="0"/>
              <w:rPr>
                <w:sz w:val="20"/>
                <w:szCs w:val="20"/>
                <w:color w:val="auto"/>
              </w:rPr>
            </w:pPr>
            <w:r>
              <w:rPr>
                <w:rFonts w:ascii="Arial" w:cs="Arial" w:eastAsia="Arial" w:hAnsi="Arial"/>
                <w:sz w:val="16"/>
                <w:szCs w:val="16"/>
                <w:color w:val="auto"/>
              </w:rPr>
              <w:t>40.81</w:t>
            </w:r>
          </w:p>
        </w:tc>
        <w:tc>
          <w:tcPr>
            <w:tcW w:w="12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(62,367)</w:t>
            </w:r>
          </w:p>
        </w:tc>
        <w:tc>
          <w:tcPr>
            <w:tcW w:w="26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tcPr>
          <w:p>
            <w:pPr>
              <w:jc w:val="right"/>
              <w:ind w:right="19"/>
              <w:spacing w:after="0"/>
              <w:rPr>
                <w:sz w:val="20"/>
                <w:szCs w:val="20"/>
                <w:color w:val="auto"/>
              </w:rPr>
            </w:pPr>
            <w:r>
              <w:rPr>
                <w:rFonts w:ascii="Arial" w:cs="Arial" w:eastAsia="Arial" w:hAnsi="Arial"/>
                <w:sz w:val="16"/>
                <w:szCs w:val="16"/>
                <w:color w:val="auto"/>
              </w:rPr>
              <w:t>33.14</w:t>
            </w:r>
          </w:p>
        </w:tc>
      </w:tr>
      <w:tr>
        <w:trPr>
          <w:trHeight w:val="24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Nonvested — September 30, 2016</w:t>
            </w:r>
          </w:p>
        </w:tc>
        <w:tc>
          <w:tcPr>
            <w:tcW w:w="12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1,410</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41.91</w:t>
            </w: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990,154</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30.72</w:t>
            </w:r>
          </w:p>
        </w:tc>
      </w:tr>
      <w:tr>
        <w:trPr>
          <w:trHeight w:val="20"/>
        </w:trPr>
        <w:tc>
          <w:tcPr>
            <w:tcW w:w="60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24"/>
        </w:trPr>
        <w:tc>
          <w:tcPr>
            <w:tcW w:w="6080" w:type="dxa"/>
            <w:vAlign w:val="bottom"/>
          </w:tcPr>
          <w:p>
            <w:pPr>
              <w:ind w:left="40"/>
              <w:spacing w:after="0"/>
              <w:rPr>
                <w:sz w:val="20"/>
                <w:szCs w:val="20"/>
                <w:color w:val="auto"/>
              </w:rPr>
            </w:pPr>
            <w:r>
              <w:rPr>
                <w:rFonts w:ascii="Arial" w:cs="Arial" w:eastAsia="Arial" w:hAnsi="Arial"/>
                <w:sz w:val="16"/>
                <w:szCs w:val="16"/>
                <w:color w:val="auto"/>
              </w:rPr>
              <w:t>Expected to vest — September 30, 2016</w:t>
            </w:r>
          </w:p>
        </w:tc>
        <w:tc>
          <w:tcPr>
            <w:tcW w:w="12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1,409</w:t>
            </w:r>
          </w:p>
        </w:tc>
        <w:tc>
          <w:tcPr>
            <w:tcW w:w="2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41.91</w:t>
            </w:r>
          </w:p>
        </w:tc>
        <w:tc>
          <w:tcPr>
            <w:tcW w:w="120" w:type="dxa"/>
            <w:vAlign w:val="bottom"/>
          </w:tcPr>
          <w:p>
            <w:pPr>
              <w:spacing w:after="0"/>
              <w:rPr>
                <w:sz w:val="19"/>
                <w:szCs w:val="19"/>
                <w:color w:val="auto"/>
              </w:rPr>
            </w:pPr>
          </w:p>
        </w:tc>
        <w:tc>
          <w:tcPr>
            <w:tcW w:w="1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906,799</w:t>
            </w:r>
          </w:p>
        </w:tc>
        <w:tc>
          <w:tcPr>
            <w:tcW w:w="2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31.24</w:t>
            </w:r>
          </w:p>
        </w:tc>
      </w:tr>
      <w:tr>
        <w:trPr>
          <w:trHeight w:val="20"/>
        </w:trPr>
        <w:tc>
          <w:tcPr>
            <w:tcW w:w="60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bl>
    <w:p>
      <w:pPr>
        <w:spacing w:after="0" w:line="107" w:lineRule="exact"/>
        <w:rPr>
          <w:sz w:val="20"/>
          <w:szCs w:val="20"/>
          <w:color w:val="auto"/>
        </w:rPr>
      </w:pPr>
    </w:p>
    <w:p>
      <w:pPr>
        <w:ind w:right="80" w:firstLine="486"/>
        <w:spacing w:after="0" w:line="251" w:lineRule="auto"/>
        <w:rPr>
          <w:sz w:val="20"/>
          <w:szCs w:val="20"/>
          <w:color w:val="auto"/>
        </w:rPr>
      </w:pPr>
      <w:r>
        <w:rPr>
          <w:rFonts w:ascii="Arial" w:cs="Arial" w:eastAsia="Arial" w:hAnsi="Arial"/>
          <w:sz w:val="18"/>
          <w:szCs w:val="18"/>
          <w:color w:val="auto"/>
        </w:rPr>
        <w:t>The Company grants restricted stock awards to its directors and restricted stock units to its employees and officers. Both restricted stock awards and restricted stock units must vest or else are subject to forfeiture; however, restricted stock awards are included in our shares outstanding upon grant and have the same dividend and voting rights as our common stock. Share-based compensation is based on the grant date fair value and recognized over the requisite service period of the award, which generally equals the vesting period. The Company recognized $2.0 million and $2.0 million of share-based compensation related to the vesting of these restricted stock awards and restricted stock units during the three months ended September 30, 2016 and 2015, respectively, and $6.5 million and $6.4 million during the nine months ended September 30, 2016 and 2015, respectively, which is included in compensation and benefits expense on the unaudited condensed consolidated statements of income. As of September 30, 2016, total unrecognized compensation cost for restricted stock awards granted to directors and restricted stock units granted to employees and officers was $11.2 million, which is expected to be recognized over a weighted-average remaining period of 1.89 years.</w:t>
      </w:r>
    </w:p>
    <w:p>
      <w:pPr>
        <w:spacing w:after="0" w:line="212" w:lineRule="exact"/>
        <w:rPr>
          <w:sz w:val="20"/>
          <w:szCs w:val="20"/>
          <w:color w:val="auto"/>
        </w:rPr>
      </w:pPr>
    </w:p>
    <w:p>
      <w:pPr>
        <w:ind w:right="20" w:firstLine="486"/>
        <w:spacing w:after="0" w:line="252" w:lineRule="auto"/>
        <w:rPr>
          <w:sz w:val="20"/>
          <w:szCs w:val="20"/>
          <w:color w:val="auto"/>
        </w:rPr>
      </w:pPr>
      <w:r>
        <w:rPr>
          <w:rFonts w:ascii="Arial" w:cs="Arial" w:eastAsia="Arial" w:hAnsi="Arial"/>
          <w:sz w:val="18"/>
          <w:szCs w:val="18"/>
          <w:color w:val="auto"/>
        </w:rPr>
        <w:t>The Company also grants restricted stock units to its advisors and to financial institutions. Share-based compensation is based on the fair value of the awards at each reporting period. The Company recognized share-based compensation of $1.7 million and $0.4 million related to the vesting of these restricted stock units during the three months ended September 30, 2016 and 2015, respectively, and $1.0 million and $1.5 million during the nine months ended September 30, 2016 and 2015, respectively, which is classified within commission and advisory expense on the unaudited condensed consolidated statements of income. As of September 30, 2016, total unrecognized compensation cost for restricted stock units granted to advisors and financial institutions was $5.5 million, which is expected to be recognized over a weighted-average remaining period of 2.06 years.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41" w:right="239" w:bottom="1440" w:gutter="0" w:footer="0" w:header="0"/>
        </w:sectPr>
      </w:pPr>
    </w:p>
    <w:bookmarkStart w:id="43" w:name="page44"/>
    <w:bookmarkEnd w:id="43"/>
    <w:p>
      <w:pPr>
        <w:jc w:val="center"/>
        <w:ind w:right="-19"/>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376" w:lineRule="exact"/>
        <w:rPr>
          <w:sz w:val="20"/>
          <w:szCs w:val="20"/>
          <w:color w:val="auto"/>
        </w:rPr>
      </w:pPr>
    </w:p>
    <w:p>
      <w:pPr>
        <w:ind w:left="460" w:hanging="452"/>
        <w:spacing w:after="0"/>
        <w:tabs>
          <w:tab w:leader="none" w:pos="46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247" w:lineRule="exact"/>
        <w:rPr>
          <w:sz w:val="20"/>
          <w:szCs w:val="20"/>
          <w:color w:val="auto"/>
        </w:rPr>
      </w:pPr>
    </w:p>
    <w:p>
      <w:pPr>
        <w:ind w:firstLine="486"/>
        <w:spacing w:after="0" w:line="253" w:lineRule="auto"/>
        <w:rPr>
          <w:sz w:val="20"/>
          <w:szCs w:val="20"/>
          <w:color w:val="auto"/>
        </w:rPr>
      </w:pPr>
      <w:r>
        <w:rPr>
          <w:rFonts w:ascii="Arial" w:cs="Arial" w:eastAsia="Arial" w:hAnsi="Arial"/>
          <w:sz w:val="18"/>
          <w:szCs w:val="18"/>
          <w:color w:val="auto"/>
        </w:rPr>
        <w:t>Basic earnings per share is computed by dividing net income available to common stockholders by the weighted-average number of shares of common stock outstanding during the period. The computation of diluted earnings per share is similar to the computation of basic earnings per share, except that the denominator is increased to include the number of additional shares of common stock that would have been outstanding if dilutive potential shares of common stock had been issued. The calculation of basic and diluted earnings per share is as follows (in thousands, except per share data):</w:t>
      </w:r>
    </w:p>
    <w:p>
      <w:pPr>
        <w:sectPr>
          <w:pgSz w:w="11900" w:h="16838" w:orient="portrait"/>
          <w:cols w:equalWidth="0" w:num="1">
            <w:col w:w="11420"/>
          </w:cols>
          <w:pgMar w:left="240" w:top="44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40"/>
        <w:spacing w:after="0"/>
        <w:rPr>
          <w:sz w:val="20"/>
          <w:szCs w:val="20"/>
          <w:color w:val="auto"/>
        </w:rPr>
      </w:pPr>
      <w:r>
        <w:rPr>
          <w:rFonts w:ascii="Arial" w:cs="Arial" w:eastAsia="Arial" w:hAnsi="Arial"/>
          <w:sz w:val="16"/>
          <w:szCs w:val="16"/>
          <w:color w:val="auto"/>
        </w:rPr>
        <w:t>Net income</w:t>
      </w:r>
    </w:p>
    <w:p>
      <w:pPr>
        <w:spacing w:after="0" w:line="200" w:lineRule="exact"/>
        <w:rPr>
          <w:sz w:val="20"/>
          <w:szCs w:val="20"/>
          <w:color w:val="auto"/>
        </w:rPr>
      </w:pPr>
    </w:p>
    <w:p>
      <w:pPr>
        <w:spacing w:after="0" w:line="237" w:lineRule="exact"/>
        <w:rPr>
          <w:sz w:val="20"/>
          <w:szCs w:val="20"/>
          <w:color w:val="auto"/>
        </w:rPr>
      </w:pPr>
    </w:p>
    <w:p>
      <w:pPr>
        <w:ind w:left="40" w:right="1380"/>
        <w:spacing w:after="0" w:line="352" w:lineRule="auto"/>
        <w:rPr>
          <w:sz w:val="20"/>
          <w:szCs w:val="20"/>
          <w:color w:val="auto"/>
        </w:rPr>
      </w:pPr>
      <w:r>
        <w:rPr>
          <w:rFonts w:ascii="Arial" w:cs="Arial" w:eastAsia="Arial" w:hAnsi="Arial"/>
          <w:sz w:val="16"/>
          <w:szCs w:val="16"/>
          <w:color w:val="auto"/>
        </w:rPr>
        <w:t>Basic weighted-average number of shares outstanding Dilutive common share equivalents</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6"/>
          <w:szCs w:val="16"/>
          <w:color w:val="auto"/>
        </w:rPr>
        <w:t>Diluted weighted-average number of shares outstanding</w:t>
      </w:r>
    </w:p>
    <w:p>
      <w:pPr>
        <w:spacing w:after="0" w:line="20" w:lineRule="exact"/>
        <w:rPr>
          <w:sz w:val="20"/>
          <w:szCs w:val="20"/>
          <w:color w:val="auto"/>
        </w:rPr>
      </w:pPr>
      <w:r>
        <w:rPr>
          <w:sz w:val="20"/>
          <w:szCs w:val="20"/>
          <w:color w:val="auto"/>
        </w:rPr>
        <w:br w:type="column"/>
      </w:r>
    </w:p>
    <w:p>
      <w:pPr>
        <w:spacing w:after="0" w:line="11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9"/>
        </w:trPr>
        <w:tc>
          <w:tcPr>
            <w:tcW w:w="2740" w:type="dxa"/>
            <w:vAlign w:val="bottom"/>
            <w:gridSpan w:val="7"/>
          </w:tcPr>
          <w:p>
            <w:pPr>
              <w:jc w:val="center"/>
              <w:ind w:right="80"/>
              <w:spacing w:after="0"/>
              <w:rPr>
                <w:sz w:val="20"/>
                <w:szCs w:val="20"/>
                <w:color w:val="auto"/>
              </w:rPr>
            </w:pPr>
            <w:r>
              <w:rPr>
                <w:rFonts w:ascii="Arial" w:cs="Arial" w:eastAsia="Arial" w:hAnsi="Arial"/>
                <w:sz w:val="16"/>
                <w:szCs w:val="16"/>
                <w:b w:val="1"/>
                <w:bCs w:val="1"/>
                <w:color w:val="auto"/>
              </w:rPr>
              <w:t>Three Months Ended September</w:t>
            </w:r>
          </w:p>
        </w:tc>
        <w:tc>
          <w:tcPr>
            <w:tcW w:w="120" w:type="dxa"/>
            <w:vAlign w:val="bottom"/>
          </w:tcPr>
          <w:p>
            <w:pPr>
              <w:spacing w:after="0"/>
              <w:rPr>
                <w:sz w:val="16"/>
                <w:szCs w:val="16"/>
                <w:color w:val="auto"/>
              </w:rPr>
            </w:pPr>
          </w:p>
        </w:tc>
        <w:tc>
          <w:tcPr>
            <w:tcW w:w="2500" w:type="dxa"/>
            <w:vAlign w:val="bottom"/>
            <w:gridSpan w:val="5"/>
          </w:tcPr>
          <w:p>
            <w:pPr>
              <w:jc w:val="center"/>
              <w:ind w:right="19"/>
              <w:spacing w:after="0"/>
              <w:rPr>
                <w:sz w:val="20"/>
                <w:szCs w:val="20"/>
                <w:color w:val="auto"/>
              </w:rPr>
            </w:pPr>
            <w:r>
              <w:rPr>
                <w:rFonts w:ascii="Arial" w:cs="Arial" w:eastAsia="Arial" w:hAnsi="Arial"/>
                <w:sz w:val="16"/>
                <w:szCs w:val="16"/>
                <w:b w:val="1"/>
                <w:bCs w:val="1"/>
                <w:color w:val="auto"/>
              </w:rPr>
              <w:t>Nine Months Ended September</w:t>
            </w:r>
          </w:p>
        </w:tc>
      </w:tr>
      <w:tr>
        <w:trPr>
          <w:trHeight w:val="228"/>
        </w:trPr>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6"/>
                <w:szCs w:val="16"/>
                <w:b w:val="1"/>
                <w:bCs w:val="1"/>
                <w:color w:val="auto"/>
              </w:rPr>
              <w:t>30,</w:t>
            </w:r>
          </w:p>
        </w:tc>
        <w:tc>
          <w:tcPr>
            <w:tcW w:w="9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6"/>
                <w:szCs w:val="16"/>
                <w:b w:val="1"/>
                <w:bCs w:val="1"/>
                <w:color w:val="auto"/>
              </w:rPr>
              <w:t>30,</w:t>
            </w:r>
          </w:p>
        </w:tc>
        <w:tc>
          <w:tcPr>
            <w:tcW w:w="980" w:type="dxa"/>
            <w:vAlign w:val="bottom"/>
            <w:tcBorders>
              <w:bottom w:val="single" w:sz="8" w:color="auto"/>
            </w:tcBorders>
          </w:tcPr>
          <w:p>
            <w:pPr>
              <w:spacing w:after="0"/>
              <w:rPr>
                <w:sz w:val="19"/>
                <w:szCs w:val="19"/>
                <w:color w:val="auto"/>
              </w:rPr>
            </w:pPr>
          </w:p>
        </w:tc>
      </w:tr>
      <w:tr>
        <w:trPr>
          <w:trHeight w:val="264"/>
        </w:trPr>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2016</w:t>
            </w:r>
          </w:p>
        </w:tc>
        <w:tc>
          <w:tcPr>
            <w:tcW w:w="8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2016</w:t>
            </w:r>
          </w:p>
        </w:tc>
        <w:tc>
          <w:tcPr>
            <w:tcW w:w="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2015</w:t>
            </w:r>
          </w:p>
        </w:tc>
      </w:tr>
      <w:tr>
        <w:trPr>
          <w:trHeight w:val="237"/>
        </w:trPr>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51,954</w:t>
            </w:r>
          </w:p>
        </w:tc>
        <w:tc>
          <w:tcPr>
            <w:tcW w:w="48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41,052</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150,195</w:t>
            </w:r>
          </w:p>
        </w:tc>
        <w:tc>
          <w:tcPr>
            <w:tcW w:w="46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141,972</w:t>
            </w:r>
          </w:p>
        </w:tc>
      </w:tr>
      <w:tr>
        <w:trPr>
          <w:trHeight w:val="20"/>
        </w:trPr>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r>
        <w:trPr>
          <w:trHeight w:val="562"/>
        </w:trPr>
        <w:tc>
          <w:tcPr>
            <w:tcW w:w="2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89,092</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94,972</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89,025</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95,744</w:t>
            </w:r>
          </w:p>
        </w:tc>
      </w:tr>
      <w:tr>
        <w:trPr>
          <w:trHeight w:val="283"/>
        </w:trPr>
        <w:tc>
          <w:tcPr>
            <w:tcW w:w="2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859</w:t>
            </w:r>
          </w:p>
        </w:tc>
        <w:tc>
          <w:tcPr>
            <w:tcW w:w="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1,500</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707</w:t>
            </w:r>
          </w:p>
        </w:tc>
        <w:tc>
          <w:tcPr>
            <w:tcW w:w="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1,559</w:t>
            </w:r>
          </w:p>
        </w:tc>
      </w:tr>
      <w:tr>
        <w:trPr>
          <w:trHeight w:val="237"/>
        </w:trPr>
        <w:tc>
          <w:tcPr>
            <w:tcW w:w="2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89,951</w:t>
            </w:r>
          </w:p>
        </w:tc>
        <w:tc>
          <w:tcPr>
            <w:tcW w:w="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96,472</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89,732</w:t>
            </w:r>
          </w:p>
        </w:tc>
        <w:tc>
          <w:tcPr>
            <w:tcW w:w="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97,303</w:t>
            </w:r>
          </w:p>
        </w:tc>
      </w:tr>
      <w:tr>
        <w:trPr>
          <w:trHeight w:val="20"/>
        </w:trPr>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-3842385</wp:posOffset>
            </wp:positionH>
            <wp:positionV relativeFrom="paragraph">
              <wp:posOffset>-925830</wp:posOffset>
            </wp:positionV>
            <wp:extent cx="7246620" cy="171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-3842385</wp:posOffset>
            </wp:positionH>
            <wp:positionV relativeFrom="paragraph">
              <wp:posOffset>-530860</wp:posOffset>
            </wp:positionV>
            <wp:extent cx="724662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-3842385</wp:posOffset>
            </wp:positionH>
            <wp:positionV relativeFrom="paragraph">
              <wp:posOffset>-187960</wp:posOffset>
            </wp:positionV>
            <wp:extent cx="72466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40" w:space="720"/>
            <w:col w:w="5360"/>
          </w:cols>
          <w:pgMar w:left="240" w:top="441" w:right="239" w:bottom="1440" w:gutter="0" w:footer="0" w:header="0"/>
          <w:type w:val="continuous"/>
        </w:sectPr>
      </w:pP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Basic earnings per share</w:t>
            </w:r>
          </w:p>
        </w:tc>
        <w:tc>
          <w:tcPr>
            <w:tcW w:w="48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0.58</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0.43</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1.69</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1.48</w:t>
            </w:r>
          </w:p>
        </w:tc>
      </w:tr>
      <w:tr>
        <w:trPr>
          <w:trHeight w:val="20"/>
        </w:trPr>
        <w:tc>
          <w:tcPr>
            <w:tcW w:w="60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24"/>
        </w:trPr>
        <w:tc>
          <w:tcPr>
            <w:tcW w:w="6060" w:type="dxa"/>
            <w:vAlign w:val="bottom"/>
          </w:tcPr>
          <w:p>
            <w:pPr>
              <w:ind w:left="40"/>
              <w:spacing w:after="0"/>
              <w:rPr>
                <w:sz w:val="20"/>
                <w:szCs w:val="20"/>
                <w:color w:val="auto"/>
              </w:rPr>
            </w:pPr>
            <w:r>
              <w:rPr>
                <w:rFonts w:ascii="Arial" w:cs="Arial" w:eastAsia="Arial" w:hAnsi="Arial"/>
                <w:sz w:val="16"/>
                <w:szCs w:val="16"/>
                <w:color w:val="auto"/>
              </w:rPr>
              <w:t>Diluted earnings per share</w:t>
            </w:r>
          </w:p>
        </w:tc>
        <w:tc>
          <w:tcPr>
            <w:tcW w:w="4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0.58</w:t>
            </w:r>
          </w:p>
        </w:tc>
        <w:tc>
          <w:tcPr>
            <w:tcW w:w="120" w:type="dxa"/>
            <w:vAlign w:val="bottom"/>
          </w:tcPr>
          <w:p>
            <w:pPr>
              <w:spacing w:after="0"/>
              <w:rPr>
                <w:sz w:val="19"/>
                <w:szCs w:val="19"/>
                <w:color w:val="auto"/>
              </w:rPr>
            </w:pPr>
          </w:p>
        </w:tc>
        <w:tc>
          <w:tcPr>
            <w:tcW w:w="4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0.43</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1.67</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1.46</w:t>
            </w:r>
          </w:p>
        </w:tc>
      </w:tr>
      <w:tr>
        <w:trPr>
          <w:trHeight w:val="20"/>
        </w:trPr>
        <w:tc>
          <w:tcPr>
            <w:tcW w:w="60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right="40" w:firstLine="486"/>
        <w:spacing w:after="0" w:line="253" w:lineRule="auto"/>
        <w:rPr>
          <w:sz w:val="20"/>
          <w:szCs w:val="20"/>
          <w:color w:val="auto"/>
        </w:rPr>
      </w:pPr>
      <w:r>
        <w:rPr>
          <w:rFonts w:ascii="Arial" w:cs="Arial" w:eastAsia="Arial" w:hAnsi="Arial"/>
          <w:sz w:val="18"/>
          <w:szCs w:val="18"/>
          <w:color w:val="auto"/>
        </w:rPr>
        <w:t>The computation of diluted earnings per share excludes stock options, warrants, and restricted stock units that are anti-dilutive. For the three months ended September 30, 2016 and 2015, stock options, warrants, and restricted stock units representing common share equivalents of 4,622,802 shares and 2,068,568 shares, respectively, were anti-dilutive. For the nine months ended September 30, 2016 and 2015, stock options, warrants, and restricted stock units representing common share equivalents of 4,802,887 shares and 1,975,454 shares, respectively, were anti-dilutive.</w:t>
      </w:r>
    </w:p>
    <w:p>
      <w:pPr>
        <w:spacing w:after="0" w:line="211" w:lineRule="exact"/>
        <w:rPr>
          <w:sz w:val="20"/>
          <w:szCs w:val="20"/>
          <w:color w:val="auto"/>
        </w:rPr>
      </w:pPr>
    </w:p>
    <w:p>
      <w:pPr>
        <w:ind w:left="460" w:hanging="452"/>
        <w:spacing w:after="0"/>
        <w:tabs>
          <w:tab w:leader="none" w:pos="46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20" w:lineRule="exact"/>
        <w:rPr>
          <w:sz w:val="20"/>
          <w:szCs w:val="20"/>
          <w:color w:val="auto"/>
        </w:rPr>
      </w:pPr>
    </w:p>
    <w:p>
      <w:pPr>
        <w:ind w:right="260" w:firstLine="486"/>
        <w:spacing w:after="0" w:line="254" w:lineRule="auto"/>
        <w:rPr>
          <w:sz w:val="20"/>
          <w:szCs w:val="20"/>
          <w:color w:val="auto"/>
        </w:rPr>
      </w:pPr>
      <w:r>
        <w:rPr>
          <w:rFonts w:ascii="Arial" w:cs="Arial" w:eastAsia="Arial" w:hAnsi="Arial"/>
          <w:sz w:val="18"/>
          <w:szCs w:val="18"/>
          <w:color w:val="auto"/>
        </w:rPr>
        <w:t>The Company’s effective income tax rate differs from the federal corporate tax rate of 35.0%, primarily as a result of state taxes, settlement contingencies, tax credits, tax deductions that are not expensed for financial statement purposes, and expenses that are not deductible for tax purposes. These items resulted in effective tax rates of 23.8% and 40.2% for the three months ended September 30, 2016 and 2015, respectively, and 35.4% and 40.2% for the nine months ended September 30, 2016 and 2015, respectively.</w:t>
      </w:r>
    </w:p>
    <w:p>
      <w:pPr>
        <w:spacing w:after="0" w:line="204" w:lineRule="exact"/>
        <w:rPr>
          <w:sz w:val="20"/>
          <w:szCs w:val="20"/>
          <w:color w:val="auto"/>
        </w:rPr>
      </w:pPr>
    </w:p>
    <w:p>
      <w:pPr>
        <w:jc w:val="both"/>
        <w:ind w:right="120" w:firstLine="486"/>
        <w:spacing w:after="0" w:line="256" w:lineRule="auto"/>
        <w:rPr>
          <w:sz w:val="20"/>
          <w:szCs w:val="20"/>
          <w:color w:val="auto"/>
        </w:rPr>
      </w:pPr>
      <w:r>
        <w:rPr>
          <w:rFonts w:ascii="Arial" w:cs="Arial" w:eastAsia="Arial" w:hAnsi="Arial"/>
          <w:sz w:val="18"/>
          <w:szCs w:val="18"/>
          <w:color w:val="auto"/>
        </w:rPr>
        <w:t>During the third quarter of 2016, the Company updated its calculation of the tax benefits that it could obtain associated with the software that is has developed. The total additional tax benefits recorded during the third quarter, net of potential tax contingencies, was approximately $11.7 million.</w:t>
      </w:r>
    </w:p>
    <w:p>
      <w:pPr>
        <w:spacing w:after="0" w:line="202" w:lineRule="exact"/>
        <w:rPr>
          <w:sz w:val="20"/>
          <w:szCs w:val="20"/>
          <w:color w:val="auto"/>
        </w:rPr>
      </w:pPr>
    </w:p>
    <w:p>
      <w:pPr>
        <w:ind w:right="540" w:firstLine="486"/>
        <w:spacing w:after="0" w:line="262" w:lineRule="auto"/>
        <w:rPr>
          <w:sz w:val="20"/>
          <w:szCs w:val="20"/>
          <w:color w:val="auto"/>
        </w:rPr>
      </w:pPr>
      <w:r>
        <w:rPr>
          <w:rFonts w:ascii="Arial" w:cs="Arial" w:eastAsia="Arial" w:hAnsi="Arial"/>
          <w:sz w:val="18"/>
          <w:szCs w:val="18"/>
          <w:color w:val="auto"/>
        </w:rPr>
        <w:t>Deferred income taxes reflect the net tax effects of temporary differences between the carrying amounts of assets and liabilities for financial reporting purposes and the amounts used for income tax purposes.</w:t>
      </w:r>
    </w:p>
    <w:p>
      <w:pPr>
        <w:spacing w:after="0" w:line="174" w:lineRule="exact"/>
        <w:rPr>
          <w:sz w:val="20"/>
          <w:szCs w:val="20"/>
          <w:color w:val="auto"/>
        </w:rPr>
      </w:pPr>
    </w:p>
    <w:p>
      <w:pPr>
        <w:ind w:left="460" w:hanging="452"/>
        <w:spacing w:after="0"/>
        <w:tabs>
          <w:tab w:leader="none" w:pos="46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247" w:lineRule="exact"/>
        <w:rPr>
          <w:sz w:val="20"/>
          <w:szCs w:val="20"/>
          <w:color w:val="auto"/>
        </w:rPr>
      </w:pPr>
    </w:p>
    <w:p>
      <w:pPr>
        <w:ind w:right="100" w:firstLine="486"/>
        <w:spacing w:after="0" w:line="252" w:lineRule="auto"/>
        <w:rPr>
          <w:sz w:val="20"/>
          <w:szCs w:val="20"/>
          <w:color w:val="auto"/>
        </w:rPr>
      </w:pPr>
      <w:r>
        <w:rPr>
          <w:rFonts w:ascii="Arial" w:cs="Arial" w:eastAsia="Arial" w:hAnsi="Arial"/>
          <w:sz w:val="18"/>
          <w:szCs w:val="18"/>
          <w:color w:val="auto"/>
        </w:rPr>
        <w:t>The Company has related party transactions with certain portfolio companies of TPG Capital, a 9.9% shareholder of the Company's common stock and a firm of which one of our directors previously served as a partner. During the nine months ended September 30, 2016 and 2015, the Company recognized revenue for services provided to these portfolio companies of TPG Capital of $ 0.0 and $0.6 million, respectively. The Company incurred expenses for services provided by certain of the TPG portfolio companies of $0.0 and $4.2 million during the nine months ended September 30, 2016 and 2015, respectively. As of September 30, 2016 and 2015, receivables and payables from the TPG Capital portfolio companies were not material.</w:t>
      </w:r>
    </w:p>
    <w:p>
      <w:pPr>
        <w:spacing w:after="0" w:line="209" w:lineRule="exact"/>
        <w:rPr>
          <w:sz w:val="20"/>
          <w:szCs w:val="20"/>
          <w:color w:val="auto"/>
        </w:rPr>
      </w:pPr>
    </w:p>
    <w:p>
      <w:pPr>
        <w:ind w:right="360" w:firstLine="486"/>
        <w:spacing w:after="0" w:line="254" w:lineRule="auto"/>
        <w:rPr>
          <w:sz w:val="20"/>
          <w:szCs w:val="20"/>
          <w:color w:val="auto"/>
        </w:rPr>
      </w:pPr>
      <w:r>
        <w:rPr>
          <w:rFonts w:ascii="Arial" w:cs="Arial" w:eastAsia="Arial" w:hAnsi="Arial"/>
          <w:sz w:val="18"/>
          <w:szCs w:val="18"/>
          <w:color w:val="auto"/>
        </w:rPr>
        <w:t>Additionally, through its subsidiary LPL Financial, the Company provides services and charitable contributions to the LPL Financial Foundation, an organization that provides volunteer and financial support within the Company's local communities. During the nine months ended September 30, 2016 and 2015, the Company had no material revenues or expenses recognized for services provided to or received from the LPL Financial Foundation.</w:t>
      </w:r>
    </w:p>
    <w:p>
      <w:pPr>
        <w:sectPr>
          <w:pgSz w:w="11900" w:h="16838" w:orient="portrait"/>
          <w:cols w:equalWidth="0" w:num="1">
            <w:col w:w="11420"/>
          </w:cols>
          <w:pgMar w:left="240" w:top="441" w:right="239" w:bottom="1440" w:gutter="0" w:footer="0" w:header="0"/>
          <w:type w:val="continuous"/>
        </w:sect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40</w:t>
      </w:r>
    </w:p>
    <w:p>
      <w:pPr>
        <w:sectPr>
          <w:pgSz w:w="11900" w:h="16838" w:orient="portrait"/>
          <w:cols w:equalWidth="0" w:num="1">
            <w:col w:w="11420"/>
          </w:cols>
          <w:pgMar w:left="240" w:top="441" w:right="239" w:bottom="1440" w:gutter="0" w:footer="0" w:header="0"/>
          <w:type w:val="continuous"/>
        </w:sectPr>
      </w:pPr>
    </w:p>
    <w:bookmarkStart w:id="44" w:name="page45"/>
    <w:bookmarkEnd w:id="44"/>
    <w:p>
      <w:pPr>
        <w:jc w:val="center"/>
        <w:ind w:right="-39"/>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60" w:hanging="452"/>
        <w:spacing w:after="0"/>
        <w:tabs>
          <w:tab w:leader="none" w:pos="46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Net Capital and Regulatory Requirements</w:t>
      </w:r>
    </w:p>
    <w:p>
      <w:pPr>
        <w:spacing w:after="0" w:line="247" w:lineRule="exact"/>
        <w:rPr>
          <w:sz w:val="20"/>
          <w:szCs w:val="20"/>
          <w:color w:val="auto"/>
        </w:rPr>
      </w:pPr>
    </w:p>
    <w:p>
      <w:pPr>
        <w:ind w:right="80" w:firstLine="486"/>
        <w:spacing w:after="0" w:line="252" w:lineRule="auto"/>
        <w:rPr>
          <w:sz w:val="20"/>
          <w:szCs w:val="20"/>
          <w:color w:val="auto"/>
        </w:rPr>
      </w:pPr>
      <w:r>
        <w:rPr>
          <w:rFonts w:ascii="Arial" w:cs="Arial" w:eastAsia="Arial" w:hAnsi="Arial"/>
          <w:sz w:val="18"/>
          <w:szCs w:val="18"/>
          <w:color w:val="auto"/>
        </w:rPr>
        <w:t>The Company operates in a highly regulated industry. Applicable laws and regulations restrict permissible activities and investments and require compliance with various financial and customer-related regulations. The consequences of noncompliance can include substantial monetary and non-monetary sanctions. In addition, the Company is also subject to comprehensive examinations and supervision by various governmental and self-regulatory agencies. These regulatory agencies generally have broad discretion to prescribe greater limitations on the operations of a regulated entity for the protection of investors or public interest. Furthermore, where the agencies determine that such operations are unsafe or unsound, fail to comply with applicable law, or are otherwise inconsistent with the laws and regulations or with the supervisory policies, greater restrictions may be imposed.</w:t>
      </w:r>
    </w:p>
    <w:p>
      <w:pPr>
        <w:spacing w:after="0" w:line="207" w:lineRule="exact"/>
        <w:rPr>
          <w:sz w:val="20"/>
          <w:szCs w:val="20"/>
          <w:color w:val="auto"/>
        </w:rPr>
      </w:pPr>
    </w:p>
    <w:p>
      <w:pPr>
        <w:ind w:right="80" w:firstLine="486"/>
        <w:spacing w:after="0" w:line="254" w:lineRule="auto"/>
        <w:rPr>
          <w:sz w:val="20"/>
          <w:szCs w:val="20"/>
          <w:color w:val="auto"/>
        </w:rPr>
      </w:pPr>
      <w:r>
        <w:rPr>
          <w:rFonts w:ascii="Arial" w:cs="Arial" w:eastAsia="Arial" w:hAnsi="Arial"/>
          <w:sz w:val="18"/>
          <w:szCs w:val="18"/>
          <w:color w:val="auto"/>
        </w:rPr>
        <w:t>The Company’s registered broker-dealer, LPL Financial, is subject to the SEC’s Uniform Net Capital Rule (Rule 15c3-1 under the Exchange Act), which requires the maintenance of minimum net capital, as defined. Net capital and the related net capital requirement may fluctuate on a daily basis. LPL Financial is a clearing broker-dealer and had net capital of $93.5 million with a minimum net capital requirement of $6.4 million as of September 30, 2016.</w:t>
      </w:r>
    </w:p>
    <w:p>
      <w:pPr>
        <w:spacing w:after="0" w:line="204" w:lineRule="exact"/>
        <w:rPr>
          <w:sz w:val="20"/>
          <w:szCs w:val="20"/>
          <w:color w:val="auto"/>
        </w:rPr>
      </w:pPr>
    </w:p>
    <w:p>
      <w:pPr>
        <w:ind w:right="40" w:firstLine="486"/>
        <w:spacing w:after="0" w:line="256" w:lineRule="auto"/>
        <w:rPr>
          <w:sz w:val="20"/>
          <w:szCs w:val="20"/>
          <w:color w:val="auto"/>
        </w:rPr>
      </w:pPr>
      <w:r>
        <w:rPr>
          <w:rFonts w:ascii="Arial" w:cs="Arial" w:eastAsia="Arial" w:hAnsi="Arial"/>
          <w:sz w:val="18"/>
          <w:szCs w:val="18"/>
          <w:color w:val="auto"/>
        </w:rPr>
        <w:t>The Company's subsidiary, PTC, operates in a highly regulated industry and is subject to various regulatory capital requirements. Failure to meet minimum capital requirements can initiate certain mandatory and possible additional discretionary actions by regulators that, if undertaken, could have substantial monetary and non-monetary impacts to PTC's operations.</w:t>
      </w:r>
    </w:p>
    <w:p>
      <w:pPr>
        <w:spacing w:after="0" w:line="202" w:lineRule="exact"/>
        <w:rPr>
          <w:sz w:val="20"/>
          <w:szCs w:val="20"/>
          <w:color w:val="auto"/>
        </w:rPr>
      </w:pPr>
    </w:p>
    <w:p>
      <w:pPr>
        <w:ind w:right="260" w:firstLine="486"/>
        <w:spacing w:after="0" w:line="262" w:lineRule="auto"/>
        <w:rPr>
          <w:sz w:val="20"/>
          <w:szCs w:val="20"/>
          <w:color w:val="auto"/>
        </w:rPr>
      </w:pPr>
      <w:r>
        <w:rPr>
          <w:rFonts w:ascii="Arial" w:cs="Arial" w:eastAsia="Arial" w:hAnsi="Arial"/>
          <w:sz w:val="18"/>
          <w:szCs w:val="18"/>
          <w:color w:val="auto"/>
        </w:rPr>
        <w:t>As of September 30, 2016 and December 31, 2015, LPL Financial and PTC met all capital adequacy requirements to which they were subject.</w:t>
      </w:r>
    </w:p>
    <w:p>
      <w:pPr>
        <w:spacing w:after="0" w:line="228" w:lineRule="exact"/>
        <w:rPr>
          <w:sz w:val="20"/>
          <w:szCs w:val="20"/>
          <w:color w:val="auto"/>
        </w:rPr>
      </w:pPr>
    </w:p>
    <w:p>
      <w:pPr>
        <w:ind w:left="460" w:hanging="452"/>
        <w:spacing w:after="0"/>
        <w:tabs>
          <w:tab w:leader="none" w:pos="46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Instruments with Off-Balance-Sheet Credit Risk and Concentrations of Credit Risk</w:t>
      </w:r>
    </w:p>
    <w:p>
      <w:pPr>
        <w:spacing w:after="0" w:line="247" w:lineRule="exact"/>
        <w:rPr>
          <w:sz w:val="20"/>
          <w:szCs w:val="20"/>
          <w:color w:val="auto"/>
        </w:rPr>
      </w:pPr>
    </w:p>
    <w:p>
      <w:pPr>
        <w:ind w:right="60" w:firstLine="486"/>
        <w:spacing w:after="0" w:line="253" w:lineRule="auto"/>
        <w:rPr>
          <w:sz w:val="20"/>
          <w:szCs w:val="20"/>
          <w:color w:val="auto"/>
        </w:rPr>
      </w:pPr>
      <w:r>
        <w:rPr>
          <w:rFonts w:ascii="Arial" w:cs="Arial" w:eastAsia="Arial" w:hAnsi="Arial"/>
          <w:sz w:val="18"/>
          <w:szCs w:val="18"/>
          <w:color w:val="auto"/>
        </w:rPr>
        <w:t>LPL Financial’s client securities activities are transacted on either a cash or margin basis. In margin transactions, LPL Financial extends credit to the advisor's client, subject to various regulatory and internal margin requirements, collateralized by cash or securities in the client’s account. As clients write options contracts or sell securities short, LPL Financial may incur losses if the clients do not fulfill their obligations and the collateral in the clients’ accounts is not sufficient to fully cover losses that clients may incur from these strategies. To control this risk, LPL Financial monitors margin levels daily and clients are required to deposit additional collateral, or reduce positions, when necessary.</w:t>
      </w:r>
    </w:p>
    <w:p>
      <w:pPr>
        <w:spacing w:after="0" w:line="206" w:lineRule="exact"/>
        <w:rPr>
          <w:sz w:val="20"/>
          <w:szCs w:val="20"/>
          <w:color w:val="auto"/>
        </w:rPr>
      </w:pPr>
    </w:p>
    <w:p>
      <w:pPr>
        <w:ind w:right="20" w:firstLine="486"/>
        <w:spacing w:after="0" w:line="252" w:lineRule="auto"/>
        <w:rPr>
          <w:sz w:val="20"/>
          <w:szCs w:val="20"/>
          <w:color w:val="auto"/>
        </w:rPr>
      </w:pPr>
      <w:r>
        <w:rPr>
          <w:rFonts w:ascii="Arial" w:cs="Arial" w:eastAsia="Arial" w:hAnsi="Arial"/>
          <w:sz w:val="18"/>
          <w:szCs w:val="18"/>
          <w:color w:val="auto"/>
        </w:rPr>
        <w:t>LPL Financial is obligated to settle transactions with brokers and other financial institutions even if its advisors' clients fail to meet their obligation to LPL Financial. Clients are required to complete their transactions on the settlement date, generally three business days after the trade date. If clients do not fulfill their contractual obligations, LPL Financial may incur losses. In addition, the Company occasionally enters into certain types of contracts to fulfill its sale of when, as, and if issued securities. When, as, and if issued securities have been authorized but are contingent upon the actual issuance of the security. LPL Financial has established procedures to reduce this risk by generally requiring that clients deposit cash or securities into their account prior to placing an order.</w:t>
      </w:r>
    </w:p>
    <w:p>
      <w:pPr>
        <w:spacing w:after="0" w:line="209"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auto"/>
        </w:rPr>
        <w:t>LPL Financial may at times hold equity securities that are recorded on the unaudited condensed consolidated statements of financial condition at market value. While long inventory positions represent LPL Financial’s ownership of securities, short inventory positions represent obligations of LPL Financial to deliver specified securities at a contracted price, which may differ from market prices prevailing at the time of completion of the transaction. Accordingly, both long and short inventory positions may result in losses or gains to LPL Financial as market values of securities fluctuate. To mitigate the risk of losses, long and short positions are marked-to-market daily and are continuously monitored by LPL Financial.</w:t>
      </w:r>
    </w:p>
    <w:p>
      <w:pPr>
        <w:spacing w:after="0" w:line="241" w:lineRule="exact"/>
        <w:rPr>
          <w:sz w:val="20"/>
          <w:szCs w:val="20"/>
          <w:color w:val="auto"/>
        </w:rPr>
      </w:pPr>
    </w:p>
    <w:p>
      <w:pPr>
        <w:ind w:left="460" w:hanging="452"/>
        <w:spacing w:after="0"/>
        <w:tabs>
          <w:tab w:leader="none" w:pos="46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247" w:lineRule="exact"/>
        <w:rPr>
          <w:sz w:val="20"/>
          <w:szCs w:val="20"/>
          <w:color w:val="auto"/>
        </w:rPr>
      </w:pPr>
    </w:p>
    <w:p>
      <w:pPr>
        <w:ind w:right="140" w:firstLine="486"/>
        <w:spacing w:after="0" w:line="262" w:lineRule="auto"/>
        <w:rPr>
          <w:sz w:val="20"/>
          <w:szCs w:val="20"/>
          <w:color w:val="auto"/>
        </w:rPr>
      </w:pPr>
      <w:r>
        <w:rPr>
          <w:rFonts w:ascii="Arial" w:cs="Arial" w:eastAsia="Arial" w:hAnsi="Arial"/>
          <w:sz w:val="18"/>
          <w:szCs w:val="18"/>
          <w:color w:val="auto"/>
        </w:rPr>
        <w:t>On October 31, 2016, the Board of Directors declared a cash dividend of $0.25 per share on the Company's outstanding common stock to be paid on November 30, 2016 to all stockholders of record on November 16, 2016.</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441" w:right="25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w:t>
      </w:r>
    </w:p>
    <w:p>
      <w:pPr>
        <w:spacing w:after="0" w:line="24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have market risk resulting from system incidents and human error, which can require trade corrections for our customers.</w:t>
      </w:r>
    </w:p>
    <w:p>
      <w:pPr>
        <w:spacing w:after="0" w:line="225" w:lineRule="exact"/>
        <w:rPr>
          <w:sz w:val="20"/>
          <w:szCs w:val="20"/>
          <w:color w:val="auto"/>
        </w:rPr>
      </w:pPr>
    </w:p>
    <w:p>
      <w:pPr>
        <w:ind w:right="60" w:firstLine="486"/>
        <w:spacing w:after="0" w:line="254" w:lineRule="auto"/>
        <w:rPr>
          <w:sz w:val="20"/>
          <w:szCs w:val="20"/>
          <w:color w:val="auto"/>
        </w:rPr>
      </w:pPr>
      <w:r>
        <w:rPr>
          <w:rFonts w:ascii="Arial" w:cs="Arial" w:eastAsia="Arial" w:hAnsi="Arial"/>
          <w:sz w:val="18"/>
          <w:szCs w:val="18"/>
          <w:color w:val="auto"/>
        </w:rPr>
        <w:t>We maintain trading securities owned and securities sold, but not yet purchased in order to facilitate client transactions, to meet a portion of our clearing deposit requirements at various clearing organizations, and to track the performance of our research models. These securities could include mutual funds, debt securities issued by the U.S. government, money market funds, corporate debt securities, certificates of deposit, and equity securities.</w:t>
      </w:r>
    </w:p>
    <w:p>
      <w:pPr>
        <w:spacing w:after="0" w:line="204" w:lineRule="exact"/>
        <w:rPr>
          <w:sz w:val="20"/>
          <w:szCs w:val="20"/>
          <w:color w:val="auto"/>
        </w:rPr>
      </w:pPr>
    </w:p>
    <w:p>
      <w:pPr>
        <w:ind w:firstLine="486"/>
        <w:spacing w:after="0" w:line="251" w:lineRule="auto"/>
        <w:rPr>
          <w:sz w:val="20"/>
          <w:szCs w:val="20"/>
          <w:color w:val="auto"/>
        </w:rPr>
      </w:pPr>
      <w:r>
        <w:rPr>
          <w:rFonts w:ascii="Arial" w:cs="Arial" w:eastAsia="Arial" w:hAnsi="Arial"/>
          <w:sz w:val="18"/>
          <w:szCs w:val="18"/>
          <w:color w:val="auto"/>
        </w:rPr>
        <w:t>Changes in the value of our trading inventory may result from fluctuations in interest rates, credit ratings of the issuer, equity prices, and the correlation among these factors. We manage our trading inventory by product type. Our activities to facilitate client transactions generally involve mutual fund activities, including dividend reinvestments. The balances are based upon pending client activities, which are monitored by our Service, Trading, and Operations ("STO") Department. Because these positions arise from pending client transactions, there are no specific trading or position limits. Positions held to meet clearing deposit requirements consist of U.S. government securities. The amount of securities deposited depends upon the requirements of the clearing organization. The level of securities deposited is monitored by the settlement area within our STO Department. Our Research Department develops model portfolios that are used by advisors in developing client portfolios. We currently maintain approximately 217 accounts based on model portfolios. At the time a portfolio is developed, we purchase the securities in that model portfolio in an amount equal to the account minimum for a client. Account minimums vary by product and can range from $5,000 to $250,000 per model. We utilize these positions to track the performance of the Research Department. The limits on this activity are based at the inception of each new model.</w:t>
      </w:r>
    </w:p>
    <w:p>
      <w:pPr>
        <w:spacing w:after="0" w:line="212" w:lineRule="exact"/>
        <w:rPr>
          <w:sz w:val="20"/>
          <w:szCs w:val="20"/>
          <w:color w:val="auto"/>
        </w:rPr>
      </w:pPr>
    </w:p>
    <w:p>
      <w:pPr>
        <w:ind w:right="100" w:firstLine="486"/>
        <w:spacing w:after="0" w:line="252" w:lineRule="auto"/>
        <w:rPr>
          <w:sz w:val="20"/>
          <w:szCs w:val="20"/>
          <w:color w:val="auto"/>
        </w:rPr>
      </w:pPr>
      <w:r>
        <w:rPr>
          <w:rFonts w:ascii="Arial" w:cs="Arial" w:eastAsia="Arial" w:hAnsi="Arial"/>
          <w:sz w:val="18"/>
          <w:szCs w:val="18"/>
          <w:color w:val="auto"/>
        </w:rPr>
        <w:t xml:space="preserve">At September 30, 2016, the fair value of our trading securities owned was $11.8 million. Securities sold, but not yet purchased were immaterial at September 30, 2016. The fair value of securities included within other assets was $136.8 million at September 30, 2016. See Note 3. </w:t>
      </w:r>
      <w:r>
        <w:rPr>
          <w:rFonts w:ascii="Arial" w:cs="Arial" w:eastAsia="Arial" w:hAnsi="Arial"/>
          <w:sz w:val="18"/>
          <w:szCs w:val="18"/>
          <w:i w:val="1"/>
          <w:iCs w:val="1"/>
          <w:color w:val="auto"/>
        </w:rPr>
        <w:t>Fair Value Measurements</w:t>
      </w:r>
      <w:r>
        <w:rPr>
          <w:rFonts w:ascii="Arial" w:cs="Arial" w:eastAsia="Arial" w:hAnsi="Arial"/>
          <w:sz w:val="18"/>
          <w:szCs w:val="18"/>
          <w:color w:val="auto"/>
        </w:rPr>
        <w:t xml:space="preserve">, within the notes to the unaudited condensed consolidated financial statements for information regarding the fair value of trading securities owned, securities sold, but not yet purchased, and other assets associated with our client facilitation activities. See Note 4. </w:t>
      </w:r>
      <w:r>
        <w:rPr>
          <w:rFonts w:ascii="Arial" w:cs="Arial" w:eastAsia="Arial" w:hAnsi="Arial"/>
          <w:sz w:val="18"/>
          <w:szCs w:val="18"/>
          <w:i w:val="1"/>
          <w:iCs w:val="1"/>
          <w:color w:val="auto"/>
        </w:rPr>
        <w:t>Held-to-Maturity Securities</w:t>
      </w:r>
      <w:r>
        <w:rPr>
          <w:rFonts w:ascii="Arial" w:cs="Arial" w:eastAsia="Arial" w:hAnsi="Arial"/>
          <w:sz w:val="18"/>
          <w:szCs w:val="18"/>
          <w:color w:val="auto"/>
        </w:rPr>
        <w:t>, within the notes to the unaudited condensed consolidated financial statements for information regarding the fair value of securities held to maturity.</w:t>
      </w:r>
    </w:p>
    <w:p>
      <w:pPr>
        <w:spacing w:after="0" w:line="20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do not enter into contracts involving derivatives or other similar financial instruments for proprietary trading purposes.</w:t>
      </w:r>
    </w:p>
    <w:p>
      <w:pPr>
        <w:spacing w:after="0" w:line="225" w:lineRule="exact"/>
        <w:rPr>
          <w:sz w:val="20"/>
          <w:szCs w:val="20"/>
          <w:color w:val="auto"/>
        </w:rPr>
      </w:pPr>
    </w:p>
    <w:p>
      <w:pPr>
        <w:ind w:right="360" w:firstLine="486"/>
        <w:spacing w:after="0" w:line="262" w:lineRule="auto"/>
        <w:rPr>
          <w:sz w:val="20"/>
          <w:szCs w:val="20"/>
          <w:color w:val="auto"/>
        </w:rPr>
      </w:pPr>
      <w:r>
        <w:rPr>
          <w:rFonts w:ascii="Arial" w:cs="Arial" w:eastAsia="Arial" w:hAnsi="Arial"/>
          <w:sz w:val="18"/>
          <w:szCs w:val="18"/>
          <w:color w:val="auto"/>
        </w:rPr>
        <w:t>We also have market risk on the fees we earn that are based on the market value of brokerage and advisory assets, assets on which trailing commissions are paid, and assets eligible for sponsor payments.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47" w:lineRule="exact"/>
        <w:rPr>
          <w:sz w:val="20"/>
          <w:szCs w:val="20"/>
          <w:color w:val="auto"/>
        </w:rPr>
      </w:pPr>
    </w:p>
    <w:p>
      <w:pPr>
        <w:ind w:right="100" w:firstLine="486"/>
        <w:spacing w:after="0" w:line="254" w:lineRule="auto"/>
        <w:rPr>
          <w:sz w:val="20"/>
          <w:szCs w:val="20"/>
          <w:color w:val="auto"/>
        </w:rPr>
      </w:pPr>
      <w:r>
        <w:rPr>
          <w:rFonts w:ascii="Arial" w:cs="Arial" w:eastAsia="Arial" w:hAnsi="Arial"/>
          <w:sz w:val="18"/>
          <w:szCs w:val="18"/>
          <w:color w:val="auto"/>
        </w:rPr>
        <w:t>We are exposed to risk associated with changes in interest rates. As of September 30, 2016, all of the outstanding debt under our Credit Agreement, $2.2 billion, was subject to floating interest rate risk. While our senior secured term loans are subject to increases in interest rates, we do not believe that a short-term change in interest rates would have a material impact on our income before taxes given assets owned, which are subject to the same, but off-setting interest rate risk.</w:t>
      </w:r>
    </w:p>
    <w:p>
      <w:pPr>
        <w:spacing w:after="0" w:line="96" w:lineRule="exact"/>
        <w:rPr>
          <w:sz w:val="20"/>
          <w:szCs w:val="20"/>
          <w:color w:val="auto"/>
        </w:rPr>
      </w:pPr>
    </w:p>
    <w:p>
      <w:pPr>
        <w:ind w:right="540" w:firstLine="486"/>
        <w:spacing w:after="0" w:line="262" w:lineRule="auto"/>
        <w:rPr>
          <w:sz w:val="20"/>
          <w:szCs w:val="20"/>
          <w:color w:val="auto"/>
        </w:rPr>
      </w:pPr>
      <w:r>
        <w:rPr>
          <w:rFonts w:ascii="Arial" w:cs="Arial" w:eastAsia="Arial" w:hAnsi="Arial"/>
          <w:sz w:val="18"/>
          <w:szCs w:val="18"/>
          <w:color w:val="auto"/>
        </w:rPr>
        <w:t>The following table summarizes the impact of increasing interest rates on our interest expense from the variable portion of our debt outstanding at September 30, 2016 (in thousands):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60" w:type="dxa"/>
            <w:vAlign w:val="bottom"/>
            <w:gridSpan w:val="2"/>
            <w:vMerge w:val="restart"/>
          </w:tcPr>
          <w:p>
            <w:pPr>
              <w:jc w:val="center"/>
              <w:ind w:right="320"/>
              <w:spacing w:after="0"/>
              <w:rPr>
                <w:sz w:val="20"/>
                <w:szCs w:val="20"/>
                <w:color w:val="auto"/>
              </w:rPr>
            </w:pPr>
            <w:r>
              <w:rPr>
                <w:rFonts w:ascii="Arial" w:cs="Arial" w:eastAsia="Arial" w:hAnsi="Arial"/>
                <w:sz w:val="16"/>
                <w:szCs w:val="16"/>
                <w:b w:val="1"/>
                <w:bCs w:val="1"/>
                <w:color w:val="auto"/>
              </w:rPr>
              <w:t>Outstanding at</w:t>
            </w:r>
          </w:p>
        </w:tc>
        <w:tc>
          <w:tcPr>
            <w:tcW w:w="140" w:type="dxa"/>
            <w:vAlign w:val="bottom"/>
            <w:tcBorders>
              <w:bottom w:val="single" w:sz="8" w:color="auto"/>
            </w:tcBorders>
          </w:tcPr>
          <w:p>
            <w:pPr>
              <w:spacing w:after="0"/>
              <w:rPr>
                <w:sz w:val="19"/>
                <w:szCs w:val="19"/>
                <w:color w:val="auto"/>
              </w:rPr>
            </w:pPr>
          </w:p>
        </w:tc>
        <w:tc>
          <w:tcPr>
            <w:tcW w:w="4280" w:type="dxa"/>
            <w:vAlign w:val="bottom"/>
            <w:tcBorders>
              <w:bottom w:val="single" w:sz="8" w:color="auto"/>
            </w:tcBorders>
            <w:gridSpan w:val="10"/>
          </w:tcPr>
          <w:p>
            <w:pPr>
              <w:jc w:val="right"/>
              <w:ind w:right="379"/>
              <w:spacing w:after="0"/>
              <w:rPr>
                <w:sz w:val="20"/>
                <w:szCs w:val="20"/>
                <w:color w:val="auto"/>
              </w:rPr>
            </w:pPr>
            <w:r>
              <w:rPr>
                <w:rFonts w:ascii="Arial" w:cs="Arial" w:eastAsia="Arial" w:hAnsi="Arial"/>
                <w:sz w:val="16"/>
                <w:szCs w:val="16"/>
                <w:b w:val="1"/>
                <w:bCs w:val="1"/>
                <w:color w:val="auto"/>
              </w:rPr>
              <w:t>Annual Impact of an Interest Rate Increase of</w:t>
            </w:r>
          </w:p>
        </w:tc>
        <w:tc>
          <w:tcPr>
            <w:tcW w:w="0" w:type="dxa"/>
            <w:vAlign w:val="bottom"/>
          </w:tcPr>
          <w:p>
            <w:pPr>
              <w:spacing w:after="0"/>
              <w:rPr>
                <w:sz w:val="1"/>
                <w:szCs w:val="1"/>
                <w:color w:val="auto"/>
              </w:rPr>
            </w:pPr>
          </w:p>
        </w:tc>
      </w:tr>
      <w:tr>
        <w:trPr>
          <w:trHeight w:val="117"/>
        </w:trPr>
        <w:tc>
          <w:tcPr>
            <w:tcW w:w="5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6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10 Basis</w:t>
            </w:r>
          </w:p>
        </w:tc>
        <w:tc>
          <w:tcPr>
            <w:tcW w:w="160" w:type="dxa"/>
            <w:vAlign w:val="bottom"/>
          </w:tcPr>
          <w:p>
            <w:pPr>
              <w:spacing w:after="0"/>
              <w:rPr>
                <w:sz w:val="10"/>
                <w:szCs w:val="10"/>
                <w:color w:val="auto"/>
              </w:rPr>
            </w:pPr>
          </w:p>
        </w:tc>
        <w:tc>
          <w:tcPr>
            <w:tcW w:w="98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25 Basis</w:t>
            </w:r>
          </w:p>
        </w:tc>
        <w:tc>
          <w:tcPr>
            <w:tcW w:w="140" w:type="dxa"/>
            <w:vAlign w:val="bottom"/>
          </w:tcPr>
          <w:p>
            <w:pPr>
              <w:spacing w:after="0"/>
              <w:rPr>
                <w:sz w:val="10"/>
                <w:szCs w:val="10"/>
                <w:color w:val="auto"/>
              </w:rPr>
            </w:pPr>
          </w:p>
        </w:tc>
        <w:tc>
          <w:tcPr>
            <w:tcW w:w="100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50 Basis</w:t>
            </w:r>
          </w:p>
        </w:tc>
        <w:tc>
          <w:tcPr>
            <w:tcW w:w="120" w:type="dxa"/>
            <w:vAlign w:val="bottom"/>
          </w:tcPr>
          <w:p>
            <w:pPr>
              <w:spacing w:after="0"/>
              <w:rPr>
                <w:sz w:val="10"/>
                <w:szCs w:val="10"/>
                <w:color w:val="auto"/>
              </w:rPr>
            </w:pPr>
          </w:p>
        </w:tc>
        <w:tc>
          <w:tcPr>
            <w:tcW w:w="90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rPr>
              <w:t>100 Basis</w:t>
            </w:r>
          </w:p>
        </w:tc>
        <w:tc>
          <w:tcPr>
            <w:tcW w:w="0" w:type="dxa"/>
            <w:vAlign w:val="bottom"/>
          </w:tcPr>
          <w:p>
            <w:pPr>
              <w:spacing w:after="0"/>
              <w:rPr>
                <w:sz w:val="1"/>
                <w:szCs w:val="1"/>
                <w:color w:val="auto"/>
              </w:rPr>
            </w:pPr>
          </w:p>
        </w:tc>
      </w:tr>
      <w:tr>
        <w:trPr>
          <w:trHeight w:val="134"/>
        </w:trPr>
        <w:tc>
          <w:tcPr>
            <w:tcW w:w="5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60" w:type="dxa"/>
            <w:vAlign w:val="bottom"/>
            <w:gridSpan w:val="2"/>
            <w:vMerge w:val="restart"/>
          </w:tcPr>
          <w:p>
            <w:pPr>
              <w:jc w:val="center"/>
              <w:ind w:right="300"/>
              <w:spacing w:after="0"/>
              <w:rPr>
                <w:sz w:val="20"/>
                <w:szCs w:val="20"/>
                <w:color w:val="auto"/>
              </w:rPr>
            </w:pPr>
            <w:r>
              <w:rPr>
                <w:rFonts w:ascii="Arial" w:cs="Arial" w:eastAsia="Arial" w:hAnsi="Arial"/>
                <w:sz w:val="16"/>
                <w:szCs w:val="16"/>
                <w:b w:val="1"/>
                <w:bCs w:val="1"/>
                <w:color w:val="auto"/>
                <w:w w:val="99"/>
              </w:rPr>
              <w:t>Variable Interest</w:t>
            </w:r>
          </w:p>
        </w:tc>
        <w:tc>
          <w:tcPr>
            <w:tcW w:w="140" w:type="dxa"/>
            <w:vAlign w:val="bottom"/>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55"/>
        </w:trPr>
        <w:tc>
          <w:tcPr>
            <w:tcW w:w="5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6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9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8"/>
        </w:trPr>
        <w:tc>
          <w:tcPr>
            <w:tcW w:w="504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Senior Secured Credit Facilities</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rPr>
              <w:t>Rates</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Points</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Points</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Points</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Points</w:t>
            </w:r>
          </w:p>
        </w:tc>
        <w:tc>
          <w:tcPr>
            <w:tcW w:w="0" w:type="dxa"/>
            <w:vAlign w:val="bottom"/>
          </w:tcPr>
          <w:p>
            <w:pPr>
              <w:spacing w:after="0"/>
              <w:rPr>
                <w:sz w:val="1"/>
                <w:szCs w:val="1"/>
                <w:color w:val="auto"/>
              </w:rPr>
            </w:pPr>
          </w:p>
        </w:tc>
      </w:tr>
      <w:tr>
        <w:trPr>
          <w:trHeight w:val="257"/>
        </w:trPr>
        <w:tc>
          <w:tcPr>
            <w:tcW w:w="51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Term Loan A</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459,375</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459</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1,148</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2,297</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4,594</w:t>
            </w:r>
          </w:p>
        </w:tc>
        <w:tc>
          <w:tcPr>
            <w:tcW w:w="0" w:type="dxa"/>
            <w:vAlign w:val="bottom"/>
          </w:tcPr>
          <w:p>
            <w:pPr>
              <w:spacing w:after="0"/>
              <w:rPr>
                <w:sz w:val="1"/>
                <w:szCs w:val="1"/>
                <w:color w:val="auto"/>
              </w:rPr>
            </w:pPr>
          </w:p>
        </w:tc>
      </w:tr>
      <w:tr>
        <w:trPr>
          <w:trHeight w:val="264"/>
        </w:trPr>
        <w:tc>
          <w:tcPr>
            <w:tcW w:w="5160" w:type="dxa"/>
            <w:vAlign w:val="bottom"/>
            <w:gridSpan w:val="2"/>
          </w:tcPr>
          <w:p>
            <w:pPr>
              <w:ind w:left="40"/>
              <w:spacing w:after="0"/>
              <w:rPr>
                <w:sz w:val="20"/>
                <w:szCs w:val="20"/>
                <w:color w:val="auto"/>
              </w:rPr>
            </w:pPr>
            <w:r>
              <w:rPr>
                <w:rFonts w:ascii="Arial" w:cs="Arial" w:eastAsia="Arial" w:hAnsi="Arial"/>
                <w:sz w:val="16"/>
                <w:szCs w:val="16"/>
                <w:color w:val="auto"/>
              </w:rPr>
              <w:t>Term Loan B</w:t>
            </w:r>
          </w:p>
        </w:tc>
        <w:tc>
          <w:tcPr>
            <w:tcW w:w="180" w:type="dxa"/>
            <w:vAlign w:val="bottom"/>
          </w:tcPr>
          <w:p>
            <w:pPr>
              <w:spacing w:after="0"/>
              <w:rPr>
                <w:sz w:val="22"/>
                <w:szCs w:val="22"/>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1,742,405</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2,507</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6,845</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15,524</w:t>
            </w:r>
          </w:p>
        </w:tc>
        <w:tc>
          <w:tcPr>
            <w:tcW w:w="0" w:type="dxa"/>
            <w:vAlign w:val="bottom"/>
          </w:tcPr>
          <w:p>
            <w:pPr>
              <w:spacing w:after="0"/>
              <w:rPr>
                <w:sz w:val="1"/>
                <w:szCs w:val="1"/>
                <w:color w:val="auto"/>
              </w:rPr>
            </w:pPr>
          </w:p>
        </w:tc>
      </w:tr>
      <w:tr>
        <w:trPr>
          <w:trHeight w:val="240"/>
        </w:trPr>
        <w:tc>
          <w:tcPr>
            <w:tcW w:w="516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Variable Rate Debt Outstanding</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4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2,201,780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459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3,655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9,142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20,118</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 xml:space="preserve">See Note 7. </w:t>
      </w:r>
      <w:r>
        <w:rPr>
          <w:rFonts w:ascii="Arial" w:cs="Arial" w:eastAsia="Arial" w:hAnsi="Arial"/>
          <w:sz w:val="18"/>
          <w:szCs w:val="18"/>
          <w:i w:val="1"/>
          <w:iCs w:val="1"/>
          <w:color w:val="auto"/>
        </w:rPr>
        <w:t>Debt</w:t>
      </w:r>
      <w:r>
        <w:rPr>
          <w:rFonts w:ascii="Arial" w:cs="Arial" w:eastAsia="Arial" w:hAnsi="Arial"/>
          <w:sz w:val="18"/>
          <w:szCs w:val="18"/>
          <w:color w:val="auto"/>
        </w:rPr>
        <w:t>, within the notes to the unaudited condensed consolidated financial statements for additional information.</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522" w:right="239" w:bottom="1440" w:gutter="0" w:footer="0" w:header="0"/>
        </w:sectPr>
      </w:pPr>
    </w:p>
    <w:bookmarkStart w:id="46" w:name="page47"/>
    <w:bookmarkEnd w:id="46"/>
    <w:p>
      <w:pPr>
        <w:ind w:firstLine="486"/>
        <w:spacing w:after="0" w:line="251" w:lineRule="auto"/>
        <w:rPr>
          <w:sz w:val="20"/>
          <w:szCs w:val="20"/>
          <w:color w:val="auto"/>
        </w:rPr>
      </w:pPr>
      <w:r>
        <w:rPr>
          <w:rFonts w:ascii="Arial" w:cs="Arial" w:eastAsia="Arial" w:hAnsi="Arial"/>
          <w:sz w:val="18"/>
          <w:szCs w:val="18"/>
          <w:color w:val="auto"/>
        </w:rPr>
        <w:t>As of September 30, 2016, we offered our advisors and their clients three primary cash sweep vehicles that are interest rate sensitive: our insured cash account ("ICA") for individuals, trusts and sole proprietorships, an insured deposit cash account ("DCA") for advisory individual retirement accounts, and a money market sweep vehicle involving multiple money market fund providers. While clients earn interest for balances on deposit in ICA and DCA, we earn a fee. Our fees from ICA are based on prevailing interest rates in the current interest rate environment. Changes in interest rates and fees for the insured bank deposit sweep vehicle are monitored by our Rate Setting Committee (the "RSC"), which governs and approves any changes to our fees. By meeting promptly around the time of Federal Open Market Committee meetings, or for other market or non-market reasons, the RSC considers financial risk of the insured bank deposit sweep vehicle relative to other products into which clients may move cash balances. The fees that we receive from the DCA vehicle are calculated as a per account fee; such fees increase as the federal funds target rate increases, subject to a cap.</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Risk</w:t>
      </w:r>
    </w:p>
    <w:p>
      <w:pPr>
        <w:spacing w:after="0" w:line="247" w:lineRule="exact"/>
        <w:rPr>
          <w:sz w:val="20"/>
          <w:szCs w:val="20"/>
          <w:color w:val="auto"/>
        </w:rPr>
      </w:pPr>
    </w:p>
    <w:p>
      <w:pPr>
        <w:ind w:right="60" w:firstLine="486"/>
        <w:spacing w:after="0" w:line="253" w:lineRule="auto"/>
        <w:rPr>
          <w:sz w:val="20"/>
          <w:szCs w:val="20"/>
          <w:color w:val="auto"/>
        </w:rPr>
      </w:pPr>
      <w:r>
        <w:rPr>
          <w:rFonts w:ascii="Arial" w:cs="Arial" w:eastAsia="Arial" w:hAnsi="Arial"/>
          <w:sz w:val="18"/>
          <w:szCs w:val="18"/>
          <w:color w:val="auto"/>
        </w:rPr>
        <w:t>Credit risk is the risk of loss due to adverse changes in a borrower’s, issuer’s, or counterparty’s ability to meet its financial obligations under contractual or agreed upon terms. Credit risk includes the risk that loans we extend to advisors to facilitate their transition to our platform or to fund their business development activities are not repaid in full or on time. Credit risk also includes the risk that collateral posted with LPL by clients to support margin lending or derivative trading is insufficient to meet client’s contractual obligations to LPL. We bear credit risk on the activities of our advisors’ clients, including the execution, settlement, and financing of various transactions on behalf of these clients.</w:t>
      </w:r>
    </w:p>
    <w:p>
      <w:pPr>
        <w:spacing w:after="0" w:line="206" w:lineRule="exact"/>
        <w:rPr>
          <w:sz w:val="20"/>
          <w:szCs w:val="20"/>
          <w:color w:val="auto"/>
        </w:rPr>
      </w:pPr>
    </w:p>
    <w:p>
      <w:pPr>
        <w:ind w:right="260" w:firstLine="486"/>
        <w:spacing w:after="0" w:line="254" w:lineRule="auto"/>
        <w:rPr>
          <w:sz w:val="20"/>
          <w:szCs w:val="20"/>
          <w:color w:val="auto"/>
        </w:rPr>
      </w:pPr>
      <w:r>
        <w:rPr>
          <w:rFonts w:ascii="Arial" w:cs="Arial" w:eastAsia="Arial" w:hAnsi="Arial"/>
          <w:sz w:val="18"/>
          <w:szCs w:val="18"/>
          <w:color w:val="auto"/>
        </w:rPr>
        <w:t>These activities are transacted on either a cash or margin basis. Our credit exposure in these transactions consists primarily of margin accounts, through which we extend credit to advisors' clients collateralized by securities in the client’s account. Under many of these agreements, we are permitted to sell, re-pledge, or loan these securities held as collateral and use these securities to enter into securities lending arrangements or to deliver to counterparties to cover short positions.</w:t>
      </w:r>
    </w:p>
    <w:p>
      <w:pPr>
        <w:spacing w:after="0" w:line="204" w:lineRule="exact"/>
        <w:rPr>
          <w:sz w:val="20"/>
          <w:szCs w:val="20"/>
          <w:color w:val="auto"/>
        </w:rPr>
      </w:pPr>
    </w:p>
    <w:p>
      <w:pPr>
        <w:ind w:right="20" w:firstLine="486"/>
        <w:spacing w:after="0" w:line="253" w:lineRule="auto"/>
        <w:rPr>
          <w:sz w:val="20"/>
          <w:szCs w:val="20"/>
          <w:color w:val="auto"/>
        </w:rPr>
      </w:pPr>
      <w:r>
        <w:rPr>
          <w:rFonts w:ascii="Arial" w:cs="Arial" w:eastAsia="Arial" w:hAnsi="Arial"/>
          <w:sz w:val="18"/>
          <w:szCs w:val="18"/>
          <w:color w:val="auto"/>
        </w:rPr>
        <w:t>As our advisors execute margin transactions on behalf of their clients, we may incur losses if clients do not fulfill their obligations, the collateral in clients' accounts is insufficient to fully cover losses from such investments, and our advisors fail to reimburse us for such losses. Our losses on margin accounts did not exceed $0.2 million during the nine months ended September 30, 2016 and 2015. We monitor exposure to industry sectors and individual securities and perform analyses on a regular basis in connection with our margin lending activities. We adjust our margin requirements if we believe our risk exposure is not appropriate based on market conditions.</w:t>
      </w:r>
    </w:p>
    <w:p>
      <w:pPr>
        <w:spacing w:after="0" w:line="206" w:lineRule="exact"/>
        <w:rPr>
          <w:sz w:val="20"/>
          <w:szCs w:val="20"/>
          <w:color w:val="auto"/>
        </w:rPr>
      </w:pPr>
    </w:p>
    <w:p>
      <w:pPr>
        <w:ind w:right="60" w:firstLine="486"/>
        <w:spacing w:after="0" w:line="252" w:lineRule="auto"/>
        <w:rPr>
          <w:sz w:val="20"/>
          <w:szCs w:val="20"/>
          <w:color w:val="auto"/>
        </w:rPr>
      </w:pPr>
      <w:r>
        <w:rPr>
          <w:rFonts w:ascii="Arial" w:cs="Arial" w:eastAsia="Arial" w:hAnsi="Arial"/>
          <w:sz w:val="18"/>
          <w:szCs w:val="18"/>
          <w:color w:val="auto"/>
        </w:rPr>
        <w:t>We are subject to concentration risk if we extend large loans to or have large commitments with a single counterparty, borrower, or group of similar counterparties or borrowers (e.g. in the same industry), or if we accept a concentrated position as collateral for a margin loan. Receivables from and payables to clients and stock borrowing and lending activities are conducted with a large number of clients and counterparties and potential concentration is carefully monitored. We seek to limit this risk through careful review of the underlying business and the use of limits established by senior management, taking into consideration factors including the financial strength of the counterparty, the size of the position or commitment, the expected duration of the position or commitment and other positions or commitments outstanding.</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Operational Risk</w:t>
      </w:r>
    </w:p>
    <w:p>
      <w:pPr>
        <w:spacing w:after="0" w:line="247" w:lineRule="exact"/>
        <w:rPr>
          <w:sz w:val="20"/>
          <w:szCs w:val="20"/>
          <w:color w:val="auto"/>
        </w:rPr>
      </w:pPr>
    </w:p>
    <w:p>
      <w:pPr>
        <w:ind w:right="80" w:firstLine="486"/>
        <w:spacing w:after="0" w:line="251" w:lineRule="auto"/>
        <w:rPr>
          <w:sz w:val="20"/>
          <w:szCs w:val="20"/>
          <w:color w:val="auto"/>
        </w:rPr>
      </w:pPr>
      <w:r>
        <w:rPr>
          <w:rFonts w:ascii="Arial" w:cs="Arial" w:eastAsia="Arial" w:hAnsi="Arial"/>
          <w:sz w:val="18"/>
          <w:szCs w:val="18"/>
          <w:color w:val="auto"/>
        </w:rPr>
        <w:t>Operational risk is defined as the risk of loss resulting from failed or inadequate processes or systems, actions by people, or external events. We operate in diverse markets and are reliant on the ability of our employees and information technology systems, as well as third-party service providers and their systems, to manage a large number of transactions effectively. These risks are less direct and quantifiable than credit and market risk, but managing them is critical, particularly in a rapidly changing operating environment with increasing transaction volumes and in light of increasing reliance on systems capabilities and performance, as well as third-party service providers. In the event of a failure or improper operation of systems or improper action by employees, advisors, or third-party service providers, we could suffer business disruptions, financial loss, data loss, regulatory sanctions, and damage to our reputation. Although we have developed business continuity and disaster recovery plans, those plans could be inadequate, disrupted, or otherwise unsuccessful in maintaining the stability, security, or continuity of critical systems as result of, among other things, obsolescence, improper operation, or other limitations of our current technology.</w:t>
      </w:r>
    </w:p>
    <w:p>
      <w:pPr>
        <w:spacing w:after="0" w:line="267" w:lineRule="exact"/>
        <w:rPr>
          <w:sz w:val="20"/>
          <w:szCs w:val="20"/>
          <w:color w:val="auto"/>
        </w:rPr>
      </w:pPr>
    </w:p>
    <w:p>
      <w:pPr>
        <w:ind w:right="180" w:firstLine="486"/>
        <w:spacing w:after="0" w:line="256" w:lineRule="auto"/>
        <w:rPr>
          <w:sz w:val="20"/>
          <w:szCs w:val="20"/>
          <w:color w:val="auto"/>
        </w:rPr>
      </w:pPr>
      <w:r>
        <w:rPr>
          <w:rFonts w:ascii="Arial" w:cs="Arial" w:eastAsia="Arial" w:hAnsi="Arial"/>
          <w:sz w:val="18"/>
          <w:szCs w:val="18"/>
          <w:color w:val="auto"/>
        </w:rPr>
        <w:t>In order to assist in the mitigation and control of operational risk, we have an operational risk framework that enables assessment and reporting on operational risk across the firm. This framework helps ensure policies and procedures are in place and appropriately designed to identify and manage operational risk at appropriate levels</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382" w:right="239" w:bottom="1440" w:gutter="0" w:footer="0" w:header="0"/>
        </w:sectPr>
      </w:pPr>
    </w:p>
    <w:bookmarkStart w:id="47" w:name="page48"/>
    <w:bookmarkEnd w:id="47"/>
    <w:p>
      <w:pPr>
        <w:ind w:right="100"/>
        <w:spacing w:after="0" w:line="253" w:lineRule="auto"/>
        <w:rPr>
          <w:sz w:val="20"/>
          <w:szCs w:val="20"/>
          <w:color w:val="auto"/>
        </w:rPr>
      </w:pPr>
      <w:r>
        <w:rPr>
          <w:rFonts w:ascii="Arial" w:cs="Arial" w:eastAsia="Arial" w:hAnsi="Arial"/>
          <w:sz w:val="18"/>
          <w:szCs w:val="18"/>
          <w:color w:val="auto"/>
        </w:rPr>
        <w:t>throughout our organization and within various departments. These control mechanisms attempt to ensure that operational policies and procedures are being followed and that our employees and advisors operate within established corporate policies and limits. Notwithstanding the foregoing, please consult the Risks Related to our Technology and Risks Related to Our Business Generally sections within Part I, “Item 1A. Risk Factors” in our 2015 Annual Report on Form 10-K for more information about the risks associated with our technology, including risks related to information security, our risk management policies and procedures and the potential related effects on our operations.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and Legal Risk</w:t>
      </w:r>
    </w:p>
    <w:p>
      <w:pPr>
        <w:spacing w:after="0" w:line="139" w:lineRule="exact"/>
        <w:rPr>
          <w:sz w:val="20"/>
          <w:szCs w:val="20"/>
          <w:color w:val="auto"/>
        </w:rPr>
      </w:pPr>
    </w:p>
    <w:p>
      <w:pPr>
        <w:ind w:right="20" w:firstLine="486"/>
        <w:spacing w:after="0" w:line="252" w:lineRule="auto"/>
        <w:rPr>
          <w:sz w:val="20"/>
          <w:szCs w:val="20"/>
          <w:color w:val="auto"/>
        </w:rPr>
      </w:pPr>
      <w:r>
        <w:rPr>
          <w:rFonts w:ascii="Arial" w:cs="Arial" w:eastAsia="Arial" w:hAnsi="Arial"/>
          <w:sz w:val="18"/>
          <w:szCs w:val="18"/>
          <w:color w:val="auto"/>
        </w:rPr>
        <w:t>The regulatory environment in which we operate is discussed in detail within Part I, “Item 1, Business Section” in our 2015 Annual Report on Form 10-K. In recent years, and during the period presented in this Quarterly Report on Form 10-Q, we have observed regulators broaden the scope, frequency, and depth of their examinations to include greater emphasis on the quality and consistency of the industry’s execution of policies and procedures. Please consult the Risks Related to Our Regulatory Environment section within Part I, “Item 1A. Risk Factors” in our 2015 Annual Report on Form 10-K for more information about the risks associated with operating within our regulatory environment, and the potential related effects on our operations.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w:t>
      </w:r>
    </w:p>
    <w:p>
      <w:pPr>
        <w:spacing w:after="0" w:line="139" w:lineRule="exact"/>
        <w:rPr>
          <w:sz w:val="20"/>
          <w:szCs w:val="20"/>
          <w:color w:val="auto"/>
        </w:rPr>
      </w:pPr>
    </w:p>
    <w:p>
      <w:pPr>
        <w:ind w:right="320" w:firstLine="486"/>
        <w:spacing w:after="0" w:line="256" w:lineRule="auto"/>
        <w:rPr>
          <w:sz w:val="20"/>
          <w:szCs w:val="20"/>
          <w:color w:val="auto"/>
        </w:rPr>
      </w:pPr>
      <w:r>
        <w:rPr>
          <w:rFonts w:ascii="Arial" w:cs="Arial" w:eastAsia="Arial" w:hAnsi="Arial"/>
          <w:sz w:val="18"/>
          <w:szCs w:val="18"/>
          <w:color w:val="auto"/>
        </w:rPr>
        <w:t>We employ an enterprise risk management framework ("ERM") that is intended to address key risks and responsibilities, enable us to execute our business strategy, and protect our Company and its franchise. Our framework is designed to promote clear lines of risk management accountability and a structured escalation process for key risk information and events.</w:t>
      </w:r>
    </w:p>
    <w:p>
      <w:pPr>
        <w:spacing w:after="0" w:line="202"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auto"/>
        </w:rPr>
        <w:t>We operate a three lines of defense model whereby the primary ownership for risk and control processes is the responsibility of business and control owners who are the "first line" of defense in effectively managing risks. The first line is responsible for risk process ownership and is comprised of the business units, whose primary responsibility is for day-to-day compliance and risk management, including execution of desktop and supervisory procedures. These business owners and certain control owners implement and execute controls to manage risk, execute risk assessments, identify emerging risks, and comply with risk management policies. The second line of defense is comprised of certain departments within Governance, Risk and Compliance ("GRC"), STO, Business Technology Services ("BTS"), Finance, and Human Capital and this second line of defense provides risk and control assessment and oversight. The third line of defense is independent verification of the effectiveness of internal controls and is conducted by Internal Audit or in third-party reviews.</w:t>
      </w:r>
    </w:p>
    <w:p>
      <w:pPr>
        <w:spacing w:after="0" w:line="206" w:lineRule="exact"/>
        <w:rPr>
          <w:sz w:val="20"/>
          <w:szCs w:val="20"/>
          <w:color w:val="auto"/>
        </w:rPr>
      </w:pPr>
    </w:p>
    <w:p>
      <w:pPr>
        <w:ind w:right="300" w:firstLine="486"/>
        <w:spacing w:after="0" w:line="254" w:lineRule="auto"/>
        <w:rPr>
          <w:sz w:val="20"/>
          <w:szCs w:val="20"/>
          <w:color w:val="auto"/>
        </w:rPr>
      </w:pPr>
      <w:r>
        <w:rPr>
          <w:rFonts w:ascii="Arial" w:cs="Arial" w:eastAsia="Arial" w:hAnsi="Arial"/>
          <w:sz w:val="18"/>
          <w:szCs w:val="18"/>
          <w:color w:val="auto"/>
        </w:rPr>
        <w:t>Our risk management governance approach includes our Board of Directors (the “Board”) and certain of its committees; the Risk Oversight Committee of LPL Financial (the “ROC”) and its subcommittees; the Internal Audit Department and the GRC Department of LPL Financial; and business line management. We regularly reevaluate and, when necessary, modify our processes to improve the identification and escalation of risks and events.</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Committee of the Board</w:t>
      </w:r>
    </w:p>
    <w:p>
      <w:pPr>
        <w:spacing w:after="0" w:line="247" w:lineRule="exact"/>
        <w:rPr>
          <w:sz w:val="20"/>
          <w:szCs w:val="20"/>
          <w:color w:val="auto"/>
        </w:rPr>
      </w:pPr>
    </w:p>
    <w:p>
      <w:pPr>
        <w:ind w:right="120" w:firstLine="486"/>
        <w:spacing w:after="0" w:line="256" w:lineRule="auto"/>
        <w:rPr>
          <w:sz w:val="20"/>
          <w:szCs w:val="20"/>
          <w:color w:val="auto"/>
        </w:rPr>
      </w:pPr>
      <w:r>
        <w:rPr>
          <w:rFonts w:ascii="Arial" w:cs="Arial" w:eastAsia="Arial" w:hAnsi="Arial"/>
          <w:sz w:val="18"/>
          <w:szCs w:val="18"/>
          <w:color w:val="auto"/>
        </w:rPr>
        <w:t>In addition to its other responsibilities, the Audit Committee of the Board (the “Audit Committee”) reviews our policies with respect to risk assessment and risk management, as well as our major financial risk exposures and the steps management has undertaken to control them. The Audit Committee provides reports to the Board at each of the Board’s regularly scheduled quarterly meetings.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and Human Resources Committee of the Board</w:t>
      </w:r>
    </w:p>
    <w:p>
      <w:pPr>
        <w:spacing w:after="0" w:line="247" w:lineRule="exact"/>
        <w:rPr>
          <w:sz w:val="20"/>
          <w:szCs w:val="20"/>
          <w:color w:val="auto"/>
        </w:rPr>
      </w:pPr>
    </w:p>
    <w:p>
      <w:pPr>
        <w:jc w:val="both"/>
        <w:ind w:right="760" w:firstLine="486"/>
        <w:spacing w:after="0" w:line="256" w:lineRule="auto"/>
        <w:rPr>
          <w:sz w:val="20"/>
          <w:szCs w:val="20"/>
          <w:color w:val="auto"/>
        </w:rPr>
      </w:pPr>
      <w:r>
        <w:rPr>
          <w:rFonts w:ascii="Arial" w:cs="Arial" w:eastAsia="Arial" w:hAnsi="Arial"/>
          <w:sz w:val="18"/>
          <w:szCs w:val="18"/>
          <w:color w:val="auto"/>
        </w:rPr>
        <w:t>In addition to its other responsibilities, the Compensation and Human Resources Committee of the Board assesses whether our compensation arrangements encourage inappropriate risk-taking, and whether risks arising from our compensation arrangements are reasonably likely to have a material adverse effect on the Company.</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 Oversight Committee of LPL Financial</w:t>
      </w:r>
    </w:p>
    <w:p>
      <w:pPr>
        <w:spacing w:after="0" w:line="247" w:lineRule="exact"/>
        <w:rPr>
          <w:sz w:val="20"/>
          <w:szCs w:val="20"/>
          <w:color w:val="auto"/>
        </w:rPr>
      </w:pPr>
    </w:p>
    <w:p>
      <w:pPr>
        <w:ind w:right="20" w:firstLine="486"/>
        <w:spacing w:after="0" w:line="252" w:lineRule="auto"/>
        <w:rPr>
          <w:sz w:val="20"/>
          <w:szCs w:val="20"/>
          <w:color w:val="auto"/>
        </w:rPr>
      </w:pPr>
      <w:r>
        <w:rPr>
          <w:rFonts w:ascii="Arial" w:cs="Arial" w:eastAsia="Arial" w:hAnsi="Arial"/>
          <w:sz w:val="18"/>
          <w:szCs w:val="18"/>
          <w:color w:val="auto"/>
        </w:rPr>
        <w:t xml:space="preserve">The Audit Committee has mandated that the ROC oversee our risk management activities, including those of our subsidiaries. The Chief Risk Officer of LPL Financial serves as chair, and the Deputy Chief Risk Officer serves as vice chair, of the ROC, which generally meets on a monthly basis with </w:t>
      </w:r>
      <w:r>
        <w:rPr>
          <w:rFonts w:ascii="Arial" w:cs="Arial" w:eastAsia="Arial" w:hAnsi="Arial"/>
          <w:sz w:val="18"/>
          <w:szCs w:val="18"/>
          <w:i w:val="1"/>
          <w:iCs w:val="1"/>
          <w:color w:val="auto"/>
        </w:rPr>
        <w:t>ad hoc</w:t>
      </w:r>
      <w:r>
        <w:rPr>
          <w:rFonts w:ascii="Arial" w:cs="Arial" w:eastAsia="Arial" w:hAnsi="Arial"/>
          <w:sz w:val="18"/>
          <w:szCs w:val="18"/>
          <w:color w:val="auto"/>
        </w:rPr>
        <w:t xml:space="preserve"> meetings as necessary. Each member of the Management Committee of LPL Financial and two additional Managing Directors serve on the ROC. Other members of the Company’s senior management team are also included as ex-officio members, representing the key control areas of the Company. These individuals include, but are not limited to, the Chief Compliance Officer, Brokerage; the Chief Compliance Officer, Advisory; the Chief Information Security Officer; and the Chief</w:t>
      </w: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490" w:right="259" w:bottom="1440" w:gutter="0" w:footer="0" w:header="0"/>
        </w:sectPr>
      </w:pPr>
    </w:p>
    <w:bookmarkStart w:id="48" w:name="page49"/>
    <w:bookmarkEnd w:id="48"/>
    <w:p>
      <w:pPr>
        <w:spacing w:after="0" w:line="254" w:lineRule="auto"/>
        <w:rPr>
          <w:sz w:val="20"/>
          <w:szCs w:val="20"/>
          <w:color w:val="auto"/>
        </w:rPr>
      </w:pPr>
      <w:r>
        <w:rPr>
          <w:rFonts w:ascii="Arial" w:cs="Arial" w:eastAsia="Arial" w:hAnsi="Arial"/>
          <w:sz w:val="18"/>
          <w:szCs w:val="18"/>
          <w:color w:val="auto"/>
        </w:rPr>
        <w:t>Privacy Officer of LPL Financial. Participation in the ROC by senior officers is intended to ensure that the ROC covers the key risk areas of the Company, including its subsidiaries, and that the ROC thoroughly reviews significant matters relating to risk priorities, policies, control procedures and related exceptions, certain new and complex products and business arrangements, transactions with significant risk elements, and identified emerging risks.</w:t>
      </w:r>
    </w:p>
    <w:p>
      <w:pPr>
        <w:spacing w:after="0" w:line="33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320"/>
          </w:cols>
          <w:pgMar w:left="240" w:top="490" w:right="339" w:bottom="1440" w:gutter="0" w:footer="0" w:header="0"/>
        </w:sectPr>
      </w:pPr>
    </w:p>
    <w:bookmarkStart w:id="49" w:name="page50"/>
    <w:bookmarkEnd w:id="49"/>
    <w:p>
      <w:pPr>
        <w:jc w:val="both"/>
        <w:ind w:right="80" w:firstLine="486"/>
        <w:spacing w:after="0" w:line="256" w:lineRule="auto"/>
        <w:rPr>
          <w:sz w:val="20"/>
          <w:szCs w:val="20"/>
          <w:color w:val="auto"/>
        </w:rPr>
      </w:pPr>
      <w:r>
        <w:rPr>
          <w:rFonts w:ascii="Arial" w:cs="Arial" w:eastAsia="Arial" w:hAnsi="Arial"/>
          <w:sz w:val="18"/>
          <w:szCs w:val="18"/>
          <w:color w:val="auto"/>
        </w:rPr>
        <w:t>The chair of the ROC provides reports to the Audit Committee at each of the Audit Committee’s regularly scheduled quarterly meetings and, as necessary or requested, to the Board. The reports generally cover topics addressed by the ROC at its meetings since the immediately preceding report. If warranted, matters of material risk are escalated to the Audit Committee or Board more frequently.</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Subcommittees of the Risk Oversight Committee</w:t>
      </w:r>
    </w:p>
    <w:p>
      <w:pPr>
        <w:spacing w:after="0" w:line="247" w:lineRule="exact"/>
        <w:rPr>
          <w:sz w:val="20"/>
          <w:szCs w:val="20"/>
          <w:color w:val="auto"/>
        </w:rPr>
      </w:pPr>
    </w:p>
    <w:p>
      <w:pPr>
        <w:ind w:right="120" w:firstLine="486"/>
        <w:spacing w:after="0" w:line="253" w:lineRule="auto"/>
        <w:rPr>
          <w:sz w:val="20"/>
          <w:szCs w:val="20"/>
          <w:color w:val="auto"/>
        </w:rPr>
      </w:pPr>
      <w:r>
        <w:rPr>
          <w:rFonts w:ascii="Arial" w:cs="Arial" w:eastAsia="Arial" w:hAnsi="Arial"/>
          <w:sz w:val="18"/>
          <w:szCs w:val="18"/>
          <w:color w:val="auto"/>
        </w:rPr>
        <w:t>The ROC has established multiple subcommittees that cover key areas of risk. The subcommittees meet regularly and are responsible for keeping the ROC informed and escalating issues in accordance with the Company’s escalation policies. The responsibilities of such subcommittees include, for example, oversight of the approval of new and complex investment products offered to advisors’ clients; oversight of the firm's technology; issues and trends related to advisor compliance and examination findings; whistle-blower and tips hotline allegations; and oversight of disclosures related to our financial reporting.</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Internal Audit Department</w:t>
      </w:r>
    </w:p>
    <w:p>
      <w:pPr>
        <w:spacing w:after="0" w:line="247" w:lineRule="exact"/>
        <w:rPr>
          <w:sz w:val="20"/>
          <w:szCs w:val="20"/>
          <w:color w:val="auto"/>
        </w:rPr>
      </w:pPr>
    </w:p>
    <w:p>
      <w:pPr>
        <w:ind w:firstLine="486"/>
        <w:spacing w:after="0" w:line="256" w:lineRule="auto"/>
        <w:rPr>
          <w:sz w:val="20"/>
          <w:szCs w:val="20"/>
          <w:color w:val="auto"/>
        </w:rPr>
      </w:pPr>
      <w:r>
        <w:rPr>
          <w:rFonts w:ascii="Arial" w:cs="Arial" w:eastAsia="Arial" w:hAnsi="Arial"/>
          <w:sz w:val="18"/>
          <w:szCs w:val="18"/>
          <w:color w:val="auto"/>
        </w:rPr>
        <w:t>The Internal Audit Department provides independent verification of the effectiveness of the Company’s internal controls by conducting risk assessments and audits designed to identify and cover important risk categories. The Internal Audit Department provides regular reports to the ROC and reports to the Audit Committee at least as often as quarterly.</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Control Groups</w:t>
      </w:r>
    </w:p>
    <w:p>
      <w:pPr>
        <w:spacing w:after="0" w:line="247" w:lineRule="exact"/>
        <w:rPr>
          <w:sz w:val="20"/>
          <w:szCs w:val="20"/>
          <w:color w:val="auto"/>
        </w:rPr>
      </w:pPr>
    </w:p>
    <w:p>
      <w:pPr>
        <w:ind w:firstLine="486"/>
        <w:spacing w:after="0" w:line="253" w:lineRule="auto"/>
        <w:rPr>
          <w:sz w:val="20"/>
          <w:szCs w:val="20"/>
          <w:color w:val="auto"/>
        </w:rPr>
      </w:pPr>
      <w:r>
        <w:rPr>
          <w:rFonts w:ascii="Arial" w:cs="Arial" w:eastAsia="Arial" w:hAnsi="Arial"/>
          <w:sz w:val="18"/>
          <w:szCs w:val="18"/>
          <w:color w:val="auto"/>
        </w:rPr>
        <w:t>The GRC Department provides compliance oversight and guidance, and conducts various risk and other assessments to address regulatory and Company-specific risks and requirements. The GRC Department reports to the Chief Risk Officer, who reviews the results of the Company’s risk management process with the ROC, the Audit Committee, and the Board as necessary. Another key control group is the STO Risk Management team. This team identifies, defines, and remediates risk-related items within STO and acts as the liaison between STO and GRC. We also consider the Internal Audit Department to be a control group.</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Line Management</w:t>
      </w:r>
    </w:p>
    <w:p>
      <w:pPr>
        <w:spacing w:after="0" w:line="247" w:lineRule="exact"/>
        <w:rPr>
          <w:sz w:val="20"/>
          <w:szCs w:val="20"/>
          <w:color w:val="auto"/>
        </w:rPr>
      </w:pPr>
    </w:p>
    <w:p>
      <w:pPr>
        <w:ind w:right="100" w:firstLine="486"/>
        <w:spacing w:after="0" w:line="252" w:lineRule="auto"/>
        <w:rPr>
          <w:sz w:val="20"/>
          <w:szCs w:val="20"/>
          <w:color w:val="auto"/>
        </w:rPr>
      </w:pPr>
      <w:r>
        <w:rPr>
          <w:rFonts w:ascii="Arial" w:cs="Arial" w:eastAsia="Arial" w:hAnsi="Arial"/>
          <w:sz w:val="18"/>
          <w:szCs w:val="18"/>
          <w:color w:val="auto"/>
        </w:rPr>
        <w:t>Each business line is responsible for managing its risk, and business line management is responsible for keeping senior management, including the members of the ROC, informed of operational risk and escalating risk matters (as defined by the Company’s escalation policies). We have conducted Company-wide escalation training for our employees. Certain business lines, including STO and BTS, have dedicated personnel with responsibilities for monitoring and managing risk-related matters. Business lines are subject to oversight by the control groups, and the Finance, Legal, BTS, and Human Capital Departments also execute certain control functions and report matters to the ROC, Audit Committee, and Board as appropriate.</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Policy Committee and Advisor Policies</w:t>
      </w:r>
    </w:p>
    <w:p>
      <w:pPr>
        <w:spacing w:after="0" w:line="247" w:lineRule="exact"/>
        <w:rPr>
          <w:sz w:val="20"/>
          <w:szCs w:val="20"/>
          <w:color w:val="auto"/>
        </w:rPr>
      </w:pPr>
    </w:p>
    <w:p>
      <w:pPr>
        <w:ind w:right="20" w:firstLine="486"/>
        <w:spacing w:after="0" w:line="252" w:lineRule="auto"/>
        <w:rPr>
          <w:sz w:val="20"/>
          <w:szCs w:val="20"/>
          <w:color w:val="auto"/>
        </w:rPr>
      </w:pPr>
      <w:r>
        <w:rPr>
          <w:rFonts w:ascii="Arial" w:cs="Arial" w:eastAsia="Arial" w:hAnsi="Arial"/>
          <w:sz w:val="18"/>
          <w:szCs w:val="18"/>
          <w:color w:val="auto"/>
        </w:rPr>
        <w:t>In addition to the ERM framework, the Management Committee of LPL Financial has established a Policy Committee to provide a centralized decision-making process for material policy issues that may arise on an ad hoc basis. The membership of the Policy Committee consists of a subset of the Management Committee and currently includes: the President, who serves as chair of the Policy Committee and the Managing Director, Chief Risk Officer. The Managing Director, Legal &amp; Government Relations, serves as a non-voting member. Among other issues, the Policy Committee addresses policy conflicts and potential conflicts that may arise from time to time from legal and regulatory requirements, business proposals, and practices throughout the Company as they relate to advisor-facing or public-facing issues. The Policy Committee is responsible for analyzing such issues, and either facilitating the policy decision or conflict resolution, or making the policy decision. The Policy Committee reports the results of its decisions or other resolutions to the Management Committee on an ad hoc basis.</w:t>
      </w:r>
    </w:p>
    <w:p>
      <w:pPr>
        <w:spacing w:after="0" w:line="206" w:lineRule="exact"/>
        <w:rPr>
          <w:sz w:val="20"/>
          <w:szCs w:val="20"/>
          <w:color w:val="auto"/>
        </w:rPr>
      </w:pPr>
    </w:p>
    <w:p>
      <w:pPr>
        <w:ind w:right="220" w:firstLine="486"/>
        <w:spacing w:after="0" w:line="254" w:lineRule="auto"/>
        <w:rPr>
          <w:sz w:val="20"/>
          <w:szCs w:val="20"/>
          <w:color w:val="auto"/>
        </w:rPr>
      </w:pPr>
      <w:r>
        <w:rPr>
          <w:rFonts w:ascii="Arial" w:cs="Arial" w:eastAsia="Arial" w:hAnsi="Arial"/>
          <w:sz w:val="18"/>
          <w:szCs w:val="18"/>
          <w:color w:val="auto"/>
        </w:rPr>
        <w:t>We also have written policies and procedures that govern the conduct of business by our advisors, employees, and the terms and conditions of our relationships with product manufacturers. Our client and advisor policies address the extension of credit for client accounts, data and physical security, compliance with industry regulation, and codes of conduct and ethics to govern employee and advisor conduct, among other matters.</w:t>
      </w:r>
    </w:p>
    <w:p>
      <w:pPr>
        <w:spacing w:after="0" w:line="3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380"/>
          </w:cols>
          <w:pgMar w:left="240" w:top="490" w:right="27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47"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Our Disclosure Committee, with the participation of our Chief Executive Officer and Chief Financial Officer, evaluated the effectiveness of our disclosure controls and procedures, as defined in Rules 13a-15(e) and 15d-15(e) under the Securities Exchange Act of 1934, as amended, as of the end of the period covered by this report. Based on that evaluation, the Chief Executive Officer and Chief Financial Officer concluded that our disclosure controls and procedures as of the end of the period covered by this report were effective.</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Internal Control over Financial Reporting</w:t>
      </w:r>
    </w:p>
    <w:p>
      <w:pPr>
        <w:spacing w:after="0" w:line="247" w:lineRule="exact"/>
        <w:rPr>
          <w:sz w:val="20"/>
          <w:szCs w:val="20"/>
          <w:color w:val="auto"/>
        </w:rPr>
      </w:pPr>
    </w:p>
    <w:p>
      <w:pPr>
        <w:ind w:right="120" w:firstLine="486"/>
        <w:spacing w:after="0" w:line="262" w:lineRule="auto"/>
        <w:rPr>
          <w:sz w:val="20"/>
          <w:szCs w:val="20"/>
          <w:color w:val="auto"/>
        </w:rPr>
      </w:pPr>
      <w:r>
        <w:rPr>
          <w:rFonts w:ascii="Arial" w:cs="Arial" w:eastAsia="Arial" w:hAnsi="Arial"/>
          <w:sz w:val="18"/>
          <w:szCs w:val="18"/>
          <w:color w:val="auto"/>
        </w:rPr>
        <w:t>There were no changes in our internal control over financial reporting that occurred during the third quarter ended September 30, 2016, that have materially affected, or are reasonably likely to materially affect, our internal control over financial reporting.</w:t>
      </w:r>
    </w:p>
    <w:p>
      <w:pPr>
        <w:spacing w:after="0" w:line="38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360"/>
          </w:cols>
          <w:pgMar w:left="240" w:top="522" w:right="299" w:bottom="1440" w:gutter="0" w:footer="0" w:header="0"/>
        </w:sectPr>
      </w:pPr>
    </w:p>
    <w:bookmarkStart w:id="51" w:name="page52"/>
    <w:bookmarkEnd w:id="51"/>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47" w:lineRule="exact"/>
        <w:rPr>
          <w:sz w:val="20"/>
          <w:szCs w:val="20"/>
          <w:color w:val="auto"/>
        </w:rPr>
      </w:pPr>
    </w:p>
    <w:p>
      <w:pPr>
        <w:jc w:val="both"/>
        <w:ind w:right="1040" w:firstLine="486"/>
        <w:spacing w:after="0" w:line="262" w:lineRule="auto"/>
        <w:rPr>
          <w:sz w:val="20"/>
          <w:szCs w:val="20"/>
          <w:color w:val="auto"/>
        </w:rPr>
      </w:pPr>
      <w:r>
        <w:rPr>
          <w:rFonts w:ascii="Arial" w:cs="Arial" w:eastAsia="Arial" w:hAnsi="Arial"/>
          <w:sz w:val="18"/>
          <w:szCs w:val="18"/>
          <w:color w:val="auto"/>
        </w:rPr>
        <w:t>We are involved from time to time in routine legal proceedings occurring in the ordinary course of business. In the opinion of management, there are no matters outstanding that would have a material adverse impact on our operations or financial condition.</w:t>
      </w:r>
    </w:p>
    <w:p>
      <w:pPr>
        <w:spacing w:after="0" w:line="196" w:lineRule="exact"/>
        <w:rPr>
          <w:sz w:val="20"/>
          <w:szCs w:val="20"/>
          <w:color w:val="auto"/>
        </w:rPr>
      </w:pPr>
    </w:p>
    <w:p>
      <w:pPr>
        <w:ind w:right="320" w:firstLine="486"/>
        <w:spacing w:after="0" w:line="256" w:lineRule="auto"/>
        <w:rPr>
          <w:sz w:val="20"/>
          <w:szCs w:val="20"/>
          <w:color w:val="auto"/>
        </w:rPr>
      </w:pPr>
      <w:r>
        <w:rPr>
          <w:rFonts w:ascii="Arial" w:cs="Arial" w:eastAsia="Arial" w:hAnsi="Arial"/>
          <w:sz w:val="18"/>
          <w:szCs w:val="18"/>
          <w:color w:val="auto"/>
        </w:rPr>
        <w:t>A putative class action lawsuit has been filed against the Company and certain of its executive officers in federal district court alleging certain misstatements and omissions related to the Company’s share repurchases and financial performance in late 2015. The Company intends to defend vigorously against the lawsuit.</w:t>
      </w:r>
    </w:p>
    <w:p>
      <w:pPr>
        <w:spacing w:after="0" w:line="184" w:lineRule="exact"/>
        <w:rPr>
          <w:sz w:val="20"/>
          <w:szCs w:val="20"/>
          <w:color w:val="auto"/>
        </w:rPr>
      </w:pPr>
    </w:p>
    <w:p>
      <w:pPr>
        <w:ind w:right="620" w:firstLine="486"/>
        <w:spacing w:after="0" w:line="282" w:lineRule="auto"/>
        <w:rPr>
          <w:sz w:val="20"/>
          <w:szCs w:val="20"/>
          <w:color w:val="auto"/>
        </w:rPr>
      </w:pPr>
      <w:r>
        <w:rPr>
          <w:rFonts w:ascii="Arial" w:cs="Arial" w:eastAsia="Arial" w:hAnsi="Arial"/>
          <w:sz w:val="18"/>
          <w:szCs w:val="18"/>
          <w:color w:val="auto"/>
        </w:rPr>
        <w:t xml:space="preserve">For a discussion of legal proceedings, see Note 8.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xml:space="preserve"> within the notes to the unaudited condensed consolidated financial statements for disclosure of matters related to regulatory matters.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47" w:lineRule="exact"/>
        <w:rPr>
          <w:sz w:val="20"/>
          <w:szCs w:val="20"/>
          <w:color w:val="auto"/>
        </w:rPr>
      </w:pPr>
    </w:p>
    <w:p>
      <w:pPr>
        <w:ind w:right="60" w:firstLine="486"/>
        <w:spacing w:after="0" w:line="262" w:lineRule="auto"/>
        <w:rPr>
          <w:sz w:val="20"/>
          <w:szCs w:val="20"/>
          <w:color w:val="auto"/>
        </w:rPr>
      </w:pPr>
      <w:r>
        <w:rPr>
          <w:rFonts w:ascii="Arial" w:cs="Arial" w:eastAsia="Arial" w:hAnsi="Arial"/>
          <w:sz w:val="18"/>
          <w:szCs w:val="18"/>
          <w:color w:val="auto"/>
        </w:rPr>
        <w:t>There have been no material changes in the information regarding the Company’s risks, as set forth under Part I, “Item 1A. Risk Factors” in the Company’s 2015 Annual Report on Form 10-K.</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4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table below sets forth information regarding repurchases on a monthly basis during the three months ended September 30, 2016:</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99"/>
              </w:rPr>
              <w:t>Total Number</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rPr>
              <w:t>of Shares</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60" w:type="dxa"/>
            <w:vAlign w:val="bottom"/>
          </w:tcPr>
          <w:p>
            <w:pPr>
              <w:jc w:val="center"/>
              <w:ind w:right="104"/>
              <w:spacing w:after="0"/>
              <w:rPr>
                <w:sz w:val="20"/>
                <w:szCs w:val="20"/>
                <w:color w:val="auto"/>
              </w:rPr>
            </w:pPr>
            <w:r>
              <w:rPr>
                <w:rFonts w:ascii="Arial" w:cs="Arial" w:eastAsia="Arial" w:hAnsi="Arial"/>
                <w:sz w:val="14"/>
                <w:szCs w:val="14"/>
                <w:b w:val="1"/>
                <w:bCs w:val="1"/>
                <w:color w:val="auto"/>
              </w:rPr>
              <w:t>Approximate Dollar</w:t>
            </w: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Weighted-</w:t>
            </w: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rPr>
              <w:t>Purchased as</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60" w:type="dxa"/>
            <w:vAlign w:val="bottom"/>
          </w:tcPr>
          <w:p>
            <w:pPr>
              <w:jc w:val="center"/>
              <w:ind w:right="124"/>
              <w:spacing w:after="0"/>
              <w:rPr>
                <w:sz w:val="20"/>
                <w:szCs w:val="20"/>
                <w:color w:val="auto"/>
              </w:rPr>
            </w:pPr>
            <w:r>
              <w:rPr>
                <w:rFonts w:ascii="Arial" w:cs="Arial" w:eastAsia="Arial" w:hAnsi="Arial"/>
                <w:sz w:val="14"/>
                <w:szCs w:val="14"/>
                <w:b w:val="1"/>
                <w:bCs w:val="1"/>
                <w:color w:val="auto"/>
              </w:rPr>
              <w:t>Value of Shares That</w:t>
            </w: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1160" w:type="dxa"/>
            <w:vAlign w:val="bottom"/>
          </w:tcPr>
          <w:p>
            <w:pPr>
              <w:jc w:val="right"/>
              <w:ind w:right="43"/>
              <w:spacing w:after="0"/>
              <w:rPr>
                <w:sz w:val="20"/>
                <w:szCs w:val="20"/>
                <w:color w:val="auto"/>
              </w:rPr>
            </w:pPr>
            <w:r>
              <w:rPr>
                <w:rFonts w:ascii="Arial" w:cs="Arial" w:eastAsia="Arial" w:hAnsi="Arial"/>
                <w:sz w:val="14"/>
                <w:szCs w:val="14"/>
                <w:b w:val="1"/>
                <w:bCs w:val="1"/>
                <w:color w:val="auto"/>
              </w:rPr>
              <w:t>Total Number</w:t>
            </w:r>
          </w:p>
        </w:tc>
        <w:tc>
          <w:tcPr>
            <w:tcW w:w="120" w:type="dxa"/>
            <w:vAlign w:val="bottom"/>
          </w:tcPr>
          <w:p>
            <w:pPr>
              <w:spacing w:after="0"/>
              <w:rPr>
                <w:sz w:val="14"/>
                <w:szCs w:val="14"/>
                <w:color w:val="auto"/>
              </w:rPr>
            </w:pPr>
          </w:p>
        </w:tc>
        <w:tc>
          <w:tcPr>
            <w:tcW w:w="1140" w:type="dxa"/>
            <w:vAlign w:val="bottom"/>
            <w:gridSpan w:val="3"/>
          </w:tcPr>
          <w:p>
            <w:pPr>
              <w:ind w:left="40"/>
              <w:spacing w:after="0"/>
              <w:rPr>
                <w:sz w:val="20"/>
                <w:szCs w:val="20"/>
                <w:color w:val="auto"/>
              </w:rPr>
            </w:pPr>
            <w:r>
              <w:rPr>
                <w:rFonts w:ascii="Arial" w:cs="Arial" w:eastAsia="Arial" w:hAnsi="Arial"/>
                <w:sz w:val="14"/>
                <w:szCs w:val="14"/>
                <w:b w:val="1"/>
                <w:bCs w:val="1"/>
                <w:color w:val="auto"/>
              </w:rPr>
              <w:t>Average Price</w:t>
            </w: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rPr>
              <w:t>Part of Publicly</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60" w:type="dxa"/>
            <w:vAlign w:val="bottom"/>
          </w:tcPr>
          <w:p>
            <w:pPr>
              <w:jc w:val="center"/>
              <w:ind w:right="124"/>
              <w:spacing w:after="0"/>
              <w:rPr>
                <w:sz w:val="20"/>
                <w:szCs w:val="20"/>
                <w:color w:val="auto"/>
              </w:rPr>
            </w:pPr>
            <w:r>
              <w:rPr>
                <w:rFonts w:ascii="Arial" w:cs="Arial" w:eastAsia="Arial" w:hAnsi="Arial"/>
                <w:sz w:val="14"/>
                <w:szCs w:val="14"/>
                <w:b w:val="1"/>
                <w:bCs w:val="1"/>
                <w:color w:val="auto"/>
              </w:rPr>
              <w:t>May Yet Be Purchased</w:t>
            </w: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1160" w:type="dxa"/>
            <w:vAlign w:val="bottom"/>
          </w:tcPr>
          <w:p>
            <w:pPr>
              <w:jc w:val="right"/>
              <w:ind w:right="163"/>
              <w:spacing w:after="0"/>
              <w:rPr>
                <w:sz w:val="20"/>
                <w:szCs w:val="20"/>
                <w:color w:val="auto"/>
              </w:rPr>
            </w:pPr>
            <w:r>
              <w:rPr>
                <w:rFonts w:ascii="Arial" w:cs="Arial" w:eastAsia="Arial" w:hAnsi="Arial"/>
                <w:sz w:val="14"/>
                <w:szCs w:val="14"/>
                <w:b w:val="1"/>
                <w:bCs w:val="1"/>
                <w:color w:val="auto"/>
              </w:rPr>
              <w:t>of Shares</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Paid per</w:t>
            </w: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rPr>
              <w:t>Announced</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60" w:type="dxa"/>
            <w:vAlign w:val="bottom"/>
          </w:tcPr>
          <w:p>
            <w:pPr>
              <w:jc w:val="center"/>
              <w:ind w:right="124"/>
              <w:spacing w:after="0"/>
              <w:rPr>
                <w:sz w:val="20"/>
                <w:szCs w:val="20"/>
                <w:color w:val="auto"/>
              </w:rPr>
            </w:pPr>
            <w:r>
              <w:rPr>
                <w:rFonts w:ascii="Arial" w:cs="Arial" w:eastAsia="Arial" w:hAnsi="Arial"/>
                <w:sz w:val="14"/>
                <w:szCs w:val="14"/>
                <w:b w:val="1"/>
                <w:bCs w:val="1"/>
                <w:color w:val="auto"/>
              </w:rPr>
              <w:t>Under the Programs</w:t>
            </w:r>
          </w:p>
        </w:tc>
        <w:tc>
          <w:tcPr>
            <w:tcW w:w="0" w:type="dxa"/>
            <w:vAlign w:val="bottom"/>
          </w:tcPr>
          <w:p>
            <w:pPr>
              <w:spacing w:after="0"/>
              <w:rPr>
                <w:sz w:val="1"/>
                <w:szCs w:val="1"/>
                <w:color w:val="auto"/>
              </w:rPr>
            </w:pPr>
          </w:p>
        </w:tc>
      </w:tr>
      <w:tr>
        <w:trPr>
          <w:trHeight w:val="162"/>
        </w:trPr>
        <w:tc>
          <w:tcPr>
            <w:tcW w:w="5260" w:type="dxa"/>
            <w:vAlign w:val="bottom"/>
            <w:gridSpan w:val="3"/>
          </w:tcPr>
          <w:p>
            <w:pPr>
              <w:ind w:left="40"/>
              <w:spacing w:after="0"/>
              <w:rPr>
                <w:sz w:val="20"/>
                <w:szCs w:val="20"/>
                <w:color w:val="auto"/>
              </w:rPr>
            </w:pPr>
            <w:r>
              <w:rPr>
                <w:rFonts w:ascii="Arial" w:cs="Arial" w:eastAsia="Arial" w:hAnsi="Arial"/>
                <w:sz w:val="14"/>
                <w:szCs w:val="14"/>
                <w:b w:val="1"/>
                <w:bCs w:val="1"/>
                <w:color w:val="auto"/>
              </w:rPr>
              <w:t>Period</w:t>
            </w:r>
          </w:p>
        </w:tc>
        <w:tc>
          <w:tcPr>
            <w:tcW w:w="1160" w:type="dxa"/>
            <w:vAlign w:val="bottom"/>
          </w:tcPr>
          <w:p>
            <w:pPr>
              <w:jc w:val="right"/>
              <w:ind w:right="123"/>
              <w:spacing w:after="0"/>
              <w:rPr>
                <w:sz w:val="20"/>
                <w:szCs w:val="20"/>
                <w:color w:val="auto"/>
              </w:rPr>
            </w:pPr>
            <w:r>
              <w:rPr>
                <w:rFonts w:ascii="Arial" w:cs="Arial" w:eastAsia="Arial" w:hAnsi="Arial"/>
                <w:sz w:val="14"/>
                <w:szCs w:val="14"/>
                <w:b w:val="1"/>
                <w:bCs w:val="1"/>
                <w:color w:val="auto"/>
              </w:rPr>
              <w:t>Purchased</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Share</w:t>
            </w: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rPr>
              <w:t>Programs(1)</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60" w:type="dxa"/>
            <w:vAlign w:val="bottom"/>
          </w:tcPr>
          <w:p>
            <w:pPr>
              <w:jc w:val="center"/>
              <w:ind w:right="104"/>
              <w:spacing w:after="0"/>
              <w:rPr>
                <w:sz w:val="20"/>
                <w:szCs w:val="20"/>
                <w:color w:val="auto"/>
              </w:rPr>
            </w:pPr>
            <w:r>
              <w:rPr>
                <w:rFonts w:ascii="Arial" w:cs="Arial" w:eastAsia="Arial" w:hAnsi="Arial"/>
                <w:sz w:val="14"/>
                <w:szCs w:val="14"/>
                <w:b w:val="1"/>
                <w:bCs w:val="1"/>
                <w:color w:val="auto"/>
              </w:rPr>
              <w:t>(millions)</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440" w:type="dxa"/>
            <w:vAlign w:val="bottom"/>
            <w:tcBorders>
              <w:top w:val="single" w:sz="8" w:color="auto"/>
              <w:bottom w:val="single" w:sz="8" w:color="CCEEFF"/>
            </w:tcBorders>
          </w:tcPr>
          <w:p>
            <w:pPr>
              <w:spacing w:after="0" w:line="20" w:lineRule="exact"/>
              <w:rPr>
                <w:sz w:val="1"/>
                <w:szCs w:val="1"/>
                <w:color w:val="auto"/>
              </w:rPr>
            </w:pPr>
          </w:p>
        </w:tc>
        <w:tc>
          <w:tcPr>
            <w:tcW w:w="478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526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July 1, 2016 through July 31, 2016</w:t>
            </w:r>
          </w:p>
        </w:tc>
        <w:tc>
          <w:tcPr>
            <w:tcW w:w="116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w:t>
            </w: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w w:val="89"/>
              </w:rPr>
              <w:t>$</w:t>
            </w:r>
          </w:p>
        </w:tc>
        <w:tc>
          <w:tcPr>
            <w:tcW w:w="1000" w:type="dxa"/>
            <w:vAlign w:val="bottom"/>
            <w:gridSpan w:val="2"/>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1580" w:type="dxa"/>
            <w:vAlign w:val="bottom"/>
            <w:shd w:val="clear" w:color="auto" w:fill="CCEEFF"/>
          </w:tcPr>
          <w:p>
            <w:pPr>
              <w:ind w:left="1300"/>
              <w:spacing w:after="0"/>
              <w:rPr>
                <w:sz w:val="20"/>
                <w:szCs w:val="20"/>
                <w:color w:val="auto"/>
              </w:rPr>
            </w:pPr>
            <w:r>
              <w:rPr>
                <w:rFonts w:ascii="Arial" w:cs="Arial" w:eastAsia="Arial" w:hAnsi="Arial"/>
                <w:sz w:val="16"/>
                <w:szCs w:val="16"/>
                <w:color w:val="auto"/>
              </w:rPr>
              <w:t>—</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86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225</w:t>
            </w:r>
          </w:p>
        </w:tc>
        <w:tc>
          <w:tcPr>
            <w:tcW w:w="0" w:type="dxa"/>
            <w:vAlign w:val="bottom"/>
          </w:tcPr>
          <w:p>
            <w:pPr>
              <w:spacing w:after="0"/>
              <w:rPr>
                <w:sz w:val="1"/>
                <w:szCs w:val="1"/>
                <w:color w:val="auto"/>
              </w:rPr>
            </w:pPr>
          </w:p>
        </w:tc>
      </w:tr>
      <w:tr>
        <w:trPr>
          <w:trHeight w:val="260"/>
        </w:trPr>
        <w:tc>
          <w:tcPr>
            <w:tcW w:w="5260" w:type="dxa"/>
            <w:vAlign w:val="bottom"/>
            <w:gridSpan w:val="3"/>
          </w:tcPr>
          <w:p>
            <w:pPr>
              <w:ind w:left="40"/>
              <w:spacing w:after="0"/>
              <w:rPr>
                <w:sz w:val="20"/>
                <w:szCs w:val="20"/>
                <w:color w:val="auto"/>
              </w:rPr>
            </w:pPr>
            <w:r>
              <w:rPr>
                <w:rFonts w:ascii="Arial" w:cs="Arial" w:eastAsia="Arial" w:hAnsi="Arial"/>
                <w:sz w:val="16"/>
                <w:szCs w:val="16"/>
                <w:color w:val="auto"/>
              </w:rPr>
              <w:t>August 1, 2016 through August 31, 2016</w:t>
            </w:r>
          </w:p>
        </w:tc>
        <w:tc>
          <w:tcPr>
            <w:tcW w:w="1160" w:type="dxa"/>
            <w:vAlign w:val="bottom"/>
          </w:tcPr>
          <w:p>
            <w:pPr>
              <w:jc w:val="right"/>
              <w:ind w:right="43"/>
              <w:spacing w:after="0"/>
              <w:rPr>
                <w:sz w:val="20"/>
                <w:szCs w:val="20"/>
                <w:color w:val="auto"/>
              </w:rPr>
            </w:pPr>
            <w:r>
              <w:rPr>
                <w:rFonts w:ascii="Arial" w:cs="Arial" w:eastAsia="Arial" w:hAnsi="Arial"/>
                <w:sz w:val="16"/>
                <w:szCs w:val="16"/>
                <w:color w:val="auto"/>
              </w:rPr>
              <w:t>—</w:t>
            </w:r>
          </w:p>
        </w:tc>
        <w:tc>
          <w:tcPr>
            <w:tcW w:w="260" w:type="dxa"/>
            <w:vAlign w:val="bottom"/>
            <w:gridSpan w:val="2"/>
          </w:tcPr>
          <w:p>
            <w:pPr>
              <w:ind w:left="160"/>
              <w:spacing w:after="0"/>
              <w:rPr>
                <w:sz w:val="20"/>
                <w:szCs w:val="20"/>
                <w:color w:val="auto"/>
              </w:rPr>
            </w:pPr>
            <w:r>
              <w:rPr>
                <w:rFonts w:ascii="Arial" w:cs="Arial" w:eastAsia="Arial" w:hAnsi="Arial"/>
                <w:sz w:val="16"/>
                <w:szCs w:val="16"/>
                <w:color w:val="auto"/>
                <w:w w:val="89"/>
              </w:rPr>
              <w:t>$</w:t>
            </w:r>
          </w:p>
        </w:tc>
        <w:tc>
          <w:tcPr>
            <w:tcW w:w="1000" w:type="dxa"/>
            <w:vAlign w:val="bottom"/>
            <w:gridSpan w:val="2"/>
          </w:tcPr>
          <w:p>
            <w:pPr>
              <w:ind w:left="620"/>
              <w:spacing w:after="0"/>
              <w:rPr>
                <w:sz w:val="20"/>
                <w:szCs w:val="20"/>
                <w:color w:val="auto"/>
              </w:rPr>
            </w:pPr>
            <w:r>
              <w:rPr>
                <w:rFonts w:ascii="Arial" w:cs="Arial" w:eastAsia="Arial" w:hAnsi="Arial"/>
                <w:sz w:val="16"/>
                <w:szCs w:val="16"/>
                <w:color w:val="auto"/>
              </w:rPr>
              <w:t>—</w:t>
            </w:r>
          </w:p>
        </w:tc>
        <w:tc>
          <w:tcPr>
            <w:tcW w:w="1580" w:type="dxa"/>
            <w:vAlign w:val="bottom"/>
          </w:tcPr>
          <w:p>
            <w:pPr>
              <w:ind w:left="1300"/>
              <w:spacing w:after="0"/>
              <w:rPr>
                <w:sz w:val="20"/>
                <w:szCs w:val="20"/>
                <w:color w:val="auto"/>
              </w:rPr>
            </w:pPr>
            <w:r>
              <w:rPr>
                <w:rFonts w:ascii="Arial" w:cs="Arial" w:eastAsia="Arial" w:hAnsi="Arial"/>
                <w:sz w:val="16"/>
                <w:szCs w:val="16"/>
                <w:color w:val="auto"/>
              </w:rPr>
              <w:t>—</w:t>
            </w:r>
          </w:p>
        </w:tc>
        <w:tc>
          <w:tcPr>
            <w:tcW w:w="3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860" w:type="dxa"/>
            <w:vAlign w:val="bottom"/>
          </w:tcPr>
          <w:p>
            <w:pPr>
              <w:jc w:val="right"/>
              <w:ind w:right="24"/>
              <w:spacing w:after="0"/>
              <w:rPr>
                <w:sz w:val="20"/>
                <w:szCs w:val="20"/>
                <w:color w:val="auto"/>
              </w:rPr>
            </w:pPr>
            <w:r>
              <w:rPr>
                <w:rFonts w:ascii="Arial" w:cs="Arial" w:eastAsia="Arial" w:hAnsi="Arial"/>
                <w:sz w:val="16"/>
                <w:szCs w:val="16"/>
                <w:color w:val="auto"/>
              </w:rPr>
              <w:t>225</w:t>
            </w:r>
          </w:p>
        </w:tc>
        <w:tc>
          <w:tcPr>
            <w:tcW w:w="0" w:type="dxa"/>
            <w:vAlign w:val="bottom"/>
          </w:tcPr>
          <w:p>
            <w:pPr>
              <w:spacing w:after="0"/>
              <w:rPr>
                <w:sz w:val="1"/>
                <w:szCs w:val="1"/>
                <w:color w:val="auto"/>
              </w:rPr>
            </w:pPr>
          </w:p>
        </w:tc>
      </w:tr>
      <w:tr>
        <w:trPr>
          <w:trHeight w:val="273"/>
        </w:trPr>
        <w:tc>
          <w:tcPr>
            <w:tcW w:w="526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September 1, 2016 through September 30, 2016</w:t>
            </w:r>
          </w:p>
        </w:tc>
        <w:tc>
          <w:tcPr>
            <w:tcW w:w="116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w:t>
            </w: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w w:val="89"/>
              </w:rPr>
              <w:t>$</w:t>
            </w:r>
          </w:p>
        </w:tc>
        <w:tc>
          <w:tcPr>
            <w:tcW w:w="1000" w:type="dxa"/>
            <w:vAlign w:val="bottom"/>
            <w:gridSpan w:val="2"/>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auto"/>
            </w:tcBorders>
            <w:shd w:val="clear" w:color="auto" w:fill="CCEEFF"/>
          </w:tcPr>
          <w:p>
            <w:pPr>
              <w:ind w:left="1300"/>
              <w:spacing w:after="0"/>
              <w:rPr>
                <w:sz w:val="20"/>
                <w:szCs w:val="20"/>
                <w:color w:val="auto"/>
              </w:rPr>
            </w:pPr>
            <w:r>
              <w:rPr>
                <w:rFonts w:ascii="Arial" w:cs="Arial" w:eastAsia="Arial" w:hAnsi="Arial"/>
                <w:sz w:val="16"/>
                <w:szCs w:val="16"/>
                <w:color w:val="auto"/>
              </w:rPr>
              <w:t>—</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86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225</w:t>
            </w:r>
          </w:p>
        </w:tc>
        <w:tc>
          <w:tcPr>
            <w:tcW w:w="0" w:type="dxa"/>
            <w:vAlign w:val="bottom"/>
          </w:tcPr>
          <w:p>
            <w:pPr>
              <w:spacing w:after="0"/>
              <w:rPr>
                <w:sz w:val="1"/>
                <w:szCs w:val="1"/>
                <w:color w:val="auto"/>
              </w:rPr>
            </w:pPr>
          </w:p>
        </w:tc>
      </w:tr>
      <w:tr>
        <w:trPr>
          <w:trHeight w:val="237"/>
        </w:trPr>
        <w:tc>
          <w:tcPr>
            <w:tcW w:w="5260" w:type="dxa"/>
            <w:vAlign w:val="bottom"/>
            <w:gridSpan w:val="3"/>
          </w:tcPr>
          <w:p>
            <w:pPr>
              <w:ind w:left="40"/>
              <w:spacing w:after="0"/>
              <w:rPr>
                <w:sz w:val="20"/>
                <w:szCs w:val="20"/>
                <w:color w:val="auto"/>
              </w:rPr>
            </w:pPr>
            <w:r>
              <w:rPr>
                <w:rFonts w:ascii="Arial" w:cs="Arial" w:eastAsia="Arial" w:hAnsi="Arial"/>
                <w:sz w:val="16"/>
                <w:szCs w:val="16"/>
                <w:color w:val="auto"/>
              </w:rPr>
              <w:t>Total</w:t>
            </w:r>
          </w:p>
        </w:tc>
        <w:tc>
          <w:tcPr>
            <w:tcW w:w="116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w:t>
            </w:r>
          </w:p>
        </w:tc>
        <w:tc>
          <w:tcPr>
            <w:tcW w:w="260" w:type="dxa"/>
            <w:vAlign w:val="bottom"/>
            <w:gridSpan w:val="2"/>
          </w:tcPr>
          <w:p>
            <w:pPr>
              <w:ind w:left="160"/>
              <w:spacing w:after="0"/>
              <w:rPr>
                <w:sz w:val="20"/>
                <w:szCs w:val="20"/>
                <w:color w:val="auto"/>
              </w:rPr>
            </w:pPr>
            <w:r>
              <w:rPr>
                <w:rFonts w:ascii="Arial" w:cs="Arial" w:eastAsia="Arial" w:hAnsi="Arial"/>
                <w:sz w:val="16"/>
                <w:szCs w:val="16"/>
                <w:color w:val="auto"/>
                <w:w w:val="89"/>
              </w:rPr>
              <w:t>$</w:t>
            </w:r>
          </w:p>
        </w:tc>
        <w:tc>
          <w:tcPr>
            <w:tcW w:w="1000" w:type="dxa"/>
            <w:vAlign w:val="bottom"/>
            <w:gridSpan w:val="2"/>
          </w:tcPr>
          <w:p>
            <w:pPr>
              <w:ind w:left="620"/>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auto"/>
            </w:tcBorders>
          </w:tcPr>
          <w:p>
            <w:pPr>
              <w:ind w:left="1300"/>
              <w:spacing w:after="0"/>
              <w:rPr>
                <w:sz w:val="20"/>
                <w:szCs w:val="20"/>
                <w:color w:val="auto"/>
              </w:rPr>
            </w:pPr>
            <w:r>
              <w:rPr>
                <w:rFonts w:ascii="Arial" w:cs="Arial" w:eastAsia="Arial" w:hAnsi="Arial"/>
                <w:sz w:val="16"/>
                <w:szCs w:val="16"/>
                <w:color w:val="auto"/>
              </w:rPr>
              <w:t>—</w:t>
            </w:r>
          </w:p>
        </w:tc>
        <w:tc>
          <w:tcPr>
            <w:tcW w:w="3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860" w:type="dxa"/>
            <w:vAlign w:val="bottom"/>
          </w:tcPr>
          <w:p>
            <w:pPr>
              <w:jc w:val="right"/>
              <w:ind w:right="24"/>
              <w:spacing w:after="0"/>
              <w:rPr>
                <w:sz w:val="20"/>
                <w:szCs w:val="20"/>
                <w:color w:val="auto"/>
              </w:rPr>
            </w:pPr>
            <w:r>
              <w:rPr>
                <w:rFonts w:ascii="Arial" w:cs="Arial" w:eastAsia="Arial" w:hAnsi="Arial"/>
                <w:sz w:val="16"/>
                <w:szCs w:val="16"/>
                <w:color w:val="auto"/>
              </w:rPr>
              <w:t>225</w:t>
            </w:r>
          </w:p>
        </w:tc>
        <w:tc>
          <w:tcPr>
            <w:tcW w:w="0" w:type="dxa"/>
            <w:vAlign w:val="bottom"/>
          </w:tcPr>
          <w:p>
            <w:pPr>
              <w:spacing w:after="0"/>
              <w:rPr>
                <w:sz w:val="1"/>
                <w:szCs w:val="1"/>
                <w:color w:val="auto"/>
              </w:rPr>
            </w:pPr>
          </w:p>
        </w:tc>
      </w:tr>
      <w:tr>
        <w:trPr>
          <w:trHeight w:val="20"/>
        </w:trPr>
        <w:tc>
          <w:tcPr>
            <w:tcW w:w="5260" w:type="dxa"/>
            <w:vAlign w:val="bottom"/>
            <w:gridSpan w:val="3"/>
            <w:vMerge w:val="restart"/>
          </w:tcPr>
          <w:p>
            <w:pPr>
              <w:spacing w:after="0"/>
              <w:rPr>
                <w:sz w:val="20"/>
                <w:szCs w:val="20"/>
                <w:color w:val="auto"/>
              </w:rPr>
            </w:pPr>
            <w:r>
              <w:rPr>
                <w:rFonts w:ascii="Arial" w:cs="Arial" w:eastAsia="Arial" w:hAnsi="Arial"/>
                <w:sz w:val="11"/>
                <w:szCs w:val="11"/>
                <w:color w:val="auto"/>
              </w:rPr>
              <w:t>____________________</w:t>
            </w: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7"/>
        </w:trPr>
        <w:tc>
          <w:tcPr>
            <w:tcW w:w="5260" w:type="dxa"/>
            <w:vAlign w:val="bottom"/>
            <w:gridSpan w:val="3"/>
            <w:vMerge w:val="continue"/>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6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660" w:hanging="328"/>
        <w:spacing w:after="0" w:line="256"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 xml:space="preserve">On October 25, 2015 the Board of Directors authorized an increase to the share repurchase program of up to $500.0 million of shares of common stock. There were no share repurchases in the three months ended September 30, 2016. See Note 9. </w:t>
      </w:r>
      <w:r>
        <w:rPr>
          <w:rFonts w:ascii="Arial" w:cs="Arial" w:eastAsia="Arial" w:hAnsi="Arial"/>
          <w:sz w:val="18"/>
          <w:szCs w:val="18"/>
          <w:i w:val="1"/>
          <w:iCs w:val="1"/>
          <w:color w:val="auto"/>
        </w:rPr>
        <w:t>Stockholders' Equity</w:t>
      </w:r>
      <w:r>
        <w:rPr>
          <w:rFonts w:ascii="Arial" w:cs="Arial" w:eastAsia="Arial" w:hAnsi="Arial"/>
          <w:sz w:val="18"/>
          <w:szCs w:val="18"/>
          <w:color w:val="auto"/>
        </w:rPr>
        <w:t>, within the notes to the unaudited condensed consolidated financial statements for additional information.</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4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4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30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414" w:right="2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color w:val="auto"/>
        </w:rPr>
        <w:t>Item 6. Exhibits</w:t>
      </w:r>
    </w:p>
    <w:p>
      <w:pPr>
        <w:spacing w:after="0" w:line="193" w:lineRule="exact"/>
        <w:rPr>
          <w:sz w:val="20"/>
          <w:szCs w:val="20"/>
          <w:color w:val="auto"/>
        </w:rPr>
      </w:pPr>
    </w:p>
    <w:tbl>
      <w:tblPr>
        <w:tblLayout w:type="fixed"/>
        <w:tblInd w:w="320" w:type="dxa"/>
        <w:tblCellMar>
          <w:top w:w="0" w:type="dxa"/>
          <w:left w:w="0" w:type="dxa"/>
          <w:bottom w:w="0" w:type="dxa"/>
          <w:right w:w="0" w:type="dxa"/>
        </w:tblCellMar>
      </w:tblPr>
      <w:tr>
        <w:trPr>
          <w:trHeight w:val="271"/>
        </w:trPr>
        <w:tc>
          <w:tcPr>
            <w:tcW w:w="920" w:type="dxa"/>
            <w:vAlign w:val="bottom"/>
          </w:tcPr>
          <w:p>
            <w:pPr>
              <w:jc w:val="right"/>
              <w:ind w:right="110"/>
              <w:spacing w:after="0"/>
              <w:rPr>
                <w:sz w:val="20"/>
                <w:szCs w:val="20"/>
                <w:color w:val="auto"/>
              </w:rPr>
            </w:pPr>
            <w:r>
              <w:rPr>
                <w:rFonts w:ascii="Arial" w:cs="Arial" w:eastAsia="Arial" w:hAnsi="Arial"/>
                <w:sz w:val="18"/>
                <w:szCs w:val="18"/>
                <w:color w:val="auto"/>
              </w:rPr>
              <w:t>3.1</w:t>
            </w:r>
          </w:p>
        </w:tc>
        <w:tc>
          <w:tcPr>
            <w:tcW w:w="10000" w:type="dxa"/>
            <w:vAlign w:val="bottom"/>
          </w:tcPr>
          <w:p>
            <w:pPr>
              <w:ind w:left="180"/>
              <w:spacing w:after="0"/>
              <w:rPr>
                <w:sz w:val="20"/>
                <w:szCs w:val="20"/>
                <w:color w:val="auto"/>
              </w:rPr>
            </w:pPr>
            <w:r>
              <w:rPr>
                <w:rFonts w:ascii="Arial" w:cs="Arial" w:eastAsia="Arial" w:hAnsi="Arial"/>
                <w:sz w:val="18"/>
                <w:szCs w:val="18"/>
                <w:color w:val="auto"/>
              </w:rPr>
              <w:t>Amended and Restated Certificate of Incorporation of LPL Investment Holdings Inc., dated November 23, 2010. (1)</w:t>
            </w:r>
          </w:p>
        </w:tc>
      </w:tr>
      <w:tr>
        <w:trPr>
          <w:trHeight w:val="296"/>
        </w:trPr>
        <w:tc>
          <w:tcPr>
            <w:tcW w:w="920" w:type="dxa"/>
            <w:vAlign w:val="bottom"/>
          </w:tcPr>
          <w:p>
            <w:pPr>
              <w:jc w:val="right"/>
              <w:ind w:right="110"/>
              <w:spacing w:after="0"/>
              <w:rPr>
                <w:sz w:val="20"/>
                <w:szCs w:val="20"/>
                <w:color w:val="auto"/>
              </w:rPr>
            </w:pPr>
            <w:r>
              <w:rPr>
                <w:rFonts w:ascii="Arial" w:cs="Arial" w:eastAsia="Arial" w:hAnsi="Arial"/>
                <w:sz w:val="18"/>
                <w:szCs w:val="18"/>
                <w:color w:val="auto"/>
              </w:rPr>
              <w:t>3.2</w:t>
            </w:r>
          </w:p>
        </w:tc>
        <w:tc>
          <w:tcPr>
            <w:tcW w:w="10000" w:type="dxa"/>
            <w:vAlign w:val="bottom"/>
          </w:tcPr>
          <w:p>
            <w:pPr>
              <w:ind w:left="180"/>
              <w:spacing w:after="0"/>
              <w:rPr>
                <w:sz w:val="20"/>
                <w:szCs w:val="20"/>
                <w:color w:val="auto"/>
              </w:rPr>
            </w:pPr>
            <w:r>
              <w:rPr>
                <w:rFonts w:ascii="Arial" w:cs="Arial" w:eastAsia="Arial" w:hAnsi="Arial"/>
                <w:sz w:val="18"/>
                <w:szCs w:val="18"/>
                <w:color w:val="auto"/>
                <w:w w:val="99"/>
              </w:rPr>
              <w:t>Certificate of Ownership and Merger Merging LPL Financial Holdings Inc. with and into LPL Investment Holdings Inc., dated</w:t>
            </w:r>
          </w:p>
        </w:tc>
      </w:tr>
      <w:tr>
        <w:trPr>
          <w:trHeight w:val="217"/>
        </w:trPr>
        <w:tc>
          <w:tcPr>
            <w:tcW w:w="920" w:type="dxa"/>
            <w:vAlign w:val="bottom"/>
          </w:tcPr>
          <w:p>
            <w:pPr>
              <w:spacing w:after="0"/>
              <w:rPr>
                <w:sz w:val="18"/>
                <w:szCs w:val="18"/>
                <w:color w:val="auto"/>
              </w:rPr>
            </w:pPr>
          </w:p>
        </w:tc>
        <w:tc>
          <w:tcPr>
            <w:tcW w:w="10000" w:type="dxa"/>
            <w:vAlign w:val="bottom"/>
          </w:tcPr>
          <w:p>
            <w:pPr>
              <w:ind w:left="180"/>
              <w:spacing w:after="0"/>
              <w:rPr>
                <w:sz w:val="20"/>
                <w:szCs w:val="20"/>
                <w:color w:val="auto"/>
              </w:rPr>
            </w:pPr>
            <w:r>
              <w:rPr>
                <w:rFonts w:ascii="Arial" w:cs="Arial" w:eastAsia="Arial" w:hAnsi="Arial"/>
                <w:sz w:val="18"/>
                <w:szCs w:val="18"/>
                <w:color w:val="auto"/>
              </w:rPr>
              <w:t>June 14, 2012. (2)</w:t>
            </w:r>
          </w:p>
        </w:tc>
      </w:tr>
      <w:tr>
        <w:trPr>
          <w:trHeight w:val="242"/>
        </w:trPr>
        <w:tc>
          <w:tcPr>
            <w:tcW w:w="920" w:type="dxa"/>
            <w:vAlign w:val="bottom"/>
          </w:tcPr>
          <w:p>
            <w:pPr>
              <w:jc w:val="right"/>
              <w:ind w:right="110"/>
              <w:spacing w:after="0"/>
              <w:rPr>
                <w:sz w:val="20"/>
                <w:szCs w:val="20"/>
                <w:color w:val="auto"/>
              </w:rPr>
            </w:pPr>
            <w:r>
              <w:rPr>
                <w:rFonts w:ascii="Arial" w:cs="Arial" w:eastAsia="Arial" w:hAnsi="Arial"/>
                <w:sz w:val="18"/>
                <w:szCs w:val="18"/>
                <w:color w:val="auto"/>
              </w:rPr>
              <w:t>3.3</w:t>
            </w:r>
          </w:p>
        </w:tc>
        <w:tc>
          <w:tcPr>
            <w:tcW w:w="10000" w:type="dxa"/>
            <w:vAlign w:val="bottom"/>
          </w:tcPr>
          <w:p>
            <w:pPr>
              <w:ind w:left="180"/>
              <w:spacing w:after="0"/>
              <w:rPr>
                <w:sz w:val="20"/>
                <w:szCs w:val="20"/>
                <w:color w:val="auto"/>
              </w:rPr>
            </w:pPr>
            <w:r>
              <w:rPr>
                <w:rFonts w:ascii="Arial" w:cs="Arial" w:eastAsia="Arial" w:hAnsi="Arial"/>
                <w:sz w:val="18"/>
                <w:szCs w:val="18"/>
                <w:color w:val="auto"/>
              </w:rPr>
              <w:t>Certificate of Amendment to the Amended and Restated Certificate of Incorporation of LPL Financial Holdings Inc., dated</w:t>
            </w:r>
          </w:p>
        </w:tc>
      </w:tr>
      <w:tr>
        <w:trPr>
          <w:trHeight w:val="217"/>
        </w:trPr>
        <w:tc>
          <w:tcPr>
            <w:tcW w:w="920" w:type="dxa"/>
            <w:vAlign w:val="bottom"/>
          </w:tcPr>
          <w:p>
            <w:pPr>
              <w:spacing w:after="0"/>
              <w:rPr>
                <w:sz w:val="18"/>
                <w:szCs w:val="18"/>
                <w:color w:val="auto"/>
              </w:rPr>
            </w:pPr>
          </w:p>
        </w:tc>
        <w:tc>
          <w:tcPr>
            <w:tcW w:w="10000" w:type="dxa"/>
            <w:vAlign w:val="bottom"/>
          </w:tcPr>
          <w:p>
            <w:pPr>
              <w:ind w:left="180"/>
              <w:spacing w:after="0"/>
              <w:rPr>
                <w:sz w:val="20"/>
                <w:szCs w:val="20"/>
                <w:color w:val="auto"/>
              </w:rPr>
            </w:pPr>
            <w:r>
              <w:rPr>
                <w:rFonts w:ascii="Arial" w:cs="Arial" w:eastAsia="Arial" w:hAnsi="Arial"/>
                <w:sz w:val="18"/>
                <w:szCs w:val="18"/>
                <w:color w:val="auto"/>
              </w:rPr>
              <w:t>May 8, 2014. (3)</w:t>
            </w:r>
          </w:p>
        </w:tc>
      </w:tr>
      <w:tr>
        <w:trPr>
          <w:trHeight w:val="311"/>
        </w:trPr>
        <w:tc>
          <w:tcPr>
            <w:tcW w:w="920" w:type="dxa"/>
            <w:vAlign w:val="bottom"/>
          </w:tcPr>
          <w:p>
            <w:pPr>
              <w:jc w:val="right"/>
              <w:ind w:right="110"/>
              <w:spacing w:after="0"/>
              <w:rPr>
                <w:sz w:val="20"/>
                <w:szCs w:val="20"/>
                <w:color w:val="auto"/>
              </w:rPr>
            </w:pPr>
            <w:r>
              <w:rPr>
                <w:rFonts w:ascii="Arial" w:cs="Arial" w:eastAsia="Arial" w:hAnsi="Arial"/>
                <w:sz w:val="18"/>
                <w:szCs w:val="18"/>
                <w:color w:val="auto"/>
              </w:rPr>
              <w:t>3.4</w:t>
            </w:r>
          </w:p>
        </w:tc>
        <w:tc>
          <w:tcPr>
            <w:tcW w:w="10000" w:type="dxa"/>
            <w:vAlign w:val="bottom"/>
          </w:tcPr>
          <w:p>
            <w:pPr>
              <w:ind w:left="180"/>
              <w:spacing w:after="0"/>
              <w:rPr>
                <w:sz w:val="20"/>
                <w:szCs w:val="20"/>
                <w:color w:val="auto"/>
              </w:rPr>
            </w:pPr>
            <w:r>
              <w:rPr>
                <w:rFonts w:ascii="Arial" w:cs="Arial" w:eastAsia="Arial" w:hAnsi="Arial"/>
                <w:sz w:val="18"/>
                <w:szCs w:val="18"/>
                <w:color w:val="auto"/>
              </w:rPr>
              <w:t>Fifth Amended and Restated Bylaws of LPL Financial Holdings Inc. (4)</w:t>
            </w:r>
          </w:p>
        </w:tc>
      </w:tr>
      <w:tr>
        <w:trPr>
          <w:trHeight w:val="365"/>
        </w:trPr>
        <w:tc>
          <w:tcPr>
            <w:tcW w:w="920" w:type="dxa"/>
            <w:vAlign w:val="bottom"/>
          </w:tcPr>
          <w:p>
            <w:pPr>
              <w:jc w:val="right"/>
              <w:ind w:right="110"/>
              <w:spacing w:after="0"/>
              <w:rPr>
                <w:sz w:val="20"/>
                <w:szCs w:val="20"/>
                <w:color w:val="auto"/>
              </w:rPr>
            </w:pPr>
            <w:r>
              <w:rPr>
                <w:rFonts w:ascii="Arial" w:cs="Arial" w:eastAsia="Arial" w:hAnsi="Arial"/>
                <w:sz w:val="18"/>
                <w:szCs w:val="18"/>
                <w:color w:val="auto"/>
              </w:rPr>
              <w:t>31.1</w:t>
            </w:r>
          </w:p>
        </w:tc>
        <w:tc>
          <w:tcPr>
            <w:tcW w:w="10000" w:type="dxa"/>
            <w:vAlign w:val="bottom"/>
          </w:tcPr>
          <w:p>
            <w:pPr>
              <w:ind w:left="180"/>
              <w:spacing w:after="0"/>
              <w:rPr>
                <w:sz w:val="20"/>
                <w:szCs w:val="20"/>
                <w:color w:val="auto"/>
              </w:rPr>
            </w:pPr>
            <w:r>
              <w:rPr>
                <w:rFonts w:ascii="Arial" w:cs="Arial" w:eastAsia="Arial" w:hAnsi="Arial"/>
                <w:sz w:val="18"/>
                <w:szCs w:val="18"/>
                <w:color w:val="auto"/>
              </w:rPr>
              <w:t>Certification of the Chief Executive Officer pursuant to Rule 13a-14(a)*</w:t>
            </w:r>
          </w:p>
        </w:tc>
      </w:tr>
      <w:tr>
        <w:trPr>
          <w:trHeight w:val="365"/>
        </w:trPr>
        <w:tc>
          <w:tcPr>
            <w:tcW w:w="920" w:type="dxa"/>
            <w:vAlign w:val="bottom"/>
          </w:tcPr>
          <w:p>
            <w:pPr>
              <w:jc w:val="right"/>
              <w:ind w:right="110"/>
              <w:spacing w:after="0"/>
              <w:rPr>
                <w:sz w:val="20"/>
                <w:szCs w:val="20"/>
                <w:color w:val="auto"/>
              </w:rPr>
            </w:pPr>
            <w:r>
              <w:rPr>
                <w:rFonts w:ascii="Arial" w:cs="Arial" w:eastAsia="Arial" w:hAnsi="Arial"/>
                <w:sz w:val="18"/>
                <w:szCs w:val="18"/>
                <w:color w:val="auto"/>
              </w:rPr>
              <w:t>31.2</w:t>
            </w:r>
          </w:p>
        </w:tc>
        <w:tc>
          <w:tcPr>
            <w:tcW w:w="10000" w:type="dxa"/>
            <w:vAlign w:val="bottom"/>
          </w:tcPr>
          <w:p>
            <w:pPr>
              <w:ind w:left="180"/>
              <w:spacing w:after="0"/>
              <w:rPr>
                <w:sz w:val="20"/>
                <w:szCs w:val="20"/>
                <w:color w:val="auto"/>
              </w:rPr>
            </w:pPr>
            <w:r>
              <w:rPr>
                <w:rFonts w:ascii="Arial" w:cs="Arial" w:eastAsia="Arial" w:hAnsi="Arial"/>
                <w:sz w:val="18"/>
                <w:szCs w:val="18"/>
                <w:color w:val="auto"/>
              </w:rPr>
              <w:t>Certification of the Chief Financial Officer pursuant to Rule 13a-14(a)*</w:t>
            </w:r>
          </w:p>
        </w:tc>
      </w:tr>
      <w:tr>
        <w:trPr>
          <w:trHeight w:val="350"/>
        </w:trPr>
        <w:tc>
          <w:tcPr>
            <w:tcW w:w="920" w:type="dxa"/>
            <w:vAlign w:val="bottom"/>
          </w:tcPr>
          <w:p>
            <w:pPr>
              <w:jc w:val="right"/>
              <w:ind w:right="110"/>
              <w:spacing w:after="0"/>
              <w:rPr>
                <w:sz w:val="20"/>
                <w:szCs w:val="20"/>
                <w:color w:val="auto"/>
              </w:rPr>
            </w:pPr>
            <w:r>
              <w:rPr>
                <w:rFonts w:ascii="Arial" w:cs="Arial" w:eastAsia="Arial" w:hAnsi="Arial"/>
                <w:sz w:val="18"/>
                <w:szCs w:val="18"/>
                <w:color w:val="auto"/>
              </w:rPr>
              <w:t>32.1</w:t>
            </w:r>
          </w:p>
        </w:tc>
        <w:tc>
          <w:tcPr>
            <w:tcW w:w="10000" w:type="dxa"/>
            <w:vAlign w:val="bottom"/>
          </w:tcPr>
          <w:p>
            <w:pPr>
              <w:ind w:left="180"/>
              <w:spacing w:after="0"/>
              <w:rPr>
                <w:sz w:val="20"/>
                <w:szCs w:val="20"/>
                <w:color w:val="auto"/>
              </w:rPr>
            </w:pPr>
            <w:r>
              <w:rPr>
                <w:rFonts w:ascii="Arial" w:cs="Arial" w:eastAsia="Arial" w:hAnsi="Arial"/>
                <w:sz w:val="18"/>
                <w:szCs w:val="18"/>
                <w:color w:val="auto"/>
              </w:rPr>
              <w:t>Certification of the Chief Executive Officer pursuant to 18 U.S.C. Section 1350, as adopted pursuant to Section 906 of the</w:t>
            </w:r>
          </w:p>
        </w:tc>
      </w:tr>
      <w:tr>
        <w:trPr>
          <w:trHeight w:val="217"/>
        </w:trPr>
        <w:tc>
          <w:tcPr>
            <w:tcW w:w="920" w:type="dxa"/>
            <w:vAlign w:val="bottom"/>
          </w:tcPr>
          <w:p>
            <w:pPr>
              <w:spacing w:after="0"/>
              <w:rPr>
                <w:sz w:val="18"/>
                <w:szCs w:val="18"/>
                <w:color w:val="auto"/>
              </w:rPr>
            </w:pPr>
          </w:p>
        </w:tc>
        <w:tc>
          <w:tcPr>
            <w:tcW w:w="10000" w:type="dxa"/>
            <w:vAlign w:val="bottom"/>
          </w:tcPr>
          <w:p>
            <w:pPr>
              <w:ind w:left="180"/>
              <w:spacing w:after="0"/>
              <w:rPr>
                <w:sz w:val="20"/>
                <w:szCs w:val="20"/>
                <w:color w:val="auto"/>
              </w:rPr>
            </w:pPr>
            <w:r>
              <w:rPr>
                <w:rFonts w:ascii="Arial" w:cs="Arial" w:eastAsia="Arial" w:hAnsi="Arial"/>
                <w:sz w:val="18"/>
                <w:szCs w:val="18"/>
                <w:color w:val="auto"/>
              </w:rPr>
              <w:t>Sarbanes-Oxley Act of 2002*</w:t>
            </w:r>
          </w:p>
        </w:tc>
      </w:tr>
      <w:tr>
        <w:trPr>
          <w:trHeight w:val="350"/>
        </w:trPr>
        <w:tc>
          <w:tcPr>
            <w:tcW w:w="920" w:type="dxa"/>
            <w:vAlign w:val="bottom"/>
          </w:tcPr>
          <w:p>
            <w:pPr>
              <w:jc w:val="right"/>
              <w:ind w:right="110"/>
              <w:spacing w:after="0"/>
              <w:rPr>
                <w:sz w:val="20"/>
                <w:szCs w:val="20"/>
                <w:color w:val="auto"/>
              </w:rPr>
            </w:pPr>
            <w:r>
              <w:rPr>
                <w:rFonts w:ascii="Arial" w:cs="Arial" w:eastAsia="Arial" w:hAnsi="Arial"/>
                <w:sz w:val="18"/>
                <w:szCs w:val="18"/>
                <w:color w:val="auto"/>
              </w:rPr>
              <w:t>32.2</w:t>
            </w:r>
          </w:p>
        </w:tc>
        <w:tc>
          <w:tcPr>
            <w:tcW w:w="10000" w:type="dxa"/>
            <w:vAlign w:val="bottom"/>
          </w:tcPr>
          <w:p>
            <w:pPr>
              <w:ind w:left="180"/>
              <w:spacing w:after="0"/>
              <w:rPr>
                <w:sz w:val="20"/>
                <w:szCs w:val="20"/>
                <w:color w:val="auto"/>
              </w:rPr>
            </w:pPr>
            <w:r>
              <w:rPr>
                <w:rFonts w:ascii="Arial" w:cs="Arial" w:eastAsia="Arial" w:hAnsi="Arial"/>
                <w:sz w:val="18"/>
                <w:szCs w:val="18"/>
                <w:color w:val="auto"/>
              </w:rPr>
              <w:t>Certification of the Chief Financial Officer pursuant to 18 U.S.C. Section 1350, as adopted pursuant to Section 906 of the</w:t>
            </w:r>
          </w:p>
        </w:tc>
      </w:tr>
      <w:tr>
        <w:trPr>
          <w:trHeight w:val="217"/>
        </w:trPr>
        <w:tc>
          <w:tcPr>
            <w:tcW w:w="920" w:type="dxa"/>
            <w:vAlign w:val="bottom"/>
          </w:tcPr>
          <w:p>
            <w:pPr>
              <w:spacing w:after="0"/>
              <w:rPr>
                <w:sz w:val="18"/>
                <w:szCs w:val="18"/>
                <w:color w:val="auto"/>
              </w:rPr>
            </w:pPr>
          </w:p>
        </w:tc>
        <w:tc>
          <w:tcPr>
            <w:tcW w:w="10000" w:type="dxa"/>
            <w:vAlign w:val="bottom"/>
          </w:tcPr>
          <w:p>
            <w:pPr>
              <w:ind w:left="180"/>
              <w:spacing w:after="0"/>
              <w:rPr>
                <w:sz w:val="20"/>
                <w:szCs w:val="20"/>
                <w:color w:val="auto"/>
              </w:rPr>
            </w:pPr>
            <w:r>
              <w:rPr>
                <w:rFonts w:ascii="Arial" w:cs="Arial" w:eastAsia="Arial" w:hAnsi="Arial"/>
                <w:sz w:val="18"/>
                <w:szCs w:val="18"/>
                <w:color w:val="auto"/>
              </w:rPr>
              <w:t>Sarbanes-Oxley Act of 2002*</w:t>
            </w:r>
          </w:p>
        </w:tc>
      </w:tr>
      <w:tr>
        <w:trPr>
          <w:trHeight w:val="567"/>
        </w:trPr>
        <w:tc>
          <w:tcPr>
            <w:tcW w:w="920" w:type="dxa"/>
            <w:vAlign w:val="bottom"/>
          </w:tcPr>
          <w:p>
            <w:pPr>
              <w:jc w:val="right"/>
              <w:ind w:right="110"/>
              <w:spacing w:after="0"/>
              <w:rPr>
                <w:sz w:val="20"/>
                <w:szCs w:val="20"/>
                <w:color w:val="auto"/>
              </w:rPr>
            </w:pPr>
            <w:r>
              <w:rPr>
                <w:rFonts w:ascii="Arial" w:cs="Arial" w:eastAsia="Arial" w:hAnsi="Arial"/>
                <w:sz w:val="18"/>
                <w:szCs w:val="18"/>
                <w:color w:val="auto"/>
              </w:rPr>
              <w:t>101.INS</w:t>
            </w:r>
          </w:p>
        </w:tc>
        <w:tc>
          <w:tcPr>
            <w:tcW w:w="10000" w:type="dxa"/>
            <w:vAlign w:val="bottom"/>
          </w:tcPr>
          <w:p>
            <w:pPr>
              <w:ind w:left="180"/>
              <w:spacing w:after="0"/>
              <w:rPr>
                <w:sz w:val="20"/>
                <w:szCs w:val="20"/>
                <w:color w:val="auto"/>
              </w:rPr>
            </w:pPr>
            <w:r>
              <w:rPr>
                <w:rFonts w:ascii="Arial" w:cs="Arial" w:eastAsia="Arial" w:hAnsi="Arial"/>
                <w:sz w:val="18"/>
                <w:szCs w:val="18"/>
                <w:color w:val="auto"/>
              </w:rPr>
              <w:t>XBRL Instance Document</w:t>
            </w:r>
          </w:p>
        </w:tc>
      </w:tr>
      <w:tr>
        <w:trPr>
          <w:trHeight w:val="257"/>
        </w:trPr>
        <w:tc>
          <w:tcPr>
            <w:tcW w:w="920" w:type="dxa"/>
            <w:vAlign w:val="bottom"/>
          </w:tcPr>
          <w:p>
            <w:pPr>
              <w:jc w:val="right"/>
              <w:ind w:right="110"/>
              <w:spacing w:after="0"/>
              <w:rPr>
                <w:sz w:val="20"/>
                <w:szCs w:val="20"/>
                <w:color w:val="auto"/>
              </w:rPr>
            </w:pPr>
            <w:r>
              <w:rPr>
                <w:rFonts w:ascii="Arial" w:cs="Arial" w:eastAsia="Arial" w:hAnsi="Arial"/>
                <w:sz w:val="18"/>
                <w:szCs w:val="18"/>
                <w:color w:val="auto"/>
                <w:w w:val="95"/>
              </w:rPr>
              <w:t>101.SCH</w:t>
            </w:r>
          </w:p>
        </w:tc>
        <w:tc>
          <w:tcPr>
            <w:tcW w:w="10000" w:type="dxa"/>
            <w:vAlign w:val="bottom"/>
          </w:tcPr>
          <w:p>
            <w:pPr>
              <w:ind w:left="180"/>
              <w:spacing w:after="0"/>
              <w:rPr>
                <w:sz w:val="20"/>
                <w:szCs w:val="20"/>
                <w:color w:val="auto"/>
              </w:rPr>
            </w:pPr>
            <w:r>
              <w:rPr>
                <w:rFonts w:ascii="Arial" w:cs="Arial" w:eastAsia="Arial" w:hAnsi="Arial"/>
                <w:sz w:val="18"/>
                <w:szCs w:val="18"/>
                <w:color w:val="auto"/>
              </w:rPr>
              <w:t>XBRL Taxonomy Extension Schema</w:t>
            </w:r>
          </w:p>
        </w:tc>
      </w:tr>
      <w:tr>
        <w:trPr>
          <w:trHeight w:val="257"/>
        </w:trPr>
        <w:tc>
          <w:tcPr>
            <w:tcW w:w="920" w:type="dxa"/>
            <w:vAlign w:val="bottom"/>
          </w:tcPr>
          <w:p>
            <w:pPr>
              <w:jc w:val="right"/>
              <w:ind w:right="110"/>
              <w:spacing w:after="0"/>
              <w:rPr>
                <w:sz w:val="20"/>
                <w:szCs w:val="20"/>
                <w:color w:val="auto"/>
              </w:rPr>
            </w:pPr>
            <w:r>
              <w:rPr>
                <w:rFonts w:ascii="Arial" w:cs="Arial" w:eastAsia="Arial" w:hAnsi="Arial"/>
                <w:sz w:val="18"/>
                <w:szCs w:val="18"/>
                <w:color w:val="auto"/>
                <w:w w:val="99"/>
              </w:rPr>
              <w:t>101.CAL</w:t>
            </w:r>
          </w:p>
        </w:tc>
        <w:tc>
          <w:tcPr>
            <w:tcW w:w="10000" w:type="dxa"/>
            <w:vAlign w:val="bottom"/>
          </w:tcPr>
          <w:p>
            <w:pPr>
              <w:ind w:left="180"/>
              <w:spacing w:after="0"/>
              <w:rPr>
                <w:sz w:val="20"/>
                <w:szCs w:val="20"/>
                <w:color w:val="auto"/>
              </w:rPr>
            </w:pPr>
            <w:r>
              <w:rPr>
                <w:rFonts w:ascii="Arial" w:cs="Arial" w:eastAsia="Arial" w:hAnsi="Arial"/>
                <w:sz w:val="18"/>
                <w:szCs w:val="18"/>
                <w:color w:val="auto"/>
              </w:rPr>
              <w:t>XBRL Taxonomy Extension Calculation</w:t>
            </w:r>
          </w:p>
        </w:tc>
      </w:tr>
      <w:tr>
        <w:trPr>
          <w:trHeight w:val="257"/>
        </w:trPr>
        <w:tc>
          <w:tcPr>
            <w:tcW w:w="920" w:type="dxa"/>
            <w:vAlign w:val="bottom"/>
          </w:tcPr>
          <w:p>
            <w:pPr>
              <w:jc w:val="right"/>
              <w:ind w:right="110"/>
              <w:spacing w:after="0"/>
              <w:rPr>
                <w:sz w:val="20"/>
                <w:szCs w:val="20"/>
                <w:color w:val="auto"/>
              </w:rPr>
            </w:pPr>
            <w:r>
              <w:rPr>
                <w:rFonts w:ascii="Arial" w:cs="Arial" w:eastAsia="Arial" w:hAnsi="Arial"/>
                <w:sz w:val="18"/>
                <w:szCs w:val="18"/>
                <w:color w:val="auto"/>
              </w:rPr>
              <w:t>101.LAB</w:t>
            </w:r>
          </w:p>
        </w:tc>
        <w:tc>
          <w:tcPr>
            <w:tcW w:w="10000" w:type="dxa"/>
            <w:vAlign w:val="bottom"/>
          </w:tcPr>
          <w:p>
            <w:pPr>
              <w:ind w:left="180"/>
              <w:spacing w:after="0"/>
              <w:rPr>
                <w:sz w:val="20"/>
                <w:szCs w:val="20"/>
                <w:color w:val="auto"/>
              </w:rPr>
            </w:pPr>
            <w:r>
              <w:rPr>
                <w:rFonts w:ascii="Arial" w:cs="Arial" w:eastAsia="Arial" w:hAnsi="Arial"/>
                <w:sz w:val="18"/>
                <w:szCs w:val="18"/>
                <w:color w:val="auto"/>
              </w:rPr>
              <w:t>XBRL Taxonomy Extension Label</w:t>
            </w:r>
          </w:p>
        </w:tc>
      </w:tr>
      <w:tr>
        <w:trPr>
          <w:trHeight w:val="270"/>
        </w:trPr>
        <w:tc>
          <w:tcPr>
            <w:tcW w:w="920" w:type="dxa"/>
            <w:vAlign w:val="bottom"/>
          </w:tcPr>
          <w:p>
            <w:pPr>
              <w:jc w:val="right"/>
              <w:ind w:right="110"/>
              <w:spacing w:after="0"/>
              <w:rPr>
                <w:sz w:val="20"/>
                <w:szCs w:val="20"/>
                <w:color w:val="auto"/>
              </w:rPr>
            </w:pPr>
            <w:r>
              <w:rPr>
                <w:rFonts w:ascii="Arial" w:cs="Arial" w:eastAsia="Arial" w:hAnsi="Arial"/>
                <w:sz w:val="18"/>
                <w:szCs w:val="18"/>
                <w:color w:val="auto"/>
                <w:w w:val="97"/>
              </w:rPr>
              <w:t>101.PRE</w:t>
            </w:r>
          </w:p>
        </w:tc>
        <w:tc>
          <w:tcPr>
            <w:tcW w:w="10000" w:type="dxa"/>
            <w:vAlign w:val="bottom"/>
          </w:tcPr>
          <w:p>
            <w:pPr>
              <w:ind w:left="180"/>
              <w:spacing w:after="0"/>
              <w:rPr>
                <w:sz w:val="20"/>
                <w:szCs w:val="20"/>
                <w:color w:val="auto"/>
              </w:rPr>
            </w:pPr>
            <w:r>
              <w:rPr>
                <w:rFonts w:ascii="Arial" w:cs="Arial" w:eastAsia="Arial" w:hAnsi="Arial"/>
                <w:sz w:val="18"/>
                <w:szCs w:val="18"/>
                <w:color w:val="auto"/>
              </w:rPr>
              <w:t>XBRL Taxonomy Extension Presentation</w:t>
            </w:r>
          </w:p>
        </w:tc>
      </w:tr>
      <w:tr>
        <w:trPr>
          <w:trHeight w:val="270"/>
        </w:trPr>
        <w:tc>
          <w:tcPr>
            <w:tcW w:w="920" w:type="dxa"/>
            <w:vAlign w:val="bottom"/>
          </w:tcPr>
          <w:p>
            <w:pPr>
              <w:jc w:val="right"/>
              <w:ind w:right="110"/>
              <w:spacing w:after="0"/>
              <w:rPr>
                <w:sz w:val="20"/>
                <w:szCs w:val="20"/>
                <w:color w:val="auto"/>
              </w:rPr>
            </w:pPr>
            <w:r>
              <w:rPr>
                <w:rFonts w:ascii="Arial" w:cs="Arial" w:eastAsia="Arial" w:hAnsi="Arial"/>
                <w:sz w:val="18"/>
                <w:szCs w:val="18"/>
                <w:color w:val="auto"/>
                <w:w w:val="98"/>
              </w:rPr>
              <w:t>101.DEF</w:t>
            </w:r>
          </w:p>
        </w:tc>
        <w:tc>
          <w:tcPr>
            <w:tcW w:w="10000" w:type="dxa"/>
            <w:vAlign w:val="bottom"/>
          </w:tcPr>
          <w:p>
            <w:pPr>
              <w:ind w:left="180"/>
              <w:spacing w:after="0"/>
              <w:rPr>
                <w:sz w:val="20"/>
                <w:szCs w:val="20"/>
                <w:color w:val="auto"/>
              </w:rPr>
            </w:pPr>
            <w:r>
              <w:rPr>
                <w:rFonts w:ascii="Arial" w:cs="Arial" w:eastAsia="Arial" w:hAnsi="Arial"/>
                <w:sz w:val="18"/>
                <w:szCs w:val="18"/>
                <w:color w:val="auto"/>
              </w:rPr>
              <w:t>XBRL Taxonomy Extension Definition</w:t>
            </w:r>
          </w:p>
        </w:tc>
      </w:tr>
    </w:tbl>
    <w:p>
      <w:pPr>
        <w:spacing w:after="0" w:line="24"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w:t>
      </w:r>
    </w:p>
    <w:p>
      <w:pPr>
        <w:spacing w:after="0" w:line="160" w:lineRule="exact"/>
        <w:rPr>
          <w:sz w:val="20"/>
          <w:szCs w:val="20"/>
          <w:color w:val="auto"/>
        </w:rPr>
      </w:pPr>
    </w:p>
    <w:p>
      <w:pPr>
        <w:ind w:left="1420" w:hanging="442"/>
        <w:spacing w:after="0"/>
        <w:tabs>
          <w:tab w:leader="none" w:pos="14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63" w:lineRule="exact"/>
        <w:rPr>
          <w:sz w:val="20"/>
          <w:szCs w:val="20"/>
          <w:color w:val="auto"/>
        </w:rPr>
      </w:pPr>
    </w:p>
    <w:p>
      <w:pPr>
        <w:ind w:left="1420" w:right="2000" w:hanging="532"/>
        <w:spacing w:after="0" w:line="246" w:lineRule="auto"/>
        <w:tabs>
          <w:tab w:leader="none" w:pos="14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Incorporated by reference to Amendment No. 2 to the Registration Statement on Form S-1 filed on July 9, 2010.</w:t>
      </w:r>
    </w:p>
    <w:p>
      <w:pPr>
        <w:spacing w:after="0" w:line="34" w:lineRule="exact"/>
        <w:rPr>
          <w:rFonts w:ascii="Arial" w:cs="Arial" w:eastAsia="Arial" w:hAnsi="Arial"/>
          <w:sz w:val="18"/>
          <w:szCs w:val="18"/>
          <w:color w:val="auto"/>
        </w:rPr>
      </w:pPr>
    </w:p>
    <w:p>
      <w:pPr>
        <w:ind w:left="1420" w:hanging="532"/>
        <w:spacing w:after="0"/>
        <w:tabs>
          <w:tab w:leader="none" w:pos="14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Incorporated by reference to the Form 8-K filed on June 19, 2012.</w:t>
      </w:r>
    </w:p>
    <w:p>
      <w:pPr>
        <w:spacing w:after="0" w:line="63" w:lineRule="exact"/>
        <w:rPr>
          <w:rFonts w:ascii="Arial" w:cs="Arial" w:eastAsia="Arial" w:hAnsi="Arial"/>
          <w:sz w:val="18"/>
          <w:szCs w:val="18"/>
          <w:color w:val="auto"/>
        </w:rPr>
      </w:pPr>
    </w:p>
    <w:p>
      <w:pPr>
        <w:ind w:left="1420" w:hanging="532"/>
        <w:spacing w:after="0"/>
        <w:tabs>
          <w:tab w:leader="none" w:pos="14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Incorporated by reference to the Form 8-K filed on May 9, 2014.</w:t>
      </w:r>
    </w:p>
    <w:p>
      <w:pPr>
        <w:spacing w:after="0" w:line="63" w:lineRule="exact"/>
        <w:rPr>
          <w:rFonts w:ascii="Arial" w:cs="Arial" w:eastAsia="Arial" w:hAnsi="Arial"/>
          <w:sz w:val="18"/>
          <w:szCs w:val="18"/>
          <w:color w:val="auto"/>
        </w:rPr>
      </w:pPr>
    </w:p>
    <w:p>
      <w:pPr>
        <w:ind w:left="1420" w:hanging="532"/>
        <w:spacing w:after="0"/>
        <w:tabs>
          <w:tab w:leader="none" w:pos="14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Incorporated by reference to the Form 8-K filed on March 12, 2014.</w:t>
      </w:r>
    </w:p>
    <w:p>
      <w:pPr>
        <w:spacing w:after="0" w:line="200" w:lineRule="exact"/>
        <w:rPr>
          <w:sz w:val="20"/>
          <w:szCs w:val="20"/>
          <w:color w:val="auto"/>
        </w:rPr>
      </w:pPr>
    </w:p>
    <w:p>
      <w:pPr>
        <w:spacing w:after="0" w:line="20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240"/>
          </w:cols>
          <w:pgMar w:left="240" w:top="360" w:right="419" w:bottom="1440" w:gutter="0" w:footer="0" w:header="0"/>
        </w:sectPr>
      </w:pPr>
    </w:p>
    <w:bookmarkStart w:id="53" w:name="page54"/>
    <w:bookmarkEnd w:id="53"/>
    <w:p>
      <w:pPr>
        <w:jc w:val="center"/>
        <w:ind w:right="-559"/>
        <w:spacing w:after="0"/>
        <w:rPr>
          <w:sz w:val="20"/>
          <w:szCs w:val="20"/>
          <w:color w:val="auto"/>
        </w:rPr>
      </w:pPr>
      <w:r>
        <w:rPr>
          <w:rFonts w:ascii="Arial" w:cs="Arial" w:eastAsia="Arial" w:hAnsi="Arial"/>
          <w:sz w:val="18"/>
          <w:szCs w:val="18"/>
          <w:b w:val="1"/>
          <w:bCs w:val="1"/>
          <w:color w:val="auto"/>
        </w:rPr>
        <w:t>SIGNATURES</w:t>
      </w:r>
    </w:p>
    <w:p>
      <w:pPr>
        <w:spacing w:after="0" w:line="207" w:lineRule="exact"/>
        <w:rPr>
          <w:sz w:val="20"/>
          <w:szCs w:val="20"/>
          <w:color w:val="auto"/>
        </w:rPr>
      </w:pPr>
    </w:p>
    <w:p>
      <w:pPr>
        <w:ind w:firstLine="486"/>
        <w:spacing w:after="0" w:line="262"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336" w:lineRule="exact"/>
        <w:rPr>
          <w:sz w:val="20"/>
          <w:szCs w:val="20"/>
          <w:color w:val="auto"/>
        </w:rPr>
      </w:pPr>
    </w:p>
    <w:p>
      <w:pPr>
        <w:ind w:left="5280"/>
        <w:spacing w:after="0"/>
        <w:rPr>
          <w:sz w:val="20"/>
          <w:szCs w:val="20"/>
          <w:color w:val="auto"/>
        </w:rPr>
      </w:pPr>
      <w:r>
        <w:rPr>
          <w:rFonts w:ascii="Arial" w:cs="Arial" w:eastAsia="Arial" w:hAnsi="Arial"/>
          <w:sz w:val="18"/>
          <w:szCs w:val="18"/>
          <w:b w:val="1"/>
          <w:bCs w:val="1"/>
          <w:color w:val="auto"/>
        </w:rPr>
        <w:t>LPL Financial Holdings Inc.</w:t>
      </w:r>
    </w:p>
    <w:p>
      <w:pPr>
        <w:spacing w:after="0" w:line="274" w:lineRule="exact"/>
        <w:rPr>
          <w:sz w:val="20"/>
          <w:szCs w:val="20"/>
          <w:color w:val="auto"/>
        </w:rPr>
      </w:pPr>
    </w:p>
    <w:p>
      <w:pPr>
        <w:ind w:left="260"/>
        <w:spacing w:after="0"/>
        <w:tabs>
          <w:tab w:leader="none" w:pos="5260" w:val="left"/>
          <w:tab w:leader="none" w:pos="5680" w:val="left"/>
        </w:tabs>
        <w:rPr>
          <w:sz w:val="20"/>
          <w:szCs w:val="20"/>
          <w:color w:val="auto"/>
        </w:rPr>
      </w:pPr>
      <w:r>
        <w:rPr>
          <w:rFonts w:ascii="Arial" w:cs="Arial" w:eastAsia="Arial" w:hAnsi="Arial"/>
          <w:sz w:val="18"/>
          <w:szCs w:val="18"/>
          <w:color w:val="auto"/>
        </w:rPr>
        <w:t>Date: November 3, 2016</w:t>
      </w:r>
      <w:r>
        <w:rPr>
          <w:sz w:val="20"/>
          <w:szCs w:val="20"/>
          <w:color w:val="auto"/>
        </w:rPr>
        <w:tab/>
      </w:r>
      <w:r>
        <w:rPr>
          <w:rFonts w:ascii="Arial" w:cs="Arial" w:eastAsia="Arial" w:hAnsi="Arial"/>
          <w:sz w:val="18"/>
          <w:szCs w:val="18"/>
          <w:color w:val="auto"/>
        </w:rPr>
        <w:t>By:</w:t>
        <w:tab/>
        <w:t>/s/ MARK S. CASADY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14605</wp:posOffset>
            </wp:positionV>
            <wp:extent cx="202374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023745" cy="8890"/>
                    </a:xfrm>
                    <a:prstGeom prst="rect">
                      <a:avLst/>
                    </a:prstGeom>
                    <a:noFill/>
                  </pic:spPr>
                </pic:pic>
              </a:graphicData>
            </a:graphic>
          </wp:anchor>
        </w:drawing>
      </w:r>
    </w:p>
    <w:p>
      <w:pPr>
        <w:spacing w:after="0" w:line="4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Mark S. Casady</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Chairman and Chief Executive Officer</w:t>
      </w:r>
    </w:p>
    <w:p>
      <w:pPr>
        <w:spacing w:after="0" w:line="320" w:lineRule="exact"/>
        <w:rPr>
          <w:sz w:val="20"/>
          <w:szCs w:val="20"/>
          <w:color w:val="auto"/>
        </w:rPr>
      </w:pPr>
    </w:p>
    <w:p>
      <w:pPr>
        <w:ind w:left="260"/>
        <w:spacing w:after="0"/>
        <w:tabs>
          <w:tab w:leader="none" w:pos="5260" w:val="left"/>
          <w:tab w:leader="none" w:pos="5720" w:val="left"/>
        </w:tabs>
        <w:rPr>
          <w:sz w:val="20"/>
          <w:szCs w:val="20"/>
          <w:color w:val="auto"/>
        </w:rPr>
      </w:pPr>
      <w:r>
        <w:rPr>
          <w:rFonts w:ascii="Arial" w:cs="Arial" w:eastAsia="Arial" w:hAnsi="Arial"/>
          <w:sz w:val="18"/>
          <w:szCs w:val="18"/>
          <w:color w:val="auto"/>
        </w:rPr>
        <w:t>Date: November 3, 2016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MATTHEW J. AUDETTE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14605</wp:posOffset>
            </wp:positionV>
            <wp:extent cx="202374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023745" cy="8890"/>
                    </a:xfrm>
                    <a:prstGeom prst="rect">
                      <a:avLst/>
                    </a:prstGeom>
                    <a:noFill/>
                  </pic:spPr>
                </pic:pic>
              </a:graphicData>
            </a:graphic>
          </wp:anchor>
        </w:drawing>
      </w:r>
    </w:p>
    <w:p>
      <w:pPr>
        <w:spacing w:after="0" w:line="4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Matthew J. Audette</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82" w:lineRule="exact"/>
        <w:rPr>
          <w:sz w:val="20"/>
          <w:szCs w:val="20"/>
          <w:color w:val="auto"/>
        </w:rPr>
      </w:pPr>
    </w:p>
    <w:p>
      <w:pPr>
        <w:jc w:val="center"/>
        <w:ind w:right="-55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0860"/>
          </w:cols>
          <w:pgMar w:left="240" w:top="360" w:right="79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t>Exhibit 31.1</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PRINCIPAL EXECUTIVE OFFICER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Mark S. Casady, certify that:</w:t>
      </w:r>
    </w:p>
    <w:p>
      <w:pPr>
        <w:spacing w:after="0" w:line="333" w:lineRule="exact"/>
        <w:rPr>
          <w:sz w:val="20"/>
          <w:szCs w:val="20"/>
          <w:color w:val="auto"/>
        </w:rPr>
      </w:pPr>
    </w:p>
    <w:p>
      <w:pPr>
        <w:ind w:left="660" w:hanging="652"/>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LPL Financial Holdings Inc.;</w:t>
      </w:r>
    </w:p>
    <w:p>
      <w:pPr>
        <w:spacing w:after="0" w:line="225" w:lineRule="exact"/>
        <w:rPr>
          <w:rFonts w:ascii="Arial" w:cs="Arial" w:eastAsia="Arial" w:hAnsi="Arial"/>
          <w:sz w:val="18"/>
          <w:szCs w:val="18"/>
          <w:color w:val="auto"/>
        </w:rPr>
      </w:pPr>
    </w:p>
    <w:p>
      <w:pPr>
        <w:ind w:left="660" w:right="120" w:hanging="652"/>
        <w:spacing w:after="0" w:line="256"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1" w:lineRule="exact"/>
        <w:rPr>
          <w:rFonts w:ascii="Arial" w:cs="Arial" w:eastAsia="Arial" w:hAnsi="Arial"/>
          <w:sz w:val="18"/>
          <w:szCs w:val="18"/>
          <w:color w:val="auto"/>
        </w:rPr>
      </w:pPr>
    </w:p>
    <w:p>
      <w:pPr>
        <w:ind w:left="660" w:right="20" w:hanging="652"/>
        <w:spacing w:after="0" w:line="291" w:lineRule="auto"/>
        <w:tabs>
          <w:tab w:leader="none" w:pos="6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4" w:lineRule="exact"/>
        <w:rPr>
          <w:rFonts w:ascii="Arial" w:cs="Arial" w:eastAsia="Arial" w:hAnsi="Arial"/>
          <w:sz w:val="17"/>
          <w:szCs w:val="17"/>
          <w:color w:val="auto"/>
        </w:rPr>
      </w:pPr>
    </w:p>
    <w:p>
      <w:pPr>
        <w:ind w:left="660" w:right="300" w:hanging="652"/>
        <w:spacing w:after="0" w:line="256"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1" w:lineRule="exact"/>
        <w:rPr>
          <w:rFonts w:ascii="Arial" w:cs="Arial" w:eastAsia="Arial" w:hAnsi="Arial"/>
          <w:sz w:val="18"/>
          <w:szCs w:val="18"/>
          <w:color w:val="auto"/>
        </w:rPr>
      </w:pPr>
    </w:p>
    <w:p>
      <w:pPr>
        <w:ind w:left="1300" w:right="180" w:hanging="644"/>
        <w:spacing w:after="0" w:line="256" w:lineRule="auto"/>
        <w:tabs>
          <w:tab w:leader="none" w:pos="13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1" w:lineRule="exact"/>
        <w:rPr>
          <w:rFonts w:ascii="Arial" w:cs="Arial" w:eastAsia="Arial" w:hAnsi="Arial"/>
          <w:sz w:val="18"/>
          <w:szCs w:val="18"/>
          <w:color w:val="auto"/>
        </w:rPr>
      </w:pPr>
    </w:p>
    <w:p>
      <w:pPr>
        <w:ind w:left="1300" w:right="160" w:hanging="644"/>
        <w:spacing w:after="0" w:line="256" w:lineRule="auto"/>
        <w:tabs>
          <w:tab w:leader="none" w:pos="13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1" w:lineRule="exact"/>
        <w:rPr>
          <w:rFonts w:ascii="Arial" w:cs="Arial" w:eastAsia="Arial" w:hAnsi="Arial"/>
          <w:sz w:val="18"/>
          <w:szCs w:val="18"/>
          <w:color w:val="auto"/>
        </w:rPr>
      </w:pPr>
    </w:p>
    <w:p>
      <w:pPr>
        <w:jc w:val="both"/>
        <w:ind w:left="1300" w:right="100" w:hanging="644"/>
        <w:spacing w:after="0" w:line="256" w:lineRule="auto"/>
        <w:tabs>
          <w:tab w:leader="none" w:pos="13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1" w:lineRule="exact"/>
        <w:rPr>
          <w:rFonts w:ascii="Arial" w:cs="Arial" w:eastAsia="Arial" w:hAnsi="Arial"/>
          <w:sz w:val="18"/>
          <w:szCs w:val="18"/>
          <w:color w:val="auto"/>
        </w:rPr>
      </w:pPr>
    </w:p>
    <w:p>
      <w:pPr>
        <w:ind w:left="1300" w:right="240" w:hanging="644"/>
        <w:spacing w:after="0" w:line="256" w:lineRule="auto"/>
        <w:tabs>
          <w:tab w:leader="none" w:pos="13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1" w:lineRule="exact"/>
        <w:rPr>
          <w:rFonts w:ascii="Arial" w:cs="Arial" w:eastAsia="Arial" w:hAnsi="Arial"/>
          <w:sz w:val="18"/>
          <w:szCs w:val="18"/>
          <w:color w:val="auto"/>
        </w:rPr>
      </w:pPr>
    </w:p>
    <w:p>
      <w:pPr>
        <w:ind w:left="660" w:right="520" w:hanging="652"/>
        <w:spacing w:after="0" w:line="256"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1" w:lineRule="exact"/>
        <w:rPr>
          <w:rFonts w:ascii="Arial" w:cs="Arial" w:eastAsia="Arial" w:hAnsi="Arial"/>
          <w:sz w:val="18"/>
          <w:szCs w:val="18"/>
          <w:color w:val="auto"/>
        </w:rPr>
      </w:pPr>
    </w:p>
    <w:p>
      <w:pPr>
        <w:ind w:left="1300" w:right="100" w:hanging="644"/>
        <w:spacing w:after="0" w:line="256" w:lineRule="auto"/>
        <w:tabs>
          <w:tab w:leader="none" w:pos="13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1" w:lineRule="exact"/>
        <w:rPr>
          <w:rFonts w:ascii="Arial" w:cs="Arial" w:eastAsia="Arial" w:hAnsi="Arial"/>
          <w:sz w:val="18"/>
          <w:szCs w:val="18"/>
          <w:color w:val="auto"/>
        </w:rPr>
      </w:pPr>
    </w:p>
    <w:p>
      <w:pPr>
        <w:ind w:left="1300" w:right="20" w:hanging="644"/>
        <w:spacing w:after="0" w:line="262" w:lineRule="auto"/>
        <w:tabs>
          <w:tab w:leader="none" w:pos="13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color w:val="auto"/>
        </w:rPr>
        <w:t>Date: November 3, 2016</w:t>
      </w:r>
    </w:p>
    <w:p>
      <w:pPr>
        <w:spacing w:after="0" w:line="171"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/s/ Mark S. Casady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4455795</wp:posOffset>
            </wp:positionH>
            <wp:positionV relativeFrom="paragraph">
              <wp:posOffset>14605</wp:posOffset>
            </wp:positionV>
            <wp:extent cx="19894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989455" cy="8890"/>
                    </a:xfrm>
                    <a:prstGeom prst="rect">
                      <a:avLst/>
                    </a:prstGeom>
                    <a:noFill/>
                  </pic:spPr>
                </pic:pic>
              </a:graphicData>
            </a:graphic>
          </wp:anchor>
        </w:drawing>
      </w:r>
    </w:p>
    <w:p>
      <w:pPr>
        <w:spacing w:after="0" w:line="286"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Mark S. Casady</w:t>
      </w:r>
    </w:p>
    <w:p>
      <w:pPr>
        <w:spacing w:after="0" w:line="32" w:lineRule="exact"/>
        <w:rPr>
          <w:sz w:val="20"/>
          <w:szCs w:val="20"/>
          <w:color w:val="auto"/>
        </w:rPr>
      </w:pPr>
    </w:p>
    <w:p>
      <w:pPr>
        <w:ind w:left="7040"/>
        <w:spacing w:after="0"/>
        <w:rPr>
          <w:sz w:val="20"/>
          <w:szCs w:val="20"/>
          <w:color w:val="auto"/>
        </w:rPr>
      </w:pPr>
      <w:r>
        <w:rPr>
          <w:rFonts w:ascii="Arial" w:cs="Arial" w:eastAsia="Arial" w:hAnsi="Arial"/>
          <w:sz w:val="18"/>
          <w:szCs w:val="18"/>
          <w:i w:val="1"/>
          <w:iCs w:val="1"/>
          <w:color w:val="auto"/>
        </w:rPr>
        <w:t>Chief Executive Officer</w:t>
      </w:r>
    </w:p>
    <w:p>
      <w:pPr>
        <w:spacing w:after="0" w:line="14" w:lineRule="exact"/>
        <w:rPr>
          <w:sz w:val="20"/>
          <w:szCs w:val="20"/>
          <w:color w:val="auto"/>
        </w:rPr>
      </w:pPr>
    </w:p>
    <w:p>
      <w:pPr>
        <w:ind w:left="704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420"/>
          </w:cols>
          <w:pgMar w:left="240" w:top="576" w:right="23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b w:val="1"/>
          <w:bCs w:val="1"/>
          <w:color w:val="auto"/>
        </w:rPr>
        <w:t>Exhibit 31.2</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PRINCIPAL FINANCIAL OFFICER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Matthew J. Audette, certify that:</w:t>
      </w:r>
    </w:p>
    <w:p>
      <w:pPr>
        <w:spacing w:after="0" w:line="333" w:lineRule="exact"/>
        <w:rPr>
          <w:sz w:val="20"/>
          <w:szCs w:val="20"/>
          <w:color w:val="auto"/>
        </w:rPr>
      </w:pPr>
    </w:p>
    <w:p>
      <w:pPr>
        <w:ind w:left="660" w:hanging="652"/>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LPL Financial Holdings Inc.;</w:t>
      </w:r>
    </w:p>
    <w:p>
      <w:pPr>
        <w:spacing w:after="0" w:line="225" w:lineRule="exact"/>
        <w:rPr>
          <w:rFonts w:ascii="Arial" w:cs="Arial" w:eastAsia="Arial" w:hAnsi="Arial"/>
          <w:sz w:val="18"/>
          <w:szCs w:val="18"/>
          <w:color w:val="auto"/>
        </w:rPr>
      </w:pPr>
    </w:p>
    <w:p>
      <w:pPr>
        <w:ind w:left="660" w:right="120" w:hanging="652"/>
        <w:spacing w:after="0" w:line="256"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1" w:lineRule="exact"/>
        <w:rPr>
          <w:rFonts w:ascii="Arial" w:cs="Arial" w:eastAsia="Arial" w:hAnsi="Arial"/>
          <w:sz w:val="18"/>
          <w:szCs w:val="18"/>
          <w:color w:val="auto"/>
        </w:rPr>
      </w:pPr>
    </w:p>
    <w:p>
      <w:pPr>
        <w:ind w:left="660" w:right="20" w:hanging="652"/>
        <w:spacing w:after="0" w:line="291" w:lineRule="auto"/>
        <w:tabs>
          <w:tab w:leader="none" w:pos="6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4" w:lineRule="exact"/>
        <w:rPr>
          <w:rFonts w:ascii="Arial" w:cs="Arial" w:eastAsia="Arial" w:hAnsi="Arial"/>
          <w:sz w:val="17"/>
          <w:szCs w:val="17"/>
          <w:color w:val="auto"/>
        </w:rPr>
      </w:pPr>
    </w:p>
    <w:p>
      <w:pPr>
        <w:ind w:left="660" w:right="300" w:hanging="652"/>
        <w:spacing w:after="0" w:line="256"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1" w:lineRule="exact"/>
        <w:rPr>
          <w:rFonts w:ascii="Arial" w:cs="Arial" w:eastAsia="Arial" w:hAnsi="Arial"/>
          <w:sz w:val="18"/>
          <w:szCs w:val="18"/>
          <w:color w:val="auto"/>
        </w:rPr>
      </w:pPr>
    </w:p>
    <w:p>
      <w:pPr>
        <w:ind w:left="1300" w:right="180" w:hanging="644"/>
        <w:spacing w:after="0" w:line="256" w:lineRule="auto"/>
        <w:tabs>
          <w:tab w:leader="none" w:pos="13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1" w:lineRule="exact"/>
        <w:rPr>
          <w:rFonts w:ascii="Arial" w:cs="Arial" w:eastAsia="Arial" w:hAnsi="Arial"/>
          <w:sz w:val="18"/>
          <w:szCs w:val="18"/>
          <w:color w:val="auto"/>
        </w:rPr>
      </w:pPr>
    </w:p>
    <w:p>
      <w:pPr>
        <w:ind w:left="1300" w:right="160" w:hanging="644"/>
        <w:spacing w:after="0" w:line="256" w:lineRule="auto"/>
        <w:tabs>
          <w:tab w:leader="none" w:pos="13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1" w:lineRule="exact"/>
        <w:rPr>
          <w:rFonts w:ascii="Arial" w:cs="Arial" w:eastAsia="Arial" w:hAnsi="Arial"/>
          <w:sz w:val="18"/>
          <w:szCs w:val="18"/>
          <w:color w:val="auto"/>
        </w:rPr>
      </w:pPr>
    </w:p>
    <w:p>
      <w:pPr>
        <w:jc w:val="both"/>
        <w:ind w:left="1300" w:right="100" w:hanging="644"/>
        <w:spacing w:after="0" w:line="256" w:lineRule="auto"/>
        <w:tabs>
          <w:tab w:leader="none" w:pos="13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1" w:lineRule="exact"/>
        <w:rPr>
          <w:rFonts w:ascii="Arial" w:cs="Arial" w:eastAsia="Arial" w:hAnsi="Arial"/>
          <w:sz w:val="18"/>
          <w:szCs w:val="18"/>
          <w:color w:val="auto"/>
        </w:rPr>
      </w:pPr>
    </w:p>
    <w:p>
      <w:pPr>
        <w:ind w:left="1300" w:right="240" w:hanging="644"/>
        <w:spacing w:after="0" w:line="256" w:lineRule="auto"/>
        <w:tabs>
          <w:tab w:leader="none" w:pos="13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1" w:lineRule="exact"/>
        <w:rPr>
          <w:rFonts w:ascii="Arial" w:cs="Arial" w:eastAsia="Arial" w:hAnsi="Arial"/>
          <w:sz w:val="18"/>
          <w:szCs w:val="18"/>
          <w:color w:val="auto"/>
        </w:rPr>
      </w:pPr>
    </w:p>
    <w:p>
      <w:pPr>
        <w:ind w:left="660" w:right="520" w:hanging="652"/>
        <w:spacing w:after="0" w:line="256"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1" w:lineRule="exact"/>
        <w:rPr>
          <w:rFonts w:ascii="Arial" w:cs="Arial" w:eastAsia="Arial" w:hAnsi="Arial"/>
          <w:sz w:val="18"/>
          <w:szCs w:val="18"/>
          <w:color w:val="auto"/>
        </w:rPr>
      </w:pPr>
    </w:p>
    <w:p>
      <w:pPr>
        <w:ind w:left="1300" w:right="100" w:hanging="644"/>
        <w:spacing w:after="0" w:line="256" w:lineRule="auto"/>
        <w:tabs>
          <w:tab w:leader="none" w:pos="13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1" w:lineRule="exact"/>
        <w:rPr>
          <w:rFonts w:ascii="Arial" w:cs="Arial" w:eastAsia="Arial" w:hAnsi="Arial"/>
          <w:sz w:val="18"/>
          <w:szCs w:val="18"/>
          <w:color w:val="auto"/>
        </w:rPr>
      </w:pPr>
    </w:p>
    <w:p>
      <w:pPr>
        <w:ind w:left="1300" w:right="20" w:hanging="644"/>
        <w:spacing w:after="0" w:line="262" w:lineRule="auto"/>
        <w:tabs>
          <w:tab w:leader="none" w:pos="13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color w:val="auto"/>
        </w:rPr>
        <w:t>Date: November 3, 2016</w:t>
      </w:r>
    </w:p>
    <w:p>
      <w:pPr>
        <w:spacing w:after="0" w:line="171"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/s/ Matthew J. Audette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4455795</wp:posOffset>
            </wp:positionH>
            <wp:positionV relativeFrom="paragraph">
              <wp:posOffset>14605</wp:posOffset>
            </wp:positionV>
            <wp:extent cx="198945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989455" cy="8890"/>
                    </a:xfrm>
                    <a:prstGeom prst="rect">
                      <a:avLst/>
                    </a:prstGeom>
                    <a:noFill/>
                  </pic:spPr>
                </pic:pic>
              </a:graphicData>
            </a:graphic>
          </wp:anchor>
        </w:drawing>
      </w:r>
    </w:p>
    <w:p>
      <w:pPr>
        <w:spacing w:after="0" w:line="286"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Matthew J. Audette</w:t>
      </w:r>
    </w:p>
    <w:p>
      <w:pPr>
        <w:spacing w:after="0" w:line="32" w:lineRule="exact"/>
        <w:rPr>
          <w:sz w:val="20"/>
          <w:szCs w:val="20"/>
          <w:color w:val="auto"/>
        </w:rPr>
      </w:pPr>
    </w:p>
    <w:p>
      <w:pPr>
        <w:ind w:left="7040"/>
        <w:spacing w:after="0"/>
        <w:rPr>
          <w:sz w:val="20"/>
          <w:szCs w:val="20"/>
          <w:color w:val="auto"/>
        </w:rPr>
      </w:pPr>
      <w:r>
        <w:rPr>
          <w:rFonts w:ascii="Arial" w:cs="Arial" w:eastAsia="Arial" w:hAnsi="Arial"/>
          <w:sz w:val="18"/>
          <w:szCs w:val="18"/>
          <w:i w:val="1"/>
          <w:iCs w:val="1"/>
          <w:color w:val="auto"/>
        </w:rPr>
        <w:t>Chief Financial Officer</w:t>
      </w:r>
    </w:p>
    <w:p>
      <w:pPr>
        <w:spacing w:after="0" w:line="14" w:lineRule="exact"/>
        <w:rPr>
          <w:sz w:val="20"/>
          <w:szCs w:val="20"/>
          <w:color w:val="auto"/>
        </w:rPr>
      </w:pPr>
    </w:p>
    <w:p>
      <w:pPr>
        <w:ind w:left="7040"/>
        <w:spacing w:after="0"/>
        <w:rPr>
          <w:sz w:val="20"/>
          <w:szCs w:val="20"/>
          <w:color w:val="auto"/>
        </w:rPr>
      </w:pPr>
      <w:r>
        <w:rPr>
          <w:rFonts w:ascii="Arial" w:cs="Arial" w:eastAsia="Arial" w:hAnsi="Arial"/>
          <w:sz w:val="18"/>
          <w:szCs w:val="18"/>
          <w:i w:val="1"/>
          <w:iCs w:val="1"/>
          <w:color w:val="auto"/>
        </w:rPr>
        <w:t>(principal financial officer)</w:t>
      </w:r>
    </w:p>
    <w:p>
      <w:pPr>
        <w:sectPr>
          <w:pgSz w:w="11900" w:h="16838" w:orient="portrait"/>
          <w:cols w:equalWidth="0" w:num="1">
            <w:col w:w="11420"/>
          </w:cols>
          <w:pgMar w:left="240" w:top="576" w:right="23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333" w:lineRule="exact"/>
        <w:rPr>
          <w:sz w:val="20"/>
          <w:szCs w:val="20"/>
          <w:color w:val="auto"/>
        </w:rPr>
      </w:pPr>
    </w:p>
    <w:p>
      <w:pPr>
        <w:ind w:right="140" w:firstLine="250"/>
        <w:spacing w:after="0" w:line="256" w:lineRule="auto"/>
        <w:rPr>
          <w:sz w:val="20"/>
          <w:szCs w:val="20"/>
          <w:color w:val="auto"/>
        </w:rPr>
      </w:pPr>
      <w:r>
        <w:rPr>
          <w:rFonts w:ascii="Arial" w:cs="Arial" w:eastAsia="Arial" w:hAnsi="Arial"/>
          <w:sz w:val="18"/>
          <w:szCs w:val="18"/>
          <w:color w:val="auto"/>
        </w:rPr>
        <w:t>In connection with the Quarterly Report on Form 10-Q of LPL Financial Holdings Inc. (the “Company”) for the period ending September 30, 2016 as filed with the Securities and Exchange Commission (“SEC”) on the date hereof (the “Report”), I, Mark S. Casady, Chief Executive Officer of the Company, certify, pursuant to 18 U.S.C. 1350, as adopted pursuant to section 906 of the Sarbanes-Oxley Act of 2002, that:</w:t>
      </w:r>
    </w:p>
    <w:p>
      <w:pPr>
        <w:spacing w:after="0" w:line="202" w:lineRule="exact"/>
        <w:rPr>
          <w:sz w:val="20"/>
          <w:szCs w:val="20"/>
          <w:color w:val="auto"/>
        </w:rPr>
      </w:pPr>
    </w:p>
    <w:p>
      <w:pPr>
        <w:ind w:left="820" w:hanging="488"/>
        <w:spacing w:after="0"/>
        <w:tabs>
          <w:tab w:leader="none" w:pos="8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5" w:lineRule="exact"/>
        <w:rPr>
          <w:rFonts w:ascii="Arial" w:cs="Arial" w:eastAsia="Arial" w:hAnsi="Arial"/>
          <w:sz w:val="18"/>
          <w:szCs w:val="18"/>
          <w:color w:val="auto"/>
        </w:rPr>
      </w:pPr>
    </w:p>
    <w:p>
      <w:pPr>
        <w:ind w:left="820" w:right="20" w:hanging="488"/>
        <w:spacing w:after="0" w:line="262" w:lineRule="auto"/>
        <w:tabs>
          <w:tab w:leader="none" w:pos="8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6" w:lineRule="exact"/>
        <w:rPr>
          <w:sz w:val="20"/>
          <w:szCs w:val="20"/>
          <w:color w:val="auto"/>
        </w:rPr>
      </w:pPr>
    </w:p>
    <w:p>
      <w:pPr>
        <w:ind w:right="20" w:firstLine="240"/>
        <w:spacing w:after="0" w:line="262" w:lineRule="auto"/>
        <w:rPr>
          <w:sz w:val="20"/>
          <w:szCs w:val="20"/>
          <w:color w:val="auto"/>
        </w:rPr>
      </w:pPr>
      <w:r>
        <w:rPr>
          <w:rFonts w:ascii="Arial" w:cs="Arial" w:eastAsia="Arial" w:hAnsi="Arial"/>
          <w:sz w:val="18"/>
          <w:szCs w:val="18"/>
          <w:color w:val="auto"/>
        </w:rPr>
        <w:t>A signed original of this written statement has been provided to the Company and will be retained by the Company and furnished to the SEC or its staff upon request.</w:t>
      </w: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color w:val="auto"/>
        </w:rPr>
        <w:t>Date: November 3, 2016</w:t>
      </w:r>
    </w:p>
    <w:p>
      <w:pPr>
        <w:spacing w:after="0" w:line="387"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/s/ Mark S. Casady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4455795</wp:posOffset>
            </wp:positionH>
            <wp:positionV relativeFrom="paragraph">
              <wp:posOffset>14605</wp:posOffset>
            </wp:positionV>
            <wp:extent cx="198945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989455" cy="8890"/>
                    </a:xfrm>
                    <a:prstGeom prst="rect">
                      <a:avLst/>
                    </a:prstGeom>
                    <a:noFill/>
                  </pic:spPr>
                </pic:pic>
              </a:graphicData>
            </a:graphic>
          </wp:anchor>
        </w:drawing>
      </w:r>
    </w:p>
    <w:p>
      <w:pPr>
        <w:spacing w:after="0" w:line="286"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Mark S. Casady</w:t>
      </w:r>
    </w:p>
    <w:p>
      <w:pPr>
        <w:spacing w:after="0" w:line="32" w:lineRule="exact"/>
        <w:rPr>
          <w:sz w:val="20"/>
          <w:szCs w:val="20"/>
          <w:color w:val="auto"/>
        </w:rPr>
      </w:pPr>
    </w:p>
    <w:p>
      <w:pPr>
        <w:ind w:left="7040"/>
        <w:spacing w:after="0"/>
        <w:rPr>
          <w:sz w:val="20"/>
          <w:szCs w:val="20"/>
          <w:color w:val="auto"/>
        </w:rPr>
      </w:pPr>
      <w:r>
        <w:rPr>
          <w:rFonts w:ascii="Arial" w:cs="Arial" w:eastAsia="Arial" w:hAnsi="Arial"/>
          <w:sz w:val="18"/>
          <w:szCs w:val="18"/>
          <w:i w:val="1"/>
          <w:iCs w:val="1"/>
          <w:color w:val="auto"/>
        </w:rPr>
        <w:t>Chief Executive Officer</w:t>
      </w:r>
    </w:p>
    <w:p>
      <w:pPr>
        <w:sectPr>
          <w:pgSz w:w="11900" w:h="16838" w:orient="portrait"/>
          <w:cols w:equalWidth="0" w:num="1">
            <w:col w:w="11420"/>
          </w:cols>
          <w:pgMar w:left="240" w:top="576" w:right="23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333" w:lineRule="exact"/>
        <w:rPr>
          <w:sz w:val="20"/>
          <w:szCs w:val="20"/>
          <w:color w:val="auto"/>
        </w:rPr>
      </w:pPr>
    </w:p>
    <w:p>
      <w:pPr>
        <w:ind w:right="140" w:firstLine="250"/>
        <w:spacing w:after="0" w:line="256" w:lineRule="auto"/>
        <w:rPr>
          <w:sz w:val="20"/>
          <w:szCs w:val="20"/>
          <w:color w:val="auto"/>
        </w:rPr>
      </w:pPr>
      <w:r>
        <w:rPr>
          <w:rFonts w:ascii="Arial" w:cs="Arial" w:eastAsia="Arial" w:hAnsi="Arial"/>
          <w:sz w:val="18"/>
          <w:szCs w:val="18"/>
          <w:color w:val="auto"/>
        </w:rPr>
        <w:t>In connection with the Quarterly Report on Form 10-Q of LPL Financial Holdings Inc. (the “Company”) for the period ending September 30, 2016 as filed with the Securities and Exchange Commission (“SEC”) on the date hereof (the “Report”), I, Matthew J. Audette, Chief Financial Officer of the Company, certify, pursuant to 18 U.S.C. 1350, as adopted pursuant to section 906 of the Sarbanes-Oxley Act of 2002, that:</w:t>
      </w:r>
    </w:p>
    <w:p>
      <w:pPr>
        <w:spacing w:after="0" w:line="202" w:lineRule="exact"/>
        <w:rPr>
          <w:sz w:val="20"/>
          <w:szCs w:val="20"/>
          <w:color w:val="auto"/>
        </w:rPr>
      </w:pPr>
    </w:p>
    <w:p>
      <w:pPr>
        <w:ind w:left="820" w:hanging="488"/>
        <w:spacing w:after="0"/>
        <w:tabs>
          <w:tab w:leader="none" w:pos="8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5" w:lineRule="exact"/>
        <w:rPr>
          <w:rFonts w:ascii="Arial" w:cs="Arial" w:eastAsia="Arial" w:hAnsi="Arial"/>
          <w:sz w:val="18"/>
          <w:szCs w:val="18"/>
          <w:color w:val="auto"/>
        </w:rPr>
      </w:pPr>
    </w:p>
    <w:p>
      <w:pPr>
        <w:ind w:left="820" w:right="20" w:hanging="488"/>
        <w:spacing w:after="0" w:line="262" w:lineRule="auto"/>
        <w:tabs>
          <w:tab w:leader="none" w:pos="8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6" w:lineRule="exact"/>
        <w:rPr>
          <w:sz w:val="20"/>
          <w:szCs w:val="20"/>
          <w:color w:val="auto"/>
        </w:rPr>
      </w:pPr>
    </w:p>
    <w:p>
      <w:pPr>
        <w:ind w:right="20" w:firstLine="240"/>
        <w:spacing w:after="0" w:line="262" w:lineRule="auto"/>
        <w:rPr>
          <w:sz w:val="20"/>
          <w:szCs w:val="20"/>
          <w:color w:val="auto"/>
        </w:rPr>
      </w:pPr>
      <w:r>
        <w:rPr>
          <w:rFonts w:ascii="Arial" w:cs="Arial" w:eastAsia="Arial" w:hAnsi="Arial"/>
          <w:sz w:val="18"/>
          <w:szCs w:val="18"/>
          <w:color w:val="auto"/>
        </w:rPr>
        <w:t>A signed original of this written statement has been provided to the Company and will be retained by the Company and furnished to the SEC or its staff upon request.</w:t>
      </w: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color w:val="auto"/>
        </w:rPr>
        <w:t>Date: November 3, 2016</w:t>
      </w:r>
    </w:p>
    <w:p>
      <w:pPr>
        <w:spacing w:after="0" w:line="387"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/s/ Matthew J. Audette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4455795</wp:posOffset>
            </wp:positionH>
            <wp:positionV relativeFrom="paragraph">
              <wp:posOffset>14605</wp:posOffset>
            </wp:positionV>
            <wp:extent cx="198945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989455" cy="8890"/>
                    </a:xfrm>
                    <a:prstGeom prst="rect">
                      <a:avLst/>
                    </a:prstGeom>
                    <a:noFill/>
                  </pic:spPr>
                </pic:pic>
              </a:graphicData>
            </a:graphic>
          </wp:anchor>
        </w:drawing>
      </w:r>
    </w:p>
    <w:p>
      <w:pPr>
        <w:spacing w:after="0" w:line="286"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Matthew J. Audette</w:t>
      </w:r>
    </w:p>
    <w:p>
      <w:pPr>
        <w:spacing w:after="0" w:line="32" w:lineRule="exact"/>
        <w:rPr>
          <w:sz w:val="20"/>
          <w:szCs w:val="20"/>
          <w:color w:val="auto"/>
        </w:rPr>
      </w:pPr>
    </w:p>
    <w:p>
      <w:pPr>
        <w:ind w:left="7040"/>
        <w:spacing w:after="0"/>
        <w:rPr>
          <w:sz w:val="20"/>
          <w:szCs w:val="20"/>
          <w:color w:val="auto"/>
        </w:rPr>
      </w:pPr>
      <w:r>
        <w:rPr>
          <w:rFonts w:ascii="Arial" w:cs="Arial" w:eastAsia="Arial" w:hAnsi="Arial"/>
          <w:sz w:val="18"/>
          <w:szCs w:val="18"/>
          <w:i w:val="1"/>
          <w:iCs w:val="1"/>
          <w:color w:val="auto"/>
        </w:rPr>
        <w:t>Chief Financial Officer</w:t>
      </w:r>
    </w:p>
    <w:sectPr>
      <w:pgSz w:w="11900" w:h="16838" w:orient="portrait"/>
      <w:cols w:equalWidth="0" w:num="1">
        <w:col w:w="11420"/>
      </w:cols>
      <w:pgMar w:left="240" w:top="57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19B500D"/>
    <w:multiLevelType w:val="hybridMultilevel"/>
    <w:lvl w:ilvl="0">
      <w:lvlJc w:val="left"/>
      <w:lvlText w:val="x"/>
      <w:numFmt w:val="bullet"/>
      <w:start w:val="1"/>
    </w:lvl>
  </w:abstractNum>
  <w:abstractNum w:abstractNumId="1">
    <w:nsid w:val="431BD7B7"/>
    <w:multiLevelType w:val="hybridMultilevel"/>
    <w:lvl w:ilvl="0">
      <w:lvlJc w:val="left"/>
      <w:lvlText w:val="o"/>
      <w:numFmt w:val="bullet"/>
      <w:start w:val="1"/>
    </w:lvl>
  </w:abstractNum>
  <w:abstractNum w:abstractNumId="2">
    <w:nsid w:val="3F2DBA31"/>
    <w:multiLevelType w:val="hybridMultilevel"/>
    <w:lvl w:ilvl="0">
      <w:lvlJc w:val="left"/>
      <w:lvlText w:val="(%1)"/>
      <w:numFmt w:val="decimal"/>
      <w:start w:val="1"/>
    </w:lvl>
  </w:abstractNum>
  <w:abstractNum w:abstractNumId="3">
    <w:nsid w:val="7C83E458"/>
    <w:multiLevelType w:val="hybridMultilevel"/>
    <w:lvl w:ilvl="0">
      <w:lvlJc w:val="left"/>
      <w:lvlText w:val="%1"/>
      <w:numFmt w:val="decimal"/>
      <w:start w:val="1"/>
    </w:lvl>
    <w:lvl w:ilvl="1">
      <w:lvlJc w:val="left"/>
      <w:lvlText w:val="(%2)"/>
      <w:numFmt w:val="lowerLetter"/>
      <w:start w:val="1"/>
    </w:lvl>
  </w:abstractNum>
  <w:abstractNum w:abstractNumId="4">
    <w:nsid w:val="257130A3"/>
    <w:multiLevelType w:val="hybridMultilevel"/>
    <w:lvl w:ilvl="0">
      <w:lvlJc w:val="left"/>
      <w:lvlText w:val="(%1)"/>
      <w:numFmt w:val="decimal"/>
      <w:start w:val="2"/>
    </w:lvl>
    <w:lvl w:ilvl="1">
      <w:lvlJc w:val="left"/>
      <w:lvlText w:val="%2"/>
      <w:numFmt w:val="lowerLetter"/>
      <w:start w:val="1"/>
    </w:lvl>
  </w:abstractNum>
  <w:abstractNum w:abstractNumId="5">
    <w:nsid w:val="62BBD95A"/>
    <w:multiLevelType w:val="hybridMultilevel"/>
    <w:lvl w:ilvl="0">
      <w:lvlJc w:val="left"/>
      <w:lvlText w:val="(%1)"/>
      <w:numFmt w:val="decimal"/>
      <w:start w:val="3"/>
    </w:lvl>
  </w:abstractNum>
  <w:abstractNum w:abstractNumId="6">
    <w:nsid w:val="436C6125"/>
    <w:multiLevelType w:val="hybridMultilevel"/>
    <w:lvl w:ilvl="0">
      <w:lvlJc w:val="left"/>
      <w:lvlText w:val="(%1)"/>
      <w:numFmt w:val="decimal"/>
      <w:start w:val="1"/>
    </w:lvl>
  </w:abstractNum>
  <w:abstractNum w:abstractNumId="7">
    <w:nsid w:val="628C895D"/>
    <w:multiLevelType w:val="hybridMultilevel"/>
    <w:lvl w:ilvl="0">
      <w:lvlJc w:val="left"/>
      <w:lvlText w:val="•"/>
      <w:numFmt w:val="bullet"/>
      <w:start w:val="1"/>
    </w:lvl>
  </w:abstractNum>
  <w:abstractNum w:abstractNumId="8">
    <w:nsid w:val="333AB105"/>
    <w:multiLevelType w:val="hybridMultilevel"/>
    <w:lvl w:ilvl="0">
      <w:lvlJc w:val="left"/>
      <w:lvlText w:val="(%1)"/>
      <w:numFmt w:val="decimal"/>
      <w:start w:val="1"/>
    </w:lvl>
  </w:abstractNum>
  <w:abstractNum w:abstractNumId="9">
    <w:nsid w:val="721DA317"/>
    <w:multiLevelType w:val="hybridMultilevel"/>
    <w:lvl w:ilvl="0">
      <w:lvlJc w:val="left"/>
      <w:lvlText w:val="(%1)"/>
      <w:numFmt w:val="decimal"/>
      <w:start w:val="3"/>
    </w:lvl>
  </w:abstractNum>
  <w:abstractNum w:abstractNumId="10">
    <w:nsid w:val="2443A858"/>
    <w:multiLevelType w:val="hybridMultilevel"/>
    <w:lvl w:ilvl="0">
      <w:lvlJc w:val="left"/>
      <w:lvlText w:val="%1."/>
      <w:numFmt w:val="decimal"/>
      <w:start w:val="1"/>
    </w:lvl>
  </w:abstractNum>
  <w:abstractNum w:abstractNumId="11">
    <w:nsid w:val="2D1D5AE9"/>
    <w:multiLevelType w:val="hybridMultilevel"/>
    <w:lvl w:ilvl="0">
      <w:lvlJc w:val="left"/>
      <w:lvlText w:val="%1."/>
      <w:numFmt w:val="decimal"/>
      <w:start w:val="2"/>
    </w:lvl>
  </w:abstractNum>
  <w:abstractNum w:abstractNumId="12">
    <w:nsid w:val="6763845E"/>
    <w:multiLevelType w:val="hybridMultilevel"/>
    <w:lvl w:ilvl="0">
      <w:lvlJc w:val="left"/>
      <w:lvlText w:val="%1."/>
      <w:numFmt w:val="decimal"/>
      <w:start w:val="3"/>
    </w:lvl>
  </w:abstractNum>
  <w:abstractNum w:abstractNumId="13">
    <w:nsid w:val="75A2A8D4"/>
    <w:multiLevelType w:val="hybridMultilevel"/>
    <w:lvl w:ilvl="0">
      <w:lvlJc w:val="left"/>
      <w:lvlText w:val="%1."/>
      <w:numFmt w:val="decimal"/>
      <w:start w:val="4"/>
    </w:lvl>
  </w:abstractNum>
  <w:abstractNum w:abstractNumId="14">
    <w:nsid w:val="8EDBDAB"/>
    <w:multiLevelType w:val="hybridMultilevel"/>
    <w:lvl w:ilvl="0">
      <w:lvlJc w:val="left"/>
      <w:lvlText w:val="%1."/>
      <w:numFmt w:val="decimal"/>
      <w:start w:val="5"/>
    </w:lvl>
  </w:abstractNum>
  <w:abstractNum w:abstractNumId="15">
    <w:nsid w:val="79838CB2"/>
    <w:multiLevelType w:val="hybridMultilevel"/>
    <w:lvl w:ilvl="0">
      <w:lvlJc w:val="left"/>
      <w:lvlText w:val="%1."/>
      <w:numFmt w:val="decimal"/>
      <w:start w:val="6"/>
    </w:lvl>
  </w:abstractNum>
  <w:abstractNum w:abstractNumId="16">
    <w:nsid w:val="4353D0CD"/>
    <w:multiLevelType w:val="hybridMultilevel"/>
    <w:lvl w:ilvl="0">
      <w:lvlJc w:val="left"/>
      <w:lvlText w:val="%1."/>
      <w:numFmt w:val="decimal"/>
      <w:start w:val="7"/>
    </w:lvl>
  </w:abstractNum>
  <w:abstractNum w:abstractNumId="17">
    <w:nsid w:val="B03E0C6"/>
    <w:multiLevelType w:val="hybridMultilevel"/>
    <w:lvl w:ilvl="0">
      <w:lvlJc w:val="left"/>
      <w:lvlText w:val="(%1)"/>
      <w:numFmt w:val="decimal"/>
      <w:start w:val="1"/>
    </w:lvl>
  </w:abstractNum>
  <w:abstractNum w:abstractNumId="18">
    <w:nsid w:val="189A769B"/>
    <w:multiLevelType w:val="hybridMultilevel"/>
    <w:lvl w:ilvl="0">
      <w:lvlJc w:val="left"/>
      <w:lvlText w:val="%1."/>
      <w:numFmt w:val="decimal"/>
      <w:start w:val="8"/>
    </w:lvl>
  </w:abstractNum>
  <w:abstractNum w:abstractNumId="19">
    <w:nsid w:val="54E49EB4"/>
    <w:multiLevelType w:val="hybridMultilevel"/>
    <w:lvl w:ilvl="0">
      <w:lvlJc w:val="left"/>
      <w:lvlText w:val="%1."/>
      <w:numFmt w:val="decimal"/>
      <w:start w:val="9"/>
    </w:lvl>
  </w:abstractNum>
  <w:abstractNum w:abstractNumId="20">
    <w:nsid w:val="71F32454"/>
    <w:multiLevelType w:val="hybridMultilevel"/>
    <w:lvl w:ilvl="0">
      <w:lvlJc w:val="left"/>
      <w:lvlText w:val="%1."/>
      <w:numFmt w:val="decimal"/>
      <w:start w:val="10"/>
    </w:lvl>
  </w:abstractNum>
  <w:abstractNum w:abstractNumId="21">
    <w:nsid w:val="2CA88611"/>
    <w:multiLevelType w:val="hybridMultilevel"/>
    <w:lvl w:ilvl="0">
      <w:lvlJc w:val="left"/>
      <w:lvlText w:val="%1."/>
      <w:numFmt w:val="decimal"/>
      <w:start w:val="11"/>
    </w:lvl>
  </w:abstractNum>
  <w:abstractNum w:abstractNumId="22">
    <w:nsid w:val="836C40E"/>
    <w:multiLevelType w:val="hybridMultilevel"/>
    <w:lvl w:ilvl="0">
      <w:lvlJc w:val="left"/>
      <w:lvlText w:val="%1."/>
      <w:numFmt w:val="decimal"/>
      <w:start w:val="12"/>
    </w:lvl>
  </w:abstractNum>
  <w:abstractNum w:abstractNumId="23">
    <w:nsid w:val="2901D82"/>
    <w:multiLevelType w:val="hybridMultilevel"/>
    <w:lvl w:ilvl="0">
      <w:lvlJc w:val="left"/>
      <w:lvlText w:val="%1."/>
      <w:numFmt w:val="decimal"/>
      <w:start w:val="13"/>
    </w:lvl>
  </w:abstractNum>
  <w:abstractNum w:abstractNumId="24">
    <w:nsid w:val="3A95F874"/>
    <w:multiLevelType w:val="hybridMultilevel"/>
    <w:lvl w:ilvl="0">
      <w:lvlJc w:val="left"/>
      <w:lvlText w:val="%1."/>
      <w:numFmt w:val="decimal"/>
      <w:start w:val="14"/>
    </w:lvl>
  </w:abstractNum>
  <w:abstractNum w:abstractNumId="25">
    <w:nsid w:val="8138641"/>
    <w:multiLevelType w:val="hybridMultilevel"/>
    <w:lvl w:ilvl="0">
      <w:lvlJc w:val="left"/>
      <w:lvlText w:val="%1."/>
      <w:numFmt w:val="decimal"/>
      <w:start w:val="15"/>
    </w:lvl>
  </w:abstractNum>
  <w:abstractNum w:abstractNumId="26">
    <w:nsid w:val="1E7FF521"/>
    <w:multiLevelType w:val="hybridMultilevel"/>
    <w:lvl w:ilvl="0">
      <w:lvlJc w:val="left"/>
      <w:lvlText w:val="%1."/>
      <w:numFmt w:val="decimal"/>
      <w:start w:val="16"/>
    </w:lvl>
  </w:abstractNum>
  <w:abstractNum w:abstractNumId="27">
    <w:nsid w:val="7C3DBD3D"/>
    <w:multiLevelType w:val="hybridMultilevel"/>
    <w:lvl w:ilvl="0">
      <w:lvlJc w:val="left"/>
      <w:lvlText w:val="(%1)"/>
      <w:numFmt w:val="decimal"/>
      <w:start w:val="1"/>
    </w:lvl>
  </w:abstractNum>
  <w:abstractNum w:abstractNumId="28">
    <w:nsid w:val="737B8DDC"/>
    <w:multiLevelType w:val="hybridMultilevel"/>
    <w:lvl w:ilvl="0">
      <w:lvlJc w:val="left"/>
      <w:lvlText w:val="*"/>
      <w:numFmt w:val="bullet"/>
      <w:start w:val="1"/>
    </w:lvl>
  </w:abstractNum>
  <w:abstractNum w:abstractNumId="29">
    <w:nsid w:val="6CEAF087"/>
    <w:multiLevelType w:val="hybridMultilevel"/>
    <w:lvl w:ilvl="0">
      <w:lvlJc w:val="left"/>
      <w:lvlText w:val="(%1)"/>
      <w:numFmt w:val="decimal"/>
      <w:start w:val="1"/>
    </w:lvl>
  </w:abstractNum>
  <w:abstractNum w:abstractNumId="30">
    <w:nsid w:val="22221A70"/>
    <w:multiLevelType w:val="hybridMultilevel"/>
    <w:lvl w:ilvl="0">
      <w:lvlJc w:val="left"/>
      <w:lvlText w:val="%1."/>
      <w:numFmt w:val="decimal"/>
      <w:start w:val="1"/>
    </w:lvl>
    <w:lvl w:ilvl="1">
      <w:lvlJc w:val="left"/>
      <w:lvlText w:val="%2."/>
      <w:numFmt w:val="lowerLetter"/>
      <w:start w:val="1"/>
    </w:lvl>
  </w:abstractNum>
  <w:abstractNum w:abstractNumId="31">
    <w:nsid w:val="4516DDE9"/>
    <w:multiLevelType w:val="hybridMultilevel"/>
    <w:lvl w:ilvl="0">
      <w:lvlJc w:val="left"/>
      <w:lvlText w:val="%1."/>
      <w:numFmt w:val="decimal"/>
      <w:start w:val="1"/>
    </w:lvl>
    <w:lvl w:ilvl="1">
      <w:lvlJc w:val="left"/>
      <w:lvlText w:val="%2."/>
      <w:numFmt w:val="lowerLetter"/>
      <w:start w:val="1"/>
    </w:lvl>
  </w:abstractNum>
  <w:abstractNum w:abstractNumId="32">
    <w:nsid w:val="3006C83E"/>
    <w:multiLevelType w:val="hybridMultilevel"/>
    <w:lvl w:ilvl="0">
      <w:lvlJc w:val="left"/>
      <w:lvlText w:val="%1)"/>
      <w:numFmt w:val="decimal"/>
      <w:start w:val="1"/>
    </w:lvl>
  </w:abstractNum>
  <w:abstractNum w:abstractNumId="33">
    <w:nsid w:val="614FD4A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2019-12-29T09:23:45Z</dcterms:created>
  <dcterms:modified xsi:type="dcterms:W3CDTF">2019-12-29T09:23:45Z</dcterms:modified>
</cp:coreProperties>
</file>